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46A8" w14:textId="43700430" w:rsidR="004C4C34" w:rsidRPr="00C07899" w:rsidRDefault="00362340" w:rsidP="00C07899">
      <w:pPr>
        <w:pStyle w:val="Ttulo4"/>
        <w:tabs>
          <w:tab w:val="left" w:pos="0"/>
          <w:tab w:val="right" w:pos="9356"/>
        </w:tabs>
        <w:ind w:left="0"/>
        <w:contextualSpacing/>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lang w:val="es-CO" w:eastAsia="es-CO"/>
        </w:rPr>
        <w:object w:dxaOrig="1440" w:dyaOrig="1440" w14:anchorId="4B236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53.35pt;width:52.5pt;height:48.75pt;z-index:251658240;mso-wrap-edited:f;mso-position-horizontal:center;mso-position-horizontal-relative:margin" fillcolor="#0c9">
            <v:imagedata r:id="rId11" o:title=""/>
            <w10:wrap anchorx="margin"/>
          </v:shape>
          <o:OLEObject Type="Embed" ProgID="PBrush" ShapeID="_x0000_s1033" DrawAspect="Content" ObjectID="_1652595623" r:id="rId12"/>
        </w:object>
      </w:r>
      <w:r w:rsidR="004C4C34" w:rsidRPr="00C07899">
        <w:rPr>
          <w:rFonts w:ascii="Bookman Old Style" w:hAnsi="Bookman Old Style"/>
          <w:b w:val="0"/>
          <w:bCs/>
          <w:sz w:val="24"/>
          <w:szCs w:val="24"/>
        </w:rPr>
        <w:t>Ministerio de Minas y Energía</w:t>
      </w:r>
    </w:p>
    <w:p w14:paraId="56F10605" w14:textId="77777777" w:rsidR="004C4C34" w:rsidRPr="00C07899" w:rsidRDefault="004C4C34" w:rsidP="00C07899">
      <w:pPr>
        <w:pStyle w:val="Ttulo4"/>
        <w:tabs>
          <w:tab w:val="left" w:pos="0"/>
          <w:tab w:val="right" w:pos="9356"/>
        </w:tabs>
        <w:ind w:left="0"/>
        <w:contextualSpacing/>
        <w:rPr>
          <w:rFonts w:ascii="Bookman Old Style" w:hAnsi="Bookman Old Style"/>
          <w:b w:val="0"/>
          <w:bCs/>
          <w:sz w:val="24"/>
          <w:szCs w:val="24"/>
        </w:rPr>
      </w:pPr>
    </w:p>
    <w:p w14:paraId="7780CBA0" w14:textId="77777777" w:rsidR="004C4C34" w:rsidRPr="00143C8C" w:rsidRDefault="004C4C34" w:rsidP="00143C8C">
      <w:pPr>
        <w:ind w:left="0"/>
        <w:jc w:val="center"/>
        <w:rPr>
          <w:rFonts w:ascii="Bookman Old Style" w:hAnsi="Bookman Old Style"/>
          <w:b/>
        </w:rPr>
      </w:pPr>
      <w:r w:rsidRPr="00143C8C">
        <w:rPr>
          <w:rFonts w:ascii="Bookman Old Style" w:hAnsi="Bookman Old Style"/>
          <w:b/>
        </w:rPr>
        <w:t>COMISIÓN DE REGULACIÓN DE ENERGÍA Y GAS</w:t>
      </w:r>
    </w:p>
    <w:p w14:paraId="2310A2DA"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5044440F"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65F3DC7F" w14:textId="0EBCAC3D" w:rsidR="004C4C34" w:rsidRPr="00143C8C" w:rsidRDefault="004C4C34" w:rsidP="00C07899">
      <w:pPr>
        <w:pStyle w:val="Ttulo5"/>
        <w:tabs>
          <w:tab w:val="left" w:pos="0"/>
          <w:tab w:val="right" w:pos="9356"/>
        </w:tabs>
        <w:ind w:left="0"/>
        <w:contextualSpacing/>
        <w:rPr>
          <w:rFonts w:ascii="Bookman Old Style" w:hAnsi="Bookman Old Style" w:cs="Times New Roman"/>
          <w:snapToGrid/>
          <w:color w:val="auto"/>
          <w:spacing w:val="0"/>
          <w:sz w:val="24"/>
          <w:szCs w:val="24"/>
          <w:lang w:val="es-ES"/>
        </w:rPr>
      </w:pPr>
      <w:r w:rsidRPr="00143C8C">
        <w:rPr>
          <w:rFonts w:ascii="Bookman Old Style" w:hAnsi="Bookman Old Style" w:cs="Times New Roman"/>
          <w:snapToGrid/>
          <w:color w:val="auto"/>
          <w:spacing w:val="0"/>
          <w:sz w:val="24"/>
          <w:szCs w:val="24"/>
          <w:lang w:val="es-ES"/>
        </w:rPr>
        <w:t>RESOLUCI</w:t>
      </w:r>
      <w:r w:rsidR="00323F4B" w:rsidRPr="00143C8C">
        <w:rPr>
          <w:rFonts w:ascii="Bookman Old Style" w:hAnsi="Bookman Old Style" w:cs="Times New Roman"/>
          <w:snapToGrid/>
          <w:color w:val="auto"/>
          <w:spacing w:val="0"/>
          <w:sz w:val="24"/>
          <w:szCs w:val="24"/>
          <w:lang w:val="es-ES"/>
        </w:rPr>
        <w:t>ÓN No</w:t>
      </w:r>
      <w:r w:rsidR="00323F4B" w:rsidRPr="00857C79">
        <w:rPr>
          <w:rFonts w:ascii="Bookman Old Style" w:hAnsi="Bookman Old Style" w:cs="Times New Roman"/>
          <w:snapToGrid/>
          <w:color w:val="auto"/>
          <w:spacing w:val="0"/>
          <w:sz w:val="24"/>
          <w:szCs w:val="24"/>
          <w:lang w:val="es-ES"/>
        </w:rPr>
        <w:t>.</w:t>
      </w:r>
      <w:r w:rsidR="00323F4B" w:rsidRPr="00857C79">
        <w:rPr>
          <w:rFonts w:ascii="Bookman Old Style" w:hAnsi="Bookman Old Style" w:cs="Times New Roman"/>
          <w:snapToGrid/>
          <w:color w:val="auto"/>
          <w:spacing w:val="0"/>
          <w:sz w:val="32"/>
          <w:szCs w:val="32"/>
          <w:lang w:val="es-ES"/>
        </w:rPr>
        <w:t xml:space="preserve">    </w:t>
      </w:r>
      <w:r w:rsidR="00316623">
        <w:rPr>
          <w:rFonts w:ascii="Bookman Old Style" w:hAnsi="Bookman Old Style" w:cs="Times New Roman"/>
          <w:snapToGrid/>
          <w:color w:val="auto"/>
          <w:spacing w:val="0"/>
          <w:sz w:val="32"/>
          <w:szCs w:val="32"/>
          <w:lang w:val="es-ES"/>
        </w:rPr>
        <w:t>102</w:t>
      </w:r>
      <w:r w:rsidR="00323F4B" w:rsidRPr="00143C8C">
        <w:rPr>
          <w:rFonts w:ascii="Bookman Old Style" w:hAnsi="Bookman Old Style" w:cs="Times New Roman"/>
          <w:snapToGrid/>
          <w:color w:val="auto"/>
          <w:spacing w:val="0"/>
          <w:sz w:val="24"/>
          <w:szCs w:val="24"/>
          <w:lang w:val="es-ES"/>
        </w:rPr>
        <w:t xml:space="preserve">      DE 20</w:t>
      </w:r>
      <w:r w:rsidR="001530DC" w:rsidRPr="00143C8C">
        <w:rPr>
          <w:rFonts w:ascii="Bookman Old Style" w:hAnsi="Bookman Old Style" w:cs="Times New Roman"/>
          <w:snapToGrid/>
          <w:color w:val="auto"/>
          <w:spacing w:val="0"/>
          <w:sz w:val="24"/>
          <w:szCs w:val="24"/>
          <w:lang w:val="es-ES"/>
        </w:rPr>
        <w:t>20</w:t>
      </w:r>
    </w:p>
    <w:p w14:paraId="575EE74D" w14:textId="77777777" w:rsidR="004C4C34" w:rsidRPr="00C07899" w:rsidRDefault="004C4C34" w:rsidP="00C07899">
      <w:pPr>
        <w:tabs>
          <w:tab w:val="left" w:pos="0"/>
          <w:tab w:val="right" w:pos="9356"/>
        </w:tabs>
        <w:ind w:left="0"/>
        <w:contextualSpacing/>
        <w:jc w:val="center"/>
        <w:rPr>
          <w:rFonts w:ascii="Bookman Old Style" w:hAnsi="Bookman Old Style" w:cs="Arial"/>
          <w:b/>
          <w:snapToGrid w:val="0"/>
          <w:color w:val="000000"/>
          <w:lang w:val="es-ES_tradnl"/>
        </w:rPr>
      </w:pPr>
    </w:p>
    <w:p w14:paraId="6EDC55C7" w14:textId="4E145687" w:rsidR="004C4C34" w:rsidRPr="00C07899" w:rsidRDefault="004C4C34" w:rsidP="00C07899">
      <w:pPr>
        <w:pStyle w:val="Ttulo3"/>
        <w:tabs>
          <w:tab w:val="left" w:pos="0"/>
          <w:tab w:val="right" w:pos="9356"/>
        </w:tabs>
        <w:ind w:left="0"/>
        <w:contextualSpacing/>
        <w:rPr>
          <w:rFonts w:ascii="Bookman Old Style" w:hAnsi="Bookman Old Style"/>
          <w:b w:val="0"/>
          <w:szCs w:val="24"/>
        </w:rPr>
      </w:pPr>
      <w:r w:rsidRPr="00C07899">
        <w:rPr>
          <w:rFonts w:ascii="Bookman Old Style" w:hAnsi="Bookman Old Style"/>
          <w:b w:val="0"/>
          <w:szCs w:val="24"/>
        </w:rPr>
        <w:t xml:space="preserve">(  </w:t>
      </w:r>
      <w:r w:rsidR="00454363">
        <w:rPr>
          <w:rFonts w:ascii="Bookman Old Style" w:hAnsi="Bookman Old Style"/>
          <w:bCs/>
          <w:sz w:val="32"/>
          <w:szCs w:val="32"/>
        </w:rPr>
        <w:t xml:space="preserve"> </w:t>
      </w:r>
      <w:r w:rsidR="00316623">
        <w:rPr>
          <w:rFonts w:ascii="Bookman Old Style" w:hAnsi="Bookman Old Style"/>
          <w:bCs/>
          <w:sz w:val="32"/>
          <w:szCs w:val="32"/>
        </w:rPr>
        <w:t>29 MAY. 2020</w:t>
      </w:r>
      <w:r w:rsidR="00454363">
        <w:rPr>
          <w:rFonts w:ascii="Bookman Old Style" w:hAnsi="Bookman Old Style"/>
          <w:bCs/>
          <w:sz w:val="32"/>
          <w:szCs w:val="32"/>
        </w:rPr>
        <w:t xml:space="preserve">   </w:t>
      </w:r>
      <w:r w:rsidRPr="00C07899">
        <w:rPr>
          <w:rFonts w:ascii="Bookman Old Style" w:hAnsi="Bookman Old Style"/>
          <w:b w:val="0"/>
          <w:szCs w:val="24"/>
        </w:rPr>
        <w:t>)</w:t>
      </w:r>
    </w:p>
    <w:p w14:paraId="763EDC9D" w14:textId="77777777" w:rsidR="002F5820" w:rsidRDefault="002F5820" w:rsidP="00454363">
      <w:pPr>
        <w:tabs>
          <w:tab w:val="left" w:pos="0"/>
          <w:tab w:val="right" w:pos="9356"/>
        </w:tabs>
        <w:ind w:left="0"/>
        <w:contextualSpacing/>
        <w:rPr>
          <w:rFonts w:ascii="Bookman Old Style" w:hAnsi="Bookman Old Style"/>
          <w:lang w:val="es-ES_tradnl"/>
        </w:rPr>
      </w:pPr>
    </w:p>
    <w:p w14:paraId="46D0E11B" w14:textId="6DA44BD6" w:rsidR="00143C8C" w:rsidRPr="00316623" w:rsidRDefault="00143C8C" w:rsidP="002F5820">
      <w:pPr>
        <w:ind w:left="0"/>
        <w:jc w:val="center"/>
        <w:rPr>
          <w:rFonts w:ascii="Bookman Old Style" w:hAnsi="Bookman Old Style"/>
          <w:iCs/>
          <w:sz w:val="22"/>
          <w:szCs w:val="22"/>
        </w:rPr>
      </w:pPr>
      <w:r w:rsidRPr="00316623">
        <w:rPr>
          <w:rFonts w:ascii="Bookman Old Style" w:hAnsi="Bookman Old Style"/>
          <w:iCs/>
        </w:rPr>
        <w:t xml:space="preserve"> </w:t>
      </w:r>
      <w:bookmarkStart w:id="1" w:name="_Hlk40944286"/>
      <w:r w:rsidR="001578AD" w:rsidRPr="00316623">
        <w:rPr>
          <w:rFonts w:ascii="Bookman Old Style" w:hAnsi="Bookman Old Style"/>
          <w:iCs/>
          <w:szCs w:val="22"/>
        </w:rPr>
        <w:t>Por la cual se adoptan disposiciones tarifarias dentro del precio máximo regulado para la comercialización mayorista de GLP en el marco del artículo 3 del Decreto Legislativo 517 de 2020</w:t>
      </w:r>
      <w:bookmarkEnd w:id="1"/>
    </w:p>
    <w:p w14:paraId="5658AEDC" w14:textId="77777777" w:rsidR="00143C8C" w:rsidRPr="00316623" w:rsidRDefault="00143C8C" w:rsidP="00143C8C">
      <w:pPr>
        <w:ind w:left="0"/>
        <w:jc w:val="both"/>
        <w:rPr>
          <w:rFonts w:ascii="Bookman Old Style" w:hAnsi="Bookman Old Style" w:cs="Arial"/>
          <w:iCs/>
          <w:lang w:val="es-CO"/>
        </w:rPr>
      </w:pPr>
    </w:p>
    <w:p w14:paraId="233916E6" w14:textId="77777777" w:rsidR="00143C8C" w:rsidRPr="006B76AE" w:rsidRDefault="00143C8C" w:rsidP="00143C8C">
      <w:pPr>
        <w:ind w:left="0"/>
        <w:jc w:val="both"/>
        <w:rPr>
          <w:rFonts w:ascii="Bookman Old Style" w:hAnsi="Bookman Old Style" w:cs="Arial"/>
          <w:lang w:val="es-CO"/>
        </w:rPr>
      </w:pPr>
    </w:p>
    <w:p w14:paraId="60303B63" w14:textId="77777777" w:rsidR="00143C8C" w:rsidRPr="006B76AE" w:rsidRDefault="00143C8C" w:rsidP="00143C8C">
      <w:pPr>
        <w:jc w:val="center"/>
        <w:rPr>
          <w:rFonts w:ascii="Bookman Old Style" w:hAnsi="Bookman Old Style"/>
          <w:b/>
        </w:rPr>
      </w:pPr>
      <w:r w:rsidRPr="006B76AE">
        <w:rPr>
          <w:rFonts w:ascii="Bookman Old Style" w:hAnsi="Bookman Old Style"/>
          <w:b/>
        </w:rPr>
        <w:t>LA COMISIÓN DE REGULACIÓN DE ENERGÍA Y GAS</w:t>
      </w:r>
    </w:p>
    <w:p w14:paraId="356329E5" w14:textId="77777777" w:rsidR="00143C8C" w:rsidRDefault="00143C8C" w:rsidP="00143C8C">
      <w:pPr>
        <w:ind w:left="0"/>
        <w:jc w:val="both"/>
        <w:rPr>
          <w:rFonts w:ascii="Bookman Old Style" w:hAnsi="Bookman Old Style" w:cs="Arial"/>
        </w:rPr>
      </w:pPr>
    </w:p>
    <w:p w14:paraId="384B035E" w14:textId="77777777" w:rsidR="00143C8C" w:rsidRPr="006B76AE" w:rsidRDefault="00143C8C" w:rsidP="00143C8C">
      <w:pPr>
        <w:ind w:left="0"/>
        <w:jc w:val="both"/>
        <w:rPr>
          <w:rFonts w:ascii="Bookman Old Style" w:hAnsi="Bookman Old Style" w:cs="Arial"/>
        </w:rPr>
      </w:pPr>
    </w:p>
    <w:p w14:paraId="3DA99A2B" w14:textId="77777777" w:rsidR="0062472D" w:rsidRDefault="0062472D" w:rsidP="0062472D">
      <w:pPr>
        <w:ind w:left="0"/>
        <w:contextualSpacing/>
        <w:jc w:val="center"/>
        <w:rPr>
          <w:rFonts w:ascii="Bookman Old Style" w:hAnsi="Bookman Old Style"/>
        </w:rPr>
      </w:pPr>
      <w:bookmarkStart w:id="2" w:name="_Hlk40871523"/>
      <w:r w:rsidRPr="00182FC7">
        <w:rPr>
          <w:rFonts w:ascii="Bookman Old Style" w:hAnsi="Bookman Old Style"/>
        </w:rPr>
        <w:t xml:space="preserve">Por la cual se adoptan </w:t>
      </w:r>
      <w:r w:rsidRPr="00A45DED">
        <w:rPr>
          <w:rFonts w:ascii="Bookman Old Style" w:hAnsi="Bookman Old Style"/>
        </w:rPr>
        <w:t xml:space="preserve">disposiciones tarifarias </w:t>
      </w:r>
      <w:r>
        <w:rPr>
          <w:rFonts w:ascii="Bookman Old Style" w:hAnsi="Bookman Old Style"/>
        </w:rPr>
        <w:t xml:space="preserve">dentro del precio máximo regulado </w:t>
      </w:r>
      <w:r w:rsidRPr="00182FC7">
        <w:rPr>
          <w:rFonts w:ascii="Bookman Old Style" w:hAnsi="Bookman Old Style"/>
        </w:rPr>
        <w:t xml:space="preserve">para la comercialización mayorista de GLP en el marco del </w:t>
      </w:r>
      <w:bookmarkStart w:id="3" w:name="_Hlk36995420"/>
      <w:r>
        <w:rPr>
          <w:rFonts w:ascii="Bookman Old Style" w:hAnsi="Bookman Old Style"/>
        </w:rPr>
        <w:t>artículo 3 del Decreto Legislativo 517</w:t>
      </w:r>
      <w:r w:rsidRPr="00182FC7">
        <w:rPr>
          <w:rFonts w:ascii="Bookman Old Style" w:hAnsi="Bookman Old Style"/>
        </w:rPr>
        <w:t xml:space="preserve"> de 2020</w:t>
      </w:r>
      <w:bookmarkEnd w:id="3"/>
    </w:p>
    <w:bookmarkEnd w:id="2"/>
    <w:p w14:paraId="6F1BFE64" w14:textId="77777777" w:rsidR="0062472D" w:rsidRPr="00C07899" w:rsidRDefault="0062472D" w:rsidP="0062472D">
      <w:pPr>
        <w:ind w:left="0" w:right="51"/>
        <w:contextualSpacing/>
        <w:rPr>
          <w:rFonts w:ascii="Bookman Old Style" w:hAnsi="Bookman Old Style"/>
          <w:b/>
        </w:rPr>
      </w:pPr>
    </w:p>
    <w:p w14:paraId="1FFB3353" w14:textId="77777777" w:rsidR="0062472D" w:rsidRPr="00C07899" w:rsidRDefault="0062472D" w:rsidP="0062472D">
      <w:pPr>
        <w:ind w:left="0" w:right="51"/>
        <w:contextualSpacing/>
        <w:rPr>
          <w:rFonts w:ascii="Bookman Old Style" w:hAnsi="Bookman Old Style"/>
          <w:b/>
        </w:rPr>
      </w:pPr>
    </w:p>
    <w:p w14:paraId="02ECA756" w14:textId="77777777" w:rsidR="0062472D" w:rsidRDefault="0062472D" w:rsidP="0062472D">
      <w:pPr>
        <w:ind w:left="0"/>
        <w:contextualSpacing/>
        <w:jc w:val="center"/>
        <w:rPr>
          <w:rFonts w:ascii="Bookman Old Style" w:hAnsi="Bookman Old Style"/>
        </w:rPr>
      </w:pPr>
      <w:r>
        <w:rPr>
          <w:rFonts w:ascii="Bookman Old Style" w:hAnsi="Bookman Old Style" w:cs="Arial"/>
          <w:b/>
          <w:color w:val="000000"/>
        </w:rPr>
        <w:t xml:space="preserve">Y   </w:t>
      </w:r>
      <w:r w:rsidRPr="00C07899">
        <w:rPr>
          <w:rFonts w:ascii="Bookman Old Style" w:hAnsi="Bookman Old Style" w:cs="Arial"/>
          <w:b/>
          <w:color w:val="000000"/>
        </w:rPr>
        <w:t>C O N S I D E R A</w:t>
      </w:r>
      <w:r>
        <w:rPr>
          <w:rFonts w:ascii="Bookman Old Style" w:hAnsi="Bookman Old Style" w:cs="Arial"/>
          <w:b/>
          <w:color w:val="000000"/>
        </w:rPr>
        <w:t xml:space="preserve"> N D O</w:t>
      </w:r>
      <w:r w:rsidRPr="00C07899">
        <w:rPr>
          <w:rFonts w:ascii="Bookman Old Style" w:hAnsi="Bookman Old Style" w:cs="Arial"/>
          <w:b/>
          <w:color w:val="000000"/>
        </w:rPr>
        <w:t>:</w:t>
      </w:r>
    </w:p>
    <w:p w14:paraId="5AA42F19" w14:textId="77777777" w:rsidR="0062472D" w:rsidRDefault="0062472D" w:rsidP="0062472D">
      <w:pPr>
        <w:ind w:left="0"/>
        <w:contextualSpacing/>
        <w:jc w:val="both"/>
        <w:rPr>
          <w:rFonts w:ascii="Bookman Old Style" w:hAnsi="Bookman Old Style"/>
        </w:rPr>
      </w:pPr>
    </w:p>
    <w:p w14:paraId="67AFA6D3" w14:textId="77777777" w:rsidR="0062472D" w:rsidRPr="004E2959" w:rsidRDefault="0062472D" w:rsidP="0062472D">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589FD733" w14:textId="77777777" w:rsidR="0062472D" w:rsidRPr="004E2959" w:rsidRDefault="0062472D" w:rsidP="0062472D">
      <w:pPr>
        <w:ind w:left="0"/>
        <w:contextualSpacing/>
        <w:jc w:val="both"/>
        <w:rPr>
          <w:rFonts w:ascii="Bookman Old Style" w:hAnsi="Bookman Old Style"/>
        </w:rPr>
      </w:pPr>
    </w:p>
    <w:p w14:paraId="070FA49C" w14:textId="77777777" w:rsidR="0062472D" w:rsidRDefault="0062472D" w:rsidP="0062472D">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w:t>
      </w:r>
      <w:r>
        <w:rPr>
          <w:rFonts w:ascii="Bookman Old Style" w:hAnsi="Bookman Old Style"/>
        </w:rPr>
        <w:t>,</w:t>
      </w:r>
      <w:r w:rsidRPr="004E2959">
        <w:rPr>
          <w:rFonts w:ascii="Bookman Old Style" w:hAnsi="Bookman Old Style"/>
        </w:rPr>
        <w:t xml:space="preserve"> para asegurar el mejoramiento de la calidad de vida de los usuarios, así como su prestación continua, ininterrumpida y eficiente</w:t>
      </w:r>
      <w:r>
        <w:rPr>
          <w:rFonts w:ascii="Bookman Old Style" w:hAnsi="Bookman Old Style"/>
        </w:rPr>
        <w:t>.</w:t>
      </w:r>
    </w:p>
    <w:p w14:paraId="7E2AA96B" w14:textId="77777777" w:rsidR="0062472D" w:rsidRDefault="0062472D" w:rsidP="0062472D">
      <w:pPr>
        <w:ind w:left="0"/>
        <w:contextualSpacing/>
        <w:jc w:val="both"/>
        <w:rPr>
          <w:rFonts w:ascii="Bookman Old Style" w:hAnsi="Bookman Old Style"/>
        </w:rPr>
      </w:pPr>
    </w:p>
    <w:p w14:paraId="45B26947" w14:textId="77777777" w:rsidR="0062472D" w:rsidRDefault="0062472D" w:rsidP="0062472D">
      <w:pPr>
        <w:ind w:left="0"/>
        <w:contextualSpacing/>
        <w:jc w:val="both"/>
        <w:rPr>
          <w:rFonts w:ascii="Bookman Old Style" w:hAnsi="Bookman Old Style"/>
        </w:rPr>
      </w:pPr>
      <w:r w:rsidRPr="007F428A">
        <w:rPr>
          <w:rFonts w:ascii="Bookman Old Style" w:hAnsi="Bookman Old Style"/>
        </w:rPr>
        <w:t>El artículo 14.28 de la Ley 142 de 1994 definió el servicio público domiciliario de gas combustible como el conjunto de actividades ordenadas a la distribución de gas combustible</w:t>
      </w:r>
      <w:r>
        <w:rPr>
          <w:rFonts w:ascii="Bookman Old Style" w:hAnsi="Bookman Old Style"/>
        </w:rPr>
        <w:t>,</w:t>
      </w:r>
      <w:r w:rsidRPr="007F428A">
        <w:rPr>
          <w:rFonts w:ascii="Bookman Old Style" w:hAnsi="Bookman Old Style"/>
        </w:rPr>
        <w:t xml:space="preserve"> y estableció la actividad de comercialización como actividad complementaria del servicio público domiciliario de gas combustible.</w:t>
      </w:r>
      <w:r>
        <w:rPr>
          <w:rFonts w:ascii="Bookman Old Style" w:hAnsi="Bookman Old Style"/>
        </w:rPr>
        <w:t xml:space="preserve"> </w:t>
      </w:r>
    </w:p>
    <w:p w14:paraId="687DA8EC" w14:textId="77777777" w:rsidR="0062472D" w:rsidRDefault="0062472D" w:rsidP="0062472D">
      <w:pPr>
        <w:ind w:left="0"/>
        <w:contextualSpacing/>
        <w:jc w:val="both"/>
        <w:rPr>
          <w:rFonts w:ascii="Bookman Old Style" w:hAnsi="Bookman Old Style"/>
        </w:rPr>
      </w:pPr>
    </w:p>
    <w:p w14:paraId="37C667A9" w14:textId="77777777" w:rsidR="0062472D" w:rsidRPr="00917010" w:rsidRDefault="0062472D" w:rsidP="0062472D">
      <w:pPr>
        <w:ind w:left="0"/>
        <w:contextualSpacing/>
        <w:jc w:val="both"/>
        <w:rPr>
          <w:rFonts w:ascii="Bookman Old Style" w:hAnsi="Bookman Old Style"/>
        </w:rPr>
      </w:pPr>
      <w:r>
        <w:rPr>
          <w:rFonts w:ascii="Bookman Old Style" w:hAnsi="Bookman Old Style"/>
        </w:rPr>
        <w:t>C</w:t>
      </w:r>
      <w:r w:rsidRPr="00917010">
        <w:rPr>
          <w:rFonts w:ascii="Bookman Old Style" w:hAnsi="Bookman Old Style"/>
        </w:rPr>
        <w:t>omo parte del servicio público domiciliario de gas combustible</w:t>
      </w:r>
      <w:r>
        <w:rPr>
          <w:rFonts w:ascii="Bookman Old Style" w:hAnsi="Bookman Old Style"/>
        </w:rPr>
        <w:t>,</w:t>
      </w:r>
      <w:r w:rsidRPr="00917010">
        <w:rPr>
          <w:rFonts w:ascii="Bookman Old Style" w:hAnsi="Bookman Old Style"/>
        </w:rPr>
        <w:t xml:space="preserve"> se presta el servicio público de gas natural, así como el servicio público de gas licuado del petróleo - GLP. El GLP es una mezcla de gases licuados presentes en el gas natural o disueltos en el petróleo, constituida principalmente por propano y butanos. </w:t>
      </w:r>
      <w:r>
        <w:rPr>
          <w:rFonts w:ascii="Bookman Old Style" w:hAnsi="Bookman Old Style"/>
        </w:rPr>
        <w:t>Esta m</w:t>
      </w:r>
      <w:r w:rsidRPr="00917010">
        <w:rPr>
          <w:rFonts w:ascii="Bookman Old Style" w:hAnsi="Bookman Old Style"/>
        </w:rPr>
        <w:t>ezcla es gaseosa en condiciones de presión y temperatura ambiente</w:t>
      </w:r>
      <w:r>
        <w:rPr>
          <w:rFonts w:ascii="Bookman Old Style" w:hAnsi="Bookman Old Style"/>
        </w:rPr>
        <w:t>,</w:t>
      </w:r>
      <w:r w:rsidRPr="00917010">
        <w:rPr>
          <w:rFonts w:ascii="Bookman Old Style" w:hAnsi="Bookman Old Style"/>
        </w:rPr>
        <w:t xml:space="preserve"> pero se licúa fácilmente por enfriamiento o compresión, y se comercializa generalmente en cilindros</w:t>
      </w:r>
      <w:r>
        <w:rPr>
          <w:rFonts w:ascii="Bookman Old Style" w:hAnsi="Bookman Old Style"/>
        </w:rPr>
        <w:t xml:space="preserve"> y atención de tanques estacionarios</w:t>
      </w:r>
      <w:r w:rsidRPr="00917010">
        <w:rPr>
          <w:rFonts w:ascii="Bookman Old Style" w:hAnsi="Bookman Old Style"/>
        </w:rPr>
        <w:t>.</w:t>
      </w:r>
    </w:p>
    <w:p w14:paraId="518396E2" w14:textId="77777777" w:rsidR="0062472D" w:rsidRDefault="0062472D" w:rsidP="0062472D">
      <w:pPr>
        <w:ind w:left="0"/>
        <w:contextualSpacing/>
        <w:jc w:val="both"/>
        <w:rPr>
          <w:rFonts w:ascii="Bookman Old Style" w:hAnsi="Bookman Old Style"/>
        </w:rPr>
      </w:pPr>
    </w:p>
    <w:p w14:paraId="404049CC" w14:textId="77777777" w:rsidR="0062472D" w:rsidRPr="00917010" w:rsidRDefault="0062472D" w:rsidP="0062472D">
      <w:pPr>
        <w:ind w:left="0"/>
        <w:contextualSpacing/>
        <w:jc w:val="both"/>
        <w:rPr>
          <w:rFonts w:ascii="Bookman Old Style" w:hAnsi="Bookman Old Style"/>
        </w:rPr>
      </w:pPr>
      <w:r>
        <w:rPr>
          <w:rFonts w:ascii="Bookman Old Style" w:hAnsi="Bookman Old Style"/>
        </w:rPr>
        <w:lastRenderedPageBreak/>
        <w:t>P</w:t>
      </w:r>
      <w:r w:rsidRPr="00917010">
        <w:rPr>
          <w:rFonts w:ascii="Bookman Old Style" w:hAnsi="Bookman Old Style"/>
        </w:rPr>
        <w:t>ara el caso del servicio público de GLP se debe tener en cuenta que dicho servicio está compuesto de las siguientes actividades reguladas: i) la comercialización mayorista</w:t>
      </w:r>
      <w:r w:rsidRPr="00DD52B5">
        <w:rPr>
          <w:rFonts w:ascii="Bookman Old Style" w:hAnsi="Bookman Old Style"/>
          <w:vertAlign w:val="superscript"/>
        </w:rPr>
        <w:footnoteReference w:id="2"/>
      </w:r>
      <w:r w:rsidRPr="00917010">
        <w:rPr>
          <w:rFonts w:ascii="Bookman Old Style" w:hAnsi="Bookman Old Style"/>
        </w:rPr>
        <w:t>; ii) el transporte de GLP por poliductos y propanoductos</w:t>
      </w:r>
      <w:r w:rsidRPr="00DD52B5">
        <w:rPr>
          <w:rFonts w:ascii="Bookman Old Style" w:hAnsi="Bookman Old Style"/>
          <w:vertAlign w:val="superscript"/>
        </w:rPr>
        <w:footnoteReference w:id="3"/>
      </w:r>
      <w:r w:rsidRPr="00917010">
        <w:rPr>
          <w:rFonts w:ascii="Bookman Old Style" w:hAnsi="Bookman Old Style"/>
        </w:rPr>
        <w:t xml:space="preserve">; </w:t>
      </w:r>
      <w:r>
        <w:rPr>
          <w:rFonts w:ascii="Bookman Old Style" w:hAnsi="Bookman Old Style"/>
        </w:rPr>
        <w:t xml:space="preserve">iii) </w:t>
      </w:r>
      <w:r w:rsidRPr="00917010">
        <w:rPr>
          <w:rFonts w:ascii="Bookman Old Style" w:hAnsi="Bookman Old Style"/>
        </w:rPr>
        <w:t>la distribución de GLP en cilindros y tanques estacionarios</w:t>
      </w:r>
      <w:r>
        <w:rPr>
          <w:rFonts w:ascii="Bookman Old Style" w:hAnsi="Bookman Old Style"/>
        </w:rPr>
        <w:t>;</w:t>
      </w:r>
      <w:r w:rsidRPr="00917010">
        <w:rPr>
          <w:rFonts w:ascii="Bookman Old Style" w:hAnsi="Bookman Old Style"/>
        </w:rPr>
        <w:t xml:space="preserve"> y</w:t>
      </w:r>
      <w:r>
        <w:rPr>
          <w:rFonts w:ascii="Bookman Old Style" w:hAnsi="Bookman Old Style"/>
        </w:rPr>
        <w:t>,</w:t>
      </w:r>
      <w:r w:rsidRPr="00917010">
        <w:rPr>
          <w:rFonts w:ascii="Bookman Old Style" w:hAnsi="Bookman Old Style"/>
        </w:rPr>
        <w:t xml:space="preserve"> </w:t>
      </w:r>
      <w:r>
        <w:rPr>
          <w:rFonts w:ascii="Bookman Old Style" w:hAnsi="Bookman Old Style"/>
        </w:rPr>
        <w:t>iv)</w:t>
      </w:r>
      <w:r w:rsidRPr="00917010">
        <w:rPr>
          <w:rFonts w:ascii="Bookman Old Style" w:hAnsi="Bookman Old Style"/>
        </w:rPr>
        <w:t xml:space="preserve"> </w:t>
      </w:r>
      <w:r>
        <w:rPr>
          <w:rFonts w:ascii="Bookman Old Style" w:hAnsi="Bookman Old Style"/>
        </w:rPr>
        <w:t>la</w:t>
      </w:r>
      <w:r w:rsidRPr="00917010">
        <w:rPr>
          <w:rFonts w:ascii="Bookman Old Style" w:hAnsi="Bookman Old Style"/>
        </w:rPr>
        <w:t xml:space="preserve"> comercialización minorista</w:t>
      </w:r>
      <w:r w:rsidRPr="00DD52B5">
        <w:rPr>
          <w:rFonts w:ascii="Bookman Old Style" w:hAnsi="Bookman Old Style"/>
          <w:vertAlign w:val="superscript"/>
        </w:rPr>
        <w:footnoteReference w:id="4"/>
      </w:r>
      <w:r w:rsidRPr="00917010">
        <w:rPr>
          <w:rFonts w:ascii="Bookman Old Style" w:hAnsi="Bookman Old Style"/>
        </w:rPr>
        <w:t>.</w:t>
      </w:r>
      <w:r>
        <w:rPr>
          <w:rFonts w:ascii="Bookman Old Style" w:hAnsi="Bookman Old Style"/>
        </w:rPr>
        <w:t xml:space="preserve"> </w:t>
      </w:r>
      <w:r w:rsidRPr="00B374DF">
        <w:rPr>
          <w:rFonts w:ascii="Bookman Old Style" w:hAnsi="Bookman Old Style"/>
        </w:rPr>
        <w:t>La comercialización mayorista hace referencia a la compra y venta de GLP al por mayor y a granel, con destino al servicio público domiciliario de gas combustible.</w:t>
      </w:r>
      <w:r>
        <w:rPr>
          <w:rFonts w:ascii="Bookman Old Style" w:hAnsi="Bookman Old Style"/>
        </w:rPr>
        <w:t xml:space="preserve"> </w:t>
      </w:r>
    </w:p>
    <w:p w14:paraId="7D5BEDF3" w14:textId="77777777" w:rsidR="0062472D" w:rsidRDefault="0062472D" w:rsidP="0062472D">
      <w:pPr>
        <w:ind w:left="0"/>
        <w:contextualSpacing/>
        <w:jc w:val="both"/>
        <w:rPr>
          <w:rFonts w:ascii="Bookman Old Style" w:hAnsi="Bookman Old Style"/>
        </w:rPr>
      </w:pPr>
    </w:p>
    <w:p w14:paraId="4AC4711F" w14:textId="77777777" w:rsidR="0062472D" w:rsidRDefault="0062472D" w:rsidP="0062472D">
      <w:pPr>
        <w:ind w:left="0"/>
        <w:contextualSpacing/>
        <w:jc w:val="both"/>
        <w:rPr>
          <w:rFonts w:ascii="Bookman Old Style" w:hAnsi="Bookman Old Style"/>
        </w:rPr>
      </w:pPr>
      <w:r>
        <w:rPr>
          <w:rFonts w:ascii="Bookman Old Style" w:hAnsi="Bookman Old Style"/>
        </w:rPr>
        <w:t>M</w:t>
      </w:r>
      <w:r w:rsidRPr="00410A36">
        <w:rPr>
          <w:rFonts w:ascii="Bookman Old Style" w:hAnsi="Bookman Old Style"/>
        </w:rPr>
        <w:t xml:space="preserve">ediante </w:t>
      </w:r>
      <w:r w:rsidRPr="007F428A">
        <w:rPr>
          <w:rFonts w:ascii="Bookman Old Style" w:hAnsi="Bookman Old Style"/>
        </w:rPr>
        <w:t>Resolución CREG 066 de 2007, modificada por las resoluciones CREG 059 de 2008, 002 de 2009</w:t>
      </w:r>
      <w:r>
        <w:rPr>
          <w:rFonts w:ascii="Bookman Old Style" w:hAnsi="Bookman Old Style"/>
        </w:rPr>
        <w:t xml:space="preserve"> y</w:t>
      </w:r>
      <w:r w:rsidRPr="007F428A">
        <w:rPr>
          <w:rFonts w:ascii="Bookman Old Style" w:hAnsi="Bookman Old Style"/>
        </w:rPr>
        <w:t xml:space="preserve"> 123 de 2010, la Comisión estableció “la regulación de precios de suministro de GLP de comercializadores mayoristas a distribuidores”. La resolución en mención señala la metodología para calcular el precio máximo regulado de suministro de GLP producido en las fuentes reguladas</w:t>
      </w:r>
      <w:r w:rsidRPr="007F428A">
        <w:rPr>
          <w:rStyle w:val="Refdenotaalpie"/>
          <w:rFonts w:ascii="Bookman Old Style" w:hAnsi="Bookman Old Style"/>
        </w:rPr>
        <w:footnoteReference w:id="5"/>
      </w:r>
      <w:r w:rsidRPr="007F428A">
        <w:rPr>
          <w:rFonts w:ascii="Bookman Old Style" w:hAnsi="Bookman Old Style"/>
        </w:rPr>
        <w:t xml:space="preserve">, mencionando adicionalmente que las demás fuentes de producción de GLP pueden fijar libremente su tarifa. </w:t>
      </w:r>
    </w:p>
    <w:p w14:paraId="6D349730" w14:textId="77777777" w:rsidR="0062472D" w:rsidRDefault="0062472D" w:rsidP="0062472D">
      <w:pPr>
        <w:ind w:left="0"/>
        <w:contextualSpacing/>
        <w:jc w:val="both"/>
        <w:rPr>
          <w:rFonts w:ascii="Bookman Old Style" w:hAnsi="Bookman Old Style"/>
        </w:rPr>
      </w:pPr>
    </w:p>
    <w:p w14:paraId="1598FFFB" w14:textId="7A297CFC" w:rsidR="0062472D" w:rsidRPr="007F428A" w:rsidRDefault="0062472D" w:rsidP="0062472D">
      <w:pPr>
        <w:ind w:left="0"/>
        <w:contextualSpacing/>
        <w:jc w:val="both"/>
        <w:rPr>
          <w:rFonts w:ascii="Bookman Old Style" w:hAnsi="Bookman Old Style"/>
        </w:rPr>
      </w:pPr>
      <w:r w:rsidRPr="007F428A">
        <w:rPr>
          <w:rFonts w:ascii="Bookman Old Style" w:hAnsi="Bookman Old Style"/>
        </w:rPr>
        <w:t>Las medidas adoptadas en la Resolución CREG 066 de 2007 se expidieron</w:t>
      </w:r>
      <w:r w:rsidR="00E43926">
        <w:rPr>
          <w:rFonts w:ascii="Bookman Old Style" w:hAnsi="Bookman Old Style"/>
        </w:rPr>
        <w:t>,</w:t>
      </w:r>
      <w:r w:rsidRPr="007F428A">
        <w:rPr>
          <w:rFonts w:ascii="Bookman Old Style" w:hAnsi="Bookman Old Style"/>
        </w:rPr>
        <w:t xml:space="preserve"> por parte de la CREG</w:t>
      </w:r>
      <w:r w:rsidR="00E43926">
        <w:rPr>
          <w:rFonts w:ascii="Bookman Old Style" w:hAnsi="Bookman Old Style"/>
        </w:rPr>
        <w:t>,</w:t>
      </w:r>
      <w:r w:rsidRPr="007F428A">
        <w:rPr>
          <w:rFonts w:ascii="Bookman Old Style" w:hAnsi="Bookman Old Style"/>
        </w:rPr>
        <w:t xml:space="preserve"> con el fin de brindar las señales necesarias para la promoción de la competencia en la comercialización mayorista, que permitieran que</w:t>
      </w:r>
      <w:r>
        <w:rPr>
          <w:rFonts w:ascii="Bookman Old Style" w:hAnsi="Bookman Old Style"/>
        </w:rPr>
        <w:t>,</w:t>
      </w:r>
      <w:r w:rsidRPr="007F428A">
        <w:rPr>
          <w:rFonts w:ascii="Bookman Old Style" w:hAnsi="Bookman Old Style"/>
        </w:rPr>
        <w:t xml:space="preserve"> en un futuro</w:t>
      </w:r>
      <w:r>
        <w:rPr>
          <w:rFonts w:ascii="Bookman Old Style" w:hAnsi="Bookman Old Style"/>
        </w:rPr>
        <w:t>,</w:t>
      </w:r>
      <w:r w:rsidRPr="007F428A">
        <w:rPr>
          <w:rFonts w:ascii="Bookman Old Style" w:hAnsi="Bookman Old Style"/>
        </w:rPr>
        <w:t xml:space="preserve"> se llegara a la desregulación del precio de suministro de GLP, así como a garantizar la oferta de producto dentro de la prestación del servicio público domiciliario, diferenciando la posición de cada agente comercializador mayorista en el mercado</w:t>
      </w:r>
      <w:r w:rsidRPr="007F428A">
        <w:rPr>
          <w:rStyle w:val="Refdenotaalpie"/>
          <w:rFonts w:ascii="Bookman Old Style" w:hAnsi="Bookman Old Style"/>
        </w:rPr>
        <w:footnoteReference w:id="6"/>
      </w:r>
      <w:r w:rsidRPr="007F428A">
        <w:rPr>
          <w:rFonts w:ascii="Bookman Old Style" w:hAnsi="Bookman Old Style"/>
        </w:rPr>
        <w:t>. Lo anterior, en concordancia con los fines previstos en la Ley 142 de 1994</w:t>
      </w:r>
      <w:r w:rsidRPr="007F428A">
        <w:rPr>
          <w:rStyle w:val="Refdenotaalpie"/>
          <w:rFonts w:ascii="Bookman Old Style" w:hAnsi="Bookman Old Style"/>
        </w:rPr>
        <w:footnoteReference w:id="7"/>
      </w:r>
      <w:r w:rsidRPr="007F428A">
        <w:rPr>
          <w:rFonts w:ascii="Bookman Old Style" w:hAnsi="Bookman Old Style"/>
        </w:rPr>
        <w:t>.</w:t>
      </w:r>
    </w:p>
    <w:p w14:paraId="1F3A65DC" w14:textId="77777777" w:rsidR="0062472D" w:rsidRDefault="0062472D" w:rsidP="0062472D">
      <w:pPr>
        <w:ind w:left="0"/>
        <w:contextualSpacing/>
        <w:jc w:val="both"/>
        <w:rPr>
          <w:rFonts w:ascii="Bookman Old Style" w:hAnsi="Bookman Old Style"/>
        </w:rPr>
      </w:pPr>
    </w:p>
    <w:p w14:paraId="1E627C52" w14:textId="77777777" w:rsidR="0062472D" w:rsidRPr="007F428A" w:rsidRDefault="0062472D" w:rsidP="0062472D">
      <w:pPr>
        <w:ind w:left="0"/>
        <w:contextualSpacing/>
        <w:jc w:val="both"/>
        <w:rPr>
          <w:rFonts w:ascii="Bookman Old Style" w:hAnsi="Bookman Old Style"/>
        </w:rPr>
      </w:pPr>
      <w:r w:rsidRPr="007F428A">
        <w:rPr>
          <w:rFonts w:ascii="Bookman Old Style" w:hAnsi="Bookman Old Style"/>
        </w:rPr>
        <w:t>De acuerdo con esto, desde el punto de vista tarifario, atendiendo las facultades regulatorias con las que cuenta la CREG en esta materia</w:t>
      </w:r>
      <w:r>
        <w:rPr>
          <w:rFonts w:ascii="Bookman Old Style" w:hAnsi="Bookman Old Style"/>
        </w:rPr>
        <w:t>,</w:t>
      </w:r>
      <w:r w:rsidRPr="007F428A">
        <w:rPr>
          <w:rFonts w:ascii="Bookman Old Style" w:hAnsi="Bookman Old Style"/>
        </w:rPr>
        <w:t xml:space="preserve"> y como parte de la fijación de los precios y la remuneración que se debía dar al producto en la comercialización mayorista, la CREG consideró que</w:t>
      </w:r>
      <w:r>
        <w:rPr>
          <w:rFonts w:ascii="Bookman Old Style" w:hAnsi="Bookman Old Style"/>
        </w:rPr>
        <w:t>,</w:t>
      </w:r>
      <w:r w:rsidRPr="007F428A">
        <w:rPr>
          <w:rFonts w:ascii="Bookman Old Style" w:hAnsi="Bookman Old Style"/>
        </w:rPr>
        <w:t xml:space="preserve"> a través de esta resolución: i) se debía proporcionar al mercado señales regulatorias de escasez en el corto y mediano plazo a fin de incentivar la entrada de nuevos agentes</w:t>
      </w:r>
      <w:r>
        <w:rPr>
          <w:rFonts w:ascii="Bookman Old Style" w:hAnsi="Bookman Old Style"/>
        </w:rPr>
        <w:t>; ii)</w:t>
      </w:r>
      <w:r w:rsidRPr="007F428A">
        <w:rPr>
          <w:rFonts w:ascii="Bookman Old Style" w:hAnsi="Bookman Old Style"/>
        </w:rPr>
        <w:t xml:space="preserve"> remunerar el verdadero costo económico del bien</w:t>
      </w:r>
      <w:r>
        <w:rPr>
          <w:rFonts w:ascii="Bookman Old Style" w:hAnsi="Bookman Old Style"/>
        </w:rPr>
        <w:t>,</w:t>
      </w:r>
      <w:r w:rsidRPr="007F428A">
        <w:rPr>
          <w:rFonts w:ascii="Bookman Old Style" w:hAnsi="Bookman Old Style"/>
        </w:rPr>
        <w:t xml:space="preserve"> a fin de incentivar la competencia</w:t>
      </w:r>
      <w:r>
        <w:rPr>
          <w:rFonts w:ascii="Bookman Old Style" w:hAnsi="Bookman Old Style"/>
        </w:rPr>
        <w:t xml:space="preserve"> y</w:t>
      </w:r>
      <w:r w:rsidRPr="007F428A">
        <w:rPr>
          <w:rFonts w:ascii="Bookman Old Style" w:hAnsi="Bookman Old Style"/>
        </w:rPr>
        <w:t xml:space="preserve"> la búsqueda de nuevas fuentes de suministro que </w:t>
      </w:r>
      <w:r w:rsidRPr="008D1C79">
        <w:rPr>
          <w:rFonts w:ascii="Bookman Old Style" w:hAnsi="Bookman Old Style"/>
        </w:rPr>
        <w:t>garantizaran</w:t>
      </w:r>
      <w:r w:rsidRPr="007F428A">
        <w:rPr>
          <w:rFonts w:ascii="Bookman Old Style" w:hAnsi="Bookman Old Style"/>
        </w:rPr>
        <w:t xml:space="preserve"> la prestación del servicio público; </w:t>
      </w:r>
      <w:r w:rsidRPr="008D1C79">
        <w:rPr>
          <w:rFonts w:ascii="Bookman Old Style" w:hAnsi="Bookman Old Style"/>
        </w:rPr>
        <w:t>iii</w:t>
      </w:r>
      <w:r w:rsidRPr="007F428A">
        <w:rPr>
          <w:rFonts w:ascii="Bookman Old Style" w:hAnsi="Bookman Old Style"/>
        </w:rPr>
        <w:t xml:space="preserve">) </w:t>
      </w:r>
      <w:r w:rsidRPr="008D1C79">
        <w:rPr>
          <w:rFonts w:ascii="Bookman Old Style" w:hAnsi="Bookman Old Style"/>
        </w:rPr>
        <w:t>dichas señales debían estar en consonancia con el cumplimiento de los criterios que en esta materia se encuentran previstos en el artículo 87 de la Ley 142 de 1994, principalmente en materia de eficiencia económica y suficiencia financiera; iv) las señales de precios debían orientar el interés privado, el cual incorpora, entre otros, generar utilidades acordes a dicha actividad, así como el beneficio para los usuarios en relación con las tarifas, en términos de eficiencia y una adecuada remuneración que permitiera contar con el producto para la prestación del servicio público domiciliario.</w:t>
      </w:r>
    </w:p>
    <w:p w14:paraId="43480FA2" w14:textId="77777777" w:rsidR="0062472D" w:rsidRPr="007F428A" w:rsidRDefault="0062472D" w:rsidP="0062472D">
      <w:pPr>
        <w:ind w:left="0"/>
        <w:contextualSpacing/>
        <w:jc w:val="both"/>
        <w:rPr>
          <w:rFonts w:ascii="Bookman Old Style" w:hAnsi="Bookman Old Style"/>
        </w:rPr>
      </w:pPr>
    </w:p>
    <w:p w14:paraId="3E8C9C62" w14:textId="77777777" w:rsidR="0062472D" w:rsidRPr="007F428A" w:rsidRDefault="0062472D" w:rsidP="0062472D">
      <w:pPr>
        <w:ind w:left="0"/>
        <w:contextualSpacing/>
        <w:jc w:val="both"/>
        <w:rPr>
          <w:rFonts w:ascii="Bookman Old Style" w:hAnsi="Bookman Old Style"/>
        </w:rPr>
      </w:pPr>
      <w:r w:rsidRPr="007F428A">
        <w:rPr>
          <w:rFonts w:ascii="Bookman Old Style" w:hAnsi="Bookman Old Style"/>
        </w:rPr>
        <w:t>Para estos efectos se tuv</w:t>
      </w:r>
      <w:r>
        <w:rPr>
          <w:rFonts w:ascii="Bookman Old Style" w:hAnsi="Bookman Old Style"/>
        </w:rPr>
        <w:t>ieron</w:t>
      </w:r>
      <w:r w:rsidRPr="007F428A">
        <w:rPr>
          <w:rFonts w:ascii="Bookman Old Style" w:hAnsi="Bookman Old Style"/>
        </w:rPr>
        <w:t xml:space="preserve"> en cuenta aspectos como: i) las condiciones de los agentes en el mercado, en especial, la posición dominante y las condiciones monopólicas que ostentaba el productor dentro de la comercialización mayorista del GLP; ii) la estructura del mercado, la cual incluía la posibilidad de hacer transable y competitivo el mercado del GLP, así como las perspectivas a mediano y largo plazo del mercado doméstico de GLP; iii) señales de precio para el abastecimiento del mercado nacional con el GLP producido en el país</w:t>
      </w:r>
      <w:r>
        <w:rPr>
          <w:rFonts w:ascii="Bookman Old Style" w:hAnsi="Bookman Old Style"/>
        </w:rPr>
        <w:t>,</w:t>
      </w:r>
      <w:r w:rsidRPr="007F428A">
        <w:rPr>
          <w:rFonts w:ascii="Bookman Old Style" w:hAnsi="Bookman Old Style"/>
        </w:rPr>
        <w:t xml:space="preserve"> que permitiera la garantía de la prestación del servicio público domiciliario; iv) el fomento a la competencia para la entrada de nuevos agentes o nuevas fuentes de suministro. </w:t>
      </w:r>
    </w:p>
    <w:p w14:paraId="33582FF9" w14:textId="77777777" w:rsidR="0062472D" w:rsidRDefault="0062472D" w:rsidP="0062472D">
      <w:pPr>
        <w:ind w:left="0"/>
        <w:contextualSpacing/>
        <w:jc w:val="both"/>
        <w:rPr>
          <w:rFonts w:ascii="Bookman Old Style" w:hAnsi="Bookman Old Style"/>
        </w:rPr>
      </w:pPr>
    </w:p>
    <w:p w14:paraId="59352B2A" w14:textId="11101417" w:rsidR="0062472D" w:rsidRPr="00951361" w:rsidRDefault="0062472D" w:rsidP="0062472D">
      <w:pPr>
        <w:ind w:left="0"/>
        <w:contextualSpacing/>
        <w:jc w:val="both"/>
        <w:rPr>
          <w:rFonts w:ascii="Bookman Old Style" w:hAnsi="Bookman Old Style"/>
          <w:lang w:val="es-CO"/>
        </w:rPr>
      </w:pPr>
      <w:r w:rsidRPr="00951361">
        <w:rPr>
          <w:rFonts w:ascii="Bookman Old Style" w:hAnsi="Bookman Old Style"/>
          <w:lang w:val="es-CO"/>
        </w:rPr>
        <w:t>De acuerdo con lo anterior, dentro del trámite de consulta de la regulación que se habría de adoptar para la definición de la remuneración del producto, dentro de las resoluciones CREG 066 de 2002, 072 de 2005, 066 de 2007 y el Documento CREG 034 de 2007, se estableció</w:t>
      </w:r>
      <w:r w:rsidR="00E43926">
        <w:rPr>
          <w:rFonts w:ascii="Bookman Old Style" w:hAnsi="Bookman Old Style"/>
          <w:lang w:val="es-CO"/>
        </w:rPr>
        <w:t>,</w:t>
      </w:r>
      <w:r w:rsidRPr="00951361">
        <w:rPr>
          <w:rFonts w:ascii="Bookman Old Style" w:hAnsi="Bookman Old Style"/>
          <w:lang w:val="es-CO"/>
        </w:rPr>
        <w:t xml:space="preserve"> por parte de la CREG</w:t>
      </w:r>
      <w:r w:rsidR="00E43926">
        <w:rPr>
          <w:rFonts w:ascii="Bookman Old Style" w:hAnsi="Bookman Old Style"/>
          <w:lang w:val="es-CO"/>
        </w:rPr>
        <w:t>,</w:t>
      </w:r>
      <w:r w:rsidRPr="00951361">
        <w:rPr>
          <w:rFonts w:ascii="Bookman Old Style" w:hAnsi="Bookman Old Style"/>
          <w:lang w:val="es-CO"/>
        </w:rPr>
        <w:t xml:space="preserve"> la necesidad de adoptar una metodología en la cual se habría de remunerar al productor con base en el costo de oportunidad</w:t>
      </w:r>
      <w:r w:rsidRPr="00951361">
        <w:rPr>
          <w:rFonts w:ascii="Bookman Old Style" w:hAnsi="Bookman Old Style"/>
          <w:vertAlign w:val="superscript"/>
          <w:lang w:val="es-CO"/>
        </w:rPr>
        <w:footnoteReference w:id="8"/>
      </w:r>
      <w:r w:rsidRPr="00951361">
        <w:rPr>
          <w:rFonts w:ascii="Bookman Old Style" w:hAnsi="Bookman Old Style"/>
          <w:lang w:val="es-CO"/>
        </w:rPr>
        <w:t>, en este caso, de acceder al mercado externo. Lo anterior se hizo con el fin de abastecer la demanda interna</w:t>
      </w:r>
      <w:r>
        <w:rPr>
          <w:rFonts w:ascii="Bookman Old Style" w:hAnsi="Bookman Old Style"/>
          <w:lang w:val="es-CO"/>
        </w:rPr>
        <w:t xml:space="preserve">, </w:t>
      </w:r>
      <w:r w:rsidRPr="00951361">
        <w:rPr>
          <w:rFonts w:ascii="Bookman Old Style" w:hAnsi="Bookman Old Style"/>
          <w:lang w:val="es-CO"/>
        </w:rPr>
        <w:t xml:space="preserve">esto bajo la consideración </w:t>
      </w:r>
      <w:r>
        <w:rPr>
          <w:rFonts w:ascii="Bookman Old Style" w:hAnsi="Bookman Old Style"/>
          <w:lang w:val="es-CO"/>
        </w:rPr>
        <w:t xml:space="preserve">de </w:t>
      </w:r>
      <w:r w:rsidRPr="00951361">
        <w:rPr>
          <w:rFonts w:ascii="Bookman Old Style" w:hAnsi="Bookman Old Style"/>
          <w:lang w:val="es-CO"/>
        </w:rPr>
        <w:t>que la capacidad de producción es suficiente para atender el mercado doméstico, sin necesidad de acudir sistemáticamente a la importación de combustible</w:t>
      </w:r>
      <w:r>
        <w:rPr>
          <w:rFonts w:ascii="Bookman Old Style" w:hAnsi="Bookman Old Style"/>
          <w:lang w:val="es-CO"/>
        </w:rPr>
        <w:t>. Además,</w:t>
      </w:r>
      <w:r w:rsidRPr="00951361">
        <w:rPr>
          <w:rFonts w:ascii="Bookman Old Style" w:hAnsi="Bookman Old Style"/>
          <w:lang w:val="es-CO"/>
        </w:rPr>
        <w:t xml:space="preserve"> trasladando la eficiencia del mercado externo al mercado doméstico, de acuerdo con la remuneración, a través de precios internacionales. En la teoría económica</w:t>
      </w:r>
      <w:r>
        <w:rPr>
          <w:rFonts w:ascii="Bookman Old Style" w:hAnsi="Bookman Old Style"/>
          <w:lang w:val="es-CO"/>
        </w:rPr>
        <w:t>,</w:t>
      </w:r>
      <w:r w:rsidRPr="00951361">
        <w:rPr>
          <w:rFonts w:ascii="Bookman Old Style" w:hAnsi="Bookman Old Style"/>
          <w:lang w:val="es-CO"/>
        </w:rPr>
        <w:t xml:space="preserve"> esto corresponde al costo de oportunidad de “paridad exportación”.</w:t>
      </w:r>
    </w:p>
    <w:p w14:paraId="67C5BD93" w14:textId="77777777" w:rsidR="0062472D" w:rsidRPr="00951361" w:rsidRDefault="0062472D" w:rsidP="0062472D">
      <w:pPr>
        <w:ind w:left="0"/>
        <w:contextualSpacing/>
        <w:jc w:val="both"/>
        <w:rPr>
          <w:rFonts w:ascii="Bookman Old Style" w:hAnsi="Bookman Old Style"/>
          <w:lang w:val="es-CO"/>
        </w:rPr>
      </w:pPr>
    </w:p>
    <w:p w14:paraId="2806B002" w14:textId="77777777" w:rsidR="0062472D" w:rsidRDefault="0062472D" w:rsidP="0062472D">
      <w:pPr>
        <w:ind w:left="0"/>
        <w:contextualSpacing/>
        <w:jc w:val="both"/>
        <w:rPr>
          <w:rFonts w:ascii="Bookman Old Style" w:hAnsi="Bookman Old Style"/>
        </w:rPr>
      </w:pPr>
      <w:r w:rsidRPr="0090517F">
        <w:rPr>
          <w:rFonts w:ascii="Bookman Old Style" w:hAnsi="Bookman Old Style"/>
        </w:rPr>
        <w:t>De acuerdo con esto, el costo de oportunidad, considerado para determinar el precio máximo regulado de suministro, se basa en la valoración del GLP en el mercado internacional de Mont Belvieu, Texas, y la oportunidad de Ecopetrol de vender el producto proveniente de sus diferentes fuentes de producción en ese mercado. Por tanto, en el costo de oportunidad</w:t>
      </w:r>
      <w:r>
        <w:rPr>
          <w:rFonts w:ascii="Bookman Old Style" w:hAnsi="Bookman Old Style"/>
        </w:rPr>
        <w:t>,</w:t>
      </w:r>
      <w:r w:rsidRPr="0090517F">
        <w:rPr>
          <w:rFonts w:ascii="Bookman Old Style" w:hAnsi="Bookman Old Style"/>
        </w:rPr>
        <w:t xml:space="preserve"> no solo se considera el precio internacional, sino también los costos en que incurre Ecopetrol para disponer del producto en dicho mercado.</w:t>
      </w:r>
    </w:p>
    <w:p w14:paraId="239AFD04" w14:textId="77777777" w:rsidR="0062472D" w:rsidRDefault="0062472D" w:rsidP="0062472D">
      <w:pPr>
        <w:ind w:left="0"/>
        <w:contextualSpacing/>
        <w:jc w:val="both"/>
        <w:rPr>
          <w:rFonts w:ascii="Bookman Old Style" w:hAnsi="Bookman Old Style"/>
        </w:rPr>
      </w:pPr>
    </w:p>
    <w:p w14:paraId="0BE95674" w14:textId="04F78D0C" w:rsidR="0062472D" w:rsidRDefault="0062472D" w:rsidP="0062472D">
      <w:pPr>
        <w:ind w:left="0"/>
        <w:contextualSpacing/>
        <w:jc w:val="both"/>
        <w:rPr>
          <w:rFonts w:ascii="Bookman Old Style" w:hAnsi="Bookman Old Style"/>
        </w:rPr>
      </w:pPr>
      <w:r>
        <w:rPr>
          <w:rFonts w:ascii="Bookman Old Style" w:hAnsi="Bookman Old Style"/>
        </w:rPr>
        <w:t>La definición del precio regulado actualmente aplica para las fuentes comercializadas por Ecopetrol, correspondientes a las refinerías de Cartagena y Barrancabermeja</w:t>
      </w:r>
      <w:r w:rsidR="00E43926">
        <w:rPr>
          <w:rFonts w:ascii="Bookman Old Style" w:hAnsi="Bookman Old Style"/>
        </w:rPr>
        <w:t>,</w:t>
      </w:r>
      <w:r w:rsidR="008D00C4">
        <w:rPr>
          <w:rFonts w:ascii="Bookman Old Style" w:hAnsi="Bookman Old Style"/>
        </w:rPr>
        <w:t xml:space="preserve"> y </w:t>
      </w:r>
      <w:r>
        <w:rPr>
          <w:rFonts w:ascii="Bookman Old Style" w:hAnsi="Bookman Old Style"/>
        </w:rPr>
        <w:t>los campos de Cusiana, Dina, Apiay y Cupiagua</w:t>
      </w:r>
      <w:r w:rsidR="00B203A3">
        <w:rPr>
          <w:rStyle w:val="Refdenotaalpie"/>
          <w:rFonts w:ascii="Bookman Old Style" w:hAnsi="Bookman Old Style"/>
        </w:rPr>
        <w:footnoteReference w:id="9"/>
      </w:r>
      <w:r>
        <w:rPr>
          <w:rFonts w:ascii="Bookman Old Style" w:hAnsi="Bookman Old Style"/>
        </w:rPr>
        <w:t xml:space="preserve">. </w:t>
      </w:r>
    </w:p>
    <w:p w14:paraId="4FC516F1" w14:textId="77777777" w:rsidR="003E1031" w:rsidRDefault="003E1031" w:rsidP="0062472D">
      <w:pPr>
        <w:ind w:left="0"/>
        <w:contextualSpacing/>
        <w:jc w:val="both"/>
        <w:rPr>
          <w:rFonts w:ascii="Bookman Old Style" w:hAnsi="Bookman Old Style"/>
          <w:lang w:val="es-CO"/>
        </w:rPr>
      </w:pPr>
    </w:p>
    <w:p w14:paraId="32B21F4A" w14:textId="18FA275F" w:rsidR="0062472D" w:rsidRPr="009F4A13" w:rsidRDefault="0062472D" w:rsidP="0062472D">
      <w:pPr>
        <w:ind w:left="0"/>
        <w:contextualSpacing/>
        <w:jc w:val="both"/>
        <w:rPr>
          <w:rFonts w:ascii="Bookman Old Style" w:hAnsi="Bookman Old Style"/>
          <w:lang w:val="es-CO"/>
        </w:rPr>
      </w:pPr>
      <w:r>
        <w:rPr>
          <w:rFonts w:ascii="Bookman Old Style" w:hAnsi="Bookman Old Style"/>
          <w:lang w:val="es-CO"/>
        </w:rPr>
        <w:t>M</w:t>
      </w:r>
      <w:r w:rsidRPr="5A08441D">
        <w:rPr>
          <w:rFonts w:ascii="Bookman Old Style" w:hAnsi="Bookman Old Style"/>
          <w:lang w:val="es-CO"/>
        </w:rPr>
        <w:t xml:space="preserve">ediante </w:t>
      </w:r>
      <w:r>
        <w:rPr>
          <w:rFonts w:ascii="Bookman Old Style" w:hAnsi="Bookman Old Style"/>
          <w:lang w:val="es-CO"/>
        </w:rPr>
        <w:t xml:space="preserve">la </w:t>
      </w:r>
      <w:r w:rsidRPr="5A08441D">
        <w:rPr>
          <w:rFonts w:ascii="Bookman Old Style" w:hAnsi="Bookman Old Style"/>
          <w:lang w:val="es-CO"/>
        </w:rPr>
        <w:t xml:space="preserve">comunicación con </w:t>
      </w:r>
      <w:r w:rsidRPr="009F4A13">
        <w:rPr>
          <w:rFonts w:ascii="Bookman Old Style" w:hAnsi="Bookman Old Style"/>
          <w:lang w:val="es-CO"/>
        </w:rPr>
        <w:t xml:space="preserve">radicado CREG E-2020-002257, Ecopetrol </w:t>
      </w:r>
      <w:r>
        <w:rPr>
          <w:rFonts w:ascii="Bookman Old Style" w:hAnsi="Bookman Old Style"/>
          <w:lang w:val="es-CO"/>
        </w:rPr>
        <w:t>manifest</w:t>
      </w:r>
      <w:r w:rsidR="00A950B3">
        <w:rPr>
          <w:rFonts w:ascii="Bookman Old Style" w:hAnsi="Bookman Old Style"/>
          <w:lang w:val="es-CO"/>
        </w:rPr>
        <w:t>ó</w:t>
      </w:r>
      <w:r w:rsidR="00BA2AD5">
        <w:rPr>
          <w:rFonts w:ascii="Bookman Old Style" w:hAnsi="Bookman Old Style"/>
          <w:lang w:val="es-CO"/>
        </w:rPr>
        <w:t xml:space="preserve"> a la Comisión</w:t>
      </w:r>
      <w:r>
        <w:rPr>
          <w:rFonts w:ascii="Bookman Old Style" w:hAnsi="Bookman Old Style"/>
          <w:lang w:val="es-CO"/>
        </w:rPr>
        <w:t xml:space="preserve"> lo siguiente</w:t>
      </w:r>
      <w:r w:rsidRPr="009F4A13">
        <w:rPr>
          <w:rFonts w:ascii="Bookman Old Style" w:hAnsi="Bookman Old Style"/>
          <w:lang w:val="es-CO"/>
        </w:rPr>
        <w:t>:</w:t>
      </w:r>
    </w:p>
    <w:p w14:paraId="7667313F" w14:textId="77777777" w:rsidR="0062472D" w:rsidRDefault="0062472D" w:rsidP="0062472D">
      <w:pPr>
        <w:ind w:left="0" w:right="424"/>
        <w:contextualSpacing/>
        <w:jc w:val="both"/>
        <w:rPr>
          <w:rFonts w:ascii="Bookman Old Style" w:hAnsi="Bookman Old Style"/>
          <w:highlight w:val="cyan"/>
          <w:lang w:val="es-CO"/>
        </w:rPr>
      </w:pPr>
    </w:p>
    <w:p w14:paraId="6FD93625" w14:textId="77777777" w:rsidR="0062472D" w:rsidRDefault="0062472D" w:rsidP="0062472D">
      <w:pPr>
        <w:ind w:right="424"/>
        <w:contextualSpacing/>
        <w:jc w:val="both"/>
        <w:rPr>
          <w:rFonts w:ascii="Bookman Old Style" w:hAnsi="Bookman Old Style"/>
          <w:i/>
          <w:iCs/>
          <w:sz w:val="22"/>
          <w:szCs w:val="22"/>
          <w:lang w:val="es-CO"/>
        </w:rPr>
      </w:pPr>
      <w:r w:rsidRPr="00273C2B">
        <w:rPr>
          <w:rFonts w:ascii="Bookman Old Style" w:hAnsi="Bookman Old Style"/>
          <w:i/>
          <w:iCs/>
          <w:sz w:val="22"/>
          <w:szCs w:val="22"/>
          <w:lang w:val="es-CO"/>
        </w:rPr>
        <w:t xml:space="preserve">“(…) </w:t>
      </w:r>
      <w:r>
        <w:rPr>
          <w:rFonts w:ascii="Bookman Old Style" w:hAnsi="Bookman Old Style"/>
          <w:i/>
          <w:iCs/>
          <w:sz w:val="22"/>
          <w:szCs w:val="22"/>
          <w:lang w:val="es-CO"/>
        </w:rPr>
        <w:t>De manera respetuosa, mediante la presente ponemos nuevamente a consideración de la Comisión la necesidad de revisar el marco aplicable a la comercialización mayorista de GLP, y en particular para determinar el precio máximo regulado del producto comercializado por Ecopetrol. La coyuntura actual de los precios internacionales del crudo y de sus derivados ha acentuado esta necesidad, en la medida en que los precios del GLP han disminuido a un punto en que se pone en riesgo el suministro del producto en el corto plazo.</w:t>
      </w:r>
    </w:p>
    <w:p w14:paraId="7AFF17CF" w14:textId="77777777" w:rsidR="0062472D" w:rsidRDefault="0062472D" w:rsidP="0062472D">
      <w:pPr>
        <w:ind w:right="424"/>
        <w:contextualSpacing/>
        <w:jc w:val="both"/>
        <w:rPr>
          <w:rFonts w:ascii="Bookman Old Style" w:hAnsi="Bookman Old Style"/>
          <w:i/>
          <w:iCs/>
          <w:sz w:val="22"/>
          <w:szCs w:val="22"/>
          <w:lang w:val="es-CO"/>
        </w:rPr>
      </w:pPr>
    </w:p>
    <w:p w14:paraId="27414F78" w14:textId="77777777" w:rsidR="0062472D" w:rsidRDefault="0062472D" w:rsidP="0062472D">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En efecto, la coyuntura se ha extendido a los precios del propano y el butano en Mont Belvieu, hub de referencia del precio regulado del GLP. Como se observa en el Gráfico, las proyecciones realizadas por Ecopetrol con base en información de distintas agencias internacionales muestran una reducción abrupta en los precios regulados del GLP. De hecho, a la fecha se proyecta que el precio regulado de las fuentes del interior del país podría ser negativo en abril y mayo de 2020.</w:t>
      </w:r>
    </w:p>
    <w:p w14:paraId="0F927E65" w14:textId="77777777" w:rsidR="0062472D" w:rsidRDefault="0062472D" w:rsidP="0062472D">
      <w:pPr>
        <w:ind w:right="424"/>
        <w:contextualSpacing/>
        <w:jc w:val="both"/>
        <w:rPr>
          <w:rFonts w:ascii="Bookman Old Style" w:hAnsi="Bookman Old Style"/>
          <w:i/>
          <w:iCs/>
          <w:sz w:val="22"/>
          <w:szCs w:val="22"/>
          <w:lang w:val="es-CO"/>
        </w:rPr>
      </w:pPr>
    </w:p>
    <w:p w14:paraId="0207AD54" w14:textId="77777777" w:rsidR="0062472D" w:rsidRDefault="0062472D" w:rsidP="0062472D">
      <w:pPr>
        <w:ind w:right="424"/>
        <w:contextualSpacing/>
        <w:jc w:val="center"/>
        <w:rPr>
          <w:rFonts w:ascii="Bookman Old Style" w:hAnsi="Bookman Old Style"/>
          <w:i/>
          <w:iCs/>
          <w:sz w:val="22"/>
          <w:szCs w:val="22"/>
          <w:lang w:val="es-CO"/>
        </w:rPr>
      </w:pPr>
      <w:r>
        <w:rPr>
          <w:noProof/>
          <w:lang w:val="es-CO" w:eastAsia="es-CO"/>
        </w:rPr>
        <w:drawing>
          <wp:inline distT="0" distB="0" distL="0" distR="0" wp14:anchorId="503968DA" wp14:editId="457847F0">
            <wp:extent cx="3445629" cy="1789471"/>
            <wp:effectExtent l="0" t="0" r="2540" b="127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3">
                      <a:extLst>
                        <a:ext uri="{FF2B5EF4-FFF2-40B4-BE49-F238E27FC236}">
                          <a16:creationId xmlns:c="http://schemas.openxmlformats.org/drawingml/2006/chart"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C0FD96E4-CD68-4FA8-A030-2983B90DCD39}"/>
                        </a:ext>
                      </a:extLst>
                    </a:blip>
                    <a:stretch>
                      <a:fillRect/>
                    </a:stretch>
                  </pic:blipFill>
                  <pic:spPr>
                    <a:xfrm>
                      <a:off x="0" y="0"/>
                      <a:ext cx="3450385" cy="1791941"/>
                    </a:xfrm>
                    <a:prstGeom prst="rect">
                      <a:avLst/>
                    </a:prstGeom>
                  </pic:spPr>
                </pic:pic>
              </a:graphicData>
            </a:graphic>
          </wp:inline>
        </w:drawing>
      </w:r>
    </w:p>
    <w:p w14:paraId="7B9131AD" w14:textId="77777777" w:rsidR="0062472D" w:rsidRDefault="0062472D" w:rsidP="0062472D">
      <w:pPr>
        <w:ind w:right="424"/>
        <w:contextualSpacing/>
        <w:jc w:val="both"/>
        <w:rPr>
          <w:rFonts w:ascii="Bookman Old Style" w:hAnsi="Bookman Old Style"/>
          <w:i/>
          <w:iCs/>
          <w:sz w:val="22"/>
          <w:szCs w:val="22"/>
          <w:lang w:val="es-CO"/>
        </w:rPr>
      </w:pPr>
    </w:p>
    <w:p w14:paraId="0C2BA29A" w14:textId="77777777" w:rsidR="0062472D" w:rsidRDefault="0062472D" w:rsidP="0062472D">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El precio que se incluye en los contratos derivados de la OPC hace parte de la tarifa del servicio público domiciliario de GLP y, en ese sentido, debe cumplir el principio de suficiencia financiera dispuesto en el artículo 87 de la Ley 142 de 1994. (…) No es viable para Ecopetrol entregar GLP a cambio de precios que a todas luces no cumplen este principio y que son, incluso, negativos (…)</w:t>
      </w:r>
    </w:p>
    <w:p w14:paraId="0109B5F5" w14:textId="77777777" w:rsidR="0062472D" w:rsidRDefault="0062472D" w:rsidP="0062472D">
      <w:pPr>
        <w:ind w:right="424"/>
        <w:contextualSpacing/>
        <w:jc w:val="both"/>
        <w:rPr>
          <w:rFonts w:ascii="Bookman Old Style" w:hAnsi="Bookman Old Style"/>
          <w:i/>
          <w:iCs/>
          <w:sz w:val="22"/>
          <w:szCs w:val="22"/>
          <w:lang w:val="es-CO"/>
        </w:rPr>
      </w:pPr>
    </w:p>
    <w:p w14:paraId="6C961A78" w14:textId="77777777" w:rsidR="0062472D" w:rsidRDefault="0062472D" w:rsidP="0062472D">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En virtud de todo lo anterior, le solicitamos a la CREG, por una parte, avanzar según la agenda regulatoria en la expedición del nuevo marco regulatorio para la comercialización mayorista de GLP. Por otro, adoptar medidas transitorias que permitan asegurar la continuidad en el suministro en el marco de la coyuntura de precios internacionales del propano y el butano; en particular, agradecemos a la CREG que adopte un precio temporal correspondiente al indicador de Mont Belvieu que rija desde el próximo 15 de abril de 2020, momento en que se actualizarán los precios regulados del GLP con base en el comportamiento de los indicadores internacionales del mes inmediatamente anterior.”</w:t>
      </w:r>
    </w:p>
    <w:p w14:paraId="55825CB6" w14:textId="77777777" w:rsidR="0062472D" w:rsidRPr="00273C2B" w:rsidRDefault="0062472D" w:rsidP="0062472D">
      <w:pPr>
        <w:ind w:right="424"/>
        <w:contextualSpacing/>
        <w:jc w:val="both"/>
        <w:rPr>
          <w:rFonts w:ascii="Bookman Old Style" w:hAnsi="Bookman Old Style"/>
          <w:i/>
          <w:iCs/>
          <w:sz w:val="22"/>
          <w:szCs w:val="22"/>
          <w:lang w:val="es-CO"/>
        </w:rPr>
      </w:pPr>
    </w:p>
    <w:p w14:paraId="052BA5E3" w14:textId="3833DC70" w:rsidR="0062472D" w:rsidRDefault="0062472D" w:rsidP="0062472D">
      <w:pPr>
        <w:ind w:left="0"/>
        <w:contextualSpacing/>
        <w:jc w:val="both"/>
        <w:rPr>
          <w:rFonts w:ascii="Bookman Old Style" w:hAnsi="Bookman Old Style"/>
          <w:lang w:val="es-CO"/>
        </w:rPr>
      </w:pPr>
      <w:r>
        <w:rPr>
          <w:rFonts w:ascii="Bookman Old Style" w:hAnsi="Bookman Old Style"/>
          <w:lang w:val="es-CO"/>
        </w:rPr>
        <w:t xml:space="preserve">Posteriormente, mediante comunicación del 25 de marzo de 2020, Ecopetrol </w:t>
      </w:r>
      <w:r w:rsidR="00BA2AD5">
        <w:rPr>
          <w:rFonts w:ascii="Bookman Old Style" w:hAnsi="Bookman Old Style"/>
          <w:lang w:val="es-CO"/>
        </w:rPr>
        <w:t>expuso</w:t>
      </w:r>
      <w:r>
        <w:rPr>
          <w:rFonts w:ascii="Bookman Old Style" w:hAnsi="Bookman Old Style"/>
          <w:lang w:val="es-CO"/>
        </w:rPr>
        <w:t>:</w:t>
      </w:r>
    </w:p>
    <w:p w14:paraId="76879AED" w14:textId="77777777" w:rsidR="0062472D" w:rsidRDefault="0062472D" w:rsidP="0062472D">
      <w:pPr>
        <w:ind w:left="0"/>
        <w:contextualSpacing/>
        <w:jc w:val="both"/>
        <w:rPr>
          <w:rFonts w:ascii="Bookman Old Style" w:hAnsi="Bookman Old Style"/>
          <w:lang w:val="es-CO"/>
        </w:rPr>
      </w:pPr>
    </w:p>
    <w:p w14:paraId="4B4F6F68" w14:textId="77777777" w:rsidR="0062472D" w:rsidRPr="000719D4" w:rsidRDefault="0062472D" w:rsidP="0062472D">
      <w:pPr>
        <w:ind w:right="424"/>
        <w:contextualSpacing/>
        <w:jc w:val="both"/>
        <w:rPr>
          <w:rFonts w:ascii="Bookman Old Style" w:hAnsi="Bookman Old Style"/>
          <w:i/>
          <w:iCs/>
          <w:sz w:val="22"/>
          <w:szCs w:val="22"/>
          <w:lang w:val="es-CO"/>
        </w:rPr>
      </w:pPr>
      <w:r w:rsidRPr="008F30AF">
        <w:rPr>
          <w:rFonts w:ascii="Bookman Old Style" w:hAnsi="Bookman Old Style"/>
          <w:i/>
          <w:iCs/>
          <w:sz w:val="22"/>
          <w:szCs w:val="22"/>
          <w:lang w:val="es-CO"/>
        </w:rPr>
        <w:t>“(…) Precio máximo regulado: en línea con lo planteado en nuestra comunicación con radicado CREG E-2020-002257 del 13 de marzo de 2020, le solicitamos respetuosamente a la Comisión que adopte un precio temporal correspondiente al indicador de Mont Belvieu que rija desde el próximo 15 de abril, momento en que se actualizarán los precios regulados del GLP con base en el comportamiento de los precios del propano y el butano en el hub de Mont Belvieu.”</w:t>
      </w:r>
    </w:p>
    <w:p w14:paraId="4171C59E" w14:textId="77777777" w:rsidR="0062472D" w:rsidRDefault="0062472D" w:rsidP="0062472D">
      <w:pPr>
        <w:ind w:left="0"/>
        <w:contextualSpacing/>
        <w:jc w:val="both"/>
        <w:rPr>
          <w:rFonts w:ascii="Bookman Old Style" w:hAnsi="Bookman Old Style"/>
        </w:rPr>
      </w:pPr>
    </w:p>
    <w:p w14:paraId="44B71A43" w14:textId="7A8D25CD" w:rsidR="0062472D" w:rsidRDefault="0062472D" w:rsidP="0062472D">
      <w:pPr>
        <w:ind w:left="0"/>
        <w:contextualSpacing/>
        <w:jc w:val="both"/>
        <w:rPr>
          <w:rFonts w:ascii="Bookman Old Style" w:hAnsi="Bookman Old Style"/>
        </w:rPr>
      </w:pPr>
      <w:r>
        <w:rPr>
          <w:rFonts w:ascii="Bookman Old Style" w:hAnsi="Bookman Old Style"/>
        </w:rPr>
        <w:t xml:space="preserve">Frente a los hechos expuestos por parte de Ecopetrol, en el marco de la metodología de costo de oportunidad, establecida en la Resolución CREG 066 de 2007, a través de la cual se define el precio máximo regulado, </w:t>
      </w:r>
      <w:r w:rsidR="00745FBF">
        <w:rPr>
          <w:rFonts w:ascii="Bookman Old Style" w:hAnsi="Bookman Old Style"/>
        </w:rPr>
        <w:t>la Comisión encontró</w:t>
      </w:r>
      <w:r>
        <w:rPr>
          <w:rFonts w:ascii="Bookman Old Style" w:hAnsi="Bookman Old Style"/>
        </w:rPr>
        <w:t xml:space="preserve"> que, bajo un análisis de la condición de valor de </w:t>
      </w:r>
      <w:r w:rsidRPr="00A6345F">
        <w:rPr>
          <w:rFonts w:ascii="Bookman Old Style" w:hAnsi="Bookman Old Style"/>
        </w:rPr>
        <w:t>referencia, tomada como costo de oportunidad, la revisión de las condiciones del balance entre oferta y demanda</w:t>
      </w:r>
      <w:r>
        <w:rPr>
          <w:rFonts w:ascii="Bookman Old Style" w:hAnsi="Bookman Old Style"/>
        </w:rPr>
        <w:t xml:space="preserve"> permit</w:t>
      </w:r>
      <w:r w:rsidR="00796B80">
        <w:rPr>
          <w:rFonts w:ascii="Bookman Old Style" w:hAnsi="Bookman Old Style"/>
        </w:rPr>
        <w:t>ía</w:t>
      </w:r>
      <w:r>
        <w:rPr>
          <w:rFonts w:ascii="Bookman Old Style" w:hAnsi="Bookman Old Style"/>
        </w:rPr>
        <w:t>n establecer que dicha condición de referencia al precio paridad exportación se siguen manteniendo. En ese sentido, la referencia s</w:t>
      </w:r>
      <w:r w:rsidR="00BA0D4B">
        <w:rPr>
          <w:rFonts w:ascii="Bookman Old Style" w:hAnsi="Bookman Old Style"/>
        </w:rPr>
        <w:t>eguía</w:t>
      </w:r>
      <w:r>
        <w:rPr>
          <w:rFonts w:ascii="Bookman Old Style" w:hAnsi="Bookman Old Style"/>
        </w:rPr>
        <w:t xml:space="preserve"> siendo el costo de oportunidad, en la medida en que no se </w:t>
      </w:r>
      <w:r w:rsidRPr="00A6345F">
        <w:rPr>
          <w:rFonts w:ascii="Bookman Old Style" w:hAnsi="Bookman Old Style"/>
        </w:rPr>
        <w:t>evidenci</w:t>
      </w:r>
      <w:r w:rsidR="00BA0D4B">
        <w:rPr>
          <w:rFonts w:ascii="Bookman Old Style" w:hAnsi="Bookman Old Style"/>
        </w:rPr>
        <w:t>ó</w:t>
      </w:r>
      <w:r w:rsidRPr="00A6345F">
        <w:rPr>
          <w:rFonts w:ascii="Bookman Old Style" w:hAnsi="Bookman Old Style"/>
        </w:rPr>
        <w:t xml:space="preserve"> </w:t>
      </w:r>
      <w:r>
        <w:rPr>
          <w:rFonts w:ascii="Bookman Old Style" w:hAnsi="Bookman Old Style"/>
        </w:rPr>
        <w:t xml:space="preserve">la existencia </w:t>
      </w:r>
      <w:r w:rsidRPr="00A6345F">
        <w:rPr>
          <w:rFonts w:ascii="Bookman Old Style" w:hAnsi="Bookman Old Style"/>
        </w:rPr>
        <w:t xml:space="preserve">de algún evento que </w:t>
      </w:r>
      <w:r>
        <w:rPr>
          <w:rFonts w:ascii="Bookman Old Style" w:hAnsi="Bookman Old Style"/>
        </w:rPr>
        <w:t>afect</w:t>
      </w:r>
      <w:r w:rsidR="00BA0D4B">
        <w:rPr>
          <w:rFonts w:ascii="Bookman Old Style" w:hAnsi="Bookman Old Style"/>
        </w:rPr>
        <w:t>ara</w:t>
      </w:r>
      <w:r>
        <w:rPr>
          <w:rFonts w:ascii="Bookman Old Style" w:hAnsi="Bookman Old Style"/>
        </w:rPr>
        <w:t xml:space="preserve"> </w:t>
      </w:r>
      <w:r w:rsidRPr="00A6345F">
        <w:rPr>
          <w:rFonts w:ascii="Bookman Old Style" w:hAnsi="Bookman Old Style"/>
        </w:rPr>
        <w:t>dicho balance y la señal de precio</w:t>
      </w:r>
      <w:r>
        <w:rPr>
          <w:rFonts w:ascii="Bookman Old Style" w:hAnsi="Bookman Old Style"/>
        </w:rPr>
        <w:t>, que conllev</w:t>
      </w:r>
      <w:r w:rsidR="001C6108">
        <w:rPr>
          <w:rFonts w:ascii="Bookman Old Style" w:hAnsi="Bookman Old Style"/>
        </w:rPr>
        <w:t>ará</w:t>
      </w:r>
      <w:r>
        <w:rPr>
          <w:rFonts w:ascii="Bookman Old Style" w:hAnsi="Bookman Old Style"/>
        </w:rPr>
        <w:t xml:space="preserve"> a la Comisión a tomar una decisión en la cual se ajuste dicha señal de precio</w:t>
      </w:r>
      <w:r>
        <w:rPr>
          <w:rStyle w:val="Refdenotaalpie"/>
          <w:rFonts w:ascii="Bookman Old Style" w:hAnsi="Bookman Old Style"/>
        </w:rPr>
        <w:footnoteReference w:id="10"/>
      </w:r>
      <w:r w:rsidRPr="00A6345F">
        <w:rPr>
          <w:rFonts w:ascii="Bookman Old Style" w:hAnsi="Bookman Old Style"/>
        </w:rPr>
        <w:t>.</w:t>
      </w:r>
    </w:p>
    <w:p w14:paraId="3F774A57" w14:textId="77777777" w:rsidR="0062472D" w:rsidRDefault="0062472D" w:rsidP="0062472D">
      <w:pPr>
        <w:ind w:left="0"/>
        <w:contextualSpacing/>
        <w:jc w:val="both"/>
        <w:rPr>
          <w:rFonts w:ascii="Bookman Old Style" w:hAnsi="Bookman Old Style"/>
        </w:rPr>
      </w:pPr>
    </w:p>
    <w:p w14:paraId="5E6BC8D1" w14:textId="73711386" w:rsidR="0062472D" w:rsidRPr="002368BF" w:rsidRDefault="0062472D" w:rsidP="0062472D">
      <w:pPr>
        <w:ind w:left="0"/>
        <w:jc w:val="both"/>
        <w:rPr>
          <w:rFonts w:ascii="Bookman Old Style" w:hAnsi="Bookman Old Style" w:cs="Arial"/>
          <w:lang w:val="es-ES_tradnl"/>
        </w:rPr>
      </w:pPr>
      <w:r>
        <w:rPr>
          <w:rFonts w:ascii="Bookman Old Style" w:hAnsi="Bookman Old Style" w:cs="Arial"/>
          <w:lang w:val="es-ES_tradnl"/>
        </w:rPr>
        <w:t xml:space="preserve">Así mismo, frente a la caída de los precios internacionales del petróleo, </w:t>
      </w:r>
      <w:r w:rsidR="001C6108">
        <w:rPr>
          <w:rFonts w:ascii="Bookman Old Style" w:hAnsi="Bookman Old Style" w:cs="Arial"/>
          <w:lang w:val="es-ES_tradnl"/>
        </w:rPr>
        <w:t>la Comisión pudo evidenciar que</w:t>
      </w:r>
      <w:r w:rsidR="00E43926">
        <w:rPr>
          <w:rFonts w:ascii="Bookman Old Style" w:hAnsi="Bookman Old Style" w:cs="Arial"/>
          <w:lang w:val="es-ES_tradnl"/>
        </w:rPr>
        <w:t>,</w:t>
      </w:r>
      <w:r w:rsidR="001C6108">
        <w:rPr>
          <w:rFonts w:ascii="Bookman Old Style" w:hAnsi="Bookman Old Style" w:cs="Arial"/>
          <w:lang w:val="es-ES_tradnl"/>
        </w:rPr>
        <w:t xml:space="preserve"> efectivamente</w:t>
      </w:r>
      <w:r w:rsidR="00E43926">
        <w:rPr>
          <w:rFonts w:ascii="Bookman Old Style" w:hAnsi="Bookman Old Style" w:cs="Arial"/>
          <w:lang w:val="es-ES_tradnl"/>
        </w:rPr>
        <w:t>,</w:t>
      </w:r>
      <w:r w:rsidR="001C6108">
        <w:rPr>
          <w:rFonts w:ascii="Bookman Old Style" w:hAnsi="Bookman Old Style" w:cs="Arial"/>
          <w:lang w:val="es-ES_tradnl"/>
        </w:rPr>
        <w:t xml:space="preserve"> se</w:t>
      </w:r>
      <w:r w:rsidRPr="002368BF">
        <w:rPr>
          <w:rFonts w:ascii="Bookman Old Style" w:hAnsi="Bookman Old Style" w:cs="Arial"/>
          <w:lang w:val="es-ES_tradnl"/>
        </w:rPr>
        <w:t xml:space="preserve"> presentó una ruptura del acuerdo de recorte de la producción de crudo de la OPEP+, que reunía a los productores de crudo de la Organización de Países Exportadores de Petróleo (OPEP) y otros países, entre ellos Rusia. </w:t>
      </w:r>
    </w:p>
    <w:p w14:paraId="6803D244" w14:textId="77777777" w:rsidR="0062472D" w:rsidRPr="002368BF" w:rsidRDefault="0062472D" w:rsidP="0062472D">
      <w:pPr>
        <w:ind w:left="0"/>
        <w:jc w:val="both"/>
        <w:rPr>
          <w:rFonts w:ascii="Bookman Old Style" w:hAnsi="Bookman Old Style" w:cs="Arial"/>
          <w:lang w:val="es-ES_tradnl"/>
        </w:rPr>
      </w:pPr>
    </w:p>
    <w:p w14:paraId="75A65A75" w14:textId="2CE58628" w:rsidR="0062472D" w:rsidRDefault="0062472D" w:rsidP="0062472D">
      <w:pPr>
        <w:ind w:left="0"/>
        <w:jc w:val="both"/>
        <w:rPr>
          <w:rFonts w:ascii="Bookman Old Style" w:hAnsi="Bookman Old Style" w:cs="Arial"/>
          <w:lang w:val="es-ES_tradnl"/>
        </w:rPr>
      </w:pPr>
      <w:r>
        <w:rPr>
          <w:rFonts w:ascii="Bookman Old Style" w:hAnsi="Bookman Old Style" w:cs="Arial"/>
          <w:lang w:val="es-ES_tradnl"/>
        </w:rPr>
        <w:t>E</w:t>
      </w:r>
      <w:r w:rsidRPr="002368BF">
        <w:rPr>
          <w:rFonts w:ascii="Bookman Old Style" w:hAnsi="Bookman Old Style" w:cs="Arial"/>
          <w:lang w:val="es-ES_tradnl"/>
        </w:rPr>
        <w:t>sta ruptura y la menor demanda mundial de crudo</w:t>
      </w:r>
      <w:r>
        <w:rPr>
          <w:rFonts w:ascii="Bookman Old Style" w:hAnsi="Bookman Old Style" w:cs="Arial"/>
          <w:lang w:val="es-ES_tradnl"/>
        </w:rPr>
        <w:t>,</w:t>
      </w:r>
      <w:r w:rsidRPr="002368BF">
        <w:rPr>
          <w:rFonts w:ascii="Bookman Old Style" w:hAnsi="Bookman Old Style" w:cs="Arial"/>
          <w:lang w:val="es-ES_tradnl"/>
        </w:rPr>
        <w:t xml:space="preserve"> producto del COVID-19, </w:t>
      </w:r>
      <w:r>
        <w:rPr>
          <w:rFonts w:ascii="Bookman Old Style" w:hAnsi="Bookman Old Style" w:cs="Arial"/>
          <w:lang w:val="es-ES_tradnl"/>
        </w:rPr>
        <w:t>conllevó a</w:t>
      </w:r>
      <w:r w:rsidRPr="002368BF">
        <w:rPr>
          <w:rFonts w:ascii="Bookman Old Style" w:hAnsi="Bookman Old Style" w:cs="Arial"/>
          <w:lang w:val="es-ES_tradnl"/>
        </w:rPr>
        <w:t xml:space="preserve"> un desplome del precio del petróleo, para la referencia Brent</w:t>
      </w:r>
      <w:r>
        <w:rPr>
          <w:rFonts w:ascii="Bookman Old Style" w:hAnsi="Bookman Old Style" w:cs="Arial"/>
          <w:lang w:val="es-ES_tradnl"/>
        </w:rPr>
        <w:t>, que</w:t>
      </w:r>
      <w:r w:rsidRPr="002368BF">
        <w:rPr>
          <w:rFonts w:ascii="Bookman Old Style" w:hAnsi="Bookman Old Style" w:cs="Arial"/>
          <w:lang w:val="es-ES_tradnl"/>
        </w:rPr>
        <w:t xml:space="preserve"> entre el 6 y el 9 de marzo</w:t>
      </w:r>
      <w:r>
        <w:rPr>
          <w:rFonts w:ascii="Bookman Old Style" w:hAnsi="Bookman Old Style" w:cs="Arial"/>
          <w:lang w:val="es-ES_tradnl"/>
        </w:rPr>
        <w:t>,</w:t>
      </w:r>
      <w:r w:rsidRPr="002368BF">
        <w:rPr>
          <w:rFonts w:ascii="Bookman Old Style" w:hAnsi="Bookman Old Style" w:cs="Arial"/>
          <w:lang w:val="es-ES_tradnl"/>
        </w:rPr>
        <w:t xml:space="preserve"> presentó una caída del 24%, siendo la segunda caída más fuerte desde 1988</w:t>
      </w:r>
      <w:r>
        <w:rPr>
          <w:rFonts w:ascii="Bookman Old Style" w:hAnsi="Bookman Old Style" w:cs="Arial"/>
          <w:lang w:val="es-ES_tradnl"/>
        </w:rPr>
        <w:t>. E</w:t>
      </w:r>
      <w:r w:rsidRPr="002368BF">
        <w:rPr>
          <w:rFonts w:ascii="Bookman Old Style" w:hAnsi="Bookman Old Style" w:cs="Arial"/>
          <w:lang w:val="es-ES_tradnl"/>
        </w:rPr>
        <w:t>n los días siguientes, el precio ha presentado una constante disminución, llegando el 16 de marzo a $30,2 USD/Barril para la referencia Brent</w:t>
      </w:r>
      <w:r>
        <w:rPr>
          <w:rFonts w:ascii="Bookman Old Style" w:hAnsi="Bookman Old Style" w:cs="Arial"/>
          <w:lang w:val="es-ES_tradnl"/>
        </w:rPr>
        <w:t>,</w:t>
      </w:r>
      <w:r w:rsidRPr="002368BF">
        <w:rPr>
          <w:rFonts w:ascii="Bookman Old Style" w:hAnsi="Bookman Old Style" w:cs="Arial"/>
          <w:lang w:val="es-ES_tradnl"/>
        </w:rPr>
        <w:t xml:space="preserve"> y $28,8 USD/Barril para WTI. </w:t>
      </w:r>
    </w:p>
    <w:p w14:paraId="7C5883E5" w14:textId="6AC8E073" w:rsidR="003F3776" w:rsidRDefault="003F3776" w:rsidP="0062472D">
      <w:pPr>
        <w:ind w:left="0"/>
        <w:jc w:val="both"/>
        <w:rPr>
          <w:rFonts w:ascii="Bookman Old Style" w:hAnsi="Bookman Old Style" w:cs="Arial"/>
          <w:lang w:val="es-ES_tradnl"/>
        </w:rPr>
      </w:pPr>
    </w:p>
    <w:p w14:paraId="37578A26" w14:textId="45C50032" w:rsidR="003F3776" w:rsidRPr="002368BF" w:rsidRDefault="008D00C4" w:rsidP="0062472D">
      <w:pPr>
        <w:ind w:left="0"/>
        <w:jc w:val="both"/>
        <w:rPr>
          <w:rFonts w:ascii="Bookman Old Style" w:hAnsi="Bookman Old Style" w:cs="Arial"/>
          <w:lang w:val="es-ES_tradnl"/>
        </w:rPr>
      </w:pPr>
      <w:r w:rsidRPr="008D00C4">
        <w:rPr>
          <w:rFonts w:ascii="Bookman Old Style" w:hAnsi="Bookman Old Style" w:cs="Arial"/>
          <w:lang w:val="es-ES_tradnl"/>
        </w:rPr>
        <w:t>S</w:t>
      </w:r>
      <w:r w:rsidR="003F3776" w:rsidRPr="008D00C4">
        <w:rPr>
          <w:rFonts w:ascii="Bookman Old Style" w:hAnsi="Bookman Old Style" w:cs="Arial"/>
          <w:lang w:val="es-ES_tradnl"/>
        </w:rPr>
        <w:t>e pudo evidenciar con posterioridad que</w:t>
      </w:r>
      <w:r w:rsidRPr="008D00C4">
        <w:rPr>
          <w:rFonts w:ascii="Bookman Old Style" w:hAnsi="Bookman Old Style" w:cs="Arial"/>
          <w:lang w:val="es-ES_tradnl"/>
        </w:rPr>
        <w:t>, para el mes de a</w:t>
      </w:r>
      <w:r w:rsidR="003F3776" w:rsidRPr="008D00C4">
        <w:rPr>
          <w:rFonts w:ascii="Bookman Old Style" w:hAnsi="Bookman Old Style" w:cs="Arial"/>
          <w:lang w:val="es-ES_tradnl"/>
        </w:rPr>
        <w:t>bril</w:t>
      </w:r>
      <w:r w:rsidRPr="008D00C4">
        <w:rPr>
          <w:rFonts w:ascii="Bookman Old Style" w:hAnsi="Bookman Old Style" w:cs="Arial"/>
          <w:lang w:val="es-ES_tradnl"/>
        </w:rPr>
        <w:t>,</w:t>
      </w:r>
      <w:r w:rsidR="003F3776" w:rsidRPr="008D00C4">
        <w:rPr>
          <w:rFonts w:ascii="Bookman Old Style" w:hAnsi="Bookman Old Style" w:cs="Arial"/>
          <w:lang w:val="es-ES_tradnl"/>
        </w:rPr>
        <w:t xml:space="preserve"> </w:t>
      </w:r>
      <w:r w:rsidRPr="008D00C4">
        <w:rPr>
          <w:rFonts w:ascii="Bookman Old Style" w:hAnsi="Bookman Old Style" w:cs="Arial"/>
          <w:lang w:val="es-ES_tradnl"/>
        </w:rPr>
        <w:t xml:space="preserve">el </w:t>
      </w:r>
      <w:r w:rsidR="003F3776" w:rsidRPr="008D00C4">
        <w:rPr>
          <w:rFonts w:ascii="Bookman Old Style" w:hAnsi="Bookman Old Style" w:cs="Arial"/>
          <w:lang w:val="es-ES_tradnl"/>
        </w:rPr>
        <w:t xml:space="preserve">precio </w:t>
      </w:r>
      <w:r w:rsidRPr="008D00C4">
        <w:rPr>
          <w:rFonts w:ascii="Bookman Old Style" w:hAnsi="Bookman Old Style" w:cs="Arial"/>
          <w:lang w:val="es-ES_tradnl"/>
        </w:rPr>
        <w:t>del petróleo para la referencia Brent llegó</w:t>
      </w:r>
      <w:r w:rsidR="008C5A0B" w:rsidRPr="008D00C4">
        <w:rPr>
          <w:rFonts w:ascii="Bookman Old Style" w:hAnsi="Bookman Old Style" w:cs="Arial"/>
          <w:lang w:val="es-ES_tradnl"/>
        </w:rPr>
        <w:t xml:space="preserve"> a </w:t>
      </w:r>
      <w:r w:rsidRPr="008D00C4">
        <w:rPr>
          <w:rFonts w:ascii="Bookman Old Style" w:hAnsi="Bookman Old Style" w:cs="Arial"/>
          <w:lang w:val="es-ES_tradnl"/>
        </w:rPr>
        <w:t>valores negativos y</w:t>
      </w:r>
      <w:r w:rsidR="00E43926">
        <w:rPr>
          <w:rFonts w:ascii="Bookman Old Style" w:hAnsi="Bookman Old Style" w:cs="Arial"/>
          <w:lang w:val="es-ES_tradnl"/>
        </w:rPr>
        <w:t>,</w:t>
      </w:r>
      <w:r w:rsidRPr="008D00C4">
        <w:rPr>
          <w:rFonts w:ascii="Bookman Old Style" w:hAnsi="Bookman Old Style" w:cs="Arial"/>
          <w:lang w:val="es-ES_tradnl"/>
        </w:rPr>
        <w:t xml:space="preserve"> en el caso del WTI</w:t>
      </w:r>
      <w:r w:rsidR="00E43926">
        <w:rPr>
          <w:rFonts w:ascii="Bookman Old Style" w:hAnsi="Bookman Old Style" w:cs="Arial"/>
          <w:lang w:val="es-ES_tradnl"/>
        </w:rPr>
        <w:t>,</w:t>
      </w:r>
      <w:r w:rsidRPr="008D00C4">
        <w:rPr>
          <w:rFonts w:ascii="Bookman Old Style" w:hAnsi="Bookman Old Style" w:cs="Arial"/>
          <w:lang w:val="es-ES_tradnl"/>
        </w:rPr>
        <w:t xml:space="preserve">  se presentaron</w:t>
      </w:r>
      <w:r w:rsidR="008C5A0B" w:rsidRPr="008D00C4">
        <w:rPr>
          <w:rFonts w:ascii="Bookman Old Style" w:hAnsi="Bookman Old Style" w:cs="Arial"/>
          <w:lang w:val="es-ES_tradnl"/>
        </w:rPr>
        <w:t xml:space="preserve"> caídas </w:t>
      </w:r>
      <w:r w:rsidR="00E244B8" w:rsidRPr="008D00C4">
        <w:rPr>
          <w:rFonts w:ascii="Bookman Old Style" w:hAnsi="Bookman Old Style" w:cs="Arial"/>
          <w:lang w:val="es-ES_tradnl"/>
        </w:rPr>
        <w:t xml:space="preserve">aún mayores </w:t>
      </w:r>
      <w:r w:rsidRPr="008D00C4">
        <w:rPr>
          <w:rFonts w:ascii="Bookman Old Style" w:hAnsi="Bookman Old Style" w:cs="Arial"/>
          <w:lang w:val="es-ES_tradnl"/>
        </w:rPr>
        <w:t>a</w:t>
      </w:r>
      <w:r w:rsidR="00E244B8" w:rsidRPr="008D00C4">
        <w:rPr>
          <w:rFonts w:ascii="Bookman Old Style" w:hAnsi="Bookman Old Style" w:cs="Arial"/>
          <w:lang w:val="es-ES_tradnl"/>
        </w:rPr>
        <w:t xml:space="preserve"> las </w:t>
      </w:r>
      <w:r w:rsidRPr="008D00C4">
        <w:rPr>
          <w:rFonts w:ascii="Bookman Old Style" w:hAnsi="Bookman Old Style" w:cs="Arial"/>
          <w:lang w:val="es-ES_tradnl"/>
        </w:rPr>
        <w:t>observadas durante</w:t>
      </w:r>
      <w:r w:rsidR="00E244B8" w:rsidRPr="008D00C4">
        <w:rPr>
          <w:rFonts w:ascii="Bookman Old Style" w:hAnsi="Bookman Old Style" w:cs="Arial"/>
          <w:lang w:val="es-ES_tradnl"/>
        </w:rPr>
        <w:t xml:space="preserve"> el mes de marzo de 2020.</w:t>
      </w:r>
    </w:p>
    <w:p w14:paraId="09E93FF4" w14:textId="77777777" w:rsidR="0062472D" w:rsidRPr="002368BF" w:rsidRDefault="0062472D" w:rsidP="0062472D">
      <w:pPr>
        <w:ind w:left="0"/>
        <w:jc w:val="both"/>
        <w:rPr>
          <w:rFonts w:ascii="Bookman Old Style" w:hAnsi="Bookman Old Style" w:cs="Arial"/>
          <w:lang w:val="es-ES_tradnl"/>
        </w:rPr>
      </w:pPr>
    </w:p>
    <w:p w14:paraId="54473A72" w14:textId="77777777" w:rsidR="0062472D" w:rsidRPr="002368BF" w:rsidRDefault="0062472D" w:rsidP="0062472D">
      <w:pPr>
        <w:ind w:left="0"/>
        <w:jc w:val="both"/>
        <w:rPr>
          <w:rFonts w:ascii="Bookman Old Style" w:hAnsi="Bookman Old Style" w:cs="Arial"/>
          <w:lang w:val="es-ES_tradnl"/>
        </w:rPr>
      </w:pPr>
      <w:r>
        <w:rPr>
          <w:rFonts w:ascii="Bookman Old Style" w:hAnsi="Bookman Old Style" w:cs="Arial"/>
          <w:lang w:val="es-ES_tradnl"/>
        </w:rPr>
        <w:t>Antes de la caída en</w:t>
      </w:r>
      <w:r w:rsidRPr="002368BF">
        <w:rPr>
          <w:rFonts w:ascii="Bookman Old Style" w:hAnsi="Bookman Old Style" w:cs="Arial"/>
          <w:lang w:val="es-ES_tradnl"/>
        </w:rPr>
        <w:t xml:space="preserve"> el precio </w:t>
      </w:r>
      <w:r>
        <w:rPr>
          <w:rFonts w:ascii="Bookman Old Style" w:hAnsi="Bookman Old Style" w:cs="Arial"/>
          <w:lang w:val="es-ES_tradnl"/>
        </w:rPr>
        <w:t>i</w:t>
      </w:r>
      <w:r w:rsidRPr="002368BF">
        <w:rPr>
          <w:rFonts w:ascii="Bookman Old Style" w:hAnsi="Bookman Old Style" w:cs="Arial"/>
          <w:lang w:val="es-ES_tradnl"/>
        </w:rPr>
        <w:t>nternacional del petróleo</w:t>
      </w:r>
      <w:r>
        <w:rPr>
          <w:rFonts w:ascii="Bookman Old Style" w:hAnsi="Bookman Old Style" w:cs="Arial"/>
          <w:lang w:val="es-ES_tradnl"/>
        </w:rPr>
        <w:t xml:space="preserve">, </w:t>
      </w:r>
      <w:r w:rsidRPr="002368BF">
        <w:rPr>
          <w:rFonts w:ascii="Bookman Old Style" w:hAnsi="Bookman Old Style" w:cs="Arial"/>
          <w:lang w:val="es-ES_tradnl"/>
        </w:rPr>
        <w:t>las principales agencias especializadas y el mercado preveían que el precio del petróleo se ubicaría en niveles similares a los observados en 2019. Es el caso de la Agencia de Energía de Estados Unidos, que proyectaba que el Brent se ubicaría en niveles promedio de $64 USD/Barril en 2020. Consistente con estas previsiones</w:t>
      </w:r>
      <w:r>
        <w:rPr>
          <w:rFonts w:ascii="Bookman Old Style" w:hAnsi="Bookman Old Style" w:cs="Arial"/>
          <w:lang w:val="es-ES_tradnl"/>
        </w:rPr>
        <w:t>,</w:t>
      </w:r>
      <w:r w:rsidRPr="002368BF">
        <w:rPr>
          <w:rFonts w:ascii="Bookman Old Style" w:hAnsi="Bookman Old Style" w:cs="Arial"/>
          <w:lang w:val="es-ES_tradnl"/>
        </w:rPr>
        <w:t xml:space="preserve"> el presupuesto general de la Nación aprobado por el Congreso de la República para el año 2020</w:t>
      </w:r>
      <w:r>
        <w:rPr>
          <w:rFonts w:ascii="Bookman Old Style" w:hAnsi="Bookman Old Style" w:cs="Arial"/>
          <w:lang w:val="es-ES_tradnl"/>
        </w:rPr>
        <w:t>,</w:t>
      </w:r>
      <w:r w:rsidRPr="002368BF">
        <w:rPr>
          <w:rFonts w:ascii="Bookman Old Style" w:hAnsi="Bookman Old Style" w:cs="Arial"/>
          <w:lang w:val="es-ES_tradnl"/>
        </w:rPr>
        <w:t xml:space="preserve"> se basó en un precio promedio Brent de $60,5 US</w:t>
      </w:r>
      <w:r>
        <w:rPr>
          <w:rFonts w:ascii="Bookman Old Style" w:hAnsi="Bookman Old Style" w:cs="Arial"/>
          <w:lang w:val="es-ES_tradnl"/>
        </w:rPr>
        <w:t>D</w:t>
      </w:r>
      <w:r w:rsidRPr="002368BF">
        <w:rPr>
          <w:rFonts w:ascii="Bookman Old Style" w:hAnsi="Bookman Old Style" w:cs="Arial"/>
          <w:lang w:val="es-ES_tradnl"/>
        </w:rPr>
        <w:t>/Barril.</w:t>
      </w:r>
    </w:p>
    <w:p w14:paraId="4B9A1A34" w14:textId="77777777" w:rsidR="0062472D" w:rsidRDefault="0062472D" w:rsidP="0062472D">
      <w:pPr>
        <w:ind w:left="0"/>
        <w:contextualSpacing/>
        <w:jc w:val="both"/>
        <w:rPr>
          <w:rFonts w:ascii="Bookman Old Style" w:hAnsi="Bookman Old Style"/>
        </w:rPr>
      </w:pPr>
    </w:p>
    <w:p w14:paraId="71EC2138" w14:textId="11A178FC" w:rsidR="0062472D" w:rsidRDefault="0062472D" w:rsidP="0062472D">
      <w:pPr>
        <w:ind w:left="0"/>
        <w:contextualSpacing/>
        <w:jc w:val="both"/>
        <w:rPr>
          <w:rFonts w:ascii="Bookman Old Style" w:hAnsi="Bookman Old Style"/>
        </w:rPr>
      </w:pPr>
      <w:r>
        <w:rPr>
          <w:rFonts w:ascii="Bookman Old Style" w:hAnsi="Bookman Old Style"/>
        </w:rPr>
        <w:t xml:space="preserve">Así, la </w:t>
      </w:r>
      <w:r w:rsidRPr="00031913">
        <w:rPr>
          <w:rFonts w:ascii="Bookman Old Style" w:hAnsi="Bookman Old Style"/>
        </w:rPr>
        <w:t xml:space="preserve">coyuntura de los precios internacionales del crudo y de sus derivados </w:t>
      </w:r>
      <w:r>
        <w:rPr>
          <w:rFonts w:ascii="Bookman Old Style" w:hAnsi="Bookman Old Style"/>
        </w:rPr>
        <w:t>y, por ende, la disminución de los</w:t>
      </w:r>
      <w:r w:rsidRPr="00031913">
        <w:rPr>
          <w:rFonts w:ascii="Bookman Old Style" w:hAnsi="Bookman Old Style"/>
        </w:rPr>
        <w:t xml:space="preserve"> precios del GLP</w:t>
      </w:r>
      <w:r>
        <w:rPr>
          <w:rFonts w:ascii="Bookman Old Style" w:hAnsi="Bookman Old Style"/>
        </w:rPr>
        <w:t>,</w:t>
      </w:r>
      <w:r w:rsidRPr="00031913">
        <w:rPr>
          <w:rFonts w:ascii="Bookman Old Style" w:hAnsi="Bookman Old Style"/>
        </w:rPr>
        <w:t xml:space="preserve"> </w:t>
      </w:r>
      <w:r>
        <w:rPr>
          <w:rFonts w:ascii="Bookman Old Style" w:hAnsi="Bookman Old Style"/>
        </w:rPr>
        <w:t xml:space="preserve">corresponden a hechos económicos que, a juicio de </w:t>
      </w:r>
      <w:r w:rsidR="00E244B8">
        <w:rPr>
          <w:rFonts w:ascii="Bookman Old Style" w:hAnsi="Bookman Old Style"/>
        </w:rPr>
        <w:t>la</w:t>
      </w:r>
      <w:r>
        <w:rPr>
          <w:rFonts w:ascii="Bookman Old Style" w:hAnsi="Bookman Old Style"/>
        </w:rPr>
        <w:t xml:space="preserve"> Comisión, no se enmarcan en las causales establecidas en el artículo 126 de la Ley 142 de 1994, disposición legal que permite ajustar de manera excepcional las fórmulas tarifarias dentro de cada período tarifario</w:t>
      </w:r>
      <w:r>
        <w:rPr>
          <w:rStyle w:val="Refdenotaalpie"/>
          <w:rFonts w:ascii="Bookman Old Style" w:hAnsi="Bookman Old Style"/>
        </w:rPr>
        <w:footnoteReference w:id="11"/>
      </w:r>
      <w:r>
        <w:rPr>
          <w:rFonts w:ascii="Bookman Old Style" w:hAnsi="Bookman Old Style"/>
        </w:rPr>
        <w:t>.</w:t>
      </w:r>
    </w:p>
    <w:p w14:paraId="0AC34381" w14:textId="77777777" w:rsidR="0062472D" w:rsidRDefault="0062472D" w:rsidP="0062472D">
      <w:pPr>
        <w:ind w:left="0"/>
        <w:contextualSpacing/>
        <w:jc w:val="both"/>
        <w:rPr>
          <w:rFonts w:ascii="Bookman Old Style" w:hAnsi="Bookman Old Style"/>
        </w:rPr>
      </w:pPr>
    </w:p>
    <w:p w14:paraId="30394402" w14:textId="77777777" w:rsidR="00E43926" w:rsidRDefault="00965415" w:rsidP="0062472D">
      <w:pPr>
        <w:ind w:left="0"/>
        <w:contextualSpacing/>
        <w:jc w:val="both"/>
        <w:rPr>
          <w:rFonts w:ascii="Bookman Old Style" w:hAnsi="Bookman Old Style"/>
        </w:rPr>
      </w:pPr>
      <w:r>
        <w:rPr>
          <w:rFonts w:ascii="Bookman Old Style" w:hAnsi="Bookman Old Style"/>
        </w:rPr>
        <w:t xml:space="preserve">En este sentido, la Comisión encontró que las herramientas regulatorias que permiten modificar las fórmulas tarifarias, así como </w:t>
      </w:r>
      <w:r w:rsidR="000A08C0">
        <w:rPr>
          <w:rFonts w:ascii="Bookman Old Style" w:hAnsi="Bookman Old Style"/>
        </w:rPr>
        <w:t xml:space="preserve">ajustar las </w:t>
      </w:r>
      <w:r>
        <w:rPr>
          <w:rFonts w:ascii="Bookman Old Style" w:hAnsi="Bookman Old Style"/>
        </w:rPr>
        <w:t>señales de precio</w:t>
      </w:r>
      <w:r w:rsidR="00836236">
        <w:rPr>
          <w:rFonts w:ascii="Bookman Old Style" w:hAnsi="Bookman Old Style"/>
        </w:rPr>
        <w:t xml:space="preserve"> y la referencia del costo de oportunidad</w:t>
      </w:r>
      <w:r w:rsidR="007A03FC">
        <w:rPr>
          <w:rFonts w:ascii="Bookman Old Style" w:hAnsi="Bookman Old Style"/>
        </w:rPr>
        <w:t>,</w:t>
      </w:r>
      <w:r w:rsidR="00836236">
        <w:rPr>
          <w:rFonts w:ascii="Bookman Old Style" w:hAnsi="Bookman Old Style"/>
        </w:rPr>
        <w:t xml:space="preserve"> como parte del balance oferta – demanda</w:t>
      </w:r>
      <w:r w:rsidR="007A03FC">
        <w:rPr>
          <w:rFonts w:ascii="Bookman Old Style" w:hAnsi="Bookman Old Style"/>
        </w:rPr>
        <w:t>,</w:t>
      </w:r>
      <w:r w:rsidR="00836236">
        <w:rPr>
          <w:rFonts w:ascii="Bookman Old Style" w:hAnsi="Bookman Old Style"/>
        </w:rPr>
        <w:t xml:space="preserve"> no eran aplicables en el presente caso. </w:t>
      </w:r>
    </w:p>
    <w:p w14:paraId="42B4DE7A" w14:textId="77777777" w:rsidR="00E43926" w:rsidRDefault="00E43926" w:rsidP="0062472D">
      <w:pPr>
        <w:ind w:left="0"/>
        <w:contextualSpacing/>
        <w:jc w:val="both"/>
        <w:rPr>
          <w:rFonts w:ascii="Bookman Old Style" w:hAnsi="Bookman Old Style"/>
        </w:rPr>
      </w:pPr>
    </w:p>
    <w:p w14:paraId="38013BBF" w14:textId="1FF2DA7E" w:rsidR="00965415" w:rsidRDefault="00836236" w:rsidP="0062472D">
      <w:pPr>
        <w:ind w:left="0"/>
        <w:contextualSpacing/>
        <w:jc w:val="both"/>
        <w:rPr>
          <w:rFonts w:ascii="Bookman Old Style" w:hAnsi="Bookman Old Style"/>
        </w:rPr>
      </w:pPr>
      <w:r>
        <w:rPr>
          <w:rFonts w:ascii="Bookman Old Style" w:hAnsi="Bookman Old Style"/>
        </w:rPr>
        <w:t>Sin emba</w:t>
      </w:r>
      <w:r w:rsidR="007A03FC">
        <w:rPr>
          <w:rFonts w:ascii="Bookman Old Style" w:hAnsi="Bookman Old Style"/>
        </w:rPr>
        <w:t>rgo, era necesario establecer có</w:t>
      </w:r>
      <w:r>
        <w:rPr>
          <w:rFonts w:ascii="Bookman Old Style" w:hAnsi="Bookman Old Style"/>
        </w:rPr>
        <w:t xml:space="preserve">mo </w:t>
      </w:r>
      <w:r w:rsidR="007A03FC">
        <w:rPr>
          <w:rFonts w:ascii="Bookman Old Style" w:hAnsi="Bookman Old Style"/>
        </w:rPr>
        <w:t>esos hechos</w:t>
      </w:r>
      <w:r>
        <w:rPr>
          <w:rFonts w:ascii="Bookman Old Style" w:hAnsi="Bookman Old Style"/>
        </w:rPr>
        <w:t xml:space="preserve"> económicos podían afectar la continuidad en el suministro de GLP para el servicio público domiciliario</w:t>
      </w:r>
      <w:r w:rsidR="009E7E28">
        <w:rPr>
          <w:rFonts w:ascii="Bookman Old Style" w:hAnsi="Bookman Old Style"/>
        </w:rPr>
        <w:t xml:space="preserve">, para lo cual se debía </w:t>
      </w:r>
      <w:r w:rsidR="00F47EF8">
        <w:rPr>
          <w:rFonts w:ascii="Bookman Old Style" w:hAnsi="Bookman Old Style"/>
        </w:rPr>
        <w:t xml:space="preserve">analizar </w:t>
      </w:r>
      <w:r w:rsidR="009E7E28">
        <w:rPr>
          <w:rFonts w:ascii="Bookman Old Style" w:hAnsi="Bookman Old Style"/>
        </w:rPr>
        <w:t xml:space="preserve">la posición de Ecopetrol dentro </w:t>
      </w:r>
      <w:r w:rsidR="00F47EF8">
        <w:rPr>
          <w:rFonts w:ascii="Bookman Old Style" w:hAnsi="Bookman Old Style"/>
        </w:rPr>
        <w:t>d</w:t>
      </w:r>
      <w:r w:rsidR="009E7E28">
        <w:rPr>
          <w:rFonts w:ascii="Bookman Old Style" w:hAnsi="Bookman Old Style"/>
        </w:rPr>
        <w:t>e la oferta</w:t>
      </w:r>
      <w:r w:rsidR="00F47EF8">
        <w:rPr>
          <w:rFonts w:ascii="Bookman Old Style" w:hAnsi="Bookman Old Style"/>
        </w:rPr>
        <w:t xml:space="preserve"> de GLP</w:t>
      </w:r>
      <w:r w:rsidR="009E7E28">
        <w:rPr>
          <w:rFonts w:ascii="Bookman Old Style" w:hAnsi="Bookman Old Style"/>
        </w:rPr>
        <w:t xml:space="preserve"> y la posibilidad de acudir a otros instrumentos qu</w:t>
      </w:r>
      <w:r w:rsidR="007A03FC">
        <w:rPr>
          <w:rFonts w:ascii="Bookman Old Style" w:hAnsi="Bookman Old Style"/>
        </w:rPr>
        <w:t>e pudieran suplir dicha oferta.</w:t>
      </w:r>
      <w:r>
        <w:rPr>
          <w:rFonts w:ascii="Bookman Old Style" w:hAnsi="Bookman Old Style"/>
        </w:rPr>
        <w:t xml:space="preserve"> </w:t>
      </w:r>
    </w:p>
    <w:p w14:paraId="08384405" w14:textId="77777777" w:rsidR="00965415" w:rsidRDefault="00965415" w:rsidP="0062472D">
      <w:pPr>
        <w:ind w:left="0"/>
        <w:contextualSpacing/>
        <w:jc w:val="both"/>
        <w:rPr>
          <w:rFonts w:ascii="Bookman Old Style" w:hAnsi="Bookman Old Style"/>
        </w:rPr>
      </w:pPr>
    </w:p>
    <w:p w14:paraId="00015D8C" w14:textId="2FC7CBD5" w:rsidR="0062472D" w:rsidRPr="00251DF1" w:rsidRDefault="00F47EF8" w:rsidP="0062472D">
      <w:pPr>
        <w:ind w:left="0"/>
        <w:contextualSpacing/>
        <w:jc w:val="both"/>
        <w:rPr>
          <w:rFonts w:ascii="Bookman Old Style" w:hAnsi="Bookman Old Style"/>
        </w:rPr>
      </w:pPr>
      <w:r>
        <w:rPr>
          <w:rFonts w:ascii="Bookman Old Style" w:hAnsi="Bookman Old Style"/>
        </w:rPr>
        <w:t xml:space="preserve">En relación con esto, la Comisión </w:t>
      </w:r>
      <w:r w:rsidR="00DC56AC">
        <w:rPr>
          <w:rFonts w:ascii="Bookman Old Style" w:hAnsi="Bookman Old Style"/>
        </w:rPr>
        <w:t>llevó a cabo un análisis de</w:t>
      </w:r>
      <w:r w:rsidR="0062472D">
        <w:rPr>
          <w:rFonts w:ascii="Bookman Old Style" w:hAnsi="Bookman Old Style"/>
        </w:rPr>
        <w:t xml:space="preserve"> la situación de oferta de GLP de producción nacional, </w:t>
      </w:r>
      <w:r w:rsidR="00DC56AC">
        <w:rPr>
          <w:rFonts w:ascii="Bookman Old Style" w:hAnsi="Bookman Old Style"/>
        </w:rPr>
        <w:t>donde</w:t>
      </w:r>
      <w:r w:rsidR="00E43926">
        <w:rPr>
          <w:rFonts w:ascii="Bookman Old Style" w:hAnsi="Bookman Old Style"/>
        </w:rPr>
        <w:t>,</w:t>
      </w:r>
      <w:r w:rsidR="0062472D">
        <w:rPr>
          <w:rFonts w:ascii="Bookman Old Style" w:hAnsi="Bookman Old Style"/>
        </w:rPr>
        <w:t xml:space="preserve"> a partir de las declaraciones </w:t>
      </w:r>
      <w:r w:rsidR="0062472D" w:rsidRPr="00DE2EF7">
        <w:rPr>
          <w:rFonts w:ascii="Bookman Old Style" w:hAnsi="Bookman Old Style"/>
        </w:rPr>
        <w:t xml:space="preserve">de producción que se </w:t>
      </w:r>
      <w:r w:rsidR="00DC56AC">
        <w:rPr>
          <w:rFonts w:ascii="Bookman Old Style" w:hAnsi="Bookman Old Style"/>
        </w:rPr>
        <w:t>encontraban</w:t>
      </w:r>
      <w:r w:rsidR="0062472D" w:rsidRPr="00DE2EF7">
        <w:rPr>
          <w:rFonts w:ascii="Bookman Old Style" w:hAnsi="Bookman Old Style"/>
        </w:rPr>
        <w:t xml:space="preserve"> publicadas por el M</w:t>
      </w:r>
      <w:r w:rsidR="0062472D" w:rsidRPr="00502829">
        <w:rPr>
          <w:rFonts w:ascii="Bookman Old Style" w:hAnsi="Bookman Old Style"/>
        </w:rPr>
        <w:t xml:space="preserve">inisterio de </w:t>
      </w:r>
      <w:r w:rsidR="0062472D" w:rsidRPr="00DE2EF7">
        <w:rPr>
          <w:rFonts w:ascii="Bookman Old Style" w:hAnsi="Bookman Old Style"/>
        </w:rPr>
        <w:t>M</w:t>
      </w:r>
      <w:r w:rsidR="0062472D" w:rsidRPr="00502829">
        <w:rPr>
          <w:rFonts w:ascii="Bookman Old Style" w:hAnsi="Bookman Old Style"/>
        </w:rPr>
        <w:t xml:space="preserve">inas y </w:t>
      </w:r>
      <w:r w:rsidR="0062472D" w:rsidRPr="00DE2EF7">
        <w:rPr>
          <w:rFonts w:ascii="Bookman Old Style" w:hAnsi="Bookman Old Style"/>
        </w:rPr>
        <w:t>E</w:t>
      </w:r>
      <w:r w:rsidR="0062472D" w:rsidRPr="00502829">
        <w:rPr>
          <w:rFonts w:ascii="Bookman Old Style" w:hAnsi="Bookman Old Style"/>
        </w:rPr>
        <w:t>nergía</w:t>
      </w:r>
      <w:r w:rsidR="0062472D" w:rsidRPr="00DE2EF7">
        <w:rPr>
          <w:rFonts w:ascii="Bookman Old Style" w:hAnsi="Bookman Old Style"/>
        </w:rPr>
        <w:t>,</w:t>
      </w:r>
      <w:r w:rsidR="0062472D" w:rsidRPr="00502829">
        <w:rPr>
          <w:rFonts w:ascii="Bookman Old Style" w:hAnsi="Bookman Old Style"/>
        </w:rPr>
        <w:t xml:space="preserve"> </w:t>
      </w:r>
      <w:r w:rsidR="00FE35D1">
        <w:rPr>
          <w:rFonts w:ascii="Bookman Old Style" w:hAnsi="Bookman Old Style"/>
        </w:rPr>
        <w:t xml:space="preserve">se evidenció que </w:t>
      </w:r>
      <w:r w:rsidR="0062472D" w:rsidRPr="00DE2EF7">
        <w:rPr>
          <w:rFonts w:ascii="Bookman Old Style" w:hAnsi="Bookman Old Style" w:cs="Arial"/>
          <w:lang w:val="es-ES_tradnl"/>
        </w:rPr>
        <w:t xml:space="preserve">Ecopetrol </w:t>
      </w:r>
      <w:r w:rsidR="00FE35D1">
        <w:rPr>
          <w:rFonts w:ascii="Bookman Old Style" w:hAnsi="Bookman Old Style" w:cs="Arial"/>
          <w:lang w:val="es-ES_tradnl"/>
        </w:rPr>
        <w:t>cuenta con</w:t>
      </w:r>
      <w:r w:rsidR="0062472D" w:rsidRPr="006C63ED">
        <w:rPr>
          <w:rFonts w:ascii="Bookman Old Style" w:hAnsi="Bookman Old Style" w:cs="Arial"/>
          <w:lang w:val="es-ES_tradnl"/>
        </w:rPr>
        <w:t xml:space="preserve"> una </w:t>
      </w:r>
      <w:r w:rsidR="0062472D" w:rsidRPr="00831E27">
        <w:rPr>
          <w:rFonts w:ascii="Bookman Old Style" w:hAnsi="Bookman Old Style" w:cs="Arial"/>
          <w:lang w:val="es-ES_tradnl"/>
        </w:rPr>
        <w:t xml:space="preserve">posición </w:t>
      </w:r>
      <w:r w:rsidR="0062472D">
        <w:rPr>
          <w:rFonts w:ascii="Bookman Old Style" w:hAnsi="Bookman Old Style" w:cs="Arial"/>
          <w:lang w:val="es-ES_tradnl"/>
        </w:rPr>
        <w:t xml:space="preserve">dominante </w:t>
      </w:r>
      <w:r w:rsidR="0062472D" w:rsidRPr="00831E27">
        <w:rPr>
          <w:rFonts w:ascii="Bookman Old Style" w:hAnsi="Bookman Old Style" w:cs="Arial"/>
          <w:lang w:val="es-ES_tradnl"/>
        </w:rPr>
        <w:t xml:space="preserve">como productor de GLP nacional en el mercado de la comercialización mayorista: al </w:t>
      </w:r>
      <w:r w:rsidR="0062472D">
        <w:rPr>
          <w:rFonts w:ascii="Bookman Old Style" w:hAnsi="Bookman Old Style" w:cs="Arial"/>
          <w:lang w:val="es-ES_tradnl"/>
        </w:rPr>
        <w:t>tener en cuenta</w:t>
      </w:r>
      <w:r w:rsidR="0062472D" w:rsidRPr="00831E27">
        <w:rPr>
          <w:rFonts w:ascii="Bookman Old Style" w:hAnsi="Bookman Old Style" w:cs="Arial"/>
          <w:lang w:val="es-ES_tradnl"/>
        </w:rPr>
        <w:t xml:space="preserve"> las fuentes que hoy en día comercializa</w:t>
      </w:r>
      <w:r w:rsidR="007A03FC">
        <w:rPr>
          <w:rFonts w:ascii="Bookman Old Style" w:hAnsi="Bookman Old Style" w:cs="Arial"/>
          <w:lang w:val="es-ES_tradnl"/>
        </w:rPr>
        <w:t xml:space="preserve"> Ecopetrol</w:t>
      </w:r>
      <w:r w:rsidR="0062472D" w:rsidRPr="00831E27">
        <w:rPr>
          <w:rFonts w:ascii="Bookman Old Style" w:hAnsi="Bookman Old Style" w:cs="Arial"/>
          <w:lang w:val="es-ES_tradnl"/>
        </w:rPr>
        <w:t xml:space="preserve">, </w:t>
      </w:r>
      <w:r w:rsidR="0062472D">
        <w:rPr>
          <w:rFonts w:ascii="Bookman Old Style" w:hAnsi="Bookman Old Style" w:cs="Arial"/>
          <w:lang w:val="es-ES_tradnl"/>
        </w:rPr>
        <w:t>su</w:t>
      </w:r>
      <w:r w:rsidR="0062472D" w:rsidRPr="00831E27">
        <w:rPr>
          <w:rFonts w:ascii="Bookman Old Style" w:hAnsi="Bookman Old Style" w:cs="Arial"/>
          <w:lang w:val="es-ES_tradnl"/>
        </w:rPr>
        <w:t xml:space="preserve"> participación se mantendría en niveles cercanos al 90%</w:t>
      </w:r>
      <w:r w:rsidR="0062472D" w:rsidRPr="00DE2EF7">
        <w:rPr>
          <w:rFonts w:ascii="Bookman Old Style" w:hAnsi="Bookman Old Style" w:cs="Arial"/>
          <w:lang w:val="es-ES_tradnl"/>
        </w:rPr>
        <w:t xml:space="preserve"> de la </w:t>
      </w:r>
      <w:r w:rsidR="0062472D" w:rsidRPr="006C63ED">
        <w:rPr>
          <w:rFonts w:ascii="Bookman Old Style" w:hAnsi="Bookman Old Style" w:cs="Arial"/>
          <w:lang w:val="es-ES_tradnl"/>
        </w:rPr>
        <w:t>Producción Potencial</w:t>
      </w:r>
      <w:r w:rsidR="0062472D">
        <w:rPr>
          <w:rStyle w:val="Refdenotaalpie"/>
          <w:rFonts w:ascii="Bookman Old Style" w:hAnsi="Bookman Old Style" w:cs="Arial"/>
          <w:lang w:val="es-ES_tradnl"/>
        </w:rPr>
        <w:footnoteReference w:id="12"/>
      </w:r>
      <w:r w:rsidR="0062472D" w:rsidRPr="00DE2EF7">
        <w:rPr>
          <w:rFonts w:ascii="Bookman Old Style" w:hAnsi="Bookman Old Style" w:cs="Arial"/>
          <w:lang w:val="es-ES_tradnl"/>
        </w:rPr>
        <w:t xml:space="preserve"> y alrededor del 85% de la P</w:t>
      </w:r>
      <w:r w:rsidR="0062472D" w:rsidRPr="006C63ED">
        <w:rPr>
          <w:rFonts w:ascii="Bookman Old Style" w:hAnsi="Bookman Old Style" w:cs="Arial"/>
          <w:lang w:val="es-ES_tradnl"/>
        </w:rPr>
        <w:t xml:space="preserve">roducción </w:t>
      </w:r>
      <w:r w:rsidR="0062472D" w:rsidRPr="00DE2EF7">
        <w:rPr>
          <w:rFonts w:ascii="Bookman Old Style" w:hAnsi="Bookman Old Style" w:cs="Arial"/>
          <w:lang w:val="es-ES_tradnl"/>
        </w:rPr>
        <w:t>T</w:t>
      </w:r>
      <w:r w:rsidR="0062472D" w:rsidRPr="006C63ED">
        <w:rPr>
          <w:rFonts w:ascii="Bookman Old Style" w:hAnsi="Bookman Old Style" w:cs="Arial"/>
          <w:lang w:val="es-ES_tradnl"/>
        </w:rPr>
        <w:t xml:space="preserve">otal </w:t>
      </w:r>
      <w:r w:rsidR="0062472D" w:rsidRPr="00DE2EF7">
        <w:rPr>
          <w:rFonts w:ascii="Bookman Old Style" w:hAnsi="Bookman Old Style" w:cs="Arial"/>
          <w:lang w:val="es-ES_tradnl"/>
        </w:rPr>
        <w:t>D</w:t>
      </w:r>
      <w:r w:rsidR="0062472D" w:rsidRPr="006C63ED">
        <w:rPr>
          <w:rFonts w:ascii="Bookman Old Style" w:hAnsi="Bookman Old Style" w:cs="Arial"/>
          <w:lang w:val="es-ES_tradnl"/>
        </w:rPr>
        <w:t xml:space="preserve">isponible para la </w:t>
      </w:r>
      <w:r w:rsidR="0062472D" w:rsidRPr="00DE2EF7">
        <w:rPr>
          <w:rFonts w:ascii="Bookman Old Style" w:hAnsi="Bookman Old Style" w:cs="Arial"/>
          <w:lang w:val="es-ES_tradnl"/>
        </w:rPr>
        <w:t>V</w:t>
      </w:r>
      <w:r w:rsidR="0062472D" w:rsidRPr="006C63ED">
        <w:rPr>
          <w:rFonts w:ascii="Bookman Old Style" w:hAnsi="Bookman Old Style" w:cs="Arial"/>
          <w:lang w:val="es-ES_tradnl"/>
        </w:rPr>
        <w:t>enta</w:t>
      </w:r>
      <w:r w:rsidR="0062472D">
        <w:rPr>
          <w:rStyle w:val="Refdenotaalpie"/>
          <w:rFonts w:ascii="Bookman Old Style" w:hAnsi="Bookman Old Style" w:cs="Arial"/>
          <w:lang w:val="es-ES_tradnl"/>
        </w:rPr>
        <w:footnoteReference w:id="13"/>
      </w:r>
      <w:r w:rsidR="0062472D" w:rsidRPr="00DE2EF7">
        <w:rPr>
          <w:rFonts w:ascii="Bookman Old Style" w:hAnsi="Bookman Old Style" w:cs="Arial"/>
          <w:lang w:val="es-ES_tradnl"/>
        </w:rPr>
        <w:t>.</w:t>
      </w:r>
    </w:p>
    <w:p w14:paraId="4F6E6161" w14:textId="77777777" w:rsidR="0062472D" w:rsidRDefault="0062472D" w:rsidP="0062472D">
      <w:pPr>
        <w:ind w:left="0"/>
        <w:contextualSpacing/>
        <w:jc w:val="both"/>
        <w:rPr>
          <w:rFonts w:ascii="Bookman Old Style" w:hAnsi="Bookman Old Style"/>
        </w:rPr>
      </w:pPr>
    </w:p>
    <w:p w14:paraId="589AB5CF" w14:textId="1EE3783B" w:rsidR="0062472D" w:rsidRPr="00B825F3" w:rsidRDefault="0062472D" w:rsidP="0062472D">
      <w:pPr>
        <w:ind w:left="0"/>
        <w:contextualSpacing/>
        <w:jc w:val="both"/>
        <w:rPr>
          <w:rFonts w:ascii="Bookman Old Style" w:hAnsi="Bookman Old Style"/>
        </w:rPr>
      </w:pPr>
      <w:r>
        <w:rPr>
          <w:rFonts w:ascii="Bookman Old Style" w:hAnsi="Bookman Old Style"/>
        </w:rPr>
        <w:t xml:space="preserve">En relación con esto, </w:t>
      </w:r>
      <w:r w:rsidR="00FE35D1">
        <w:rPr>
          <w:rFonts w:ascii="Bookman Old Style" w:hAnsi="Bookman Old Style"/>
        </w:rPr>
        <w:t xml:space="preserve">en </w:t>
      </w:r>
      <w:r w:rsidRPr="00502829">
        <w:rPr>
          <w:rFonts w:ascii="Bookman Old Style" w:hAnsi="Bookman Old Style"/>
        </w:rPr>
        <w:t xml:space="preserve">la gráfica que </w:t>
      </w:r>
      <w:r w:rsidRPr="00DE2EF7">
        <w:rPr>
          <w:rFonts w:ascii="Bookman Old Style" w:hAnsi="Bookman Old Style"/>
        </w:rPr>
        <w:t xml:space="preserve">se presenta </w:t>
      </w:r>
      <w:r w:rsidRPr="00502829">
        <w:rPr>
          <w:rFonts w:ascii="Bookman Old Style" w:hAnsi="Bookman Old Style"/>
        </w:rPr>
        <w:t>a continuación</w:t>
      </w:r>
      <w:r w:rsidR="00E43926">
        <w:rPr>
          <w:rFonts w:ascii="Bookman Old Style" w:hAnsi="Bookman Old Style"/>
        </w:rPr>
        <w:t>,</w:t>
      </w:r>
      <w:r w:rsidRPr="00502829">
        <w:rPr>
          <w:rFonts w:ascii="Bookman Old Style" w:hAnsi="Bookman Old Style"/>
        </w:rPr>
        <w:t xml:space="preserve"> se establec</w:t>
      </w:r>
      <w:r w:rsidR="00FE35D1">
        <w:rPr>
          <w:rFonts w:ascii="Bookman Old Style" w:hAnsi="Bookman Old Style"/>
        </w:rPr>
        <w:t>e</w:t>
      </w:r>
      <w:r w:rsidRPr="00502829">
        <w:rPr>
          <w:rFonts w:ascii="Bookman Old Style" w:hAnsi="Bookman Old Style"/>
        </w:rPr>
        <w:t xml:space="preserve"> </w:t>
      </w:r>
      <w:r w:rsidRPr="00DE2EF7">
        <w:rPr>
          <w:rFonts w:ascii="Bookman Old Style" w:hAnsi="Bookman Old Style"/>
        </w:rPr>
        <w:t xml:space="preserve">el </w:t>
      </w:r>
      <w:r>
        <w:rPr>
          <w:rFonts w:ascii="Bookman Old Style" w:hAnsi="Bookman Old Style"/>
        </w:rPr>
        <w:t>P</w:t>
      </w:r>
      <w:r w:rsidRPr="00DE2EF7">
        <w:rPr>
          <w:rFonts w:ascii="Bookman Old Style" w:hAnsi="Bookman Old Style"/>
        </w:rPr>
        <w:t xml:space="preserve">otencial de </w:t>
      </w:r>
      <w:r>
        <w:rPr>
          <w:rFonts w:ascii="Bookman Old Style" w:hAnsi="Bookman Old Style"/>
        </w:rPr>
        <w:t>P</w:t>
      </w:r>
      <w:r w:rsidRPr="00DE2EF7">
        <w:rPr>
          <w:rFonts w:ascii="Bookman Old Style" w:hAnsi="Bookman Old Style"/>
        </w:rPr>
        <w:t>roducción de GLP, diferenciando entre</w:t>
      </w:r>
      <w:r>
        <w:rPr>
          <w:rFonts w:ascii="Bookman Old Style" w:hAnsi="Bookman Old Style"/>
        </w:rPr>
        <w:t>: i)</w:t>
      </w:r>
      <w:r w:rsidRPr="00DE2EF7">
        <w:rPr>
          <w:rFonts w:ascii="Bookman Old Style" w:hAnsi="Bookman Old Style"/>
        </w:rPr>
        <w:t xml:space="preserve"> las fuentes sujetas a libertad regulada, que corresponden a aquellas comercializadas por Ecopetrol</w:t>
      </w:r>
      <w:r>
        <w:rPr>
          <w:rFonts w:ascii="Bookman Old Style" w:hAnsi="Bookman Old Style"/>
        </w:rPr>
        <w:t>; ii)</w:t>
      </w:r>
      <w:r w:rsidRPr="00DE2EF7">
        <w:rPr>
          <w:rFonts w:ascii="Bookman Old Style" w:hAnsi="Bookman Old Style"/>
        </w:rPr>
        <w:t xml:space="preserve"> la producción denominada Floreña, fuente de producción que</w:t>
      </w:r>
      <w:r>
        <w:rPr>
          <w:rFonts w:ascii="Bookman Old Style" w:hAnsi="Bookman Old Style"/>
        </w:rPr>
        <w:t>,</w:t>
      </w:r>
      <w:r w:rsidRPr="00DE2EF7">
        <w:rPr>
          <w:rFonts w:ascii="Bookman Old Style" w:hAnsi="Bookman Old Style"/>
        </w:rPr>
        <w:t xml:space="preserve"> hasta febrero de 2020</w:t>
      </w:r>
      <w:r>
        <w:rPr>
          <w:rFonts w:ascii="Bookman Old Style" w:hAnsi="Bookman Old Style"/>
        </w:rPr>
        <w:t>,</w:t>
      </w:r>
      <w:r w:rsidRPr="00DE2EF7">
        <w:rPr>
          <w:rFonts w:ascii="Bookman Old Style" w:hAnsi="Bookman Old Style"/>
        </w:rPr>
        <w:t xml:space="preserve"> </w:t>
      </w:r>
      <w:r>
        <w:rPr>
          <w:rFonts w:ascii="Bookman Old Style" w:hAnsi="Bookman Old Style"/>
        </w:rPr>
        <w:t>fue</w:t>
      </w:r>
      <w:r w:rsidRPr="00DE2EF7">
        <w:rPr>
          <w:rFonts w:ascii="Bookman Old Style" w:hAnsi="Bookman Old Style"/>
        </w:rPr>
        <w:t xml:space="preserve"> declarada </w:t>
      </w:r>
      <w:r>
        <w:rPr>
          <w:rFonts w:ascii="Bookman Old Style" w:hAnsi="Bookman Old Style"/>
        </w:rPr>
        <w:t>como</w:t>
      </w:r>
      <w:r w:rsidRPr="00502829">
        <w:rPr>
          <w:rFonts w:ascii="Bookman Old Style" w:hAnsi="Bookman Old Style"/>
        </w:rPr>
        <w:t xml:space="preserve"> fuente de precio libre</w:t>
      </w:r>
      <w:r>
        <w:rPr>
          <w:rFonts w:ascii="Bookman Old Style" w:hAnsi="Bookman Old Style"/>
        </w:rPr>
        <w:t xml:space="preserve"> </w:t>
      </w:r>
      <w:r w:rsidRPr="00DE2EF7">
        <w:rPr>
          <w:rFonts w:ascii="Bookman Old Style" w:hAnsi="Bookman Old Style"/>
        </w:rPr>
        <w:t>por</w:t>
      </w:r>
      <w:r w:rsidRPr="00502829">
        <w:rPr>
          <w:rFonts w:ascii="Bookman Old Style" w:hAnsi="Bookman Old Style"/>
        </w:rPr>
        <w:t xml:space="preserve"> un comercializador mayorista</w:t>
      </w:r>
      <w:r>
        <w:rPr>
          <w:rFonts w:ascii="Bookman Old Style" w:hAnsi="Bookman Old Style"/>
        </w:rPr>
        <w:t>,</w:t>
      </w:r>
      <w:r w:rsidRPr="00502829">
        <w:rPr>
          <w:rFonts w:ascii="Bookman Old Style" w:hAnsi="Bookman Old Style"/>
        </w:rPr>
        <w:t xml:space="preserve"> </w:t>
      </w:r>
      <w:r w:rsidRPr="00DE2EF7">
        <w:rPr>
          <w:rFonts w:ascii="Bookman Old Style" w:hAnsi="Bookman Old Style"/>
        </w:rPr>
        <w:t>TYGas</w:t>
      </w:r>
      <w:r>
        <w:rPr>
          <w:rFonts w:ascii="Bookman Old Style" w:hAnsi="Bookman Old Style"/>
        </w:rPr>
        <w:t xml:space="preserve">, pero que, </w:t>
      </w:r>
      <w:r w:rsidRPr="00DE2EF7">
        <w:rPr>
          <w:rFonts w:ascii="Bookman Old Style" w:hAnsi="Bookman Old Style"/>
        </w:rPr>
        <w:t>a partir de dicha fecha</w:t>
      </w:r>
      <w:r>
        <w:rPr>
          <w:rFonts w:ascii="Bookman Old Style" w:hAnsi="Bookman Old Style"/>
        </w:rPr>
        <w:t xml:space="preserve">, </w:t>
      </w:r>
      <w:r w:rsidRPr="00DE2EF7">
        <w:rPr>
          <w:rFonts w:ascii="Bookman Old Style" w:hAnsi="Bookman Old Style"/>
        </w:rPr>
        <w:t>es declarada por Ecopetrol</w:t>
      </w:r>
      <w:r>
        <w:rPr>
          <w:rFonts w:ascii="Bookman Old Style" w:hAnsi="Bookman Old Style"/>
        </w:rPr>
        <w:t>; iii)</w:t>
      </w:r>
      <w:r w:rsidRPr="00DE2EF7">
        <w:rPr>
          <w:rFonts w:ascii="Bookman Old Style" w:hAnsi="Bookman Old Style"/>
        </w:rPr>
        <w:t xml:space="preserve"> y las declaraciones de los demás productores. </w:t>
      </w:r>
      <w:r w:rsidRPr="00502829">
        <w:rPr>
          <w:rFonts w:ascii="Bookman Old Style" w:hAnsi="Bookman Old Style"/>
        </w:rPr>
        <w:t xml:space="preserve">Teniendo en cuenta que la demanda de GLP en el país </w:t>
      </w:r>
      <w:r w:rsidR="00BE5885">
        <w:rPr>
          <w:rFonts w:ascii="Bookman Old Style" w:hAnsi="Bookman Old Style"/>
        </w:rPr>
        <w:t>oscila alrededor de los</w:t>
      </w:r>
      <w:r w:rsidRPr="00DE2EF7">
        <w:rPr>
          <w:rFonts w:ascii="Bookman Old Style" w:hAnsi="Bookman Old Style"/>
        </w:rPr>
        <w:t xml:space="preserve"> 52 millones de kilogramos al mes</w:t>
      </w:r>
      <w:r w:rsidR="00BE5885">
        <w:rPr>
          <w:rFonts w:ascii="Bookman Old Style" w:hAnsi="Bookman Old Style"/>
        </w:rPr>
        <w:t>,</w:t>
      </w:r>
      <w:r w:rsidRPr="00502829">
        <w:rPr>
          <w:rFonts w:ascii="Bookman Old Style" w:hAnsi="Bookman Old Style"/>
        </w:rPr>
        <w:t xml:space="preserve"> </w:t>
      </w:r>
      <w:r>
        <w:rPr>
          <w:rFonts w:ascii="Bookman Old Style" w:hAnsi="Bookman Old Style"/>
        </w:rPr>
        <w:t xml:space="preserve">para atender 4,5 millones de usuarios, </w:t>
      </w:r>
      <w:r w:rsidRPr="00502829">
        <w:rPr>
          <w:rFonts w:ascii="Bookman Old Style" w:hAnsi="Bookman Old Style"/>
        </w:rPr>
        <w:t>s</w:t>
      </w:r>
      <w:r w:rsidR="00BE5885">
        <w:rPr>
          <w:rFonts w:ascii="Bookman Old Style" w:hAnsi="Bookman Old Style"/>
        </w:rPr>
        <w:t>egún información</w:t>
      </w:r>
      <w:r w:rsidRPr="00502829">
        <w:rPr>
          <w:rFonts w:ascii="Bookman Old Style" w:hAnsi="Bookman Old Style"/>
        </w:rPr>
        <w:t xml:space="preserve"> reportad</w:t>
      </w:r>
      <w:r w:rsidR="00BE5885">
        <w:rPr>
          <w:rFonts w:ascii="Bookman Old Style" w:hAnsi="Bookman Old Style"/>
        </w:rPr>
        <w:t>a</w:t>
      </w:r>
      <w:r w:rsidRPr="00502829">
        <w:rPr>
          <w:rFonts w:ascii="Bookman Old Style" w:hAnsi="Bookman Old Style"/>
        </w:rPr>
        <w:t xml:space="preserve"> por los distribuidores al Sistema Único de Información – SUI, </w:t>
      </w:r>
      <w:r>
        <w:rPr>
          <w:rFonts w:ascii="Bookman Old Style" w:hAnsi="Bookman Old Style"/>
        </w:rPr>
        <w:t xml:space="preserve">se hace </w:t>
      </w:r>
      <w:r w:rsidRPr="00DE2EF7">
        <w:rPr>
          <w:rFonts w:ascii="Bookman Old Style" w:hAnsi="Bookman Old Style"/>
        </w:rPr>
        <w:t>una proyección de crecimiento anual y constante del 3%, a efectos de señalar el posible nivel de producto requerido para su atención.</w:t>
      </w:r>
    </w:p>
    <w:p w14:paraId="3FF3902E" w14:textId="77777777" w:rsidR="0062472D" w:rsidRDefault="0062472D" w:rsidP="0062472D">
      <w:pPr>
        <w:ind w:left="0"/>
        <w:contextualSpacing/>
        <w:jc w:val="center"/>
        <w:rPr>
          <w:rFonts w:ascii="Bookman Old Style" w:hAnsi="Bookman Old Style" w:cs="Arial"/>
          <w:b/>
          <w:lang w:val="es-ES_tradnl"/>
        </w:rPr>
      </w:pPr>
    </w:p>
    <w:p w14:paraId="7DEEFA3E" w14:textId="77777777" w:rsidR="0062472D" w:rsidRPr="00DE2EF7" w:rsidRDefault="0062472D" w:rsidP="0062472D">
      <w:pPr>
        <w:ind w:left="0"/>
        <w:contextualSpacing/>
        <w:jc w:val="center"/>
        <w:rPr>
          <w:rFonts w:ascii="Bookman Old Style" w:hAnsi="Bookman Old Style" w:cs="Arial"/>
          <w:lang w:val="es-ES_tradnl"/>
        </w:rPr>
      </w:pPr>
      <w:r w:rsidRPr="00DE2EF7">
        <w:rPr>
          <w:rFonts w:ascii="Bookman Old Style" w:hAnsi="Bookman Old Style" w:cs="Arial"/>
          <w:b/>
          <w:lang w:val="es-ES_tradnl"/>
        </w:rPr>
        <w:t xml:space="preserve">Gráfica </w:t>
      </w:r>
      <w:r w:rsidRPr="00DE2EF7">
        <w:rPr>
          <w:rFonts w:ascii="Bookman Old Style" w:hAnsi="Bookman Old Style" w:cs="Arial"/>
          <w:b/>
          <w:bCs/>
          <w:lang w:val="es-ES_tradnl"/>
        </w:rPr>
        <w:t xml:space="preserve">Producción </w:t>
      </w:r>
      <w:r>
        <w:rPr>
          <w:rFonts w:ascii="Bookman Old Style" w:hAnsi="Bookman Old Style" w:cs="Arial"/>
          <w:b/>
          <w:bCs/>
          <w:lang w:val="es-ES_tradnl"/>
        </w:rPr>
        <w:t>P</w:t>
      </w:r>
      <w:r w:rsidRPr="00DE2EF7">
        <w:rPr>
          <w:rFonts w:ascii="Bookman Old Style" w:hAnsi="Bookman Old Style" w:cs="Arial"/>
          <w:b/>
          <w:bCs/>
          <w:lang w:val="es-ES_tradnl"/>
        </w:rPr>
        <w:t>otencial de GLP</w:t>
      </w:r>
    </w:p>
    <w:p w14:paraId="54030BF1" w14:textId="77777777" w:rsidR="0062472D" w:rsidRPr="00DE2EF7" w:rsidRDefault="0062472D" w:rsidP="0062472D">
      <w:pPr>
        <w:ind w:left="0"/>
        <w:contextualSpacing/>
        <w:jc w:val="both"/>
        <w:rPr>
          <w:rFonts w:ascii="Arial" w:hAnsi="Arial" w:cs="Arial"/>
          <w:sz w:val="22"/>
          <w:szCs w:val="22"/>
          <w:lang w:val="es-ES_tradnl"/>
        </w:rPr>
      </w:pPr>
    </w:p>
    <w:p w14:paraId="13EDFA4A" w14:textId="77777777" w:rsidR="0062472D" w:rsidRPr="00DE2EF7" w:rsidRDefault="0062472D" w:rsidP="0062472D">
      <w:pPr>
        <w:ind w:left="0"/>
        <w:contextualSpacing/>
        <w:jc w:val="center"/>
        <w:rPr>
          <w:rFonts w:ascii="Arial" w:hAnsi="Arial" w:cs="Arial"/>
          <w:sz w:val="22"/>
          <w:szCs w:val="20"/>
          <w:lang w:val="es-ES_tradnl"/>
        </w:rPr>
      </w:pPr>
      <w:r w:rsidRPr="00DE2EF7">
        <w:rPr>
          <w:rFonts w:ascii="Arial" w:hAnsi="Arial" w:cs="Arial"/>
          <w:noProof/>
          <w:szCs w:val="20"/>
          <w:lang w:val="es-CO" w:eastAsia="es-CO"/>
        </w:rPr>
        <w:drawing>
          <wp:inline distT="0" distB="0" distL="0" distR="0" wp14:anchorId="326CACBD" wp14:editId="0E2B8D61">
            <wp:extent cx="4911090" cy="2446317"/>
            <wp:effectExtent l="0" t="0" r="381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A7A547" w14:textId="77777777" w:rsidR="0062472D" w:rsidRDefault="0062472D" w:rsidP="0062472D">
      <w:pPr>
        <w:ind w:left="426"/>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Pr>
          <w:rFonts w:ascii="Bookman Old Style" w:hAnsi="Bookman Old Style" w:cs="Arial"/>
          <w:sz w:val="18"/>
          <w:szCs w:val="18"/>
          <w:lang w:val="es-ES_tradnl"/>
        </w:rPr>
        <w:t xml:space="preserve"> </w:t>
      </w:r>
    </w:p>
    <w:p w14:paraId="597C57B4" w14:textId="77777777" w:rsidR="0062472D" w:rsidRPr="00DE2EF7" w:rsidRDefault="0062472D" w:rsidP="0062472D">
      <w:pPr>
        <w:ind w:left="426"/>
        <w:jc w:val="both"/>
        <w:rPr>
          <w:rFonts w:ascii="Bookman Old Style" w:hAnsi="Bookman Old Style" w:cs="Arial"/>
          <w:sz w:val="18"/>
          <w:szCs w:val="18"/>
          <w:lang w:val="es-ES_tradnl"/>
        </w:rPr>
      </w:pPr>
      <w:r>
        <w:rPr>
          <w:rFonts w:ascii="Bookman Old Style" w:hAnsi="Bookman Old Style" w:cs="Arial"/>
          <w:sz w:val="18"/>
          <w:szCs w:val="18"/>
          <w:lang w:val="es-ES_tradnl"/>
        </w:rPr>
        <w:t>Cálculo: CREG.</w:t>
      </w:r>
    </w:p>
    <w:p w14:paraId="123D761A" w14:textId="77777777" w:rsidR="0062472D" w:rsidRDefault="0062472D" w:rsidP="0062472D">
      <w:pPr>
        <w:ind w:left="0"/>
        <w:contextualSpacing/>
        <w:jc w:val="both"/>
        <w:rPr>
          <w:rFonts w:ascii="Bookman Old Style" w:hAnsi="Bookman Old Style"/>
        </w:rPr>
      </w:pPr>
    </w:p>
    <w:p w14:paraId="755E7B89" w14:textId="60DA8656" w:rsidR="00BE22F8" w:rsidRDefault="00BE22F8" w:rsidP="0062472D">
      <w:pPr>
        <w:ind w:left="0"/>
        <w:contextualSpacing/>
        <w:jc w:val="both"/>
        <w:rPr>
          <w:rFonts w:ascii="Bookman Old Style" w:hAnsi="Bookman Old Style"/>
        </w:rPr>
      </w:pPr>
      <w:r>
        <w:rPr>
          <w:rFonts w:ascii="Bookman Old Style" w:hAnsi="Bookman Old Style"/>
        </w:rPr>
        <w:t xml:space="preserve">De la observación de las cifras de </w:t>
      </w:r>
      <w:r w:rsidR="00BE5885">
        <w:rPr>
          <w:rFonts w:ascii="Bookman Old Style" w:hAnsi="Bookman Old Style"/>
        </w:rPr>
        <w:t>la anterior gráfica</w:t>
      </w:r>
      <w:r w:rsidR="00E43926">
        <w:rPr>
          <w:rFonts w:ascii="Bookman Old Style" w:hAnsi="Bookman Old Style"/>
        </w:rPr>
        <w:t>,</w:t>
      </w:r>
      <w:r w:rsidR="00BE5885">
        <w:rPr>
          <w:rFonts w:ascii="Bookman Old Style" w:hAnsi="Bookman Old Style"/>
        </w:rPr>
        <w:t xml:space="preserve"> y</w:t>
      </w:r>
      <w:r>
        <w:rPr>
          <w:rFonts w:ascii="Bookman Old Style" w:hAnsi="Bookman Old Style"/>
        </w:rPr>
        <w:t xml:space="preserve"> teniendo en cuenta las declaraciones de producción, </w:t>
      </w:r>
      <w:r w:rsidR="00BE5885">
        <w:rPr>
          <w:rFonts w:ascii="Bookman Old Style" w:hAnsi="Bookman Old Style"/>
        </w:rPr>
        <w:t>la</w:t>
      </w:r>
      <w:r>
        <w:rPr>
          <w:rFonts w:ascii="Bookman Old Style" w:hAnsi="Bookman Old Style"/>
        </w:rPr>
        <w:t xml:space="preserve"> condición </w:t>
      </w:r>
      <w:r w:rsidR="00811CD5">
        <w:rPr>
          <w:rFonts w:ascii="Bookman Old Style" w:hAnsi="Bookman Old Style"/>
        </w:rPr>
        <w:t xml:space="preserve">de Ecopetrol </w:t>
      </w:r>
      <w:r w:rsidR="00BE5885">
        <w:rPr>
          <w:rFonts w:ascii="Bookman Old Style" w:hAnsi="Bookman Old Style"/>
        </w:rPr>
        <w:t xml:space="preserve">como principal productor nacional de GLP </w:t>
      </w:r>
      <w:r w:rsidR="00811CD5">
        <w:rPr>
          <w:rFonts w:ascii="Bookman Old Style" w:hAnsi="Bookman Old Style"/>
        </w:rPr>
        <w:t xml:space="preserve">se mantendrá </w:t>
      </w:r>
      <w:r w:rsidR="00406D0C">
        <w:rPr>
          <w:rFonts w:ascii="Bookman Old Style" w:hAnsi="Bookman Old Style"/>
        </w:rPr>
        <w:t>igualmente</w:t>
      </w:r>
      <w:r w:rsidR="00811CD5">
        <w:rPr>
          <w:rFonts w:ascii="Bookman Old Style" w:hAnsi="Bookman Old Style"/>
        </w:rPr>
        <w:t xml:space="preserve"> durante el segundo semestre de 2021. </w:t>
      </w:r>
    </w:p>
    <w:p w14:paraId="1A4FD3CC" w14:textId="77777777" w:rsidR="00BE22F8" w:rsidRDefault="00BE22F8" w:rsidP="0062472D">
      <w:pPr>
        <w:ind w:left="0"/>
        <w:contextualSpacing/>
        <w:jc w:val="both"/>
        <w:rPr>
          <w:rFonts w:ascii="Bookman Old Style" w:hAnsi="Bookman Old Style"/>
        </w:rPr>
      </w:pPr>
    </w:p>
    <w:p w14:paraId="5AE87186" w14:textId="7A1D09E7" w:rsidR="0062472D" w:rsidRDefault="007D4936" w:rsidP="0062472D">
      <w:pPr>
        <w:ind w:left="0"/>
        <w:contextualSpacing/>
        <w:jc w:val="both"/>
        <w:rPr>
          <w:rFonts w:ascii="Bookman Old Style" w:hAnsi="Bookman Old Style"/>
        </w:rPr>
      </w:pPr>
      <w:r>
        <w:rPr>
          <w:rFonts w:ascii="Bookman Old Style" w:hAnsi="Bookman Old Style"/>
        </w:rPr>
        <w:t>Así mismo y de</w:t>
      </w:r>
      <w:r w:rsidR="0062472D">
        <w:rPr>
          <w:rFonts w:ascii="Bookman Old Style" w:hAnsi="Bookman Old Style"/>
        </w:rPr>
        <w:t xml:space="preserve"> manera particular, de acuerdo con el resultado del proceso de asignación de cantidades que adelantó Ecopetrol al final del 2019 para el suministro del primer semestre de 2020, y la comercialización del GLP proveniente del proceso de comisionamiento de Cupigua y su posterior comercialización mediante OPC, las siguientes son las cantidades que se suscribieron en contratos de suministro para esta primera mitad de 2020, en donde Ecopetrol dispone cantidades suficientes para la atención de la demanda nacional:</w:t>
      </w:r>
    </w:p>
    <w:p w14:paraId="225816B8" w14:textId="77777777" w:rsidR="0062472D" w:rsidRPr="003E1031" w:rsidRDefault="0062472D" w:rsidP="0062472D">
      <w:pPr>
        <w:ind w:left="0"/>
        <w:contextualSpacing/>
        <w:jc w:val="both"/>
        <w:rPr>
          <w:rFonts w:ascii="Bookman Old Style" w:hAnsi="Bookman Old Style"/>
          <w:sz w:val="14"/>
          <w:szCs w:val="14"/>
        </w:rPr>
      </w:pPr>
    </w:p>
    <w:p w14:paraId="286C600B" w14:textId="77777777" w:rsidR="0062472D" w:rsidRDefault="0062472D" w:rsidP="0062472D">
      <w:pPr>
        <w:ind w:left="0"/>
        <w:contextualSpacing/>
        <w:jc w:val="center"/>
        <w:rPr>
          <w:rFonts w:ascii="Bookman Old Style" w:hAnsi="Bookman Old Style" w:cs="Arial"/>
          <w:b/>
          <w:lang w:val="es-ES_tradnl"/>
        </w:rPr>
      </w:pPr>
      <w:r w:rsidRPr="00DE2EF7">
        <w:rPr>
          <w:rFonts w:ascii="Bookman Old Style" w:hAnsi="Bookman Old Style" w:cs="Arial"/>
          <w:b/>
          <w:lang w:val="es-ES_tradnl"/>
        </w:rPr>
        <w:t>Tabla</w:t>
      </w:r>
      <w:r>
        <w:rPr>
          <w:rFonts w:ascii="Bookman Old Style" w:hAnsi="Bookman Old Style" w:cs="Arial"/>
          <w:b/>
          <w:lang w:val="es-ES_tradnl"/>
        </w:rPr>
        <w:t xml:space="preserve"> Asignación de cantidades Ecopetrol</w:t>
      </w:r>
    </w:p>
    <w:p w14:paraId="60AD5F9C" w14:textId="77777777" w:rsidR="0062472D" w:rsidRDefault="0062472D" w:rsidP="0062472D">
      <w:pPr>
        <w:ind w:left="0" w:firstLine="993"/>
        <w:contextualSpacing/>
        <w:jc w:val="both"/>
        <w:rPr>
          <w:rFonts w:ascii="Bookman Old Style" w:hAnsi="Bookman Old Style"/>
        </w:rPr>
      </w:pPr>
    </w:p>
    <w:tbl>
      <w:tblPr>
        <w:tblW w:w="8968" w:type="dxa"/>
        <w:jc w:val="center"/>
        <w:tblLayout w:type="fixed"/>
        <w:tblCellMar>
          <w:left w:w="0" w:type="dxa"/>
          <w:right w:w="0" w:type="dxa"/>
        </w:tblCellMar>
        <w:tblLook w:val="0420" w:firstRow="1" w:lastRow="0" w:firstColumn="0" w:lastColumn="0" w:noHBand="0" w:noVBand="1"/>
      </w:tblPr>
      <w:tblGrid>
        <w:gridCol w:w="1550"/>
        <w:gridCol w:w="1181"/>
        <w:gridCol w:w="1084"/>
        <w:gridCol w:w="1035"/>
        <w:gridCol w:w="1035"/>
        <w:gridCol w:w="926"/>
        <w:gridCol w:w="926"/>
        <w:gridCol w:w="1231"/>
      </w:tblGrid>
      <w:tr w:rsidR="0062472D" w:rsidRPr="00DE4985" w14:paraId="02F54B0E" w14:textId="77777777" w:rsidTr="003E1031">
        <w:trPr>
          <w:trHeight w:val="334"/>
          <w:tblHeader/>
          <w:jc w:val="center"/>
        </w:trPr>
        <w:tc>
          <w:tcPr>
            <w:tcW w:w="1550" w:type="dxa"/>
            <w:tcBorders>
              <w:top w:val="single" w:sz="8" w:space="0" w:color="4472C4"/>
              <w:left w:val="single" w:sz="8" w:space="0" w:color="4472C4"/>
              <w:bottom w:val="single" w:sz="8" w:space="0" w:color="4472C4"/>
              <w:right w:val="nil"/>
            </w:tcBorders>
            <w:shd w:val="clear" w:color="auto" w:fill="4472C4"/>
            <w:tcMar>
              <w:top w:w="15" w:type="dxa"/>
              <w:left w:w="15" w:type="dxa"/>
              <w:bottom w:w="0" w:type="dxa"/>
              <w:right w:w="15" w:type="dxa"/>
            </w:tcMar>
            <w:vAlign w:val="center"/>
            <w:hideMark/>
          </w:tcPr>
          <w:p w14:paraId="7639C6CD"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 </w:t>
            </w:r>
          </w:p>
        </w:tc>
        <w:tc>
          <w:tcPr>
            <w:tcW w:w="1181"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18C8C3A"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Cupiagua</w:t>
            </w:r>
          </w:p>
        </w:tc>
        <w:tc>
          <w:tcPr>
            <w:tcW w:w="1084"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7EC5A53"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Cusiana</w:t>
            </w:r>
          </w:p>
        </w:tc>
        <w:tc>
          <w:tcPr>
            <w:tcW w:w="1035"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3151E00B"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Cartagena</w:t>
            </w:r>
          </w:p>
        </w:tc>
        <w:tc>
          <w:tcPr>
            <w:tcW w:w="1035"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D0CE12F"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B/meja</w:t>
            </w:r>
          </w:p>
        </w:tc>
        <w:tc>
          <w:tcPr>
            <w:tcW w:w="926"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6227A416"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Apiay</w:t>
            </w:r>
          </w:p>
        </w:tc>
        <w:tc>
          <w:tcPr>
            <w:tcW w:w="926"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5CEBBEE"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Dina</w:t>
            </w:r>
          </w:p>
        </w:tc>
        <w:tc>
          <w:tcPr>
            <w:tcW w:w="1231" w:type="dxa"/>
            <w:tcBorders>
              <w:top w:val="single" w:sz="8" w:space="0" w:color="4472C4"/>
              <w:left w:val="nil"/>
              <w:bottom w:val="single" w:sz="8" w:space="0" w:color="4472C4"/>
              <w:right w:val="single" w:sz="8" w:space="0" w:color="4472C4"/>
            </w:tcBorders>
            <w:shd w:val="clear" w:color="auto" w:fill="4472C4"/>
            <w:tcMar>
              <w:top w:w="15" w:type="dxa"/>
              <w:left w:w="15" w:type="dxa"/>
              <w:bottom w:w="0" w:type="dxa"/>
              <w:right w:w="113" w:type="dxa"/>
            </w:tcMar>
            <w:vAlign w:val="center"/>
            <w:hideMark/>
          </w:tcPr>
          <w:p w14:paraId="070C6E6F"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TOTAL</w:t>
            </w:r>
          </w:p>
        </w:tc>
      </w:tr>
      <w:tr w:rsidR="0062472D" w:rsidRPr="00DE4985" w14:paraId="35831144"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174D0A71"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Ene-20</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19646E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D2BD39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912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561</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560BAAC"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166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307</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3AE618B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265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789</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84E580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879</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6094E06F"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458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411</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4A72E9E0"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57</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014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729</w:t>
            </w:r>
          </w:p>
        </w:tc>
      </w:tr>
      <w:tr w:rsidR="0062472D" w:rsidRPr="00DE4985" w14:paraId="7E124438"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003A1DD9"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Feb-20</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5097AD8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929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345</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5E8E78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846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248</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306822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797</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1BBBEBC9"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160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940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13513ACA"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655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888</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2E4916C6"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400</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44FB7708"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52</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916</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618</w:t>
            </w:r>
          </w:p>
        </w:tc>
      </w:tr>
      <w:tr w:rsidR="0062472D" w:rsidRPr="00DE4985" w14:paraId="27155169"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1DD02224"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Mar-20</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4BA740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00300A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291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971</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E3D9A2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532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520</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C50AC6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531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306</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3DF3CA02"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664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094</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C9984AB"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914</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38837B1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755</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587</w:t>
            </w:r>
          </w:p>
        </w:tc>
      </w:tr>
      <w:tr w:rsidR="0062472D" w:rsidRPr="00DE4985" w14:paraId="446C2DB4"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77E0E3E3"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Abr-20</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099364E5"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7692482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860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655</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4E8063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324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4446A5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690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818</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FB0621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525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790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CAF3DE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425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674</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19E6C04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49</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444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282</w:t>
            </w:r>
          </w:p>
        </w:tc>
      </w:tr>
      <w:tr w:rsidR="0062472D" w:rsidRPr="00DE4985" w14:paraId="7F74BFFD"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0522232B"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May-20</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9ABD4C2"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00DC96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862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171</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BF54838"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549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959</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BE05C38"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974</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93E9BF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499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805</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1F17751"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677B478C"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839</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254</w:t>
            </w:r>
          </w:p>
        </w:tc>
      </w:tr>
      <w:tr w:rsidR="0062472D" w:rsidRPr="00DE4985" w14:paraId="4574B34D"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3CF64FF6"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Jun-20</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50665E5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023F195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837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180</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49BCB6C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362</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7BC3699"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066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890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A8781AB"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384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751</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7B866126"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367</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6D49DB7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53</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526</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113</w:t>
            </w:r>
          </w:p>
        </w:tc>
      </w:tr>
      <w:tr w:rsidR="0062472D" w:rsidRPr="00DE4985" w14:paraId="1DBFF8CE"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290F79CD" w14:textId="77777777" w:rsidR="0062472D" w:rsidRPr="00DE4985" w:rsidRDefault="0062472D" w:rsidP="00842DB6">
            <w:pPr>
              <w:ind w:left="0"/>
              <w:jc w:val="center"/>
              <w:textAlignment w:val="bottom"/>
              <w:rPr>
                <w:rFonts w:ascii="Bookman Old Style" w:hAnsi="Bookman Old Style" w:cs="Arial"/>
                <w:sz w:val="18"/>
                <w:szCs w:val="18"/>
                <w:lang w:val="es-CO" w:eastAsia="es-CO"/>
              </w:rPr>
            </w:pPr>
            <w:r w:rsidRPr="00DE4985">
              <w:rPr>
                <w:rFonts w:ascii="Bookman Old Style" w:hAnsi="Bookman Old Style" w:cs="Arial"/>
                <w:b/>
                <w:color w:val="000000" w:themeColor="dark1"/>
                <w:kern w:val="24"/>
                <w:sz w:val="18"/>
                <w:szCs w:val="18"/>
                <w:u w:val="single"/>
                <w:lang w:val="es-CO" w:eastAsia="es-CO"/>
              </w:rPr>
              <w:t>Total</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1C0655E"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125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073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817</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CFDB451"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786</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BFB7A38"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663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727</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98C744F"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717</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C56DCDB"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638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207</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B639574"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605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329</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56693917"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322</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496</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583</w:t>
            </w:r>
          </w:p>
        </w:tc>
      </w:tr>
      <w:tr w:rsidR="0062472D" w:rsidRPr="00DE4985" w14:paraId="1A1124D9"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68B8BB51" w14:textId="77777777" w:rsidR="0062472D" w:rsidRPr="00DE4985" w:rsidRDefault="0062472D" w:rsidP="00842DB6">
            <w:pPr>
              <w:ind w:left="0"/>
              <w:jc w:val="center"/>
              <w:textAlignment w:val="bottom"/>
              <w:rPr>
                <w:rFonts w:ascii="Bookman Old Style" w:hAnsi="Bookman Old Style" w:cs="Arial"/>
                <w:sz w:val="18"/>
                <w:szCs w:val="18"/>
                <w:lang w:val="es-CO" w:eastAsia="es-CO"/>
              </w:rPr>
            </w:pPr>
            <w:r w:rsidRPr="00DE4985">
              <w:rPr>
                <w:rFonts w:ascii="Bookman Old Style" w:hAnsi="Bookman Old Style" w:cs="Arial"/>
                <w:b/>
                <w:color w:val="000000" w:themeColor="dark1"/>
                <w:kern w:val="24"/>
                <w:sz w:val="18"/>
                <w:szCs w:val="18"/>
                <w:u w:val="single"/>
                <w:lang w:val="es-CO" w:eastAsia="es-CO"/>
              </w:rPr>
              <w:t>Participación</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11F71361"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38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EAF3ADE"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33722D31"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3E3C82C6"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3271B4D5"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F330D1F"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5" w:type="dxa"/>
            </w:tcMar>
            <w:vAlign w:val="center"/>
            <w:hideMark/>
          </w:tcPr>
          <w:p w14:paraId="748B2B83"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100%</w:t>
            </w:r>
          </w:p>
        </w:tc>
      </w:tr>
    </w:tbl>
    <w:p w14:paraId="631857E0" w14:textId="1114F8B8" w:rsidR="00532622" w:rsidRPr="00325B9D" w:rsidRDefault="0062472D" w:rsidP="00913DD9">
      <w:pPr>
        <w:ind w:left="426"/>
        <w:jc w:val="both"/>
        <w:rPr>
          <w:rFonts w:ascii="Bookman Old Style" w:hAnsi="Bookman Old Style" w:cs="Arial"/>
          <w:sz w:val="18"/>
          <w:szCs w:val="18"/>
          <w:lang w:val="es-ES_tradnl"/>
        </w:rPr>
      </w:pPr>
      <w:r w:rsidRPr="005A1EB4">
        <w:rPr>
          <w:rFonts w:ascii="Bookman Old Style" w:hAnsi="Bookman Old Style" w:cs="Arial"/>
          <w:sz w:val="18"/>
          <w:szCs w:val="18"/>
          <w:lang w:val="es-ES_tradnl"/>
        </w:rPr>
        <w:t>Valores en kilogramos de GLP.</w:t>
      </w:r>
      <w:r>
        <w:rPr>
          <w:rFonts w:ascii="Bookman Old Style" w:hAnsi="Bookman Old Style" w:cs="Arial"/>
          <w:sz w:val="18"/>
          <w:szCs w:val="18"/>
          <w:lang w:val="es-ES_tradnl"/>
        </w:rPr>
        <w:t xml:space="preserve"> </w:t>
      </w:r>
      <w:r w:rsidRPr="005A1EB4">
        <w:rPr>
          <w:rFonts w:ascii="Bookman Old Style" w:hAnsi="Bookman Old Style" w:cs="Arial"/>
          <w:sz w:val="18"/>
          <w:szCs w:val="18"/>
          <w:lang w:val="es-ES_tradnl"/>
        </w:rPr>
        <w:t>Fuente: Ecopetrol</w:t>
      </w:r>
      <w:r>
        <w:rPr>
          <w:rFonts w:ascii="Bookman Old Style" w:hAnsi="Bookman Old Style" w:cs="Arial"/>
          <w:sz w:val="18"/>
          <w:szCs w:val="18"/>
          <w:lang w:val="es-ES_tradnl"/>
        </w:rPr>
        <w:t>, 2020.</w:t>
      </w:r>
      <w:r w:rsidRPr="005A1EB4">
        <w:rPr>
          <w:rFonts w:ascii="Bookman Old Style" w:hAnsi="Bookman Old Style" w:cs="Arial"/>
          <w:sz w:val="18"/>
          <w:szCs w:val="18"/>
          <w:lang w:val="es-ES_tradnl"/>
        </w:rPr>
        <w:t xml:space="preserve"> </w:t>
      </w:r>
      <w:r w:rsidR="00913DD9">
        <w:rPr>
          <w:rFonts w:ascii="Bookman Old Style" w:hAnsi="Bookman Old Style" w:cs="Arial"/>
          <w:sz w:val="18"/>
          <w:szCs w:val="18"/>
          <w:lang w:val="es-ES_tradnl"/>
        </w:rPr>
        <w:t xml:space="preserve"> </w:t>
      </w:r>
      <w:r w:rsidRPr="005A1EB4">
        <w:rPr>
          <w:rFonts w:ascii="Bookman Old Style" w:hAnsi="Bookman Old Style" w:cs="Arial"/>
          <w:sz w:val="18"/>
          <w:szCs w:val="18"/>
          <w:lang w:val="es-ES_tradnl"/>
        </w:rPr>
        <w:t>Cálculos</w:t>
      </w:r>
      <w:r>
        <w:rPr>
          <w:rFonts w:ascii="Bookman Old Style" w:hAnsi="Bookman Old Style" w:cs="Arial"/>
          <w:sz w:val="18"/>
          <w:szCs w:val="18"/>
          <w:lang w:val="es-ES_tradnl"/>
        </w:rPr>
        <w:t>:</w:t>
      </w:r>
      <w:r w:rsidRPr="005A1EB4">
        <w:rPr>
          <w:rFonts w:ascii="Bookman Old Style" w:hAnsi="Bookman Old Style" w:cs="Arial"/>
          <w:sz w:val="18"/>
          <w:szCs w:val="18"/>
          <w:lang w:val="es-ES_tradnl"/>
        </w:rPr>
        <w:t xml:space="preserve"> CREG</w:t>
      </w:r>
      <w:r>
        <w:rPr>
          <w:rFonts w:ascii="Bookman Old Style" w:hAnsi="Bookman Old Style" w:cs="Arial"/>
          <w:sz w:val="18"/>
          <w:szCs w:val="18"/>
          <w:lang w:val="es-ES_tradnl"/>
        </w:rPr>
        <w:t>.</w:t>
      </w:r>
    </w:p>
    <w:p w14:paraId="78CECA1E" w14:textId="77777777" w:rsidR="000D5D06" w:rsidRDefault="000D5D06" w:rsidP="0062472D">
      <w:pPr>
        <w:ind w:left="0"/>
        <w:contextualSpacing/>
        <w:jc w:val="both"/>
        <w:rPr>
          <w:rFonts w:ascii="Bookman Old Style" w:hAnsi="Bookman Old Style"/>
        </w:rPr>
      </w:pPr>
    </w:p>
    <w:p w14:paraId="5CF94BFA" w14:textId="77777777" w:rsidR="003E1031" w:rsidRDefault="003E1031" w:rsidP="0062472D">
      <w:pPr>
        <w:ind w:left="0"/>
        <w:contextualSpacing/>
        <w:jc w:val="both"/>
        <w:rPr>
          <w:rFonts w:ascii="Bookman Old Style" w:hAnsi="Bookman Old Style"/>
        </w:rPr>
      </w:pPr>
    </w:p>
    <w:p w14:paraId="50263793" w14:textId="571508A3" w:rsidR="0062472D" w:rsidRPr="00DE2EF7" w:rsidRDefault="0062472D" w:rsidP="0062472D">
      <w:pPr>
        <w:ind w:left="0"/>
        <w:contextualSpacing/>
        <w:jc w:val="both"/>
        <w:rPr>
          <w:rFonts w:ascii="Bookman Old Style" w:hAnsi="Bookman Old Style"/>
        </w:rPr>
      </w:pPr>
      <w:r w:rsidRPr="00DE2EF7">
        <w:rPr>
          <w:rFonts w:ascii="Bookman Old Style" w:hAnsi="Bookman Old Style"/>
        </w:rPr>
        <w:t xml:space="preserve">Así mismo, </w:t>
      </w:r>
      <w:r w:rsidRPr="00B825F3">
        <w:rPr>
          <w:rFonts w:ascii="Bookman Old Style" w:hAnsi="Bookman Old Style"/>
        </w:rPr>
        <w:t>e</w:t>
      </w:r>
      <w:r>
        <w:rPr>
          <w:rFonts w:ascii="Bookman Old Style" w:hAnsi="Bookman Old Style"/>
        </w:rPr>
        <w:t>n</w:t>
      </w:r>
      <w:r w:rsidRPr="00B825F3">
        <w:rPr>
          <w:rFonts w:ascii="Bookman Old Style" w:hAnsi="Bookman Old Style"/>
        </w:rPr>
        <w:t xml:space="preserve"> la siguiente tabla se presenta</w:t>
      </w:r>
      <w:r w:rsidRPr="00DE2EF7">
        <w:rPr>
          <w:rFonts w:ascii="Bookman Old Style" w:hAnsi="Bookman Old Style"/>
        </w:rPr>
        <w:t xml:space="preserve"> el aporte de cada una </w:t>
      </w:r>
      <w:r>
        <w:rPr>
          <w:rFonts w:ascii="Bookman Old Style" w:hAnsi="Bookman Old Style"/>
        </w:rPr>
        <w:t xml:space="preserve">las </w:t>
      </w:r>
      <w:r w:rsidRPr="00DE2EF7">
        <w:rPr>
          <w:rFonts w:ascii="Bookman Old Style" w:hAnsi="Bookman Old Style"/>
        </w:rPr>
        <w:t>fuentes</w:t>
      </w:r>
      <w:r>
        <w:rPr>
          <w:rFonts w:ascii="Bookman Old Style" w:hAnsi="Bookman Old Style"/>
        </w:rPr>
        <w:t xml:space="preserve"> de producción nacional a la producción potencial de los próximos años, en donde las fuentes comercializadas por Ecopetrol, aquellas sujetas a precio regulado, representarían más del 90%</w:t>
      </w:r>
      <w:r w:rsidRPr="00DE2EF7">
        <w:rPr>
          <w:rFonts w:ascii="Bookman Old Style" w:hAnsi="Bookman Old Style"/>
        </w:rPr>
        <w:t>.</w:t>
      </w:r>
    </w:p>
    <w:p w14:paraId="652ED845" w14:textId="77777777" w:rsidR="0062472D" w:rsidRDefault="0062472D" w:rsidP="0062472D">
      <w:pPr>
        <w:ind w:left="0"/>
        <w:contextualSpacing/>
        <w:jc w:val="center"/>
        <w:rPr>
          <w:rFonts w:ascii="Bookman Old Style" w:hAnsi="Bookman Old Style" w:cs="Arial"/>
          <w:b/>
          <w:lang w:val="es-ES_tradnl"/>
        </w:rPr>
      </w:pPr>
    </w:p>
    <w:p w14:paraId="512BAF0C" w14:textId="77777777" w:rsidR="0062472D" w:rsidRPr="00DE2EF7" w:rsidRDefault="0062472D" w:rsidP="0062472D">
      <w:pPr>
        <w:ind w:left="0"/>
        <w:contextualSpacing/>
        <w:jc w:val="center"/>
        <w:rPr>
          <w:rFonts w:ascii="Bookman Old Style" w:hAnsi="Bookman Old Style" w:cs="Arial"/>
          <w:b/>
          <w:bCs/>
          <w:lang w:val="es-ES_tradnl"/>
        </w:rPr>
      </w:pPr>
      <w:r w:rsidRPr="00DE2EF7">
        <w:rPr>
          <w:rFonts w:ascii="Bookman Old Style" w:hAnsi="Bookman Old Style" w:cs="Arial"/>
          <w:b/>
          <w:lang w:val="es-ES_tradnl"/>
        </w:rPr>
        <w:t xml:space="preserve">Tabla </w:t>
      </w:r>
      <w:r w:rsidRPr="00DE2EF7">
        <w:rPr>
          <w:rFonts w:ascii="Bookman Old Style" w:hAnsi="Bookman Old Style" w:cs="Arial"/>
          <w:b/>
          <w:bCs/>
          <w:lang w:val="es-ES_tradnl"/>
        </w:rPr>
        <w:t>Participación de las fuentes de producción nacional</w:t>
      </w:r>
    </w:p>
    <w:p w14:paraId="13E7535A" w14:textId="77777777" w:rsidR="0062472D" w:rsidRPr="00DE2EF7" w:rsidRDefault="0062472D" w:rsidP="0062472D">
      <w:pPr>
        <w:ind w:left="0"/>
        <w:contextualSpacing/>
        <w:jc w:val="center"/>
        <w:rPr>
          <w:rFonts w:ascii="Bookman Old Style" w:hAnsi="Bookman Old Style" w:cs="Arial"/>
          <w:b/>
          <w:bCs/>
          <w:lang w:val="es-ES_tradnl"/>
        </w:rPr>
      </w:pPr>
      <w:r w:rsidRPr="00DE2EF7">
        <w:rPr>
          <w:rFonts w:ascii="Bookman Old Style" w:hAnsi="Bookman Old Style" w:cs="Arial"/>
          <w:b/>
          <w:bCs/>
          <w:lang w:val="es-ES_tradnl"/>
        </w:rPr>
        <w:t xml:space="preserve">en la producción potencial </w:t>
      </w:r>
      <w:r>
        <w:rPr>
          <w:rFonts w:ascii="Bookman Old Style" w:hAnsi="Bookman Old Style" w:cs="Arial"/>
          <w:b/>
          <w:bCs/>
          <w:lang w:val="es-ES_tradnl"/>
        </w:rPr>
        <w:t>(PP)</w:t>
      </w:r>
      <w:r w:rsidRPr="00DE2EF7">
        <w:rPr>
          <w:rFonts w:ascii="Bookman Old Style" w:hAnsi="Bookman Old Style" w:cs="Arial"/>
          <w:b/>
          <w:bCs/>
          <w:lang w:val="es-ES_tradnl"/>
        </w:rPr>
        <w:t xml:space="preserve"> de GLP</w:t>
      </w:r>
    </w:p>
    <w:p w14:paraId="2C755E11" w14:textId="77777777" w:rsidR="0062472D" w:rsidRPr="00DE2EF7" w:rsidRDefault="0062472D" w:rsidP="0062472D">
      <w:pPr>
        <w:ind w:left="0"/>
        <w:contextualSpacing/>
        <w:jc w:val="center"/>
        <w:rPr>
          <w:rFonts w:ascii="Bookman Old Style" w:hAnsi="Bookman Old Style" w:cs="Arial"/>
          <w:b/>
          <w:bCs/>
          <w:lang w:val="es-ES_tradnl"/>
        </w:rPr>
      </w:pPr>
    </w:p>
    <w:tbl>
      <w:tblPr>
        <w:tblW w:w="7312" w:type="dxa"/>
        <w:jc w:val="center"/>
        <w:tblCellMar>
          <w:left w:w="0" w:type="dxa"/>
          <w:right w:w="0" w:type="dxa"/>
        </w:tblCellMar>
        <w:tblLook w:val="0420" w:firstRow="1" w:lastRow="0" w:firstColumn="0" w:lastColumn="0" w:noHBand="0" w:noVBand="1"/>
      </w:tblPr>
      <w:tblGrid>
        <w:gridCol w:w="1417"/>
        <w:gridCol w:w="2494"/>
        <w:gridCol w:w="1757"/>
        <w:gridCol w:w="1644"/>
      </w:tblGrid>
      <w:tr w:rsidR="0062472D" w:rsidRPr="00DE2EF7" w14:paraId="22AA0435" w14:textId="77777777" w:rsidTr="00842DB6">
        <w:trPr>
          <w:trHeight w:val="680"/>
          <w:jc w:val="center"/>
        </w:trPr>
        <w:tc>
          <w:tcPr>
            <w:tcW w:w="141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2DA678C2"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AÑO</w:t>
            </w:r>
          </w:p>
        </w:tc>
        <w:tc>
          <w:tcPr>
            <w:tcW w:w="249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6673885C"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PRODUCCIÓN SUJETA A PRECIO REGULADO</w:t>
            </w:r>
          </w:p>
        </w:tc>
        <w:tc>
          <w:tcPr>
            <w:tcW w:w="17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7943221C"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FLOREÑA</w:t>
            </w:r>
          </w:p>
        </w:tc>
        <w:tc>
          <w:tcPr>
            <w:tcW w:w="164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1F809392"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OTRA</w:t>
            </w:r>
          </w:p>
        </w:tc>
      </w:tr>
      <w:tr w:rsidR="0062472D" w:rsidRPr="00DE2EF7" w14:paraId="7DC3793E" w14:textId="77777777" w:rsidTr="00842DB6">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F70399F"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2021</w:t>
            </w:r>
          </w:p>
        </w:tc>
        <w:tc>
          <w:tcPr>
            <w:tcW w:w="249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F5F76D5"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90,1%</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C5E9CC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7,9%</w:t>
            </w:r>
          </w:p>
        </w:tc>
        <w:tc>
          <w:tcPr>
            <w:tcW w:w="164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4B13823"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w:t>
            </w:r>
          </w:p>
        </w:tc>
      </w:tr>
      <w:tr w:rsidR="0062472D" w:rsidRPr="00DE2EF7" w14:paraId="35666205" w14:textId="77777777" w:rsidTr="00842DB6">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4F0F3A41"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2022</w:t>
            </w:r>
          </w:p>
        </w:tc>
        <w:tc>
          <w:tcPr>
            <w:tcW w:w="249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163ABDD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90,2%</w:t>
            </w:r>
          </w:p>
        </w:tc>
        <w:tc>
          <w:tcPr>
            <w:tcW w:w="17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669175A2"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8,1%</w:t>
            </w:r>
          </w:p>
        </w:tc>
        <w:tc>
          <w:tcPr>
            <w:tcW w:w="164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755ABF3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1,8%</w:t>
            </w:r>
          </w:p>
        </w:tc>
      </w:tr>
      <w:tr w:rsidR="0062472D" w:rsidRPr="00DE2EF7" w14:paraId="3FF15F63" w14:textId="77777777" w:rsidTr="00842DB6">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3CB26C5"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2023</w:t>
            </w:r>
          </w:p>
        </w:tc>
        <w:tc>
          <w:tcPr>
            <w:tcW w:w="249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139B1BF3"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90,2%</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08BFE9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8,2%</w:t>
            </w:r>
          </w:p>
        </w:tc>
        <w:tc>
          <w:tcPr>
            <w:tcW w:w="164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55B29B01"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1,6%</w:t>
            </w:r>
          </w:p>
        </w:tc>
      </w:tr>
    </w:tbl>
    <w:p w14:paraId="58FA7916" w14:textId="3AAAF3DD" w:rsidR="0062472D" w:rsidRPr="00DE2EF7" w:rsidRDefault="0062472D" w:rsidP="00913DD9">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Pr>
          <w:rFonts w:ascii="Bookman Old Style" w:hAnsi="Bookman Old Style" w:cs="Arial"/>
          <w:sz w:val="18"/>
          <w:szCs w:val="18"/>
          <w:lang w:val="es-ES_tradnl"/>
        </w:rPr>
        <w:t xml:space="preserve"> </w:t>
      </w:r>
      <w:r w:rsidRPr="00DE2EF7">
        <w:rPr>
          <w:rFonts w:ascii="Bookman Old Style" w:hAnsi="Bookman Old Style" w:cs="Arial"/>
          <w:sz w:val="18"/>
          <w:szCs w:val="18"/>
          <w:lang w:val="es-ES_tradnl"/>
        </w:rPr>
        <w:t>Cálculo: CREG.</w:t>
      </w:r>
    </w:p>
    <w:p w14:paraId="1C04136A" w14:textId="77777777" w:rsidR="0062472D" w:rsidRDefault="0062472D" w:rsidP="0062472D">
      <w:pPr>
        <w:ind w:left="0"/>
        <w:contextualSpacing/>
        <w:jc w:val="both"/>
        <w:rPr>
          <w:rFonts w:ascii="Bookman Old Style" w:hAnsi="Bookman Old Style"/>
        </w:rPr>
      </w:pPr>
    </w:p>
    <w:p w14:paraId="63699BDA" w14:textId="77777777" w:rsidR="0062472D" w:rsidRPr="00DE2EF7" w:rsidRDefault="0062472D" w:rsidP="0062472D">
      <w:pPr>
        <w:ind w:left="0"/>
        <w:contextualSpacing/>
        <w:jc w:val="both"/>
        <w:rPr>
          <w:rFonts w:ascii="Bookman Old Style" w:hAnsi="Bookman Old Style"/>
        </w:rPr>
      </w:pPr>
      <w:r>
        <w:rPr>
          <w:rFonts w:ascii="Bookman Old Style" w:hAnsi="Bookman Old Style"/>
        </w:rPr>
        <w:t>En esa misma línea, e</w:t>
      </w:r>
      <w:r w:rsidRPr="00DE2EF7">
        <w:rPr>
          <w:rFonts w:ascii="Bookman Old Style" w:hAnsi="Bookman Old Style"/>
        </w:rPr>
        <w:t xml:space="preserve">n la </w:t>
      </w:r>
      <w:r>
        <w:rPr>
          <w:rFonts w:ascii="Bookman Old Style" w:hAnsi="Bookman Old Style"/>
        </w:rPr>
        <w:t xml:space="preserve">siguiente tabla </w:t>
      </w:r>
      <w:r w:rsidRPr="00DE2EF7">
        <w:rPr>
          <w:rFonts w:ascii="Bookman Old Style" w:hAnsi="Bookman Old Style"/>
        </w:rPr>
        <w:t xml:space="preserve">se presenta la participación de cada una de estas fuentes dentro de lo </w:t>
      </w:r>
      <w:r>
        <w:rPr>
          <w:rFonts w:ascii="Bookman Old Style" w:hAnsi="Bookman Old Style"/>
        </w:rPr>
        <w:t xml:space="preserve">declarado </w:t>
      </w:r>
      <w:r w:rsidRPr="00DE2EF7">
        <w:rPr>
          <w:rFonts w:ascii="Bookman Old Style" w:hAnsi="Bookman Old Style"/>
        </w:rPr>
        <w:t>como oferta de GLP disponible para la atención del servicio público domiciliario.</w:t>
      </w:r>
    </w:p>
    <w:p w14:paraId="658CEBEF" w14:textId="77777777" w:rsidR="0062472D" w:rsidRPr="00573B34" w:rsidRDefault="0062472D" w:rsidP="0062472D">
      <w:pPr>
        <w:ind w:left="0"/>
        <w:contextualSpacing/>
        <w:jc w:val="both"/>
        <w:rPr>
          <w:rFonts w:ascii="Arial" w:hAnsi="Arial" w:cs="Arial"/>
          <w:sz w:val="22"/>
          <w:szCs w:val="22"/>
        </w:rPr>
      </w:pPr>
    </w:p>
    <w:p w14:paraId="6A4425AF" w14:textId="77777777" w:rsidR="0062472D" w:rsidRPr="00DE2EF7" w:rsidRDefault="0062472D" w:rsidP="0062472D">
      <w:pPr>
        <w:ind w:left="0"/>
        <w:contextualSpacing/>
        <w:jc w:val="center"/>
        <w:rPr>
          <w:rFonts w:ascii="Bookman Old Style" w:hAnsi="Bookman Old Style" w:cs="Arial"/>
          <w:b/>
          <w:bCs/>
          <w:lang w:val="es-ES_tradnl"/>
        </w:rPr>
      </w:pPr>
      <w:r>
        <w:rPr>
          <w:rFonts w:ascii="Bookman Old Style" w:hAnsi="Bookman Old Style" w:cs="Arial"/>
          <w:b/>
          <w:bCs/>
          <w:lang w:val="es-ES_tradnl"/>
        </w:rPr>
        <w:t xml:space="preserve">Tabla </w:t>
      </w:r>
      <w:r w:rsidRPr="00DE2EF7">
        <w:rPr>
          <w:rFonts w:ascii="Bookman Old Style" w:hAnsi="Bookman Old Style" w:cs="Arial"/>
          <w:b/>
          <w:bCs/>
          <w:lang w:val="es-ES_tradnl"/>
        </w:rPr>
        <w:t>Participación de las fuentes de producción nacional</w:t>
      </w:r>
    </w:p>
    <w:p w14:paraId="5366A010" w14:textId="77777777" w:rsidR="0062472D" w:rsidRPr="00DE2EF7" w:rsidRDefault="0062472D" w:rsidP="0062472D">
      <w:pPr>
        <w:ind w:left="0"/>
        <w:contextualSpacing/>
        <w:jc w:val="center"/>
        <w:rPr>
          <w:rFonts w:ascii="Bookman Old Style" w:hAnsi="Bookman Old Style" w:cs="Arial"/>
          <w:b/>
          <w:bCs/>
          <w:lang w:val="es-ES_tradnl"/>
        </w:rPr>
      </w:pPr>
      <w:r w:rsidRPr="00DE2EF7">
        <w:rPr>
          <w:rFonts w:ascii="Bookman Old Style" w:hAnsi="Bookman Old Style" w:cs="Arial"/>
          <w:b/>
          <w:bCs/>
          <w:lang w:val="es-ES_tradnl"/>
        </w:rPr>
        <w:t>en la producción disponible para la venta (PTDV) de GLP</w:t>
      </w:r>
    </w:p>
    <w:p w14:paraId="23175876" w14:textId="77777777" w:rsidR="0062472D" w:rsidRPr="00DE2EF7" w:rsidRDefault="0062472D" w:rsidP="0062472D">
      <w:pPr>
        <w:ind w:left="0"/>
        <w:contextualSpacing/>
        <w:jc w:val="both"/>
        <w:rPr>
          <w:rFonts w:ascii="Arial" w:hAnsi="Arial" w:cs="Arial"/>
          <w:sz w:val="22"/>
          <w:szCs w:val="22"/>
          <w:lang w:val="es-ES_tradnl"/>
        </w:rPr>
      </w:pPr>
    </w:p>
    <w:tbl>
      <w:tblPr>
        <w:tblW w:w="7446" w:type="dxa"/>
        <w:jc w:val="center"/>
        <w:tblCellMar>
          <w:left w:w="0" w:type="dxa"/>
          <w:right w:w="0" w:type="dxa"/>
        </w:tblCellMar>
        <w:tblLook w:val="0420" w:firstRow="1" w:lastRow="0" w:firstColumn="0" w:lastColumn="0" w:noHBand="0" w:noVBand="1"/>
      </w:tblPr>
      <w:tblGrid>
        <w:gridCol w:w="1550"/>
        <w:gridCol w:w="2438"/>
        <w:gridCol w:w="1757"/>
        <w:gridCol w:w="1701"/>
      </w:tblGrid>
      <w:tr w:rsidR="0062472D" w:rsidRPr="00DE2EF7" w14:paraId="48670F97" w14:textId="77777777" w:rsidTr="00842DB6">
        <w:trPr>
          <w:trHeight w:val="680"/>
          <w:jc w:val="center"/>
        </w:trPr>
        <w:tc>
          <w:tcPr>
            <w:tcW w:w="155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51A967C1"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AÑO</w:t>
            </w:r>
          </w:p>
        </w:tc>
        <w:tc>
          <w:tcPr>
            <w:tcW w:w="243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6AFE3C7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PRODUCCIÓN SUJETA A PRECIO REGULADO</w:t>
            </w:r>
          </w:p>
        </w:tc>
        <w:tc>
          <w:tcPr>
            <w:tcW w:w="17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36637E66"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FLOREÑA</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21F4D39E"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OTRA</w:t>
            </w:r>
          </w:p>
        </w:tc>
      </w:tr>
      <w:tr w:rsidR="0062472D" w:rsidRPr="00DE2EF7" w14:paraId="69EBAABE" w14:textId="77777777" w:rsidTr="00842DB6">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4CE00BA"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2021</w:t>
            </w:r>
          </w:p>
        </w:tc>
        <w:tc>
          <w:tcPr>
            <w:tcW w:w="24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5DFEB67C"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83,6%</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0FABA7D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13,1%</w:t>
            </w:r>
          </w:p>
        </w:tc>
        <w:tc>
          <w:tcPr>
            <w:tcW w:w="170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7538394"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3,2%</w:t>
            </w:r>
          </w:p>
        </w:tc>
      </w:tr>
      <w:tr w:rsidR="0062472D" w:rsidRPr="00DE2EF7" w14:paraId="6E07F557" w14:textId="77777777" w:rsidTr="00842DB6">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11021D08"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2022</w:t>
            </w:r>
          </w:p>
        </w:tc>
        <w:tc>
          <w:tcPr>
            <w:tcW w:w="243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192085D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83,6%</w:t>
            </w:r>
          </w:p>
        </w:tc>
        <w:tc>
          <w:tcPr>
            <w:tcW w:w="17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0FBC2D7B"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13,5%</w:t>
            </w:r>
          </w:p>
        </w:tc>
        <w:tc>
          <w:tcPr>
            <w:tcW w:w="170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41297205"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2,9%</w:t>
            </w:r>
          </w:p>
        </w:tc>
      </w:tr>
      <w:tr w:rsidR="0062472D" w:rsidRPr="00DE2EF7" w14:paraId="40A71C9C" w14:textId="77777777" w:rsidTr="00842DB6">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25C0E68"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2023</w:t>
            </w:r>
          </w:p>
        </w:tc>
        <w:tc>
          <w:tcPr>
            <w:tcW w:w="24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0A172B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83,4%</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2CBB9706"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13,9%</w:t>
            </w:r>
          </w:p>
        </w:tc>
        <w:tc>
          <w:tcPr>
            <w:tcW w:w="170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39D9D45"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2,7%</w:t>
            </w:r>
          </w:p>
        </w:tc>
      </w:tr>
    </w:tbl>
    <w:p w14:paraId="5D6D90C8" w14:textId="26A8B663" w:rsidR="0062472D" w:rsidRPr="00DE2EF7" w:rsidRDefault="0062472D" w:rsidP="00913DD9">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sidR="00913DD9">
        <w:rPr>
          <w:rFonts w:ascii="Bookman Old Style" w:hAnsi="Bookman Old Style" w:cs="Arial"/>
          <w:sz w:val="18"/>
          <w:szCs w:val="18"/>
          <w:lang w:val="es-ES_tradnl"/>
        </w:rPr>
        <w:t xml:space="preserve"> </w:t>
      </w:r>
      <w:r w:rsidRPr="00DE2EF7">
        <w:rPr>
          <w:rFonts w:ascii="Bookman Old Style" w:hAnsi="Bookman Old Style" w:cs="Arial"/>
          <w:sz w:val="18"/>
          <w:szCs w:val="18"/>
          <w:lang w:val="es-ES_tradnl"/>
        </w:rPr>
        <w:t>Cálculo: CREG.</w:t>
      </w:r>
    </w:p>
    <w:p w14:paraId="4F581DD9" w14:textId="77777777" w:rsidR="0062472D" w:rsidRPr="00DE2EF7" w:rsidRDefault="0062472D" w:rsidP="0062472D">
      <w:pPr>
        <w:ind w:left="0"/>
        <w:jc w:val="both"/>
        <w:rPr>
          <w:rFonts w:ascii="Bookman Old Style" w:hAnsi="Bookman Old Style" w:cs="Arial"/>
          <w:lang w:val="es-ES_tradnl"/>
        </w:rPr>
      </w:pPr>
    </w:p>
    <w:p w14:paraId="44C8E2EC" w14:textId="3A607040" w:rsidR="008C532E" w:rsidRDefault="0062472D" w:rsidP="0062472D">
      <w:pPr>
        <w:ind w:left="0"/>
        <w:jc w:val="both"/>
        <w:rPr>
          <w:rFonts w:ascii="Bookman Old Style" w:hAnsi="Bookman Old Style" w:cs="Arial"/>
          <w:lang w:val="es-ES_tradnl"/>
        </w:rPr>
      </w:pPr>
      <w:r>
        <w:rPr>
          <w:rFonts w:ascii="Bookman Old Style" w:hAnsi="Bookman Old Style" w:cs="Arial"/>
          <w:lang w:val="es-ES_tradnl"/>
        </w:rPr>
        <w:t xml:space="preserve">De acuerdo con lo anteriormente expuesto, la Comisión </w:t>
      </w:r>
      <w:r w:rsidR="00325B9D">
        <w:rPr>
          <w:rFonts w:ascii="Bookman Old Style" w:hAnsi="Bookman Old Style" w:cs="Arial"/>
          <w:lang w:val="es-ES_tradnl"/>
        </w:rPr>
        <w:t>encontró</w:t>
      </w:r>
      <w:r>
        <w:rPr>
          <w:rFonts w:ascii="Bookman Old Style" w:hAnsi="Bookman Old Style" w:cs="Arial"/>
          <w:lang w:val="es-ES_tradnl"/>
        </w:rPr>
        <w:t xml:space="preserve"> que, en el marco de la metodología de precio regulado</w:t>
      </w:r>
      <w:r w:rsidR="006E06AB">
        <w:rPr>
          <w:rFonts w:ascii="Bookman Old Style" w:hAnsi="Bookman Old Style" w:cs="Arial"/>
          <w:lang w:val="es-ES_tradnl"/>
        </w:rPr>
        <w:t>,</w:t>
      </w:r>
      <w:r>
        <w:rPr>
          <w:rFonts w:ascii="Bookman Old Style" w:hAnsi="Bookman Old Style" w:cs="Arial"/>
          <w:lang w:val="es-ES_tradnl"/>
        </w:rPr>
        <w:t xml:space="preserve"> las fuentes de GLP</w:t>
      </w:r>
      <w:r w:rsidR="006E06AB">
        <w:rPr>
          <w:rFonts w:ascii="Bookman Old Style" w:hAnsi="Bookman Old Style" w:cs="Arial"/>
          <w:lang w:val="es-ES_tradnl"/>
        </w:rPr>
        <w:t xml:space="preserve"> comercializadas por Ecopetrol </w:t>
      </w:r>
      <w:r>
        <w:rPr>
          <w:rFonts w:ascii="Bookman Old Style" w:hAnsi="Bookman Old Style" w:cs="Arial"/>
          <w:lang w:val="es-ES_tradnl"/>
        </w:rPr>
        <w:t>cubren completamente la demanda nacional para el primer semestre de 2020</w:t>
      </w:r>
      <w:r w:rsidR="00E43926">
        <w:rPr>
          <w:rFonts w:ascii="Bookman Old Style" w:hAnsi="Bookman Old Style" w:cs="Arial"/>
          <w:lang w:val="es-ES_tradnl"/>
        </w:rPr>
        <w:t>,</w:t>
      </w:r>
      <w:r>
        <w:rPr>
          <w:rFonts w:ascii="Bookman Old Style" w:hAnsi="Bookman Old Style" w:cs="Arial"/>
          <w:lang w:val="es-ES_tradnl"/>
        </w:rPr>
        <w:t xml:space="preserve"> y representa</w:t>
      </w:r>
      <w:r w:rsidR="006E06AB">
        <w:rPr>
          <w:rFonts w:ascii="Bookman Old Style" w:hAnsi="Bookman Old Style" w:cs="Arial"/>
          <w:lang w:val="es-ES_tradnl"/>
        </w:rPr>
        <w:t>ría</w:t>
      </w:r>
      <w:r>
        <w:rPr>
          <w:rFonts w:ascii="Bookman Old Style" w:hAnsi="Bookman Old Style" w:cs="Arial"/>
          <w:lang w:val="es-ES_tradnl"/>
        </w:rPr>
        <w:t>n alrededor del 85% en los próximos años</w:t>
      </w:r>
      <w:r w:rsidR="008C532E">
        <w:rPr>
          <w:rFonts w:ascii="Bookman Old Style" w:hAnsi="Bookman Old Style" w:cs="Arial"/>
          <w:lang w:val="es-ES_tradnl"/>
        </w:rPr>
        <w:t>.</w:t>
      </w:r>
    </w:p>
    <w:p w14:paraId="52CE387C" w14:textId="77777777" w:rsidR="008C532E" w:rsidRDefault="008C532E" w:rsidP="0062472D">
      <w:pPr>
        <w:ind w:left="0"/>
        <w:jc w:val="both"/>
        <w:rPr>
          <w:rFonts w:ascii="Bookman Old Style" w:hAnsi="Bookman Old Style" w:cs="Arial"/>
          <w:lang w:val="es-ES_tradnl"/>
        </w:rPr>
      </w:pPr>
    </w:p>
    <w:p w14:paraId="2CA57353" w14:textId="0D6F55A7" w:rsidR="008C532E" w:rsidRDefault="004071CF" w:rsidP="0062472D">
      <w:pPr>
        <w:ind w:left="0"/>
        <w:jc w:val="both"/>
        <w:rPr>
          <w:rFonts w:ascii="Bookman Old Style" w:hAnsi="Bookman Old Style" w:cs="Arial"/>
          <w:lang w:val="es-ES_tradnl"/>
        </w:rPr>
      </w:pPr>
      <w:r>
        <w:rPr>
          <w:rFonts w:ascii="Bookman Old Style" w:hAnsi="Bookman Old Style" w:cs="Arial"/>
          <w:lang w:val="es-ES_tradnl"/>
        </w:rPr>
        <w:t>Adicionalmente</w:t>
      </w:r>
      <w:r w:rsidRPr="004071CF">
        <w:rPr>
          <w:rFonts w:ascii="Bookman Old Style" w:hAnsi="Bookman Old Style" w:cs="Arial"/>
          <w:lang w:val="es-ES_tradnl"/>
        </w:rPr>
        <w:t xml:space="preserve">, </w:t>
      </w:r>
      <w:r>
        <w:rPr>
          <w:rFonts w:ascii="Bookman Old Style" w:hAnsi="Bookman Old Style" w:cs="Arial"/>
          <w:lang w:val="es-ES_tradnl"/>
        </w:rPr>
        <w:t>para</w:t>
      </w:r>
      <w:r w:rsidR="00651C25">
        <w:rPr>
          <w:rFonts w:ascii="Bookman Old Style" w:hAnsi="Bookman Old Style" w:cs="Arial"/>
          <w:lang w:val="es-ES_tradnl"/>
        </w:rPr>
        <w:t xml:space="preserve"> el caso específico</w:t>
      </w:r>
      <w:r>
        <w:rPr>
          <w:rFonts w:ascii="Bookman Old Style" w:hAnsi="Bookman Old Style" w:cs="Arial"/>
          <w:lang w:val="es-ES_tradnl"/>
        </w:rPr>
        <w:t xml:space="preserve"> </w:t>
      </w:r>
      <w:r w:rsidR="00651C25">
        <w:rPr>
          <w:rFonts w:ascii="Bookman Old Style" w:hAnsi="Bookman Old Style" w:cs="Arial"/>
          <w:lang w:val="es-ES_tradnl"/>
        </w:rPr>
        <w:t>d</w:t>
      </w:r>
      <w:r w:rsidRPr="004071CF">
        <w:rPr>
          <w:rFonts w:ascii="Bookman Old Style" w:hAnsi="Bookman Old Style" w:cs="Arial"/>
          <w:lang w:val="es-ES_tradnl"/>
        </w:rPr>
        <w:t>el segundo semestre de 2020</w:t>
      </w:r>
      <w:r w:rsidR="00651C25">
        <w:rPr>
          <w:rFonts w:ascii="Bookman Old Style" w:hAnsi="Bookman Old Style" w:cs="Arial"/>
          <w:lang w:val="es-ES_tradnl"/>
        </w:rPr>
        <w:t xml:space="preserve">, de acuerdo con lo informado por Ecopetrol a </w:t>
      </w:r>
      <w:r w:rsidR="001905B1">
        <w:rPr>
          <w:rFonts w:ascii="Bookman Old Style" w:hAnsi="Bookman Old Style" w:cs="Arial"/>
          <w:lang w:val="es-ES_tradnl"/>
        </w:rPr>
        <w:t>esta</w:t>
      </w:r>
      <w:r w:rsidR="00651C25">
        <w:rPr>
          <w:rFonts w:ascii="Bookman Old Style" w:hAnsi="Bookman Old Style" w:cs="Arial"/>
          <w:lang w:val="es-ES_tradnl"/>
        </w:rPr>
        <w:t xml:space="preserve"> Comisión en comunicación de radicado CREG </w:t>
      </w:r>
      <w:r w:rsidR="00AE2A2A">
        <w:rPr>
          <w:rFonts w:ascii="Bookman Old Style" w:hAnsi="Bookman Old Style" w:cs="Arial"/>
          <w:lang w:val="es-ES_tradnl"/>
        </w:rPr>
        <w:t>E-2020-</w:t>
      </w:r>
      <w:r w:rsidR="00B3689F">
        <w:rPr>
          <w:rFonts w:ascii="Bookman Old Style" w:hAnsi="Bookman Old Style" w:cs="Arial"/>
          <w:lang w:val="es-ES_tradnl"/>
        </w:rPr>
        <w:t>004305 de mayo de 2020</w:t>
      </w:r>
      <w:r w:rsidR="00BA74C0">
        <w:rPr>
          <w:rFonts w:ascii="Bookman Old Style" w:hAnsi="Bookman Old Style" w:cs="Arial"/>
          <w:lang w:val="es-ES_tradnl"/>
        </w:rPr>
        <w:t>,</w:t>
      </w:r>
      <w:r w:rsidRPr="004071CF">
        <w:rPr>
          <w:rFonts w:ascii="Bookman Old Style" w:hAnsi="Bookman Old Style" w:cs="Arial"/>
          <w:lang w:val="es-ES_tradnl"/>
        </w:rPr>
        <w:t xml:space="preserve"> se observa </w:t>
      </w:r>
      <w:r w:rsidR="001905B1">
        <w:rPr>
          <w:rFonts w:ascii="Bookman Old Style" w:hAnsi="Bookman Old Style" w:cs="Arial"/>
          <w:lang w:val="es-ES_tradnl"/>
        </w:rPr>
        <w:t xml:space="preserve">que este agente </w:t>
      </w:r>
      <w:r w:rsidRPr="004071CF">
        <w:rPr>
          <w:rFonts w:ascii="Bookman Old Style" w:hAnsi="Bookman Old Style" w:cs="Arial"/>
          <w:lang w:val="es-ES_tradnl"/>
        </w:rPr>
        <w:t>estar</w:t>
      </w:r>
      <w:r w:rsidR="001905B1">
        <w:rPr>
          <w:rFonts w:ascii="Bookman Old Style" w:hAnsi="Bookman Old Style" w:cs="Arial"/>
          <w:lang w:val="es-ES_tradnl"/>
        </w:rPr>
        <w:t>ía</w:t>
      </w:r>
      <w:r w:rsidRPr="004071CF">
        <w:rPr>
          <w:rFonts w:ascii="Bookman Old Style" w:hAnsi="Bookman Old Style" w:cs="Arial"/>
          <w:lang w:val="es-ES_tradnl"/>
        </w:rPr>
        <w:t xml:space="preserve"> </w:t>
      </w:r>
      <w:r w:rsidR="001905B1">
        <w:rPr>
          <w:rFonts w:ascii="Bookman Old Style" w:hAnsi="Bookman Old Style" w:cs="Arial"/>
          <w:lang w:val="es-ES_tradnl"/>
        </w:rPr>
        <w:t>ofreciendo</w:t>
      </w:r>
      <w:r w:rsidRPr="004071CF">
        <w:rPr>
          <w:rFonts w:ascii="Bookman Old Style" w:hAnsi="Bookman Old Style" w:cs="Arial"/>
          <w:lang w:val="es-ES_tradnl"/>
        </w:rPr>
        <w:t xml:space="preserve"> para el servicio público domiciliario entre </w:t>
      </w:r>
      <w:r w:rsidR="001905B1">
        <w:rPr>
          <w:rFonts w:ascii="Bookman Old Style" w:hAnsi="Bookman Old Style" w:cs="Arial"/>
          <w:lang w:val="es-ES_tradnl"/>
        </w:rPr>
        <w:t>4</w:t>
      </w:r>
      <w:r w:rsidR="00936594">
        <w:rPr>
          <w:rFonts w:ascii="Bookman Old Style" w:hAnsi="Bookman Old Style" w:cs="Arial"/>
          <w:lang w:val="es-ES_tradnl"/>
        </w:rPr>
        <w:t>2</w:t>
      </w:r>
      <w:r w:rsidR="001905B1">
        <w:rPr>
          <w:rFonts w:ascii="Bookman Old Style" w:hAnsi="Bookman Old Style" w:cs="Arial"/>
          <w:lang w:val="es-ES_tradnl"/>
        </w:rPr>
        <w:t xml:space="preserve"> y</w:t>
      </w:r>
      <w:r w:rsidR="0031728F">
        <w:rPr>
          <w:rFonts w:ascii="Bookman Old Style" w:hAnsi="Bookman Old Style" w:cs="Arial"/>
          <w:lang w:val="es-ES_tradnl"/>
        </w:rPr>
        <w:t xml:space="preserve"> 4</w:t>
      </w:r>
      <w:r w:rsidR="00936594">
        <w:rPr>
          <w:rFonts w:ascii="Bookman Old Style" w:hAnsi="Bookman Old Style" w:cs="Arial"/>
          <w:lang w:val="es-ES_tradnl"/>
        </w:rPr>
        <w:t>5</w:t>
      </w:r>
      <w:r w:rsidR="0031728F">
        <w:rPr>
          <w:rFonts w:ascii="Bookman Old Style" w:hAnsi="Bookman Old Style" w:cs="Arial"/>
          <w:lang w:val="es-ES_tradnl"/>
        </w:rPr>
        <w:t xml:space="preserve"> millones de Kg</w:t>
      </w:r>
      <w:r w:rsidR="007457D1">
        <w:rPr>
          <w:rFonts w:ascii="Bookman Old Style" w:hAnsi="Bookman Old Style" w:cs="Arial"/>
          <w:lang w:val="es-ES_tradnl"/>
        </w:rPr>
        <w:t xml:space="preserve"> </w:t>
      </w:r>
      <w:r w:rsidR="001905B1">
        <w:rPr>
          <w:rFonts w:ascii="Bookman Old Style" w:hAnsi="Bookman Old Style" w:cs="Arial"/>
          <w:lang w:val="es-ES_tradnl"/>
        </w:rPr>
        <w:t xml:space="preserve">al </w:t>
      </w:r>
      <w:r w:rsidR="00936594">
        <w:rPr>
          <w:rFonts w:ascii="Bookman Old Style" w:hAnsi="Bookman Old Style" w:cs="Arial"/>
          <w:lang w:val="es-ES_tradnl"/>
        </w:rPr>
        <w:t>mes,</w:t>
      </w:r>
      <w:r w:rsidR="001905B1">
        <w:rPr>
          <w:rFonts w:ascii="Bookman Old Style" w:hAnsi="Bookman Old Style" w:cs="Arial"/>
          <w:lang w:val="es-ES_tradnl"/>
        </w:rPr>
        <w:t xml:space="preserve"> </w:t>
      </w:r>
      <w:r w:rsidR="007457D1">
        <w:rPr>
          <w:rFonts w:ascii="Bookman Old Style" w:hAnsi="Bookman Old Style" w:cs="Arial"/>
          <w:lang w:val="es-ES_tradnl"/>
        </w:rPr>
        <w:t>aproximadamente</w:t>
      </w:r>
      <w:r w:rsidR="001905B1">
        <w:rPr>
          <w:rFonts w:ascii="Bookman Old Style" w:hAnsi="Bookman Old Style" w:cs="Arial"/>
          <w:lang w:val="es-ES_tradnl"/>
        </w:rPr>
        <w:t xml:space="preserve">, </w:t>
      </w:r>
      <w:r w:rsidR="00B36139">
        <w:rPr>
          <w:rFonts w:ascii="Bookman Old Style" w:hAnsi="Bookman Old Style" w:cs="Arial"/>
          <w:lang w:val="es-ES_tradnl"/>
        </w:rPr>
        <w:t xml:space="preserve">de </w:t>
      </w:r>
      <w:r w:rsidR="001905B1">
        <w:rPr>
          <w:rFonts w:ascii="Bookman Old Style" w:hAnsi="Bookman Old Style" w:cs="Arial"/>
          <w:lang w:val="es-ES_tradnl"/>
        </w:rPr>
        <w:t>17</w:t>
      </w:r>
      <w:r w:rsidR="00936594">
        <w:rPr>
          <w:rFonts w:ascii="Bookman Old Style" w:hAnsi="Bookman Old Style" w:cs="Arial"/>
          <w:lang w:val="es-ES_tradnl"/>
        </w:rPr>
        <w:t>.000 a 18</w:t>
      </w:r>
      <w:r w:rsidR="001905B1">
        <w:rPr>
          <w:rFonts w:ascii="Bookman Old Style" w:hAnsi="Bookman Old Style" w:cs="Arial"/>
          <w:lang w:val="es-ES_tradnl"/>
        </w:rPr>
        <w:t>.000 ba</w:t>
      </w:r>
      <w:r w:rsidR="00B36139">
        <w:rPr>
          <w:rFonts w:ascii="Bookman Old Style" w:hAnsi="Bookman Old Style" w:cs="Arial"/>
          <w:lang w:val="es-ES_tradnl"/>
        </w:rPr>
        <w:t>r</w:t>
      </w:r>
      <w:r w:rsidR="001905B1">
        <w:rPr>
          <w:rFonts w:ascii="Bookman Old Style" w:hAnsi="Bookman Old Style" w:cs="Arial"/>
          <w:lang w:val="es-ES_tradnl"/>
        </w:rPr>
        <w:t>riles al día</w:t>
      </w:r>
      <w:r w:rsidR="0031728F">
        <w:rPr>
          <w:rFonts w:ascii="Bookman Old Style" w:hAnsi="Bookman Old Style" w:cs="Arial"/>
          <w:lang w:val="es-ES_tradnl"/>
        </w:rPr>
        <w:t>, lo cual puede representar entre el 80% y el 85%</w:t>
      </w:r>
      <w:r w:rsidR="00E92705">
        <w:rPr>
          <w:rFonts w:ascii="Bookman Old Style" w:hAnsi="Bookman Old Style" w:cs="Arial"/>
          <w:lang w:val="es-ES_tradnl"/>
        </w:rPr>
        <w:t xml:space="preserve"> </w:t>
      </w:r>
      <w:r w:rsidR="004A3A37">
        <w:rPr>
          <w:rFonts w:ascii="Bookman Old Style" w:hAnsi="Bookman Old Style" w:cs="Arial"/>
          <w:lang w:val="es-ES_tradnl"/>
        </w:rPr>
        <w:t>de la demanda del servicio público domiciliario</w:t>
      </w:r>
      <w:r w:rsidR="00E47C0E">
        <w:rPr>
          <w:rFonts w:ascii="Bookman Old Style" w:hAnsi="Bookman Old Style" w:cs="Arial"/>
          <w:lang w:val="es-ES_tradnl"/>
        </w:rPr>
        <w:t>. En la gráfica que se muestra a continuación</w:t>
      </w:r>
      <w:r w:rsidR="00936594">
        <w:rPr>
          <w:rFonts w:ascii="Bookman Old Style" w:hAnsi="Bookman Old Style" w:cs="Arial"/>
          <w:lang w:val="es-ES_tradnl"/>
        </w:rPr>
        <w:t>,</w:t>
      </w:r>
      <w:r w:rsidR="00E47C0E">
        <w:rPr>
          <w:rFonts w:ascii="Bookman Old Style" w:hAnsi="Bookman Old Style" w:cs="Arial"/>
          <w:lang w:val="es-ES_tradnl"/>
        </w:rPr>
        <w:t xml:space="preserve"> se ob</w:t>
      </w:r>
      <w:r w:rsidR="004E1599">
        <w:rPr>
          <w:rFonts w:ascii="Bookman Old Style" w:hAnsi="Bookman Old Style" w:cs="Arial"/>
          <w:lang w:val="es-ES_tradnl"/>
        </w:rPr>
        <w:t>s</w:t>
      </w:r>
      <w:r w:rsidR="00E47C0E">
        <w:rPr>
          <w:rFonts w:ascii="Bookman Old Style" w:hAnsi="Bookman Old Style" w:cs="Arial"/>
          <w:lang w:val="es-ES_tradnl"/>
        </w:rPr>
        <w:t>ervan las cantidades informadas inicialmente por E</w:t>
      </w:r>
      <w:r w:rsidR="004E1599">
        <w:rPr>
          <w:rFonts w:ascii="Bookman Old Style" w:hAnsi="Bookman Old Style" w:cs="Arial"/>
          <w:lang w:val="es-ES_tradnl"/>
        </w:rPr>
        <w:t xml:space="preserve">copetrol, sin perjuicio de las cantidades que sean </w:t>
      </w:r>
      <w:r w:rsidR="00936594">
        <w:rPr>
          <w:rFonts w:ascii="Bookman Old Style" w:hAnsi="Bookman Old Style" w:cs="Arial"/>
          <w:lang w:val="es-ES_tradnl"/>
        </w:rPr>
        <w:t>informadas</w:t>
      </w:r>
      <w:r w:rsidR="004E1599">
        <w:rPr>
          <w:rFonts w:ascii="Bookman Old Style" w:hAnsi="Bookman Old Style" w:cs="Arial"/>
          <w:lang w:val="es-ES_tradnl"/>
        </w:rPr>
        <w:t xml:space="preserve"> oficialmente </w:t>
      </w:r>
      <w:r w:rsidR="00936594">
        <w:rPr>
          <w:rFonts w:ascii="Bookman Old Style" w:hAnsi="Bookman Old Style" w:cs="Arial"/>
          <w:lang w:val="es-ES_tradnl"/>
        </w:rPr>
        <w:t xml:space="preserve">al mercado, </w:t>
      </w:r>
      <w:r w:rsidR="004E1599">
        <w:rPr>
          <w:rFonts w:ascii="Bookman Old Style" w:hAnsi="Bookman Old Style" w:cs="Arial"/>
          <w:lang w:val="es-ES_tradnl"/>
        </w:rPr>
        <w:t>en el marco de la Resolución CREG 053 de 2011:</w:t>
      </w:r>
      <w:r w:rsidR="004A3A37">
        <w:rPr>
          <w:rFonts w:ascii="Bookman Old Style" w:hAnsi="Bookman Old Style" w:cs="Arial"/>
          <w:lang w:val="es-ES_tradnl"/>
        </w:rPr>
        <w:t xml:space="preserve"> </w:t>
      </w:r>
    </w:p>
    <w:p w14:paraId="13A8A408" w14:textId="4F5CE78F" w:rsidR="004071CF" w:rsidRDefault="003203DA" w:rsidP="003203DA">
      <w:pPr>
        <w:ind w:left="0"/>
        <w:jc w:val="center"/>
        <w:rPr>
          <w:rFonts w:ascii="Bookman Old Style" w:hAnsi="Bookman Old Style" w:cs="Arial"/>
          <w:lang w:val="es-ES_tradnl"/>
        </w:rPr>
      </w:pPr>
      <w:r>
        <w:rPr>
          <w:noProof/>
        </w:rPr>
        <w:drawing>
          <wp:inline distT="0" distB="0" distL="0" distR="0" wp14:anchorId="3A2C265A" wp14:editId="0EE46928">
            <wp:extent cx="5254625" cy="2048435"/>
            <wp:effectExtent l="0" t="0" r="3175" b="9525"/>
            <wp:docPr id="13" name="Marcador de contenido 4" descr="Captura de pantalla de un celular&#10;&#10;Descripción generada automáticamente">
              <a:extLst xmlns:a="http://schemas.openxmlformats.org/drawingml/2006/main">
                <a:ext uri="{FF2B5EF4-FFF2-40B4-BE49-F238E27FC236}">
                  <a16:creationId xmlns:a16="http://schemas.microsoft.com/office/drawing/2014/main" id="{E9413DDD-43DB-4EFD-A017-7F434B3F443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Marcador de contenido 4" descr="Captura de pantalla de un celular&#10;&#10;Descripción generada automáticamente">
                      <a:extLst>
                        <a:ext uri="{FF2B5EF4-FFF2-40B4-BE49-F238E27FC236}">
                          <a16:creationId xmlns:a16="http://schemas.microsoft.com/office/drawing/2014/main" id="{E9413DDD-43DB-4EFD-A017-7F434B3F4430}"/>
                        </a:ext>
                      </a:extLst>
                    </pic:cNvPr>
                    <pic:cNvPicPr>
                      <a:picLocks noGrp="1" noChangeAspect="1"/>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l="17921" t="24127" r="20680" b="31941"/>
                    <a:stretch/>
                  </pic:blipFill>
                  <pic:spPr bwMode="auto">
                    <a:xfrm>
                      <a:off x="0" y="0"/>
                      <a:ext cx="5295220" cy="2064260"/>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DA8DDAD" w14:textId="726D6927" w:rsidR="004071CF" w:rsidRPr="003203DA" w:rsidRDefault="003203DA" w:rsidP="003203DA">
      <w:pPr>
        <w:ind w:left="0"/>
        <w:jc w:val="center"/>
        <w:rPr>
          <w:rFonts w:ascii="Bookman Old Style" w:hAnsi="Bookman Old Style" w:cs="Arial"/>
          <w:sz w:val="16"/>
          <w:szCs w:val="16"/>
          <w:lang w:val="es-ES_tradnl"/>
        </w:rPr>
      </w:pPr>
      <w:r w:rsidRPr="003203DA">
        <w:rPr>
          <w:rFonts w:ascii="Bookman Old Style" w:hAnsi="Bookman Old Style" w:cs="Arial"/>
          <w:sz w:val="16"/>
          <w:szCs w:val="16"/>
          <w:lang w:val="es-ES_tradnl"/>
        </w:rPr>
        <w:t>Fuente Ecopetrol: Cifras en barriles por día</w:t>
      </w:r>
    </w:p>
    <w:p w14:paraId="6A67F3C7" w14:textId="77777777" w:rsidR="003203DA" w:rsidRPr="003E1031" w:rsidRDefault="003203DA" w:rsidP="003203DA">
      <w:pPr>
        <w:ind w:left="0"/>
        <w:jc w:val="center"/>
        <w:rPr>
          <w:rFonts w:ascii="Bookman Old Style" w:hAnsi="Bookman Old Style" w:cs="Arial"/>
          <w:sz w:val="32"/>
          <w:szCs w:val="32"/>
          <w:lang w:val="es-ES_tradnl"/>
        </w:rPr>
      </w:pPr>
    </w:p>
    <w:p w14:paraId="027DFBD5" w14:textId="0B337A2A" w:rsidR="0062472D" w:rsidRDefault="003203DA" w:rsidP="0062472D">
      <w:pPr>
        <w:ind w:left="0"/>
        <w:jc w:val="both"/>
        <w:rPr>
          <w:rFonts w:ascii="Bookman Old Style" w:hAnsi="Bookman Old Style"/>
        </w:rPr>
      </w:pPr>
      <w:r>
        <w:rPr>
          <w:rFonts w:ascii="Bookman Old Style" w:hAnsi="Bookman Old Style" w:cs="Arial"/>
          <w:lang w:val="es-ES_tradnl"/>
        </w:rPr>
        <w:t>Adicionalmente</w:t>
      </w:r>
      <w:r w:rsidR="004071CF">
        <w:rPr>
          <w:rFonts w:ascii="Bookman Old Style" w:hAnsi="Bookman Old Style" w:cs="Arial"/>
          <w:lang w:val="es-ES_tradnl"/>
        </w:rPr>
        <w:t xml:space="preserve">, que </w:t>
      </w:r>
      <w:r w:rsidR="0062472D">
        <w:rPr>
          <w:rFonts w:ascii="Bookman Old Style" w:hAnsi="Bookman Old Style" w:cs="Arial"/>
          <w:lang w:val="es-ES_tradnl"/>
        </w:rPr>
        <w:t xml:space="preserve">ante la </w:t>
      </w:r>
      <w:r w:rsidR="0062472D" w:rsidRPr="00D15634">
        <w:rPr>
          <w:rFonts w:ascii="Bookman Old Style" w:hAnsi="Bookman Old Style" w:cs="Arial"/>
          <w:lang w:val="es-ES_tradnl"/>
        </w:rPr>
        <w:t>coyuntura actual de los precios internacionales del crudo y de sus derivados</w:t>
      </w:r>
      <w:r w:rsidR="0062472D">
        <w:rPr>
          <w:rFonts w:ascii="Bookman Old Style" w:hAnsi="Bookman Old Style" w:cs="Arial"/>
          <w:lang w:val="es-ES_tradnl"/>
        </w:rPr>
        <w:t>,</w:t>
      </w:r>
      <w:r w:rsidR="0062472D" w:rsidRPr="00D15634">
        <w:rPr>
          <w:rFonts w:ascii="Bookman Old Style" w:hAnsi="Bookman Old Style" w:cs="Arial"/>
          <w:lang w:val="es-ES_tradnl"/>
        </w:rPr>
        <w:t xml:space="preserve"> </w:t>
      </w:r>
      <w:r w:rsidR="0062472D">
        <w:rPr>
          <w:rFonts w:ascii="Bookman Old Style" w:hAnsi="Bookman Old Style" w:cs="Arial"/>
          <w:lang w:val="es-ES_tradnl"/>
        </w:rPr>
        <w:t xml:space="preserve">la aplicación de las fórmulas previstas en los artículos 3 y 4 de la Resolución CREG 066 de 2007, y la referencia del costo de oportunidad al precio </w:t>
      </w:r>
      <w:r w:rsidR="0062472D" w:rsidRPr="008A01D4">
        <w:rPr>
          <w:rFonts w:ascii="Bookman Old Style" w:hAnsi="Bookman Old Style"/>
        </w:rPr>
        <w:t>del Propano</w:t>
      </w:r>
      <w:r w:rsidR="0062472D">
        <w:rPr>
          <w:rFonts w:ascii="Bookman Old Style" w:hAnsi="Bookman Old Style"/>
        </w:rPr>
        <w:t xml:space="preserve"> y del Butano</w:t>
      </w:r>
      <w:r w:rsidR="0062472D" w:rsidRPr="008A01D4">
        <w:rPr>
          <w:rFonts w:ascii="Bookman Old Style" w:hAnsi="Bookman Old Style"/>
        </w:rPr>
        <w:t xml:space="preserve"> NON-TET Mont Belvieu</w:t>
      </w:r>
      <w:r w:rsidR="0062472D">
        <w:rPr>
          <w:rFonts w:ascii="Bookman Old Style" w:hAnsi="Bookman Old Style"/>
        </w:rPr>
        <w:t xml:space="preserve">, </w:t>
      </w:r>
      <w:r w:rsidR="004071CF">
        <w:rPr>
          <w:rFonts w:ascii="Bookman Old Style" w:hAnsi="Bookman Old Style"/>
        </w:rPr>
        <w:t xml:space="preserve">se evidenció que esto </w:t>
      </w:r>
      <w:r w:rsidR="0062472D">
        <w:rPr>
          <w:rFonts w:ascii="Bookman Old Style" w:hAnsi="Bookman Old Style"/>
        </w:rPr>
        <w:t>p</w:t>
      </w:r>
      <w:r w:rsidR="004071CF">
        <w:rPr>
          <w:rFonts w:ascii="Bookman Old Style" w:hAnsi="Bookman Old Style"/>
        </w:rPr>
        <w:t>odía</w:t>
      </w:r>
      <w:r w:rsidR="0062472D">
        <w:rPr>
          <w:rFonts w:ascii="Bookman Old Style" w:hAnsi="Bookman Old Style"/>
        </w:rPr>
        <w:t xml:space="preserve"> generar que el precio regulado del GLP termin</w:t>
      </w:r>
      <w:r w:rsidR="004071CF">
        <w:rPr>
          <w:rFonts w:ascii="Bookman Old Style" w:hAnsi="Bookman Old Style"/>
        </w:rPr>
        <w:t>ara</w:t>
      </w:r>
      <w:r w:rsidR="0062472D">
        <w:rPr>
          <w:rFonts w:ascii="Bookman Old Style" w:hAnsi="Bookman Old Style"/>
        </w:rPr>
        <w:t xml:space="preserve"> en niveles que </w:t>
      </w:r>
      <w:r w:rsidR="004071CF">
        <w:rPr>
          <w:rFonts w:ascii="Bookman Old Style" w:hAnsi="Bookman Old Style"/>
        </w:rPr>
        <w:t xml:space="preserve">podrían </w:t>
      </w:r>
      <w:r w:rsidR="0062472D">
        <w:rPr>
          <w:rFonts w:ascii="Bookman Old Style" w:hAnsi="Bookman Old Style"/>
        </w:rPr>
        <w:t>conllev</w:t>
      </w:r>
      <w:r w:rsidR="004071CF">
        <w:rPr>
          <w:rFonts w:ascii="Bookman Old Style" w:hAnsi="Bookman Old Style"/>
        </w:rPr>
        <w:t>ar</w:t>
      </w:r>
      <w:r w:rsidR="0062472D">
        <w:rPr>
          <w:rFonts w:ascii="Bookman Old Style" w:hAnsi="Bookman Old Style"/>
        </w:rPr>
        <w:t xml:space="preserve"> a la afectación en la garantía y continuidad en el suministro de GLP para el servicio público domiciliario.</w:t>
      </w:r>
    </w:p>
    <w:p w14:paraId="3632C05E" w14:textId="77777777" w:rsidR="0062472D" w:rsidRDefault="0062472D" w:rsidP="0062472D">
      <w:pPr>
        <w:ind w:left="0"/>
        <w:jc w:val="both"/>
        <w:rPr>
          <w:rFonts w:ascii="Bookman Old Style" w:hAnsi="Bookman Old Style"/>
        </w:rPr>
      </w:pPr>
    </w:p>
    <w:p w14:paraId="540AB383" w14:textId="791B4A50" w:rsidR="0062472D" w:rsidRDefault="0062472D" w:rsidP="0062472D">
      <w:pPr>
        <w:ind w:left="0"/>
        <w:jc w:val="both"/>
        <w:rPr>
          <w:rFonts w:ascii="Bookman Old Style" w:hAnsi="Bookman Old Style"/>
        </w:rPr>
      </w:pPr>
      <w:r>
        <w:rPr>
          <w:rFonts w:ascii="Bookman Old Style" w:hAnsi="Bookman Old Style"/>
        </w:rPr>
        <w:t xml:space="preserve">En la siguiente gráfica se presenta </w:t>
      </w:r>
      <w:r w:rsidR="004B073A">
        <w:rPr>
          <w:rFonts w:ascii="Bookman Old Style" w:hAnsi="Bookman Old Style"/>
        </w:rPr>
        <w:t>el</w:t>
      </w:r>
      <w:r>
        <w:rPr>
          <w:rFonts w:ascii="Bookman Old Style" w:hAnsi="Bookman Old Style"/>
        </w:rPr>
        <w:t xml:space="preserve"> análisis del comportamiento de los precios del GLP, propano y butano, en línea con la tendencia de los precios internacionales del petróleo:</w:t>
      </w:r>
    </w:p>
    <w:p w14:paraId="05BE4B7E" w14:textId="77777777" w:rsidR="0062472D" w:rsidRDefault="0062472D" w:rsidP="0062472D">
      <w:pPr>
        <w:ind w:left="0"/>
        <w:jc w:val="both"/>
        <w:rPr>
          <w:rFonts w:ascii="Bookman Old Style" w:hAnsi="Bookman Old Style"/>
        </w:rPr>
      </w:pPr>
    </w:p>
    <w:p w14:paraId="1C107A6E" w14:textId="77777777" w:rsidR="0062472D" w:rsidRDefault="0062472D" w:rsidP="0062472D">
      <w:pPr>
        <w:ind w:left="0" w:right="425" w:firstLine="567"/>
        <w:contextualSpacing/>
        <w:jc w:val="center"/>
        <w:rPr>
          <w:rFonts w:ascii="Bookman Old Style" w:hAnsi="Bookman Old Style" w:cs="Arial"/>
          <w:b/>
          <w:bCs/>
          <w:lang w:val="es-ES_tradnl"/>
        </w:rPr>
      </w:pPr>
      <w:r>
        <w:rPr>
          <w:rFonts w:ascii="Bookman Old Style" w:hAnsi="Bookman Old Style" w:cs="Arial"/>
          <w:b/>
          <w:bCs/>
          <w:lang w:val="es-ES_tradnl"/>
        </w:rPr>
        <w:t xml:space="preserve">Gráfica Precios </w:t>
      </w:r>
      <w:r w:rsidRPr="0011681E">
        <w:rPr>
          <w:rFonts w:ascii="Bookman Old Style" w:hAnsi="Bookman Old Style" w:cs="Arial"/>
          <w:b/>
          <w:bCs/>
          <w:lang w:val="es-ES_tradnl"/>
        </w:rPr>
        <w:t>internacionales de propano y butano</w:t>
      </w:r>
      <w:r>
        <w:rPr>
          <w:rFonts w:ascii="Bookman Old Style" w:hAnsi="Bookman Old Style" w:cs="Arial"/>
          <w:b/>
          <w:bCs/>
          <w:lang w:val="es-ES_tradnl"/>
        </w:rPr>
        <w:t xml:space="preserve"> 2010 - 2020</w:t>
      </w:r>
      <w:r w:rsidRPr="0011681E">
        <w:rPr>
          <w:rFonts w:ascii="Bookman Old Style" w:hAnsi="Bookman Old Style" w:cs="Arial"/>
          <w:b/>
          <w:bCs/>
          <w:lang w:val="es-ES_tradnl"/>
        </w:rPr>
        <w:t>.</w:t>
      </w:r>
    </w:p>
    <w:p w14:paraId="3F359990" w14:textId="77777777" w:rsidR="0062472D" w:rsidRDefault="0062472D" w:rsidP="0062472D">
      <w:pPr>
        <w:ind w:left="0"/>
        <w:jc w:val="both"/>
        <w:rPr>
          <w:rFonts w:ascii="Bookman Old Style" w:hAnsi="Bookman Old Style"/>
        </w:rPr>
      </w:pPr>
    </w:p>
    <w:p w14:paraId="06510DB8" w14:textId="77777777" w:rsidR="0062472D" w:rsidRDefault="0062472D" w:rsidP="0062472D">
      <w:pPr>
        <w:ind w:left="0"/>
        <w:jc w:val="center"/>
        <w:rPr>
          <w:rFonts w:ascii="Bookman Old Style" w:hAnsi="Bookman Old Style"/>
        </w:rPr>
      </w:pPr>
      <w:r>
        <w:rPr>
          <w:rFonts w:ascii="Bookman Old Style" w:hAnsi="Bookman Old Style"/>
          <w:noProof/>
          <w:lang w:val="es-CO" w:eastAsia="es-CO"/>
        </w:rPr>
        <w:drawing>
          <wp:inline distT="0" distB="0" distL="0" distR="0" wp14:anchorId="37DB76FD" wp14:editId="38E38ABA">
            <wp:extent cx="5761355" cy="244105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880E9A" w14:textId="77777777" w:rsidR="0062472D" w:rsidRPr="005C4B16" w:rsidRDefault="0062472D" w:rsidP="0062472D">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Fuente: Bloomberg</w:t>
      </w:r>
      <w:r>
        <w:rPr>
          <w:rFonts w:ascii="Bookman Old Style" w:hAnsi="Bookman Old Style" w:cs="Arial"/>
          <w:sz w:val="18"/>
          <w:szCs w:val="18"/>
          <w:lang w:val="es-ES_tradnl"/>
        </w:rPr>
        <w:t xml:space="preserve">, 2020; </w:t>
      </w: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74A52413" w14:textId="77777777" w:rsidR="0062472D" w:rsidRDefault="0062472D" w:rsidP="0062472D">
      <w:pPr>
        <w:ind w:left="0"/>
        <w:jc w:val="both"/>
        <w:rPr>
          <w:rFonts w:ascii="Bookman Old Style" w:hAnsi="Bookman Old Style"/>
        </w:rPr>
      </w:pPr>
    </w:p>
    <w:p w14:paraId="41BC571C" w14:textId="77777777" w:rsidR="000D5D06" w:rsidRDefault="000D5D06" w:rsidP="0062472D">
      <w:pPr>
        <w:ind w:left="0"/>
        <w:jc w:val="both"/>
        <w:rPr>
          <w:rFonts w:ascii="Bookman Old Style" w:hAnsi="Bookman Old Style"/>
        </w:rPr>
      </w:pPr>
    </w:p>
    <w:p w14:paraId="2331ADF2" w14:textId="77777777" w:rsidR="00FD1938" w:rsidRDefault="00FD1938" w:rsidP="0062472D">
      <w:pPr>
        <w:ind w:left="0"/>
        <w:jc w:val="both"/>
        <w:rPr>
          <w:rFonts w:ascii="Bookman Old Style" w:hAnsi="Bookman Old Style"/>
        </w:rPr>
      </w:pPr>
    </w:p>
    <w:p w14:paraId="25EF93F9" w14:textId="77777777" w:rsidR="00FD1938" w:rsidRDefault="00FD1938" w:rsidP="0062472D">
      <w:pPr>
        <w:ind w:left="0"/>
        <w:jc w:val="both"/>
        <w:rPr>
          <w:rFonts w:ascii="Bookman Old Style" w:hAnsi="Bookman Old Style"/>
        </w:rPr>
      </w:pPr>
    </w:p>
    <w:p w14:paraId="42809004" w14:textId="43EAE8BE" w:rsidR="003E1031" w:rsidRDefault="0062472D" w:rsidP="0062472D">
      <w:pPr>
        <w:ind w:left="0"/>
        <w:jc w:val="both"/>
        <w:rPr>
          <w:rFonts w:ascii="Bookman Old Style" w:hAnsi="Bookman Old Style"/>
        </w:rPr>
      </w:pPr>
      <w:r>
        <w:rPr>
          <w:rFonts w:ascii="Bookman Old Style" w:hAnsi="Bookman Old Style"/>
        </w:rPr>
        <w:t>En la siguiente gráfica se presenta el comportamiento de los precios internacionales del GLP, propano y butano, para el mes de marzo</w:t>
      </w:r>
      <w:r w:rsidR="002027FB">
        <w:rPr>
          <w:rFonts w:ascii="Bookman Old Style" w:hAnsi="Bookman Old Style"/>
        </w:rPr>
        <w:t xml:space="preserve"> de 2020</w:t>
      </w:r>
      <w:r>
        <w:rPr>
          <w:rFonts w:ascii="Bookman Old Style" w:hAnsi="Bookman Old Style"/>
        </w:rPr>
        <w:t>:</w:t>
      </w:r>
    </w:p>
    <w:p w14:paraId="0DB72469" w14:textId="730C6DDA" w:rsidR="00774B7D" w:rsidRDefault="00774B7D" w:rsidP="0062472D">
      <w:pPr>
        <w:ind w:left="0"/>
        <w:jc w:val="both"/>
        <w:rPr>
          <w:rFonts w:ascii="Bookman Old Style" w:hAnsi="Bookman Old Style"/>
          <w:sz w:val="18"/>
          <w:szCs w:val="18"/>
        </w:rPr>
      </w:pPr>
    </w:p>
    <w:p w14:paraId="3EDF3F74" w14:textId="77777777" w:rsidR="00FD1938" w:rsidRPr="003E1031" w:rsidRDefault="00FD1938" w:rsidP="0062472D">
      <w:pPr>
        <w:ind w:left="0"/>
        <w:jc w:val="both"/>
        <w:rPr>
          <w:rFonts w:ascii="Bookman Old Style" w:hAnsi="Bookman Old Style"/>
          <w:sz w:val="18"/>
          <w:szCs w:val="18"/>
        </w:rPr>
      </w:pPr>
    </w:p>
    <w:p w14:paraId="7D1111A4" w14:textId="77777777" w:rsidR="0062472D" w:rsidRDefault="0062472D" w:rsidP="0062472D">
      <w:pPr>
        <w:ind w:left="0" w:right="567" w:firstLine="709"/>
        <w:contextualSpacing/>
        <w:jc w:val="center"/>
        <w:rPr>
          <w:rFonts w:ascii="Bookman Old Style" w:hAnsi="Bookman Old Style" w:cs="Arial"/>
          <w:b/>
          <w:bCs/>
          <w:lang w:val="es-ES_tradnl"/>
        </w:rPr>
      </w:pPr>
      <w:r>
        <w:rPr>
          <w:rFonts w:ascii="Bookman Old Style" w:hAnsi="Bookman Old Style" w:cs="Arial"/>
          <w:b/>
          <w:bCs/>
          <w:lang w:val="es-ES_tradnl"/>
        </w:rPr>
        <w:t>Gráfica P</w:t>
      </w:r>
      <w:r w:rsidRPr="0011681E">
        <w:rPr>
          <w:rFonts w:ascii="Bookman Old Style" w:hAnsi="Bookman Old Style" w:cs="Arial"/>
          <w:b/>
          <w:bCs/>
          <w:lang w:val="es-ES_tradnl"/>
        </w:rPr>
        <w:t>recios internacionales de propano y butano</w:t>
      </w:r>
      <w:r>
        <w:rPr>
          <w:rFonts w:ascii="Bookman Old Style" w:hAnsi="Bookman Old Style" w:cs="Arial"/>
          <w:b/>
          <w:bCs/>
          <w:lang w:val="es-ES_tradnl"/>
        </w:rPr>
        <w:t xml:space="preserve">. </w:t>
      </w:r>
    </w:p>
    <w:p w14:paraId="07851FBF" w14:textId="2DF82C18" w:rsidR="0062472D" w:rsidRDefault="0062472D" w:rsidP="0060361F">
      <w:pPr>
        <w:ind w:left="0" w:right="567" w:firstLine="709"/>
        <w:contextualSpacing/>
        <w:jc w:val="center"/>
        <w:rPr>
          <w:rFonts w:ascii="Bookman Old Style" w:hAnsi="Bookman Old Style" w:cs="Arial"/>
          <w:b/>
          <w:bCs/>
          <w:lang w:val="es-ES_tradnl"/>
        </w:rPr>
      </w:pPr>
      <w:r>
        <w:rPr>
          <w:rFonts w:ascii="Bookman Old Style" w:hAnsi="Bookman Old Style" w:cs="Arial"/>
          <w:b/>
          <w:bCs/>
          <w:lang w:val="es-ES_tradnl"/>
        </w:rPr>
        <w:t>Marzo 2020</w:t>
      </w:r>
      <w:r w:rsidRPr="0011681E">
        <w:rPr>
          <w:rFonts w:ascii="Bookman Old Style" w:hAnsi="Bookman Old Style" w:cs="Arial"/>
          <w:b/>
          <w:bCs/>
          <w:lang w:val="es-ES_tradnl"/>
        </w:rPr>
        <w:t>.</w:t>
      </w:r>
    </w:p>
    <w:p w14:paraId="24C05456" w14:textId="77777777" w:rsidR="00FD1938" w:rsidRPr="0011681E" w:rsidRDefault="00FD1938" w:rsidP="0060361F">
      <w:pPr>
        <w:ind w:left="0" w:right="567" w:firstLine="709"/>
        <w:contextualSpacing/>
        <w:jc w:val="center"/>
        <w:rPr>
          <w:rFonts w:ascii="Bookman Old Style" w:hAnsi="Bookman Old Style" w:cs="Arial"/>
          <w:b/>
          <w:bCs/>
          <w:lang w:val="es-ES_tradnl"/>
        </w:rPr>
      </w:pPr>
    </w:p>
    <w:p w14:paraId="191FA693" w14:textId="77777777" w:rsidR="0062472D" w:rsidRDefault="0062472D" w:rsidP="0062472D">
      <w:pPr>
        <w:ind w:left="0"/>
        <w:jc w:val="both"/>
        <w:rPr>
          <w:rFonts w:ascii="Bookman Old Style" w:hAnsi="Bookman Old Style"/>
        </w:rPr>
      </w:pPr>
      <w:r w:rsidRPr="00AA1F69">
        <w:rPr>
          <w:rFonts w:ascii="Bookman Old Style" w:hAnsi="Bookman Old Style"/>
          <w:noProof/>
          <w:lang w:val="es-CO" w:eastAsia="es-CO"/>
        </w:rPr>
        <w:drawing>
          <wp:inline distT="0" distB="0" distL="0" distR="0" wp14:anchorId="70421CB2" wp14:editId="10C61966">
            <wp:extent cx="5941060" cy="2321781"/>
            <wp:effectExtent l="0" t="0" r="2540" b="2540"/>
            <wp:docPr id="11" name="Gráfico 11">
              <a:extLst xmlns:a="http://schemas.openxmlformats.org/drawingml/2006/main">
                <a:ext uri="{FF2B5EF4-FFF2-40B4-BE49-F238E27FC236}">
                  <a16:creationId xmlns:a16="http://schemas.microsoft.com/office/drawing/2014/main" id="{A85A889E-C9EF-4807-8A37-1196E8CBA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7E9E04" w14:textId="081FB181" w:rsidR="0062472D" w:rsidRPr="005C4B16" w:rsidRDefault="0062472D" w:rsidP="0060361F">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Fuente: Bloomberg; EIA</w:t>
      </w:r>
      <w:r>
        <w:rPr>
          <w:rFonts w:ascii="Bookman Old Style" w:hAnsi="Bookman Old Style" w:cs="Arial"/>
          <w:sz w:val="18"/>
          <w:szCs w:val="18"/>
          <w:lang w:val="es-ES_tradnl"/>
        </w:rPr>
        <w:t>, marzo de 2020.</w:t>
      </w:r>
      <w:r w:rsidRPr="005C4B16">
        <w:rPr>
          <w:rFonts w:ascii="Bookman Old Style" w:hAnsi="Bookman Old Style" w:cs="Arial"/>
          <w:sz w:val="18"/>
          <w:szCs w:val="18"/>
          <w:lang w:val="es-ES_tradnl"/>
        </w:rPr>
        <w:t xml:space="preserve"> </w:t>
      </w:r>
      <w:r w:rsidR="0060361F">
        <w:rPr>
          <w:rFonts w:ascii="Bookman Old Style" w:hAnsi="Bookman Old Style" w:cs="Arial"/>
          <w:sz w:val="18"/>
          <w:szCs w:val="18"/>
          <w:lang w:val="es-ES_tradnl"/>
        </w:rPr>
        <w:t xml:space="preserve"> </w:t>
      </w: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4180AE22" w14:textId="77777777" w:rsidR="0062472D" w:rsidRPr="003E1031" w:rsidRDefault="0062472D" w:rsidP="0062472D">
      <w:pPr>
        <w:ind w:left="0"/>
        <w:jc w:val="both"/>
        <w:rPr>
          <w:rFonts w:ascii="Bookman Old Style" w:hAnsi="Bookman Old Style"/>
          <w:sz w:val="18"/>
          <w:szCs w:val="18"/>
        </w:rPr>
      </w:pPr>
    </w:p>
    <w:p w14:paraId="00A52E6A" w14:textId="06935213" w:rsidR="0062472D" w:rsidRDefault="0062472D" w:rsidP="0062472D">
      <w:pPr>
        <w:ind w:left="0"/>
        <w:jc w:val="both"/>
        <w:rPr>
          <w:rFonts w:ascii="Bookman Old Style" w:hAnsi="Bookman Old Style"/>
        </w:rPr>
      </w:pPr>
      <w:r>
        <w:rPr>
          <w:rFonts w:ascii="Bookman Old Style" w:hAnsi="Bookman Old Style"/>
        </w:rPr>
        <w:t xml:space="preserve">De lo anterior, en la medida en que el precio regulado </w:t>
      </w:r>
      <w:r w:rsidR="002027FB">
        <w:rPr>
          <w:rFonts w:ascii="Bookman Old Style" w:hAnsi="Bookman Old Style"/>
        </w:rPr>
        <w:t>podía</w:t>
      </w:r>
      <w:r>
        <w:rPr>
          <w:rFonts w:ascii="Bookman Old Style" w:hAnsi="Bookman Old Style"/>
        </w:rPr>
        <w:t xml:space="preserve"> terminar en valores, expresados en pesos por kilogramo, por debajo de los históricos con los que Ecopetrol ha llevado a cabo su operación y el suministro del producto, </w:t>
      </w:r>
      <w:r w:rsidR="00EB06AE">
        <w:rPr>
          <w:rFonts w:ascii="Bookman Old Style" w:hAnsi="Bookman Old Style"/>
        </w:rPr>
        <w:t xml:space="preserve">la Comisión </w:t>
      </w:r>
      <w:r w:rsidR="001A7CBB">
        <w:rPr>
          <w:rFonts w:ascii="Bookman Old Style" w:hAnsi="Bookman Old Style"/>
        </w:rPr>
        <w:t>encontró</w:t>
      </w:r>
      <w:r w:rsidR="00EB06AE">
        <w:rPr>
          <w:rFonts w:ascii="Bookman Old Style" w:hAnsi="Bookman Old Style"/>
        </w:rPr>
        <w:t xml:space="preserve"> que se podían</w:t>
      </w:r>
      <w:r>
        <w:rPr>
          <w:rFonts w:ascii="Bookman Old Style" w:hAnsi="Bookman Old Style"/>
        </w:rPr>
        <w:t xml:space="preserve"> presentar escenarios en los cuales, el costo operativo que deb</w:t>
      </w:r>
      <w:r w:rsidR="00EB06AE">
        <w:rPr>
          <w:rFonts w:ascii="Bookman Old Style" w:hAnsi="Bookman Old Style"/>
        </w:rPr>
        <w:t>ía</w:t>
      </w:r>
      <w:r>
        <w:rPr>
          <w:rFonts w:ascii="Bookman Old Style" w:hAnsi="Bookman Old Style"/>
        </w:rPr>
        <w:t xml:space="preserve"> asumir este agente para llevar a cabo la entrega de GLP, h</w:t>
      </w:r>
      <w:r w:rsidR="00EB06AE">
        <w:rPr>
          <w:rFonts w:ascii="Bookman Old Style" w:hAnsi="Bookman Old Style"/>
        </w:rPr>
        <w:t>icieren</w:t>
      </w:r>
      <w:r>
        <w:rPr>
          <w:rFonts w:ascii="Bookman Old Style" w:hAnsi="Bookman Old Style"/>
        </w:rPr>
        <w:t xml:space="preserve"> que le result</w:t>
      </w:r>
      <w:r w:rsidR="00EB06AE">
        <w:rPr>
          <w:rFonts w:ascii="Bookman Old Style" w:hAnsi="Bookman Old Style"/>
        </w:rPr>
        <w:t>ara</w:t>
      </w:r>
      <w:r>
        <w:rPr>
          <w:rFonts w:ascii="Bookman Old Style" w:hAnsi="Bookman Old Style"/>
        </w:rPr>
        <w:t xml:space="preserve"> más eficiente, desde el punto de vista económico, </w:t>
      </w:r>
      <w:r w:rsidR="00B61844">
        <w:rPr>
          <w:rFonts w:ascii="Bookman Old Style" w:hAnsi="Bookman Old Style"/>
        </w:rPr>
        <w:t>dar</w:t>
      </w:r>
      <w:r w:rsidR="00E85973">
        <w:rPr>
          <w:rFonts w:ascii="Bookman Old Style" w:hAnsi="Bookman Old Style"/>
        </w:rPr>
        <w:t>le</w:t>
      </w:r>
      <w:r>
        <w:rPr>
          <w:rFonts w:ascii="Bookman Old Style" w:hAnsi="Bookman Old Style"/>
        </w:rPr>
        <w:t xml:space="preserve"> otra destinación, como por ejemplo su disposición en tea o la reinyección en campos, antes de llevar a cabo su entrega a los distribuidores de GLP para la atención del servicio público domiciliario; más aún cuando las compensaciones por la no entrega de dicho producto podrían no ser aplicables al momento de su aplicación por la referencia igualmente al precio del producto</w:t>
      </w:r>
      <w:r w:rsidR="00942EB8">
        <w:rPr>
          <w:rStyle w:val="Refdenotaalpie"/>
          <w:rFonts w:ascii="Bookman Old Style" w:hAnsi="Bookman Old Style"/>
        </w:rPr>
        <w:footnoteReference w:id="14"/>
      </w:r>
      <w:r>
        <w:rPr>
          <w:rFonts w:ascii="Bookman Old Style" w:hAnsi="Bookman Old Style"/>
        </w:rPr>
        <w:t>.</w:t>
      </w:r>
    </w:p>
    <w:p w14:paraId="5BF246BD" w14:textId="77777777" w:rsidR="0062472D" w:rsidRDefault="0062472D" w:rsidP="0062472D">
      <w:pPr>
        <w:ind w:left="0"/>
        <w:jc w:val="both"/>
        <w:rPr>
          <w:rFonts w:ascii="Bookman Old Style" w:hAnsi="Bookman Old Style"/>
        </w:rPr>
      </w:pPr>
    </w:p>
    <w:p w14:paraId="446F8957" w14:textId="164B19B9" w:rsidR="00454363" w:rsidRDefault="0062472D" w:rsidP="0062472D">
      <w:pPr>
        <w:ind w:left="0"/>
        <w:jc w:val="both"/>
        <w:rPr>
          <w:rFonts w:ascii="Bookman Old Style" w:hAnsi="Bookman Old Style"/>
        </w:rPr>
      </w:pPr>
      <w:r>
        <w:rPr>
          <w:rFonts w:ascii="Bookman Old Style" w:hAnsi="Bookman Old Style"/>
        </w:rPr>
        <w:t>A continuación, se presenta un histórico del precio de GLP para la fuente Barrancabermeja, según lo informado por Ecopetrol, en aplicación de la fórmula prevista en la Resolución CREG 066 de 2007:</w:t>
      </w:r>
    </w:p>
    <w:p w14:paraId="5A268068" w14:textId="145E1C7F" w:rsidR="00454363" w:rsidRDefault="00454363" w:rsidP="0062472D">
      <w:pPr>
        <w:ind w:left="0"/>
        <w:jc w:val="both"/>
        <w:rPr>
          <w:rFonts w:ascii="Bookman Old Style" w:hAnsi="Bookman Old Style"/>
        </w:rPr>
      </w:pPr>
    </w:p>
    <w:p w14:paraId="7977E18A" w14:textId="07146E30" w:rsidR="003C53AB" w:rsidRDefault="003C53AB" w:rsidP="0062472D">
      <w:pPr>
        <w:ind w:left="0"/>
        <w:jc w:val="both"/>
        <w:rPr>
          <w:rFonts w:ascii="Bookman Old Style" w:hAnsi="Bookman Old Style"/>
        </w:rPr>
      </w:pPr>
    </w:p>
    <w:p w14:paraId="35D3CF13" w14:textId="19BBE91E" w:rsidR="003C53AB" w:rsidRDefault="003C53AB" w:rsidP="0062472D">
      <w:pPr>
        <w:ind w:left="0"/>
        <w:jc w:val="both"/>
        <w:rPr>
          <w:rFonts w:ascii="Bookman Old Style" w:hAnsi="Bookman Old Style"/>
        </w:rPr>
      </w:pPr>
    </w:p>
    <w:p w14:paraId="58EAD5E0" w14:textId="441BD222" w:rsidR="003C53AB" w:rsidRDefault="003C53AB" w:rsidP="0062472D">
      <w:pPr>
        <w:ind w:left="0"/>
        <w:jc w:val="both"/>
        <w:rPr>
          <w:rFonts w:ascii="Bookman Old Style" w:hAnsi="Bookman Old Style"/>
        </w:rPr>
      </w:pPr>
    </w:p>
    <w:p w14:paraId="7A59416F" w14:textId="4D302C6B" w:rsidR="003C53AB" w:rsidRDefault="003C53AB" w:rsidP="0062472D">
      <w:pPr>
        <w:ind w:left="0"/>
        <w:jc w:val="both"/>
        <w:rPr>
          <w:rFonts w:ascii="Bookman Old Style" w:hAnsi="Bookman Old Style"/>
        </w:rPr>
      </w:pPr>
    </w:p>
    <w:p w14:paraId="4C24F0B1" w14:textId="40329EC0" w:rsidR="003C53AB" w:rsidRDefault="003C53AB" w:rsidP="0062472D">
      <w:pPr>
        <w:ind w:left="0"/>
        <w:jc w:val="both"/>
        <w:rPr>
          <w:rFonts w:ascii="Bookman Old Style" w:hAnsi="Bookman Old Style"/>
        </w:rPr>
      </w:pPr>
    </w:p>
    <w:p w14:paraId="71010D87" w14:textId="5070F5D1" w:rsidR="003C53AB" w:rsidRDefault="003C53AB" w:rsidP="0062472D">
      <w:pPr>
        <w:ind w:left="0"/>
        <w:jc w:val="both"/>
        <w:rPr>
          <w:rFonts w:ascii="Bookman Old Style" w:hAnsi="Bookman Old Style"/>
        </w:rPr>
      </w:pPr>
    </w:p>
    <w:p w14:paraId="189343D8" w14:textId="649E850A" w:rsidR="003C53AB" w:rsidRDefault="003C53AB" w:rsidP="0062472D">
      <w:pPr>
        <w:ind w:left="0"/>
        <w:jc w:val="both"/>
        <w:rPr>
          <w:rFonts w:ascii="Bookman Old Style" w:hAnsi="Bookman Old Style"/>
        </w:rPr>
      </w:pPr>
    </w:p>
    <w:p w14:paraId="3062CD17" w14:textId="77777777" w:rsidR="003C53AB" w:rsidRDefault="003C53AB" w:rsidP="0062472D">
      <w:pPr>
        <w:ind w:left="0"/>
        <w:jc w:val="both"/>
        <w:rPr>
          <w:rFonts w:ascii="Bookman Old Style" w:hAnsi="Bookman Old Style"/>
        </w:rPr>
      </w:pPr>
    </w:p>
    <w:p w14:paraId="5EEE58D9" w14:textId="77777777" w:rsidR="0062472D" w:rsidRPr="003E1031" w:rsidRDefault="0062472D" w:rsidP="0062472D">
      <w:pPr>
        <w:ind w:left="0"/>
        <w:jc w:val="both"/>
        <w:rPr>
          <w:rFonts w:ascii="Bookman Old Style" w:hAnsi="Bookman Old Style"/>
          <w:sz w:val="4"/>
          <w:szCs w:val="4"/>
        </w:rPr>
      </w:pPr>
    </w:p>
    <w:p w14:paraId="635120DF" w14:textId="5962B9E1" w:rsidR="0062472D" w:rsidRDefault="0062472D" w:rsidP="0060361F">
      <w:pPr>
        <w:ind w:left="0"/>
        <w:jc w:val="center"/>
        <w:rPr>
          <w:rFonts w:ascii="Bookman Old Style" w:hAnsi="Bookman Old Style"/>
          <w:b/>
          <w:bCs/>
          <w:lang w:val="es-CO"/>
        </w:rPr>
      </w:pPr>
      <w:r>
        <w:rPr>
          <w:rFonts w:ascii="Bookman Old Style" w:hAnsi="Bookman Old Style" w:cs="Arial"/>
          <w:b/>
          <w:bCs/>
          <w:lang w:val="es-ES_tradnl"/>
        </w:rPr>
        <w:t xml:space="preserve">Gráfica </w:t>
      </w:r>
      <w:r w:rsidRPr="009351B7">
        <w:rPr>
          <w:rFonts w:ascii="Bookman Old Style" w:hAnsi="Bookman Old Style"/>
          <w:b/>
          <w:bCs/>
          <w:lang w:val="es-CO"/>
        </w:rPr>
        <w:t>Evolución precio GRB mensual y trimestral</w:t>
      </w:r>
    </w:p>
    <w:p w14:paraId="3B81D45D" w14:textId="77777777" w:rsidR="003C53AB" w:rsidRPr="0060361F" w:rsidRDefault="003C53AB" w:rsidP="0060361F">
      <w:pPr>
        <w:ind w:left="0"/>
        <w:jc w:val="center"/>
        <w:rPr>
          <w:rFonts w:ascii="Bookman Old Style" w:hAnsi="Bookman Old Style"/>
          <w:b/>
          <w:lang w:val="es-CO"/>
        </w:rPr>
      </w:pPr>
    </w:p>
    <w:p w14:paraId="3A670106" w14:textId="77777777" w:rsidR="0062472D" w:rsidRDefault="0062472D" w:rsidP="0062472D">
      <w:pPr>
        <w:ind w:left="0"/>
        <w:jc w:val="both"/>
        <w:rPr>
          <w:rFonts w:ascii="Bookman Old Style" w:hAnsi="Bookman Old Style"/>
        </w:rPr>
      </w:pPr>
      <w:r w:rsidRPr="00792A15">
        <w:rPr>
          <w:rFonts w:ascii="Bookman Old Style" w:hAnsi="Bookman Old Style"/>
          <w:noProof/>
          <w:lang w:val="es-CO" w:eastAsia="es-CO"/>
        </w:rPr>
        <w:drawing>
          <wp:inline distT="0" distB="0" distL="0" distR="0" wp14:anchorId="31F01731" wp14:editId="2F089298">
            <wp:extent cx="5905500" cy="2504661"/>
            <wp:effectExtent l="0" t="0" r="0" b="0"/>
            <wp:docPr id="12" name="Gráfico 12">
              <a:extLst xmlns:a="http://schemas.openxmlformats.org/drawingml/2006/main">
                <a:ext uri="{FF2B5EF4-FFF2-40B4-BE49-F238E27FC236}">
                  <a16:creationId xmlns:a16="http://schemas.microsoft.com/office/drawing/2014/main" id="{BA5011AE-5252-4418-82F5-5B52DFB13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BDD01A" w14:textId="0199F63C" w:rsidR="0062472D" w:rsidRPr="0060361F" w:rsidRDefault="0062472D" w:rsidP="0060361F">
      <w:pPr>
        <w:ind w:left="851"/>
        <w:jc w:val="both"/>
        <w:rPr>
          <w:rFonts w:ascii="Bookman Old Style" w:hAnsi="Bookman Old Style" w:cs="Arial"/>
          <w:sz w:val="18"/>
          <w:szCs w:val="18"/>
          <w:lang w:val="es-ES_tradnl"/>
        </w:rPr>
      </w:pPr>
      <w:r w:rsidRPr="00937AD3">
        <w:rPr>
          <w:rFonts w:ascii="Bookman Old Style" w:hAnsi="Bookman Old Style" w:cs="Arial"/>
          <w:sz w:val="18"/>
          <w:szCs w:val="18"/>
          <w:lang w:val="es-ES_tradnl"/>
        </w:rPr>
        <w:t>Fuente: Ecopetrol, 2020.</w:t>
      </w:r>
      <w:r w:rsidRPr="005C4B16">
        <w:rPr>
          <w:rFonts w:ascii="Bookman Old Style" w:hAnsi="Bookman Old Style" w:cs="Arial"/>
          <w:sz w:val="18"/>
          <w:szCs w:val="18"/>
          <w:lang w:val="es-ES_tradnl"/>
        </w:rPr>
        <w:t xml:space="preserve"> </w:t>
      </w:r>
      <w:r w:rsidR="0060361F">
        <w:rPr>
          <w:rFonts w:ascii="Bookman Old Style" w:hAnsi="Bookman Old Style" w:cs="Arial"/>
          <w:sz w:val="18"/>
          <w:szCs w:val="18"/>
          <w:lang w:val="es-ES_tradnl"/>
        </w:rPr>
        <w:t xml:space="preserve"> </w:t>
      </w: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1FB6EC91" w14:textId="77777777" w:rsidR="003E1031" w:rsidRDefault="003E1031" w:rsidP="0062472D">
      <w:pPr>
        <w:ind w:left="0"/>
        <w:jc w:val="both"/>
        <w:rPr>
          <w:rFonts w:ascii="Bookman Old Style" w:hAnsi="Bookman Old Style"/>
        </w:rPr>
      </w:pPr>
    </w:p>
    <w:p w14:paraId="68E52D6A" w14:textId="7E4E5F9C" w:rsidR="0062472D" w:rsidRDefault="003B7B67" w:rsidP="0062472D">
      <w:pPr>
        <w:ind w:left="0"/>
        <w:jc w:val="both"/>
        <w:rPr>
          <w:rFonts w:ascii="Bookman Old Style" w:hAnsi="Bookman Old Style"/>
        </w:rPr>
      </w:pPr>
      <w:r>
        <w:rPr>
          <w:rFonts w:ascii="Bookman Old Style" w:hAnsi="Bookman Old Style"/>
        </w:rPr>
        <w:t xml:space="preserve">En relación con esto, la Comisión encontró que </w:t>
      </w:r>
      <w:r w:rsidR="0062472D" w:rsidRPr="00494245">
        <w:rPr>
          <w:rFonts w:ascii="Bookman Old Style" w:hAnsi="Bookman Old Style"/>
        </w:rPr>
        <w:t>Ecopetrol ya ha</w:t>
      </w:r>
      <w:r>
        <w:rPr>
          <w:rFonts w:ascii="Bookman Old Style" w:hAnsi="Bookman Old Style"/>
        </w:rPr>
        <w:t>bía</w:t>
      </w:r>
      <w:r w:rsidR="0062472D" w:rsidRPr="00494245">
        <w:rPr>
          <w:rFonts w:ascii="Bookman Old Style" w:hAnsi="Bookman Old Style"/>
        </w:rPr>
        <w:t xml:space="preserve"> comercializado producto en niveles de $420/ kg, situación que se dio durante el </w:t>
      </w:r>
      <w:r w:rsidR="0062472D">
        <w:rPr>
          <w:rFonts w:ascii="Bookman Old Style" w:hAnsi="Bookman Old Style"/>
        </w:rPr>
        <w:t xml:space="preserve">mes de </w:t>
      </w:r>
      <w:r w:rsidR="0062472D" w:rsidRPr="00494245">
        <w:rPr>
          <w:rFonts w:ascii="Bookman Old Style" w:hAnsi="Bookman Old Style"/>
        </w:rPr>
        <w:t>julio</w:t>
      </w:r>
      <w:r w:rsidR="0062472D">
        <w:rPr>
          <w:rFonts w:ascii="Bookman Old Style" w:hAnsi="Bookman Old Style"/>
        </w:rPr>
        <w:t xml:space="preserve"> de 2019</w:t>
      </w:r>
      <w:r w:rsidR="0062472D" w:rsidRPr="00494245">
        <w:rPr>
          <w:rFonts w:ascii="Bookman Old Style" w:hAnsi="Bookman Old Style"/>
        </w:rPr>
        <w:t xml:space="preserve">. </w:t>
      </w:r>
      <w:r w:rsidR="0062472D">
        <w:rPr>
          <w:rFonts w:ascii="Bookman Old Style" w:hAnsi="Bookman Old Style"/>
        </w:rPr>
        <w:t>Así mismo, se encuentran</w:t>
      </w:r>
      <w:r w:rsidR="0062472D" w:rsidRPr="00494245">
        <w:rPr>
          <w:rFonts w:ascii="Bookman Old Style" w:hAnsi="Bookman Old Style"/>
        </w:rPr>
        <w:t xml:space="preserve"> precios similares al indexar el precio mediante IPP, durante el mes de junio de 2015.</w:t>
      </w:r>
    </w:p>
    <w:p w14:paraId="3B0C2FA6" w14:textId="77777777" w:rsidR="0062472D" w:rsidRDefault="0062472D" w:rsidP="0062472D">
      <w:pPr>
        <w:ind w:left="0"/>
        <w:jc w:val="both"/>
        <w:rPr>
          <w:rFonts w:ascii="Bookman Old Style" w:hAnsi="Bookman Old Style"/>
        </w:rPr>
      </w:pPr>
    </w:p>
    <w:p w14:paraId="5D8CBB9C" w14:textId="178321BE" w:rsidR="0062472D" w:rsidRDefault="0062472D" w:rsidP="0062472D">
      <w:pPr>
        <w:ind w:left="0"/>
        <w:jc w:val="both"/>
        <w:rPr>
          <w:rFonts w:ascii="Bookman Old Style" w:hAnsi="Bookman Old Style"/>
        </w:rPr>
      </w:pPr>
      <w:r>
        <w:rPr>
          <w:rFonts w:ascii="Bookman Old Style" w:hAnsi="Bookman Old Style"/>
        </w:rPr>
        <w:t xml:space="preserve">Adicionalmente, ante la posibilidad de que se </w:t>
      </w:r>
      <w:r w:rsidR="005C7E2D">
        <w:rPr>
          <w:rFonts w:ascii="Bookman Old Style" w:hAnsi="Bookman Old Style"/>
        </w:rPr>
        <w:t>presente</w:t>
      </w:r>
      <w:r>
        <w:rPr>
          <w:rFonts w:ascii="Bookman Old Style" w:hAnsi="Bookman Old Style"/>
        </w:rPr>
        <w:t xml:space="preserve"> este evento</w:t>
      </w:r>
      <w:r w:rsidR="00774B7D">
        <w:rPr>
          <w:rFonts w:ascii="Bookman Old Style" w:hAnsi="Bookman Old Style"/>
        </w:rPr>
        <w:t>,</w:t>
      </w:r>
      <w:r w:rsidR="00CB5F68">
        <w:rPr>
          <w:rFonts w:ascii="Bookman Old Style" w:hAnsi="Bookman Old Style"/>
        </w:rPr>
        <w:t xml:space="preserve"> y frente a la posibilidad de contar con otras alternativas diferentes para mitigar esta situación</w:t>
      </w:r>
      <w:r>
        <w:rPr>
          <w:rFonts w:ascii="Bookman Old Style" w:hAnsi="Bookman Old Style"/>
        </w:rPr>
        <w:t xml:space="preserve">, se debe tener en cuenta que, no existe dentro de la oferta nacional, campos o fuentes que puedan suplir la entrega de GLP que hace actualmente Ecopetrol, pues la producción actual de las demás fuentes disponibles representa menos del 10% de la producción nacional de GLP. De esta misma forma, la capacidad de importación del producto por parte de terceros </w:t>
      </w:r>
      <w:r w:rsidR="005C7E2D">
        <w:rPr>
          <w:rFonts w:ascii="Bookman Old Style" w:hAnsi="Bookman Old Style"/>
        </w:rPr>
        <w:t>distintos a Ecopetrol</w:t>
      </w:r>
      <w:r>
        <w:rPr>
          <w:rFonts w:ascii="Bookman Old Style" w:hAnsi="Bookman Old Style"/>
        </w:rPr>
        <w:t xml:space="preserve">, </w:t>
      </w:r>
      <w:r w:rsidR="005C7E2D">
        <w:rPr>
          <w:rFonts w:ascii="Bookman Old Style" w:hAnsi="Bookman Old Style"/>
        </w:rPr>
        <w:t xml:space="preserve">solamente </w:t>
      </w:r>
      <w:r>
        <w:rPr>
          <w:rFonts w:ascii="Bookman Old Style" w:hAnsi="Bookman Old Style"/>
        </w:rPr>
        <w:t>es suficiente para atender aproximadamente el 40% de las necesidades del país, sin perjuicio de las dificultades logísticas actuales, toda vez que no existe una flota de cisternas lo suficientemente flexible para llevar a cabo el flete del producto</w:t>
      </w:r>
      <w:r w:rsidR="005C7E2D">
        <w:rPr>
          <w:rFonts w:ascii="Bookman Old Style" w:hAnsi="Bookman Old Style"/>
        </w:rPr>
        <w:t>,</w:t>
      </w:r>
      <w:r>
        <w:rPr>
          <w:rFonts w:ascii="Bookman Old Style" w:hAnsi="Bookman Old Style"/>
        </w:rPr>
        <w:t xml:space="preserve"> desde los puntos de importación a las plantas de envasado de GLP</w:t>
      </w:r>
      <w:r w:rsidR="005C7E2D">
        <w:rPr>
          <w:rFonts w:ascii="Bookman Old Style" w:hAnsi="Bookman Old Style"/>
        </w:rPr>
        <w:t>, ante la ocurrencia de eventos</w:t>
      </w:r>
      <w:r w:rsidR="002F69F2">
        <w:rPr>
          <w:rFonts w:ascii="Bookman Old Style" w:hAnsi="Bookman Old Style"/>
        </w:rPr>
        <w:t xml:space="preserve"> extremos</w:t>
      </w:r>
      <w:r>
        <w:rPr>
          <w:rFonts w:ascii="Bookman Old Style" w:hAnsi="Bookman Old Style"/>
        </w:rPr>
        <w:t>.</w:t>
      </w:r>
    </w:p>
    <w:p w14:paraId="7B06345F" w14:textId="77777777" w:rsidR="0062472D" w:rsidRDefault="0062472D" w:rsidP="0062472D">
      <w:pPr>
        <w:ind w:left="0"/>
        <w:jc w:val="both"/>
        <w:rPr>
          <w:rFonts w:ascii="Bookman Old Style" w:hAnsi="Bookman Old Style"/>
        </w:rPr>
      </w:pPr>
    </w:p>
    <w:p w14:paraId="38142583" w14:textId="56779541" w:rsidR="0062472D" w:rsidRPr="005F362A" w:rsidRDefault="0062472D" w:rsidP="0062472D">
      <w:pPr>
        <w:ind w:left="0"/>
        <w:jc w:val="both"/>
        <w:rPr>
          <w:rFonts w:ascii="Bookman Old Style" w:hAnsi="Bookman Old Style"/>
        </w:rPr>
      </w:pPr>
      <w:r w:rsidRPr="005F362A">
        <w:rPr>
          <w:rFonts w:ascii="Bookman Old Style" w:hAnsi="Bookman Old Style"/>
        </w:rPr>
        <w:t xml:space="preserve">De acuerdo con lo anterior, </w:t>
      </w:r>
      <w:r w:rsidR="00E2564A">
        <w:rPr>
          <w:rFonts w:ascii="Bookman Old Style" w:hAnsi="Bookman Old Style"/>
        </w:rPr>
        <w:t>encontró</w:t>
      </w:r>
      <w:r w:rsidRPr="005F362A">
        <w:rPr>
          <w:rFonts w:ascii="Bookman Old Style" w:hAnsi="Bookman Old Style"/>
        </w:rPr>
        <w:t xml:space="preserve"> la Comisión que los eventos expuestos p</w:t>
      </w:r>
      <w:r w:rsidR="00E2564A">
        <w:rPr>
          <w:rFonts w:ascii="Bookman Old Style" w:hAnsi="Bookman Old Style"/>
        </w:rPr>
        <w:t>odían</w:t>
      </w:r>
      <w:r w:rsidRPr="005F362A">
        <w:rPr>
          <w:rFonts w:ascii="Bookman Old Style" w:hAnsi="Bookman Old Style"/>
        </w:rPr>
        <w:t xml:space="preserve"> conllevar a una afectación en la continuidad del suministro del GLP con destino al servicio público domiciliario, los cuales no pueden ser conjurados a través de las medidas legales y regulatorias previstas para la comercialización mayorista de GLP, como lo son la aplicación del artículo 126 de la Ley 142 de 1994</w:t>
      </w:r>
      <w:r>
        <w:rPr>
          <w:rFonts w:ascii="Bookman Old Style" w:hAnsi="Bookman Old Style"/>
        </w:rPr>
        <w:t>,</w:t>
      </w:r>
      <w:r w:rsidRPr="005F362A">
        <w:rPr>
          <w:rFonts w:ascii="Bookman Old Style" w:hAnsi="Bookman Old Style"/>
        </w:rPr>
        <w:t xml:space="preserve"> o la adopción de medidas regulatorias generales, como el cambio en la señal de precio como parte del balance oferta-demanda de GLP.</w:t>
      </w:r>
    </w:p>
    <w:p w14:paraId="77EFD5F3" w14:textId="77777777" w:rsidR="0062472D" w:rsidRPr="005F362A" w:rsidRDefault="0062472D" w:rsidP="0062472D">
      <w:pPr>
        <w:ind w:left="0"/>
        <w:jc w:val="both"/>
        <w:rPr>
          <w:rFonts w:ascii="Bookman Old Style" w:hAnsi="Bookman Old Style" w:cs="Arial"/>
          <w:lang w:val="es-ES_tradnl"/>
        </w:rPr>
      </w:pPr>
    </w:p>
    <w:p w14:paraId="23B63E77" w14:textId="5882748C" w:rsidR="00073862" w:rsidRDefault="008E4CB4" w:rsidP="00073862">
      <w:pPr>
        <w:ind w:left="0"/>
        <w:contextualSpacing/>
        <w:jc w:val="both"/>
        <w:rPr>
          <w:rFonts w:ascii="Bookman Old Style" w:hAnsi="Bookman Old Style"/>
        </w:rPr>
      </w:pPr>
      <w:r>
        <w:rPr>
          <w:rFonts w:ascii="Bookman Old Style" w:hAnsi="Bookman Old Style"/>
        </w:rPr>
        <w:t>En ese sentido</w:t>
      </w:r>
      <w:r w:rsidR="0062472D" w:rsidRPr="005F362A">
        <w:rPr>
          <w:rFonts w:ascii="Bookman Old Style" w:hAnsi="Bookman Old Style"/>
        </w:rPr>
        <w:t>,</w:t>
      </w:r>
      <w:r w:rsidR="00913DD9">
        <w:rPr>
          <w:rFonts w:ascii="Bookman Old Style" w:hAnsi="Bookman Old Style"/>
        </w:rPr>
        <w:t xml:space="preserve"> la Comisión procedió </w:t>
      </w:r>
      <w:r w:rsidR="002D3E89">
        <w:rPr>
          <w:rFonts w:ascii="Bookman Old Style" w:hAnsi="Bookman Old Style"/>
        </w:rPr>
        <w:t>a establecer</w:t>
      </w:r>
      <w:r w:rsidR="00DF2114">
        <w:rPr>
          <w:rFonts w:ascii="Bookman Old Style" w:hAnsi="Bookman Old Style"/>
        </w:rPr>
        <w:t xml:space="preserve"> una medida </w:t>
      </w:r>
      <w:r w:rsidR="00DF2114">
        <w:rPr>
          <w:rFonts w:ascii="Bookman Old Style" w:hAnsi="Bookman Old Style"/>
          <w:lang w:val="es-CO"/>
        </w:rPr>
        <w:t xml:space="preserve">regulatoria a través de la cual, tomando como base la aplicación de las fórmulas previstas en los artículos 4 y 5 de la Resolución CREG 066 de 2007, </w:t>
      </w:r>
      <w:r>
        <w:rPr>
          <w:rFonts w:ascii="Bookman Old Style" w:hAnsi="Bookman Old Style"/>
          <w:lang w:val="es-CO"/>
        </w:rPr>
        <w:t xml:space="preserve">se estableció que </w:t>
      </w:r>
      <w:r w:rsidR="00DF2114">
        <w:rPr>
          <w:rFonts w:ascii="Bookman Old Style" w:hAnsi="Bookman Old Style"/>
          <w:lang w:val="es-CO"/>
        </w:rPr>
        <w:t xml:space="preserve">el </w:t>
      </w:r>
      <w:r w:rsidR="002D3E89" w:rsidRPr="00B70F58">
        <w:rPr>
          <w:rFonts w:ascii="Bookman Old Style" w:hAnsi="Bookman Old Style"/>
          <w:lang w:val="es-CO"/>
        </w:rPr>
        <w:t xml:space="preserve">precio máximo regulado de suministro de GLP para las fuentes de producción nacional, expresado en pesos por kilogramos, </w:t>
      </w:r>
      <w:r w:rsidR="00DF2114">
        <w:rPr>
          <w:rFonts w:ascii="Bookman Old Style" w:hAnsi="Bookman Old Style"/>
          <w:lang w:val="es-CO"/>
        </w:rPr>
        <w:t xml:space="preserve">no </w:t>
      </w:r>
      <w:r w:rsidR="00995F37">
        <w:rPr>
          <w:rFonts w:ascii="Bookman Old Style" w:hAnsi="Bookman Old Style"/>
          <w:lang w:val="es-CO"/>
        </w:rPr>
        <w:t>podía</w:t>
      </w:r>
      <w:r w:rsidR="00DF2114">
        <w:rPr>
          <w:rFonts w:ascii="Bookman Old Style" w:hAnsi="Bookman Old Style"/>
          <w:lang w:val="es-CO"/>
        </w:rPr>
        <w:t xml:space="preserve"> </w:t>
      </w:r>
      <w:r w:rsidR="002D3E89">
        <w:rPr>
          <w:rFonts w:ascii="Bookman Old Style" w:hAnsi="Bookman Old Style"/>
          <w:lang w:val="es-CO"/>
        </w:rPr>
        <w:t>ubicarse</w:t>
      </w:r>
      <w:r w:rsidR="00DF2114">
        <w:rPr>
          <w:rFonts w:ascii="Bookman Old Style" w:hAnsi="Bookman Old Style"/>
          <w:lang w:val="es-CO"/>
        </w:rPr>
        <w:t xml:space="preserve"> por debajo de un</w:t>
      </w:r>
      <w:r w:rsidR="00DF2114" w:rsidRPr="0028047F">
        <w:rPr>
          <w:rFonts w:ascii="Bookman Old Style" w:hAnsi="Bookman Old Style"/>
          <w:lang w:val="es-CO"/>
        </w:rPr>
        <w:t xml:space="preserve"> </w:t>
      </w:r>
      <w:r w:rsidR="00DF2114">
        <w:rPr>
          <w:rFonts w:ascii="Bookman Old Style" w:hAnsi="Bookman Old Style"/>
          <w:lang w:val="es-CO"/>
        </w:rPr>
        <w:t>v</w:t>
      </w:r>
      <w:r w:rsidR="00DF2114" w:rsidRPr="00B70F58">
        <w:rPr>
          <w:rFonts w:ascii="Bookman Old Style" w:hAnsi="Bookman Old Style"/>
          <w:lang w:val="es-CO"/>
        </w:rPr>
        <w:t>alor mínimo</w:t>
      </w:r>
      <w:r>
        <w:rPr>
          <w:rFonts w:ascii="Bookman Old Style" w:hAnsi="Bookman Old Style"/>
          <w:lang w:val="es-CO"/>
        </w:rPr>
        <w:t xml:space="preserve">, </w:t>
      </w:r>
      <w:r w:rsidR="00DF2114">
        <w:rPr>
          <w:rFonts w:ascii="Bookman Old Style" w:hAnsi="Bookman Old Style"/>
          <w:lang w:val="es-CO"/>
        </w:rPr>
        <w:t>c</w:t>
      </w:r>
      <w:r>
        <w:rPr>
          <w:rFonts w:ascii="Bookman Old Style" w:hAnsi="Bookman Old Style"/>
          <w:lang w:val="es-CO"/>
        </w:rPr>
        <w:t>orrespondiente</w:t>
      </w:r>
      <w:r w:rsidR="00DF2114">
        <w:rPr>
          <w:rFonts w:ascii="Bookman Old Style" w:hAnsi="Bookman Old Style"/>
          <w:lang w:val="es-CO"/>
        </w:rPr>
        <w:t xml:space="preserve"> a</w:t>
      </w:r>
      <w:r w:rsidR="00DF2114" w:rsidRPr="00B70F58">
        <w:rPr>
          <w:rFonts w:ascii="Bookman Old Style" w:hAnsi="Bookman Old Style"/>
          <w:lang w:val="es-CO"/>
        </w:rPr>
        <w:t xml:space="preserve"> $446.59/ kg</w:t>
      </w:r>
      <w:r w:rsidR="00DF2114">
        <w:rPr>
          <w:rFonts w:ascii="Bookman Old Style" w:hAnsi="Bookman Old Style"/>
          <w:lang w:val="es-CO"/>
        </w:rPr>
        <w:t xml:space="preserve">, </w:t>
      </w:r>
      <w:r>
        <w:rPr>
          <w:rFonts w:ascii="Bookman Old Style" w:hAnsi="Bookman Old Style"/>
          <w:lang w:val="es-CO"/>
        </w:rPr>
        <w:t xml:space="preserve">de </w:t>
      </w:r>
      <w:r w:rsidR="00DF2114">
        <w:rPr>
          <w:rFonts w:ascii="Bookman Old Style" w:hAnsi="Bookman Old Style"/>
          <w:lang w:val="es-CO"/>
        </w:rPr>
        <w:t>pesos de septiembre de 2019</w:t>
      </w:r>
      <w:r w:rsidR="00CC1447">
        <w:rPr>
          <w:rFonts w:ascii="Bookman Old Style" w:hAnsi="Bookman Old Style"/>
          <w:lang w:val="es-CO"/>
        </w:rPr>
        <w:t xml:space="preserve">, </w:t>
      </w:r>
      <w:r w:rsidR="00927C94">
        <w:rPr>
          <w:rFonts w:ascii="Bookman Old Style" w:hAnsi="Bookman Old Style"/>
          <w:lang w:val="es-CO"/>
        </w:rPr>
        <w:t xml:space="preserve">valor que correspondería al precio promedio trimestral mínimo a través del cual se ha atendido la demanda de GLP. La anterior </w:t>
      </w:r>
      <w:r>
        <w:rPr>
          <w:rFonts w:ascii="Bookman Old Style" w:hAnsi="Bookman Old Style"/>
          <w:lang w:val="es-CO"/>
        </w:rPr>
        <w:t xml:space="preserve">medida </w:t>
      </w:r>
      <w:r w:rsidR="00927C94">
        <w:rPr>
          <w:rFonts w:ascii="Bookman Old Style" w:hAnsi="Bookman Old Style"/>
          <w:lang w:val="es-CO"/>
        </w:rPr>
        <w:t>se enmarca</w:t>
      </w:r>
      <w:r w:rsidR="00CC1447">
        <w:rPr>
          <w:rFonts w:ascii="Bookman Old Style" w:hAnsi="Bookman Old Style"/>
          <w:lang w:val="es-CO"/>
        </w:rPr>
        <w:t xml:space="preserve"> dentro de los presupuestos establecidos en el artículo 3 del </w:t>
      </w:r>
      <w:r w:rsidR="00073862">
        <w:rPr>
          <w:rFonts w:ascii="Bookman Old Style" w:hAnsi="Bookman Old Style"/>
          <w:lang w:val="es-CO"/>
        </w:rPr>
        <w:t>D</w:t>
      </w:r>
      <w:r w:rsidR="00CC1447">
        <w:rPr>
          <w:rFonts w:ascii="Bookman Old Style" w:hAnsi="Bookman Old Style"/>
          <w:lang w:val="es-CO"/>
        </w:rPr>
        <w:t>ecreto Legislativo 517 de 2020</w:t>
      </w:r>
      <w:r w:rsidR="00073862">
        <w:rPr>
          <w:rFonts w:ascii="Bookman Old Style" w:hAnsi="Bookman Old Style"/>
        </w:rPr>
        <w:t>, el cual establece lo siguiente:</w:t>
      </w:r>
    </w:p>
    <w:p w14:paraId="218722A4" w14:textId="77777777" w:rsidR="00073862" w:rsidRDefault="00073862" w:rsidP="00073862">
      <w:pPr>
        <w:ind w:left="0" w:right="424"/>
        <w:contextualSpacing/>
        <w:jc w:val="both"/>
        <w:rPr>
          <w:rFonts w:ascii="Bookman Old Style" w:hAnsi="Bookman Old Style"/>
        </w:rPr>
      </w:pPr>
    </w:p>
    <w:p w14:paraId="5848A506" w14:textId="77777777" w:rsidR="00073862" w:rsidRDefault="00073862" w:rsidP="00073862">
      <w:pPr>
        <w:ind w:left="284" w:right="28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4E4E01">
        <w:rPr>
          <w:rFonts w:ascii="Bookman Old Style" w:hAnsi="Bookman Old Style"/>
          <w:b/>
          <w:bCs/>
          <w:i/>
          <w:iCs/>
          <w:sz w:val="22"/>
          <w:szCs w:val="22"/>
          <w:lang w:val="es-CO"/>
        </w:rPr>
        <w:t>Artículo 3. Adopción de medidas extraordinarias en la prestación de los</w:t>
      </w:r>
      <w:r w:rsidRPr="004E4E01">
        <w:rPr>
          <w:rFonts w:ascii="Bookman Old Style" w:hAnsi="Bookman Old Style"/>
          <w:b/>
          <w:bCs/>
        </w:rPr>
        <w:t xml:space="preserve"> </w:t>
      </w:r>
      <w:r w:rsidRPr="004E4E01">
        <w:rPr>
          <w:rFonts w:ascii="Bookman Old Style" w:hAnsi="Bookman Old Style"/>
          <w:b/>
          <w:bCs/>
          <w:i/>
          <w:iCs/>
          <w:sz w:val="22"/>
          <w:szCs w:val="22"/>
          <w:lang w:val="es-CO"/>
        </w:rPr>
        <w:t xml:space="preserve">servicios públicos de energía eléctrica y gas combustible. </w:t>
      </w:r>
      <w:r w:rsidRPr="002D2D1D">
        <w:rPr>
          <w:rFonts w:ascii="Bookman Old Style" w:hAnsi="Bookman Old Style"/>
          <w:i/>
          <w:iCs/>
          <w:sz w:val="22"/>
          <w:szCs w:val="22"/>
          <w:lang w:val="es-CO"/>
        </w:rPr>
        <w:t>Mientras</w:t>
      </w:r>
      <w:r>
        <w:rPr>
          <w:rFonts w:ascii="Bookman Old Style" w:hAnsi="Bookman Old Style"/>
        </w:rPr>
        <w:t xml:space="preserve"> </w:t>
      </w:r>
      <w:r w:rsidRPr="002D2D1D">
        <w:rPr>
          <w:rFonts w:ascii="Bookman Old Style" w:hAnsi="Bookman Old Style"/>
          <w:i/>
          <w:iCs/>
          <w:sz w:val="22"/>
          <w:szCs w:val="22"/>
          <w:lang w:val="es-CO"/>
        </w:rPr>
        <w:t>permanezca vigente la declaratoria de Emergencia Sanitaria por parte del</w:t>
      </w:r>
      <w:r>
        <w:rPr>
          <w:rFonts w:ascii="Bookman Old Style" w:hAnsi="Bookman Old Style"/>
        </w:rPr>
        <w:t xml:space="preserve"> </w:t>
      </w:r>
      <w:r w:rsidRPr="002D2D1D">
        <w:rPr>
          <w:rFonts w:ascii="Bookman Old Style" w:hAnsi="Bookman Old Style"/>
          <w:i/>
          <w:iCs/>
          <w:sz w:val="22"/>
          <w:szCs w:val="22"/>
          <w:lang w:val="es-CO"/>
        </w:rPr>
        <w:t xml:space="preserve">Ministerio de Salud y Protección Social, </w:t>
      </w:r>
      <w:r w:rsidRPr="004E4E01">
        <w:rPr>
          <w:rFonts w:ascii="Bookman Old Style" w:hAnsi="Bookman Old Style"/>
          <w:i/>
          <w:iCs/>
          <w:sz w:val="22"/>
          <w:szCs w:val="22"/>
          <w:u w:val="single"/>
          <w:lang w:val="es-CO"/>
        </w:rPr>
        <w:t>la Comisión de Regulación de Energía</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 xml:space="preserve">y Gas -CREG-, </w:t>
      </w:r>
      <w:r w:rsidRPr="004E4E01">
        <w:rPr>
          <w:rFonts w:ascii="Bookman Old Style" w:hAnsi="Bookman Old Style"/>
          <w:i/>
          <w:iCs/>
          <w:sz w:val="22"/>
          <w:szCs w:val="22"/>
          <w:lang w:val="es-CO"/>
        </w:rPr>
        <w:t>podrá adoptar en forma transitoria esquemas especiales para</w:t>
      </w:r>
      <w:r w:rsidRPr="004E4E01">
        <w:rPr>
          <w:rFonts w:ascii="Bookman Old Style" w:hAnsi="Bookman Old Style"/>
        </w:rPr>
        <w:t xml:space="preserve"> </w:t>
      </w:r>
      <w:r w:rsidRPr="004E4E01">
        <w:rPr>
          <w:rFonts w:ascii="Bookman Old Style" w:hAnsi="Bookman Old Style"/>
          <w:i/>
          <w:iCs/>
          <w:sz w:val="22"/>
          <w:szCs w:val="22"/>
          <w:lang w:val="es-CO"/>
        </w:rPr>
        <w:t>diferir el pago de facturas emi</w:t>
      </w:r>
      <w:r w:rsidRPr="002D2D1D">
        <w:rPr>
          <w:rFonts w:ascii="Bookman Old Style" w:hAnsi="Bookman Old Style"/>
          <w:i/>
          <w:iCs/>
          <w:sz w:val="22"/>
          <w:szCs w:val="22"/>
          <w:lang w:val="es-CO"/>
        </w:rPr>
        <w:t xml:space="preserve">tidas, así como </w:t>
      </w:r>
      <w:r w:rsidRPr="004E4E01">
        <w:rPr>
          <w:rFonts w:ascii="Bookman Old Style" w:hAnsi="Bookman Old Style"/>
          <w:i/>
          <w:iCs/>
          <w:sz w:val="22"/>
          <w:szCs w:val="22"/>
          <w:u w:val="single"/>
          <w:lang w:val="es-CO"/>
        </w:rPr>
        <w:t>adoptar de manera transitoria</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todas aquellas medidas, disposiciones tarifarias</w:t>
      </w:r>
      <w:r w:rsidRPr="002D2D1D">
        <w:rPr>
          <w:rFonts w:ascii="Bookman Old Style" w:hAnsi="Bookman Old Style"/>
          <w:i/>
          <w:iCs/>
          <w:sz w:val="22"/>
          <w:szCs w:val="22"/>
          <w:lang w:val="es-CO"/>
        </w:rPr>
        <w:t xml:space="preserve"> y regímenes regulatorios</w:t>
      </w:r>
      <w:r>
        <w:rPr>
          <w:rFonts w:ascii="Bookman Old Style" w:hAnsi="Bookman Old Style"/>
        </w:rPr>
        <w:t xml:space="preserve"> </w:t>
      </w:r>
      <w:r w:rsidRPr="002D2D1D">
        <w:rPr>
          <w:rFonts w:ascii="Bookman Old Style" w:hAnsi="Bookman Old Style"/>
          <w:i/>
          <w:iCs/>
          <w:sz w:val="22"/>
          <w:szCs w:val="22"/>
          <w:lang w:val="es-CO"/>
        </w:rPr>
        <w:t xml:space="preserve">especiales </w:t>
      </w:r>
      <w:r w:rsidRPr="004E4E01">
        <w:rPr>
          <w:rFonts w:ascii="Bookman Old Style" w:hAnsi="Bookman Old Style"/>
          <w:i/>
          <w:iCs/>
          <w:sz w:val="22"/>
          <w:szCs w:val="22"/>
          <w:u w:val="single"/>
          <w:lang w:val="es-CO"/>
        </w:rPr>
        <w:t>que considere necesarios</w:t>
      </w:r>
      <w:r w:rsidRPr="002D2D1D">
        <w:rPr>
          <w:rFonts w:ascii="Bookman Old Style" w:hAnsi="Bookman Old Style"/>
          <w:i/>
          <w:iCs/>
          <w:sz w:val="22"/>
          <w:szCs w:val="22"/>
          <w:lang w:val="es-CO"/>
        </w:rPr>
        <w:t>, inclusive lo relacionado con el aporte</w:t>
      </w:r>
      <w:r>
        <w:rPr>
          <w:rFonts w:ascii="Bookman Old Style" w:hAnsi="Bookman Old Style"/>
        </w:rPr>
        <w:t xml:space="preserve"> </w:t>
      </w:r>
      <w:r w:rsidRPr="002D2D1D">
        <w:rPr>
          <w:rFonts w:ascii="Bookman Old Style" w:hAnsi="Bookman Old Style"/>
          <w:i/>
          <w:iCs/>
          <w:sz w:val="22"/>
          <w:szCs w:val="22"/>
          <w:lang w:val="es-CO"/>
        </w:rPr>
        <w:t xml:space="preserve">voluntario de que trata el presente Decreto, </w:t>
      </w:r>
      <w:r w:rsidRPr="004E4E01">
        <w:rPr>
          <w:rFonts w:ascii="Bookman Old Style" w:hAnsi="Bookman Old Style"/>
          <w:i/>
          <w:iCs/>
          <w:sz w:val="22"/>
          <w:szCs w:val="22"/>
          <w:u w:val="single"/>
          <w:lang w:val="es-CO"/>
        </w:rPr>
        <w:t>con el fin de mitigar los efectos del</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Estado de Emergencia Económica, Social y Ecológica sobre los usuarios y los</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agentes de la cadena de la prestación de los servicios públicos domiciliarios de</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energía eléctrica y gas combustible, y sus actividades complementarias</w:t>
      </w:r>
      <w:r w:rsidRPr="00F16370">
        <w:rPr>
          <w:rFonts w:ascii="Bookman Old Style" w:hAnsi="Bookman Old Style"/>
          <w:i/>
          <w:sz w:val="22"/>
          <w:szCs w:val="22"/>
          <w:lang w:val="es-CO"/>
        </w:rPr>
        <w:t xml:space="preserve">.” </w:t>
      </w:r>
      <w:r>
        <w:rPr>
          <w:rFonts w:ascii="Bookman Old Style" w:hAnsi="Bookman Old Style"/>
          <w:i/>
          <w:iCs/>
          <w:sz w:val="22"/>
          <w:szCs w:val="22"/>
          <w:lang w:val="es-CO"/>
        </w:rPr>
        <w:t>(Resaltado fuera de texto)</w:t>
      </w:r>
    </w:p>
    <w:p w14:paraId="1EB4B2F0" w14:textId="77777777" w:rsidR="003E1031" w:rsidRDefault="003E1031" w:rsidP="0062472D">
      <w:pPr>
        <w:ind w:left="0"/>
        <w:contextualSpacing/>
        <w:jc w:val="both"/>
        <w:rPr>
          <w:rFonts w:ascii="Bookman Old Style" w:hAnsi="Bookman Old Style"/>
        </w:rPr>
      </w:pPr>
    </w:p>
    <w:p w14:paraId="04086170" w14:textId="479E4B1F" w:rsidR="001351BF" w:rsidRDefault="00073862" w:rsidP="0062472D">
      <w:pPr>
        <w:ind w:left="0"/>
        <w:contextualSpacing/>
        <w:jc w:val="both"/>
        <w:rPr>
          <w:rFonts w:ascii="Bookman Old Style" w:hAnsi="Bookman Old Style"/>
          <w:lang w:val="es-CO"/>
        </w:rPr>
      </w:pPr>
      <w:r>
        <w:rPr>
          <w:rFonts w:ascii="Bookman Old Style" w:hAnsi="Bookman Old Style"/>
        </w:rPr>
        <w:t>De igual forma</w:t>
      </w:r>
      <w:r w:rsidR="001351BF">
        <w:rPr>
          <w:rFonts w:ascii="Bookman Old Style" w:hAnsi="Bookman Old Style"/>
        </w:rPr>
        <w:t xml:space="preserve">, la Comisión consideró que dicha medida regulatoria </w:t>
      </w:r>
      <w:r w:rsidR="00DF2114">
        <w:rPr>
          <w:rFonts w:ascii="Bookman Old Style" w:hAnsi="Bookman Old Style"/>
          <w:lang w:val="es-CO"/>
        </w:rPr>
        <w:t>correspond</w:t>
      </w:r>
      <w:r w:rsidR="001351BF">
        <w:rPr>
          <w:rFonts w:ascii="Bookman Old Style" w:hAnsi="Bookman Old Style"/>
          <w:lang w:val="es-CO"/>
        </w:rPr>
        <w:t>ía</w:t>
      </w:r>
      <w:r w:rsidR="00DF2114">
        <w:rPr>
          <w:rFonts w:ascii="Bookman Old Style" w:hAnsi="Bookman Old Style"/>
          <w:lang w:val="es-CO"/>
        </w:rPr>
        <w:t xml:space="preserve"> a una medida regulatoria tarifaria necesaria, la cual est</w:t>
      </w:r>
      <w:r w:rsidR="001351BF">
        <w:rPr>
          <w:rFonts w:ascii="Bookman Old Style" w:hAnsi="Bookman Old Style"/>
          <w:lang w:val="es-CO"/>
        </w:rPr>
        <w:t>aba</w:t>
      </w:r>
      <w:r w:rsidR="00DF2114">
        <w:rPr>
          <w:rFonts w:ascii="Bookman Old Style" w:hAnsi="Bookman Old Style"/>
          <w:lang w:val="es-CO"/>
        </w:rPr>
        <w:t xml:space="preserve"> dirigida a mitigar </w:t>
      </w:r>
      <w:r w:rsidR="00DF2114" w:rsidRPr="0028047F">
        <w:rPr>
          <w:rFonts w:ascii="Bookman Old Style" w:hAnsi="Bookman Old Style"/>
          <w:lang w:val="es-CO"/>
        </w:rPr>
        <w:t xml:space="preserve">los efectos del Estado de Emergencia Económica, Social y Ecológica sobre los usuarios y </w:t>
      </w:r>
      <w:r w:rsidR="00DF2114">
        <w:rPr>
          <w:rFonts w:ascii="Bookman Old Style" w:hAnsi="Bookman Old Style"/>
          <w:lang w:val="es-CO"/>
        </w:rPr>
        <w:t xml:space="preserve">el agente comercializador mayorista de las fuentes de precio regulado de GLP, con el fin de garantizar la continuidad en el suministro para el servicio público domiciliario. </w:t>
      </w:r>
    </w:p>
    <w:p w14:paraId="0CE9C2E0" w14:textId="77777777" w:rsidR="001351BF" w:rsidRDefault="001351BF" w:rsidP="0062472D">
      <w:pPr>
        <w:ind w:left="0"/>
        <w:contextualSpacing/>
        <w:jc w:val="both"/>
        <w:rPr>
          <w:rFonts w:ascii="Bookman Old Style" w:hAnsi="Bookman Old Style"/>
          <w:lang w:val="es-CO"/>
        </w:rPr>
      </w:pPr>
    </w:p>
    <w:p w14:paraId="1BE9B1DE" w14:textId="108F9F3A" w:rsidR="005C2AC9" w:rsidRPr="005F362A" w:rsidRDefault="001351BF" w:rsidP="005C2AC9">
      <w:pPr>
        <w:ind w:left="0"/>
        <w:contextualSpacing/>
        <w:jc w:val="both"/>
        <w:rPr>
          <w:rFonts w:ascii="Bookman Old Style" w:hAnsi="Bookman Old Style"/>
        </w:rPr>
      </w:pPr>
      <w:r>
        <w:rPr>
          <w:rFonts w:ascii="Bookman Old Style" w:hAnsi="Bookman Old Style"/>
          <w:lang w:val="es-CO"/>
        </w:rPr>
        <w:t xml:space="preserve">Así mismo, que esta </w:t>
      </w:r>
      <w:r w:rsidR="005C2AC9">
        <w:rPr>
          <w:rFonts w:ascii="Bookman Old Style" w:hAnsi="Bookman Old Style"/>
          <w:lang w:val="es-CO"/>
        </w:rPr>
        <w:t xml:space="preserve">medida se ajustaba a las consideraciones expuestas dentro </w:t>
      </w:r>
    </w:p>
    <w:p w14:paraId="46EFB06E" w14:textId="0EA8E36B" w:rsidR="0062472D" w:rsidRDefault="005C2AC9" w:rsidP="0062472D">
      <w:pPr>
        <w:ind w:left="0"/>
        <w:contextualSpacing/>
        <w:jc w:val="both"/>
        <w:rPr>
          <w:rFonts w:ascii="Bookman Old Style" w:hAnsi="Bookman Old Style"/>
        </w:rPr>
      </w:pPr>
      <w:r>
        <w:rPr>
          <w:rFonts w:ascii="Bookman Old Style" w:hAnsi="Bookman Old Style"/>
        </w:rPr>
        <w:t>d</w:t>
      </w:r>
      <w:r w:rsidR="0062472D" w:rsidRPr="005F362A">
        <w:rPr>
          <w:rFonts w:ascii="Bookman Old Style" w:hAnsi="Bookman Old Style"/>
        </w:rPr>
        <w:t>el Decreto 417 de 2020</w:t>
      </w:r>
      <w:r>
        <w:rPr>
          <w:rFonts w:ascii="Bookman Old Style" w:hAnsi="Bookman Old Style"/>
        </w:rPr>
        <w:t>, el cual declaró</w:t>
      </w:r>
      <w:r w:rsidR="0062472D" w:rsidRPr="00410A36">
        <w:rPr>
          <w:rFonts w:ascii="Bookman Old Style" w:hAnsi="Bookman Old Style"/>
        </w:rPr>
        <w:t xml:space="preserve"> el Estado de </w:t>
      </w:r>
      <w:r w:rsidR="0062472D" w:rsidRPr="008A3DF7">
        <w:rPr>
          <w:rFonts w:ascii="Bookman Old Style" w:hAnsi="Bookman Old Style"/>
        </w:rPr>
        <w:t>Emergencia Económica, Social y Ecológica en todo el territorio nacional, con el fin de conjurar los efectos de la crisis económica y social generada por la pandemia del n</w:t>
      </w:r>
      <w:r w:rsidR="0062472D" w:rsidRPr="00410A36">
        <w:rPr>
          <w:rFonts w:ascii="Bookman Old Style" w:hAnsi="Bookman Old Style"/>
        </w:rPr>
        <w:t>uevo Coronavirus COVID-19</w:t>
      </w:r>
      <w:r w:rsidR="0062472D">
        <w:rPr>
          <w:rFonts w:ascii="Bookman Old Style" w:hAnsi="Bookman Old Style"/>
        </w:rPr>
        <w:t xml:space="preserve">, </w:t>
      </w:r>
      <w:r>
        <w:rPr>
          <w:rFonts w:ascii="Bookman Old Style" w:hAnsi="Bookman Old Style"/>
        </w:rPr>
        <w:t>en las que se</w:t>
      </w:r>
      <w:r w:rsidR="0062472D">
        <w:rPr>
          <w:rFonts w:ascii="Bookman Old Style" w:hAnsi="Bookman Old Style"/>
        </w:rPr>
        <w:t xml:space="preserve"> expuso: </w:t>
      </w:r>
    </w:p>
    <w:p w14:paraId="74504E30" w14:textId="77777777" w:rsidR="0062472D" w:rsidRDefault="0062472D" w:rsidP="0062472D">
      <w:pPr>
        <w:ind w:left="0"/>
        <w:contextualSpacing/>
        <w:jc w:val="both"/>
        <w:rPr>
          <w:rFonts w:ascii="Bookman Old Style" w:hAnsi="Bookman Old Style"/>
        </w:rPr>
      </w:pPr>
    </w:p>
    <w:p w14:paraId="47D48CA9" w14:textId="77777777" w:rsidR="0062472D" w:rsidRPr="007B60F5" w:rsidRDefault="0062472D" w:rsidP="00774B7D">
      <w:pPr>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7B60F5">
        <w:rPr>
          <w:rFonts w:ascii="Bookman Old Style" w:hAnsi="Bookman Old Style"/>
          <w:i/>
          <w:iCs/>
          <w:sz w:val="22"/>
          <w:szCs w:val="22"/>
          <w:lang w:val="es-CO"/>
        </w:rPr>
        <w:t xml:space="preserve">Que ante el surgimiento de la mencionada pandemia se debe garantizar la prestación continua y efectiva de los servicios públicos, razón por la cual </w:t>
      </w:r>
      <w:r w:rsidRPr="00CF0321">
        <w:rPr>
          <w:rFonts w:ascii="Bookman Old Style" w:hAnsi="Bookman Old Style"/>
          <w:i/>
          <w:iCs/>
          <w:sz w:val="22"/>
          <w:szCs w:val="22"/>
          <w:u w:val="single"/>
          <w:lang w:val="es-CO"/>
        </w:rPr>
        <w:t>se deberá analizar medidas necesarias para cumplir con los mandatos que le ha entregado el ordenamiento jurídico colombiano.</w:t>
      </w:r>
      <w:r w:rsidRPr="007B60F5">
        <w:rPr>
          <w:rFonts w:ascii="Bookman Old Style" w:hAnsi="Bookman Old Style"/>
          <w:i/>
          <w:iCs/>
          <w:sz w:val="22"/>
          <w:szCs w:val="22"/>
          <w:lang w:val="es-CO"/>
        </w:rPr>
        <w:t xml:space="preserve"> Lo anterior supone la posibilidad flexibilizar los criterios de calidad, continuidad y eficiencia de los servicios, establecer el orden de atención prioritaria en el abastecimiento de los mismos, flexibilizar el régimen laboral en cuanto los requisitos de los trabajadores a contratar, implementar medidas de importación y comercialización de combustibles con el fin de no afectar el abastecimiento</w:t>
      </w:r>
      <w:r>
        <w:rPr>
          <w:rFonts w:ascii="Bookman Old Style" w:hAnsi="Bookman Old Style"/>
          <w:i/>
          <w:iCs/>
          <w:sz w:val="22"/>
          <w:szCs w:val="22"/>
          <w:lang w:val="es-CO"/>
        </w:rPr>
        <w:t>”</w:t>
      </w:r>
      <w:r w:rsidRPr="007B60F5">
        <w:rPr>
          <w:rFonts w:ascii="Bookman Old Style" w:hAnsi="Bookman Old Style"/>
          <w:i/>
          <w:iCs/>
          <w:sz w:val="22"/>
          <w:szCs w:val="22"/>
          <w:lang w:val="es-CO"/>
        </w:rPr>
        <w:t>.</w:t>
      </w:r>
    </w:p>
    <w:p w14:paraId="402507BC" w14:textId="77777777" w:rsidR="0062472D" w:rsidRDefault="0062472D" w:rsidP="0062472D">
      <w:pPr>
        <w:ind w:left="0"/>
        <w:contextualSpacing/>
        <w:jc w:val="both"/>
        <w:rPr>
          <w:rFonts w:ascii="Bookman Old Style" w:hAnsi="Bookman Old Style"/>
        </w:rPr>
      </w:pPr>
    </w:p>
    <w:p w14:paraId="67A6970E" w14:textId="622BDD2F" w:rsidR="0062472D" w:rsidRDefault="005C2AC9" w:rsidP="0062472D">
      <w:pPr>
        <w:ind w:left="0"/>
        <w:contextualSpacing/>
        <w:jc w:val="both"/>
        <w:rPr>
          <w:rFonts w:ascii="Bookman Old Style" w:hAnsi="Bookman Old Style"/>
        </w:rPr>
      </w:pPr>
      <w:r>
        <w:rPr>
          <w:rFonts w:ascii="Bookman Old Style" w:hAnsi="Bookman Old Style"/>
        </w:rPr>
        <w:t>Lo anterior, teniendo en cuenta que</w:t>
      </w:r>
      <w:r w:rsidR="00774B7D">
        <w:rPr>
          <w:rFonts w:ascii="Bookman Old Style" w:hAnsi="Bookman Old Style"/>
        </w:rPr>
        <w:t>,</w:t>
      </w:r>
      <w:r>
        <w:rPr>
          <w:rFonts w:ascii="Bookman Old Style" w:hAnsi="Bookman Old Style"/>
        </w:rPr>
        <w:t xml:space="preserve"> d</w:t>
      </w:r>
      <w:r w:rsidR="0062472D">
        <w:rPr>
          <w:rFonts w:ascii="Bookman Old Style" w:hAnsi="Bookman Old Style"/>
        </w:rPr>
        <w:t xml:space="preserve">entro de estos mandatos legales en materia de servicios públicos domiciliarios, </w:t>
      </w:r>
      <w:r w:rsidR="00073862">
        <w:rPr>
          <w:rFonts w:ascii="Bookman Old Style" w:hAnsi="Bookman Old Style"/>
        </w:rPr>
        <w:t xml:space="preserve">se encuentran </w:t>
      </w:r>
      <w:r w:rsidR="0062472D" w:rsidRPr="00185D3E">
        <w:rPr>
          <w:rFonts w:ascii="Bookman Old Style" w:hAnsi="Bookman Old Style"/>
        </w:rPr>
        <w:t xml:space="preserve">los artículos 1, 2 y 4 de la Ley 142 de 1994, </w:t>
      </w:r>
      <w:r w:rsidR="00073862">
        <w:rPr>
          <w:rFonts w:ascii="Bookman Old Style" w:hAnsi="Bookman Old Style"/>
        </w:rPr>
        <w:t xml:space="preserve">los cuales </w:t>
      </w:r>
      <w:r w:rsidR="0062472D">
        <w:rPr>
          <w:rFonts w:ascii="Bookman Old Style" w:hAnsi="Bookman Old Style"/>
        </w:rPr>
        <w:t xml:space="preserve">establecen que el servicio público domiciliario de </w:t>
      </w:r>
      <w:r w:rsidR="0062472D" w:rsidRPr="00185D3E">
        <w:rPr>
          <w:rFonts w:ascii="Bookman Old Style" w:hAnsi="Bookman Old Style"/>
        </w:rPr>
        <w:t>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14:paraId="7CFDD32B" w14:textId="77777777" w:rsidR="0062472D" w:rsidRDefault="0062472D" w:rsidP="0062472D">
      <w:pPr>
        <w:ind w:left="0"/>
        <w:contextualSpacing/>
        <w:jc w:val="both"/>
        <w:rPr>
          <w:rFonts w:ascii="Bookman Old Style" w:hAnsi="Bookman Old Style"/>
        </w:rPr>
      </w:pPr>
    </w:p>
    <w:p w14:paraId="17BA3F34" w14:textId="6F6B424A" w:rsidR="0062472D" w:rsidRDefault="00073862" w:rsidP="0062472D">
      <w:pPr>
        <w:ind w:left="0"/>
        <w:contextualSpacing/>
        <w:jc w:val="both"/>
        <w:rPr>
          <w:rFonts w:ascii="Bookman Old Style" w:hAnsi="Bookman Old Style"/>
        </w:rPr>
      </w:pPr>
      <w:r>
        <w:rPr>
          <w:rFonts w:ascii="Bookman Old Style" w:hAnsi="Bookman Old Style"/>
        </w:rPr>
        <w:t>Con base en todo lo anteriormente expuesto</w:t>
      </w:r>
      <w:r w:rsidR="00BB48BE">
        <w:rPr>
          <w:rFonts w:ascii="Bookman Old Style" w:hAnsi="Bookman Old Style"/>
        </w:rPr>
        <w:t>,</w:t>
      </w:r>
      <w:r>
        <w:rPr>
          <w:rFonts w:ascii="Bookman Old Style" w:hAnsi="Bookman Old Style"/>
        </w:rPr>
        <w:t xml:space="preserve"> la Comisión expidió la Resolución CREG 045 de 2020</w:t>
      </w:r>
      <w:r w:rsidR="00136E84">
        <w:rPr>
          <w:rFonts w:ascii="Bookman Old Style" w:hAnsi="Bookman Old Style"/>
        </w:rPr>
        <w:t xml:space="preserve"> “</w:t>
      </w:r>
      <w:r w:rsidR="00136E84" w:rsidRPr="00136E84">
        <w:rPr>
          <w:rFonts w:ascii="Bookman Old Style" w:hAnsi="Bookman Old Style"/>
        </w:rPr>
        <w:t>Por la cual se adoptan disposiciones tarifarias dentro del precio máximo regulado para la comercialización mayorista de GLP en el marco del artículo 3 del Decreto Legislativo 517 de 2020</w:t>
      </w:r>
      <w:r w:rsidR="00136E84">
        <w:rPr>
          <w:rFonts w:ascii="Bookman Old Style" w:hAnsi="Bookman Old Style"/>
        </w:rPr>
        <w:t>”.</w:t>
      </w:r>
    </w:p>
    <w:p w14:paraId="5D054F90" w14:textId="77777777" w:rsidR="00073862" w:rsidRPr="00C07899" w:rsidRDefault="00073862" w:rsidP="0062472D">
      <w:pPr>
        <w:ind w:left="0"/>
        <w:contextualSpacing/>
        <w:jc w:val="both"/>
        <w:rPr>
          <w:rFonts w:ascii="Bookman Old Style" w:hAnsi="Bookman Old Style"/>
        </w:rPr>
      </w:pPr>
    </w:p>
    <w:p w14:paraId="68418F21" w14:textId="5D855032" w:rsidR="0062472D" w:rsidRDefault="0062472D" w:rsidP="0062472D">
      <w:pPr>
        <w:ind w:left="0"/>
        <w:contextualSpacing/>
        <w:jc w:val="both"/>
        <w:rPr>
          <w:rFonts w:ascii="Bookman Old Style" w:hAnsi="Bookman Old Style"/>
          <w:lang w:val="es-CO"/>
        </w:rPr>
      </w:pPr>
      <w:r>
        <w:rPr>
          <w:rFonts w:ascii="Bookman Old Style" w:hAnsi="Bookman Old Style"/>
          <w:lang w:val="es-CO"/>
        </w:rPr>
        <w:t xml:space="preserve">Entiende la Comisión que, al haberse dado el suministro de GLP en estos niveles históricos de precio por parte del comercializador mayorista de fuentes de precio regulado, el nivel de precio definido </w:t>
      </w:r>
      <w:r w:rsidR="00136E84">
        <w:rPr>
          <w:rFonts w:ascii="Bookman Old Style" w:hAnsi="Bookman Old Style"/>
          <w:lang w:val="es-CO"/>
        </w:rPr>
        <w:t xml:space="preserve">busca </w:t>
      </w:r>
      <w:r>
        <w:rPr>
          <w:rFonts w:ascii="Bookman Old Style" w:hAnsi="Bookman Old Style"/>
          <w:lang w:val="es-CO"/>
        </w:rPr>
        <w:t>garantiza</w:t>
      </w:r>
      <w:r w:rsidR="00136E84">
        <w:rPr>
          <w:rFonts w:ascii="Bookman Old Style" w:hAnsi="Bookman Old Style"/>
          <w:lang w:val="es-CO"/>
        </w:rPr>
        <w:t>r</w:t>
      </w:r>
      <w:r>
        <w:rPr>
          <w:rFonts w:ascii="Bookman Old Style" w:hAnsi="Bookman Old Style"/>
          <w:lang w:val="es-CO"/>
        </w:rPr>
        <w:t xml:space="preserve"> la suficiencia en costos, de tal forma que el producto pueda ser destinado al servicio público domiciliario, como ocurrió en eventos anteriores.</w:t>
      </w:r>
    </w:p>
    <w:p w14:paraId="5E6287FF" w14:textId="050828D1" w:rsidR="00EB3254" w:rsidRDefault="00EB3254" w:rsidP="0062472D">
      <w:pPr>
        <w:ind w:left="0"/>
        <w:contextualSpacing/>
        <w:jc w:val="both"/>
        <w:rPr>
          <w:rFonts w:ascii="Bookman Old Style" w:hAnsi="Bookman Old Style"/>
          <w:lang w:val="es-CO"/>
        </w:rPr>
      </w:pPr>
    </w:p>
    <w:p w14:paraId="251291F9" w14:textId="0B40F08B" w:rsidR="00EB3254" w:rsidRDefault="00EB3254" w:rsidP="0062472D">
      <w:pPr>
        <w:ind w:left="0"/>
        <w:contextualSpacing/>
        <w:jc w:val="both"/>
        <w:rPr>
          <w:rFonts w:ascii="Bookman Old Style" w:hAnsi="Bookman Old Style"/>
          <w:lang w:val="es-CO"/>
        </w:rPr>
      </w:pPr>
      <w:r>
        <w:rPr>
          <w:rFonts w:ascii="Bookman Old Style" w:hAnsi="Bookman Old Style"/>
          <w:lang w:val="es-CO"/>
        </w:rPr>
        <w:t xml:space="preserve">Ahora, la Comisión ha </w:t>
      </w:r>
      <w:r w:rsidR="00BB48BE">
        <w:rPr>
          <w:rFonts w:ascii="Bookman Old Style" w:hAnsi="Bookman Old Style"/>
          <w:lang w:val="es-CO"/>
        </w:rPr>
        <w:t>hecho</w:t>
      </w:r>
      <w:r>
        <w:rPr>
          <w:rFonts w:ascii="Bookman Old Style" w:hAnsi="Bookman Old Style"/>
          <w:lang w:val="es-CO"/>
        </w:rPr>
        <w:t xml:space="preserve"> </w:t>
      </w:r>
      <w:r w:rsidR="007C31EC">
        <w:rPr>
          <w:rFonts w:ascii="Bookman Old Style" w:hAnsi="Bookman Old Style"/>
          <w:lang w:val="es-CO"/>
        </w:rPr>
        <w:t>un seguimiento a la aplicación de dicha norma</w:t>
      </w:r>
      <w:r w:rsidR="00BB48BE">
        <w:rPr>
          <w:rFonts w:ascii="Bookman Old Style" w:hAnsi="Bookman Old Style"/>
          <w:lang w:val="es-CO"/>
        </w:rPr>
        <w:t>,</w:t>
      </w:r>
      <w:r w:rsidR="007C31EC">
        <w:rPr>
          <w:rFonts w:ascii="Bookman Old Style" w:hAnsi="Bookman Old Style"/>
          <w:lang w:val="es-CO"/>
        </w:rPr>
        <w:t xml:space="preserve"> en relación con la oferta de GLP </w:t>
      </w:r>
      <w:r w:rsidR="00BB48BE">
        <w:rPr>
          <w:rFonts w:ascii="Bookman Old Style" w:hAnsi="Bookman Old Style"/>
          <w:lang w:val="es-CO"/>
        </w:rPr>
        <w:t xml:space="preserve">de fuentes de precio regulado, comercializadas por Ecopetrol, </w:t>
      </w:r>
      <w:r w:rsidR="007C31EC">
        <w:rPr>
          <w:rFonts w:ascii="Bookman Old Style" w:hAnsi="Bookman Old Style"/>
          <w:lang w:val="es-CO"/>
        </w:rPr>
        <w:t>para los meses de abril y mayo</w:t>
      </w:r>
      <w:r w:rsidR="00BB48BE">
        <w:rPr>
          <w:rFonts w:ascii="Bookman Old Style" w:hAnsi="Bookman Old Style"/>
          <w:lang w:val="es-CO"/>
        </w:rPr>
        <w:t xml:space="preserve"> de 2020</w:t>
      </w:r>
      <w:r w:rsidR="007C31EC">
        <w:rPr>
          <w:rFonts w:ascii="Bookman Old Style" w:hAnsi="Bookman Old Style"/>
          <w:lang w:val="es-CO"/>
        </w:rPr>
        <w:t xml:space="preserve">. </w:t>
      </w:r>
      <w:r w:rsidR="00FC4CA7">
        <w:rPr>
          <w:rFonts w:ascii="Bookman Old Style" w:hAnsi="Bookman Old Style"/>
          <w:lang w:val="es-CO"/>
        </w:rPr>
        <w:t xml:space="preserve">En relación con esto, la aplicación del precio piso se </w:t>
      </w:r>
      <w:r w:rsidR="00AA7FEA">
        <w:rPr>
          <w:rFonts w:ascii="Bookman Old Style" w:hAnsi="Bookman Old Style"/>
          <w:lang w:val="es-CO"/>
        </w:rPr>
        <w:t>da</w:t>
      </w:r>
      <w:r w:rsidR="00BB48BE">
        <w:rPr>
          <w:rFonts w:ascii="Bookman Old Style" w:hAnsi="Bookman Old Style"/>
          <w:lang w:val="es-CO"/>
        </w:rPr>
        <w:t xml:space="preserve"> </w:t>
      </w:r>
      <w:r w:rsidR="00FC4CA7">
        <w:rPr>
          <w:rFonts w:ascii="Bookman Old Style" w:hAnsi="Bookman Old Style"/>
          <w:lang w:val="es-CO"/>
        </w:rPr>
        <w:t xml:space="preserve">efectivamente para </w:t>
      </w:r>
      <w:r w:rsidR="00BB48BE">
        <w:rPr>
          <w:rFonts w:ascii="Bookman Old Style" w:hAnsi="Bookman Old Style"/>
          <w:lang w:val="es-CO"/>
        </w:rPr>
        <w:t>51 y 53 millones de K</w:t>
      </w:r>
      <w:r w:rsidR="00FC4CA7">
        <w:rPr>
          <w:rFonts w:ascii="Bookman Old Style" w:hAnsi="Bookman Old Style"/>
          <w:lang w:val="es-CO"/>
        </w:rPr>
        <w:t>g</w:t>
      </w:r>
      <w:r w:rsidR="00BB48BE">
        <w:rPr>
          <w:rFonts w:ascii="Bookman Old Style" w:hAnsi="Bookman Old Style"/>
          <w:lang w:val="es-CO"/>
        </w:rPr>
        <w:t xml:space="preserve"> de GLP,</w:t>
      </w:r>
      <w:r w:rsidR="00FC4CA7">
        <w:rPr>
          <w:rFonts w:ascii="Bookman Old Style" w:hAnsi="Bookman Old Style"/>
          <w:lang w:val="es-CO"/>
        </w:rPr>
        <w:t xml:space="preserve"> </w:t>
      </w:r>
      <w:r w:rsidR="00BB48BE">
        <w:rPr>
          <w:rFonts w:ascii="Bookman Old Style" w:hAnsi="Bookman Old Style"/>
          <w:lang w:val="es-CO"/>
        </w:rPr>
        <w:t xml:space="preserve">para los meses de abril y mayo, respectivamente, reflejados en contratos de suministro en firme, con destino </w:t>
      </w:r>
      <w:r w:rsidR="00FC4CA7">
        <w:rPr>
          <w:rFonts w:ascii="Bookman Old Style" w:hAnsi="Bookman Old Style"/>
          <w:lang w:val="es-CO"/>
        </w:rPr>
        <w:t>al servicio público</w:t>
      </w:r>
      <w:r w:rsidR="00BB48BE">
        <w:rPr>
          <w:rFonts w:ascii="Bookman Old Style" w:hAnsi="Bookman Old Style"/>
          <w:lang w:val="es-CO"/>
        </w:rPr>
        <w:t>, d</w:t>
      </w:r>
      <w:r w:rsidR="00774B7D">
        <w:rPr>
          <w:rFonts w:ascii="Bookman Old Style" w:hAnsi="Bookman Old Style"/>
          <w:lang w:val="es-CO"/>
        </w:rPr>
        <w:t>a</w:t>
      </w:r>
      <w:r w:rsidR="00BB48BE">
        <w:rPr>
          <w:rFonts w:ascii="Bookman Old Style" w:hAnsi="Bookman Old Style"/>
          <w:lang w:val="es-CO"/>
        </w:rPr>
        <w:t>ndo así cobertura a la</w:t>
      </w:r>
      <w:r w:rsidR="00FC4CA7">
        <w:rPr>
          <w:rFonts w:ascii="Bookman Old Style" w:hAnsi="Bookman Old Style"/>
          <w:lang w:val="es-CO"/>
        </w:rPr>
        <w:t xml:space="preserve"> </w:t>
      </w:r>
      <w:r w:rsidR="00BB48BE">
        <w:rPr>
          <w:rFonts w:ascii="Bookman Old Style" w:hAnsi="Bookman Old Style"/>
          <w:lang w:val="es-CO"/>
        </w:rPr>
        <w:t>demanda nacional</w:t>
      </w:r>
      <w:r w:rsidR="00774B7D">
        <w:rPr>
          <w:rFonts w:ascii="Bookman Old Style" w:hAnsi="Bookman Old Style"/>
          <w:lang w:val="es-CO"/>
        </w:rPr>
        <w:t>,</w:t>
      </w:r>
      <w:r w:rsidR="00BB48BE">
        <w:rPr>
          <w:rFonts w:ascii="Bookman Old Style" w:hAnsi="Bookman Old Style"/>
          <w:lang w:val="es-CO"/>
        </w:rPr>
        <w:t xml:space="preserve"> y </w:t>
      </w:r>
      <w:r w:rsidR="00FC4CA7">
        <w:rPr>
          <w:rFonts w:ascii="Bookman Old Style" w:hAnsi="Bookman Old Style"/>
          <w:lang w:val="es-CO"/>
        </w:rPr>
        <w:t xml:space="preserve">continuidad </w:t>
      </w:r>
      <w:r w:rsidR="00BB48BE">
        <w:rPr>
          <w:rFonts w:ascii="Bookman Old Style" w:hAnsi="Bookman Old Style"/>
          <w:lang w:val="es-CO"/>
        </w:rPr>
        <w:t xml:space="preserve">en la prestación </w:t>
      </w:r>
      <w:r w:rsidR="00FC4CA7">
        <w:rPr>
          <w:rFonts w:ascii="Bookman Old Style" w:hAnsi="Bookman Old Style"/>
          <w:lang w:val="es-CO"/>
        </w:rPr>
        <w:t>del</w:t>
      </w:r>
      <w:r w:rsidR="00BB48BE">
        <w:rPr>
          <w:rFonts w:ascii="Bookman Old Style" w:hAnsi="Bookman Old Style"/>
          <w:lang w:val="es-CO"/>
        </w:rPr>
        <w:t xml:space="preserve"> servicio</w:t>
      </w:r>
      <w:r w:rsidR="00FC4CA7">
        <w:rPr>
          <w:rFonts w:ascii="Bookman Old Style" w:hAnsi="Bookman Old Style"/>
          <w:lang w:val="es-CO"/>
        </w:rPr>
        <w:t>.</w:t>
      </w:r>
    </w:p>
    <w:p w14:paraId="213DA37C" w14:textId="54B5A1FD" w:rsidR="00FC4CA7" w:rsidRDefault="00FC4CA7" w:rsidP="0062472D">
      <w:pPr>
        <w:ind w:left="0"/>
        <w:contextualSpacing/>
        <w:jc w:val="both"/>
        <w:rPr>
          <w:rFonts w:ascii="Bookman Old Style" w:hAnsi="Bookman Old Style"/>
          <w:lang w:val="es-CO"/>
        </w:rPr>
      </w:pPr>
    </w:p>
    <w:p w14:paraId="657AB535" w14:textId="54ECD9C1" w:rsidR="00455FD0" w:rsidRPr="00455FD0" w:rsidRDefault="00FC4CA7" w:rsidP="00455FD0">
      <w:pPr>
        <w:ind w:left="0"/>
        <w:contextualSpacing/>
        <w:jc w:val="both"/>
        <w:rPr>
          <w:rFonts w:ascii="Bookman Old Style" w:hAnsi="Bookman Old Style"/>
          <w:lang w:val="es-CO"/>
        </w:rPr>
      </w:pPr>
      <w:r>
        <w:rPr>
          <w:rFonts w:ascii="Bookman Old Style" w:hAnsi="Bookman Old Style"/>
          <w:lang w:val="es-CO"/>
        </w:rPr>
        <w:t xml:space="preserve">La gráfica que se </w:t>
      </w:r>
      <w:r w:rsidR="00C42CFC">
        <w:rPr>
          <w:rFonts w:ascii="Bookman Old Style" w:hAnsi="Bookman Old Style"/>
          <w:lang w:val="es-CO"/>
        </w:rPr>
        <w:t>presenta</w:t>
      </w:r>
      <w:r>
        <w:rPr>
          <w:rFonts w:ascii="Bookman Old Style" w:hAnsi="Bookman Old Style"/>
          <w:lang w:val="es-CO"/>
        </w:rPr>
        <w:t xml:space="preserve"> a continuación muestra la aplicación del precio</w:t>
      </w:r>
      <w:r w:rsidR="004B7F7B">
        <w:rPr>
          <w:rFonts w:ascii="Bookman Old Style" w:hAnsi="Bookman Old Style"/>
          <w:lang w:val="es-CO"/>
        </w:rPr>
        <w:t xml:space="preserve"> y su </w:t>
      </w:r>
      <w:r w:rsidR="00455FD0">
        <w:rPr>
          <w:rFonts w:ascii="Bookman Old Style" w:hAnsi="Bookman Old Style"/>
          <w:lang w:val="es-CO"/>
        </w:rPr>
        <w:t>proyección al mes de junio</w:t>
      </w:r>
      <w:r w:rsidR="00C2350C">
        <w:rPr>
          <w:rFonts w:ascii="Bookman Old Style" w:hAnsi="Bookman Old Style"/>
          <w:lang w:val="es-CO"/>
        </w:rPr>
        <w:t xml:space="preserve">. De acuerdo con esto, </w:t>
      </w:r>
      <w:r w:rsidR="00455FD0" w:rsidRPr="00455FD0">
        <w:rPr>
          <w:rFonts w:ascii="Bookman Old Style" w:hAnsi="Bookman Old Style"/>
          <w:lang w:val="es-CO"/>
        </w:rPr>
        <w:t>de no haber contado con dicho precio piso, como resultado de la volatilidad de los precios internacionales del crudo y la volatilidad de la Tasa Representativa del Mercado TRM, el precio regulado hubiese estado en precios históricos cercanos a $3</w:t>
      </w:r>
      <w:r w:rsidR="00C42CFC">
        <w:rPr>
          <w:rFonts w:ascii="Bookman Old Style" w:hAnsi="Bookman Old Style"/>
          <w:lang w:val="es-CO"/>
        </w:rPr>
        <w:t>40</w:t>
      </w:r>
      <w:r w:rsidR="00455FD0" w:rsidRPr="00455FD0">
        <w:rPr>
          <w:rFonts w:ascii="Bookman Old Style" w:hAnsi="Bookman Old Style"/>
          <w:lang w:val="es-CO"/>
        </w:rPr>
        <w:t xml:space="preserve"> </w:t>
      </w:r>
      <w:r w:rsidR="00C42CFC">
        <w:rPr>
          <w:rFonts w:ascii="Bookman Old Style" w:hAnsi="Bookman Old Style"/>
          <w:lang w:val="es-CO"/>
        </w:rPr>
        <w:t xml:space="preserve">por </w:t>
      </w:r>
      <w:r w:rsidR="00455FD0" w:rsidRPr="00455FD0">
        <w:rPr>
          <w:rFonts w:ascii="Bookman Old Style" w:hAnsi="Bookman Old Style"/>
          <w:lang w:val="es-CO"/>
        </w:rPr>
        <w:t xml:space="preserve">Kg, lo cual </w:t>
      </w:r>
      <w:r w:rsidR="00C42CFC">
        <w:rPr>
          <w:rFonts w:ascii="Bookman Old Style" w:hAnsi="Bookman Old Style"/>
          <w:lang w:val="es-CO"/>
        </w:rPr>
        <w:t>hubiese abierto</w:t>
      </w:r>
      <w:r w:rsidR="00455FD0" w:rsidRPr="00455FD0">
        <w:rPr>
          <w:rFonts w:ascii="Bookman Old Style" w:hAnsi="Bookman Old Style"/>
          <w:lang w:val="es-CO"/>
        </w:rPr>
        <w:t xml:space="preserve"> la posibilidad de que Ecopetrol encontrara un uso más eficiente al GLP o </w:t>
      </w:r>
      <w:r w:rsidR="00C42CFC">
        <w:rPr>
          <w:rFonts w:ascii="Bookman Old Style" w:hAnsi="Bookman Old Style"/>
          <w:lang w:val="es-CO"/>
        </w:rPr>
        <w:t>la destinación</w:t>
      </w:r>
      <w:r w:rsidR="00455FD0" w:rsidRPr="00455FD0">
        <w:rPr>
          <w:rFonts w:ascii="Bookman Old Style" w:hAnsi="Bookman Old Style"/>
          <w:lang w:val="es-CO"/>
        </w:rPr>
        <w:t xml:space="preserve"> a otra actividad</w:t>
      </w:r>
      <w:r w:rsidR="00774B7D">
        <w:rPr>
          <w:rFonts w:ascii="Bookman Old Style" w:hAnsi="Bookman Old Style"/>
          <w:lang w:val="es-CO"/>
        </w:rPr>
        <w:t>,</w:t>
      </w:r>
      <w:r w:rsidR="00455FD0" w:rsidRPr="00455FD0">
        <w:rPr>
          <w:rFonts w:ascii="Bookman Old Style" w:hAnsi="Bookman Old Style"/>
          <w:lang w:val="es-CO"/>
        </w:rPr>
        <w:t xml:space="preserve"> y </w:t>
      </w:r>
      <w:r w:rsidR="00774B7D">
        <w:rPr>
          <w:rFonts w:ascii="Bookman Old Style" w:hAnsi="Bookman Old Style"/>
          <w:lang w:val="es-CO"/>
        </w:rPr>
        <w:t xml:space="preserve">por ende, </w:t>
      </w:r>
      <w:r w:rsidR="00455FD0" w:rsidRPr="00455FD0">
        <w:rPr>
          <w:rFonts w:ascii="Bookman Old Style" w:hAnsi="Bookman Old Style"/>
          <w:lang w:val="es-CO"/>
        </w:rPr>
        <w:t>no ser ofrecido al servicio público domiciliario</w:t>
      </w:r>
      <w:r w:rsidR="00C2350C">
        <w:rPr>
          <w:rFonts w:ascii="Bookman Old Style" w:hAnsi="Bookman Old Style"/>
          <w:lang w:val="es-CO"/>
        </w:rPr>
        <w:t>:</w:t>
      </w:r>
      <w:r w:rsidR="00455FD0" w:rsidRPr="00455FD0">
        <w:rPr>
          <w:rFonts w:ascii="Bookman Old Style" w:hAnsi="Bookman Old Style"/>
          <w:lang w:val="es-CO"/>
        </w:rPr>
        <w:t xml:space="preserve">  </w:t>
      </w:r>
    </w:p>
    <w:p w14:paraId="2F86995B" w14:textId="77777777" w:rsidR="00455FD0" w:rsidRPr="00455FD0" w:rsidRDefault="00455FD0" w:rsidP="00455FD0">
      <w:pPr>
        <w:ind w:left="0"/>
        <w:contextualSpacing/>
        <w:jc w:val="both"/>
        <w:rPr>
          <w:rFonts w:ascii="Arial" w:hAnsi="Arial" w:cs="Arial"/>
          <w:sz w:val="22"/>
          <w:szCs w:val="22"/>
          <w:lang w:val="es-CO"/>
        </w:rPr>
      </w:pPr>
      <w:r w:rsidRPr="00455FD0">
        <w:rPr>
          <w:rFonts w:ascii="Arial" w:hAnsi="Arial" w:cs="Arial"/>
          <w:sz w:val="22"/>
          <w:szCs w:val="22"/>
          <w:lang w:val="es-CO"/>
        </w:rPr>
        <w:t xml:space="preserve"> </w:t>
      </w:r>
    </w:p>
    <w:p w14:paraId="59B60F80" w14:textId="77777777" w:rsidR="00455FD0" w:rsidRPr="00455FD0" w:rsidRDefault="00455FD0" w:rsidP="00455FD0">
      <w:pPr>
        <w:ind w:left="0"/>
        <w:contextualSpacing/>
        <w:jc w:val="both"/>
        <w:rPr>
          <w:rFonts w:ascii="Arial" w:hAnsi="Arial" w:cs="Arial"/>
          <w:sz w:val="22"/>
          <w:szCs w:val="22"/>
          <w:lang w:val="es-CO"/>
        </w:rPr>
      </w:pPr>
      <w:r w:rsidRPr="00455FD0">
        <w:rPr>
          <w:rFonts w:ascii="Arial" w:hAnsi="Arial" w:cs="Arial"/>
          <w:noProof/>
          <w:sz w:val="22"/>
          <w:szCs w:val="22"/>
          <w:lang w:val="es-CO"/>
        </w:rPr>
        <w:drawing>
          <wp:inline distT="0" distB="0" distL="0" distR="0" wp14:anchorId="387D7A5E" wp14:editId="4FAEA2AF">
            <wp:extent cx="5826125" cy="3053301"/>
            <wp:effectExtent l="0" t="0" r="3175" b="13970"/>
            <wp:docPr id="15" name="Gráfico 15">
              <a:extLst xmlns:a="http://schemas.openxmlformats.org/drawingml/2006/main">
                <a:ext uri="{FF2B5EF4-FFF2-40B4-BE49-F238E27FC236}">
                  <a16:creationId xmlns:a16="http://schemas.microsoft.com/office/drawing/2014/main" id="{F20E496D-4D67-408F-8B6A-7960AF6E95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E5C182A" w14:textId="77777777" w:rsidR="00965D41" w:rsidRDefault="00965D41" w:rsidP="00965D41">
      <w:pPr>
        <w:ind w:left="0"/>
        <w:contextualSpacing/>
        <w:jc w:val="both"/>
        <w:rPr>
          <w:rFonts w:ascii="Bookman Old Style" w:hAnsi="Bookman Old Style"/>
        </w:rPr>
      </w:pPr>
    </w:p>
    <w:p w14:paraId="59FF4654" w14:textId="36E13083" w:rsidR="00965D41" w:rsidRDefault="00965D41" w:rsidP="00965D41">
      <w:pPr>
        <w:ind w:left="0"/>
        <w:contextualSpacing/>
        <w:jc w:val="both"/>
        <w:rPr>
          <w:rFonts w:ascii="Bookman Old Style" w:hAnsi="Bookman Old Style"/>
        </w:rPr>
      </w:pPr>
      <w:r>
        <w:rPr>
          <w:rFonts w:ascii="Bookman Old Style" w:hAnsi="Bookman Old Style"/>
        </w:rPr>
        <w:t>En relación con esto, las tablas que se muestran a continuación</w:t>
      </w:r>
      <w:r w:rsidR="00AA3C88">
        <w:rPr>
          <w:rFonts w:ascii="Bookman Old Style" w:hAnsi="Bookman Old Style"/>
        </w:rPr>
        <w:t xml:space="preserve"> contienen </w:t>
      </w:r>
      <w:r>
        <w:rPr>
          <w:rFonts w:ascii="Bookman Old Style" w:hAnsi="Bookman Old Style"/>
        </w:rPr>
        <w:t>los precios máximos regulados de GLP, para los periodos de tiempo establecidos del 15 de abril al 14 de mayo y del 15 de mayo al 14 de junio del presente año</w:t>
      </w:r>
      <w:r w:rsidR="00C42CFC">
        <w:rPr>
          <w:rFonts w:ascii="Bookman Old Style" w:hAnsi="Bookman Old Style"/>
        </w:rPr>
        <w:t>,</w:t>
      </w:r>
      <w:r w:rsidR="00AA3C88">
        <w:rPr>
          <w:rFonts w:ascii="Bookman Old Style" w:hAnsi="Bookman Old Style"/>
        </w:rPr>
        <w:t xml:space="preserve"> publicados por Ecopetrol</w:t>
      </w:r>
      <w:r w:rsidR="00C42CFC">
        <w:rPr>
          <w:rFonts w:ascii="Bookman Old Style" w:hAnsi="Bookman Old Style"/>
        </w:rPr>
        <w:t>, donde</w:t>
      </w:r>
      <w:r w:rsidRPr="00463BAC">
        <w:rPr>
          <w:rFonts w:ascii="Bookman Old Style" w:hAnsi="Bookman Old Style"/>
        </w:rPr>
        <w:t xml:space="preserve"> </w:t>
      </w:r>
      <w:r>
        <w:rPr>
          <w:rFonts w:ascii="Bookman Old Style" w:hAnsi="Bookman Old Style"/>
        </w:rPr>
        <w:t>los precios de venta al comercializador mayorista corresponden al v</w:t>
      </w:r>
      <w:r w:rsidRPr="00E6316A">
        <w:rPr>
          <w:rFonts w:ascii="Bookman Old Style" w:hAnsi="Bookman Old Style"/>
        </w:rPr>
        <w:t>alor mínimo del precio máximo regulado de suministro de GLP</w:t>
      </w:r>
      <w:r>
        <w:rPr>
          <w:rFonts w:ascii="Bookman Old Style" w:hAnsi="Bookman Old Style"/>
        </w:rPr>
        <w:t xml:space="preserve"> </w:t>
      </w:r>
      <w:r w:rsidRPr="00E6316A">
        <w:rPr>
          <w:rFonts w:ascii="Bookman Old Style" w:hAnsi="Bookman Old Style"/>
        </w:rPr>
        <w:t>para las fuentes de producción nacional</w:t>
      </w:r>
      <w:r>
        <w:rPr>
          <w:rFonts w:ascii="Bookman Old Style" w:hAnsi="Bookman Old Style"/>
        </w:rPr>
        <w:t>, establecido en el Artículo 1 de la Resolución CREG 045 de 2020.</w:t>
      </w:r>
    </w:p>
    <w:p w14:paraId="09FADB97" w14:textId="77C6EE6B" w:rsidR="00FD1938" w:rsidRDefault="00FD1938" w:rsidP="00965D41">
      <w:pPr>
        <w:ind w:left="0"/>
        <w:contextualSpacing/>
        <w:rPr>
          <w:rFonts w:ascii="Bookman Old Style" w:hAnsi="Bookman Old Style"/>
        </w:rPr>
      </w:pPr>
    </w:p>
    <w:p w14:paraId="25B5726A" w14:textId="77777777" w:rsidR="00FD1938" w:rsidRDefault="00FD1938" w:rsidP="00965D41">
      <w:pPr>
        <w:ind w:left="0"/>
        <w:contextualSpacing/>
        <w:rPr>
          <w:rFonts w:ascii="Bookman Old Style" w:hAnsi="Bookman Old Style"/>
        </w:rPr>
      </w:pPr>
    </w:p>
    <w:tbl>
      <w:tblPr>
        <w:tblW w:w="4839" w:type="pct"/>
        <w:tblCellMar>
          <w:left w:w="70" w:type="dxa"/>
          <w:right w:w="70" w:type="dxa"/>
        </w:tblCellMar>
        <w:tblLook w:val="04A0" w:firstRow="1" w:lastRow="0" w:firstColumn="1" w:lastColumn="0" w:noHBand="0" w:noVBand="1"/>
      </w:tblPr>
      <w:tblGrid>
        <w:gridCol w:w="2895"/>
        <w:gridCol w:w="1049"/>
        <w:gridCol w:w="1003"/>
        <w:gridCol w:w="1003"/>
        <w:gridCol w:w="1005"/>
        <w:gridCol w:w="1006"/>
        <w:gridCol w:w="1049"/>
      </w:tblGrid>
      <w:tr w:rsidR="00965D41" w:rsidRPr="00EF0D82" w14:paraId="73AE901C" w14:textId="77777777" w:rsidTr="00DC3366">
        <w:trPr>
          <w:trHeight w:val="292"/>
        </w:trPr>
        <w:tc>
          <w:tcPr>
            <w:tcW w:w="5000" w:type="pct"/>
            <w:gridSpan w:val="7"/>
            <w:vMerge w:val="restart"/>
            <w:tcBorders>
              <w:top w:val="double" w:sz="6" w:space="0" w:color="auto"/>
              <w:left w:val="double" w:sz="6" w:space="0" w:color="auto"/>
              <w:bottom w:val="single" w:sz="4" w:space="0" w:color="000000"/>
              <w:right w:val="double" w:sz="6" w:space="0" w:color="000000"/>
            </w:tcBorders>
            <w:shd w:val="clear" w:color="auto" w:fill="auto"/>
            <w:vAlign w:val="center"/>
            <w:hideMark/>
          </w:tcPr>
          <w:p w14:paraId="1641C1A5" w14:textId="77777777" w:rsidR="00965D41" w:rsidRPr="00AA3C88" w:rsidRDefault="00965D41" w:rsidP="00AA3C88">
            <w:pPr>
              <w:ind w:left="0"/>
              <w:jc w:val="center"/>
              <w:rPr>
                <w:rFonts w:ascii="Bookman Old Style" w:hAnsi="Bookman Old Style" w:cs="Arial"/>
                <w:color w:val="000000" w:themeColor="text1"/>
                <w:sz w:val="18"/>
                <w:szCs w:val="18"/>
                <w:lang w:val="es-CO" w:eastAsia="es-CO"/>
              </w:rPr>
            </w:pPr>
            <w:r w:rsidRPr="00AA3C88">
              <w:rPr>
                <w:rFonts w:ascii="Bookman Old Style" w:hAnsi="Bookman Old Style" w:cs="Arial"/>
                <w:color w:val="000000" w:themeColor="text1"/>
                <w:sz w:val="18"/>
                <w:szCs w:val="18"/>
                <w:lang w:val="es-CO" w:eastAsia="es-CO"/>
              </w:rPr>
              <w:t>PRECIOS MAXIMOS REGULADOS GLP DE ABRIL 15 2020 A MAYO 14 2020</w:t>
            </w:r>
          </w:p>
        </w:tc>
      </w:tr>
      <w:tr w:rsidR="00965D41" w:rsidRPr="00EF0D82" w14:paraId="1FCCA9BA" w14:textId="77777777" w:rsidTr="00DC3366">
        <w:trPr>
          <w:trHeight w:val="276"/>
        </w:trPr>
        <w:tc>
          <w:tcPr>
            <w:tcW w:w="5000" w:type="pct"/>
            <w:gridSpan w:val="7"/>
            <w:vMerge/>
            <w:tcBorders>
              <w:top w:val="double" w:sz="6" w:space="0" w:color="auto"/>
              <w:left w:val="double" w:sz="6" w:space="0" w:color="auto"/>
              <w:bottom w:val="single" w:sz="4" w:space="0" w:color="000000"/>
              <w:right w:val="double" w:sz="6" w:space="0" w:color="000000"/>
            </w:tcBorders>
            <w:shd w:val="clear" w:color="auto" w:fill="auto"/>
            <w:vAlign w:val="center"/>
            <w:hideMark/>
          </w:tcPr>
          <w:p w14:paraId="0ADB72B8" w14:textId="77777777" w:rsidR="00965D41" w:rsidRPr="00AA3C88" w:rsidRDefault="00965D41" w:rsidP="00AA3C88">
            <w:pPr>
              <w:ind w:left="0"/>
              <w:jc w:val="center"/>
              <w:rPr>
                <w:rFonts w:ascii="Bookman Old Style" w:hAnsi="Bookman Old Style" w:cs="Arial"/>
                <w:color w:val="000000" w:themeColor="text1"/>
                <w:sz w:val="18"/>
                <w:szCs w:val="18"/>
                <w:lang w:val="es-CO" w:eastAsia="es-CO"/>
              </w:rPr>
            </w:pPr>
          </w:p>
        </w:tc>
      </w:tr>
      <w:tr w:rsidR="00AA3C88" w:rsidRPr="00EF0D82" w14:paraId="7D1DD9C8" w14:textId="77777777" w:rsidTr="00DC3366">
        <w:trPr>
          <w:trHeight w:val="853"/>
        </w:trPr>
        <w:tc>
          <w:tcPr>
            <w:tcW w:w="1610" w:type="pct"/>
            <w:tcBorders>
              <w:top w:val="nil"/>
              <w:left w:val="double" w:sz="6" w:space="0" w:color="auto"/>
              <w:bottom w:val="double" w:sz="6" w:space="0" w:color="auto"/>
              <w:right w:val="single" w:sz="4" w:space="0" w:color="auto"/>
            </w:tcBorders>
            <w:shd w:val="clear" w:color="auto" w:fill="auto"/>
            <w:vAlign w:val="center"/>
            <w:hideMark/>
          </w:tcPr>
          <w:p w14:paraId="099816D8" w14:textId="77777777" w:rsidR="00965D41" w:rsidRPr="00EF0D82" w:rsidRDefault="00965D41" w:rsidP="00AA3C88">
            <w:pPr>
              <w:ind w:left="0"/>
              <w:jc w:val="center"/>
              <w:rPr>
                <w:rFonts w:ascii="Bookman Old Style" w:hAnsi="Bookman Old Style" w:cs="Arial"/>
                <w:bCs/>
                <w:color w:val="FFFFFF"/>
                <w:sz w:val="20"/>
                <w:szCs w:val="20"/>
                <w:lang w:val="es-CO" w:eastAsia="es-CO"/>
              </w:rPr>
            </w:pPr>
            <w:r>
              <w:rPr>
                <w:rFonts w:ascii="Bookman Old Style" w:hAnsi="Bookman Old Style" w:cs="Arial"/>
                <w:bCs/>
                <w:color w:val="000000" w:themeColor="text1"/>
                <w:sz w:val="20"/>
                <w:szCs w:val="20"/>
                <w:lang w:val="es-CO" w:eastAsia="es-CO"/>
              </w:rPr>
              <w:t>Fecha de aplicación de la tarifa</w:t>
            </w:r>
          </w:p>
        </w:tc>
        <w:tc>
          <w:tcPr>
            <w:tcW w:w="563" w:type="pct"/>
            <w:tcBorders>
              <w:top w:val="nil"/>
              <w:left w:val="nil"/>
              <w:bottom w:val="double" w:sz="6" w:space="0" w:color="auto"/>
              <w:right w:val="single" w:sz="4" w:space="0" w:color="auto"/>
            </w:tcBorders>
            <w:shd w:val="clear" w:color="auto" w:fill="auto"/>
            <w:vAlign w:val="center"/>
            <w:hideMark/>
          </w:tcPr>
          <w:p w14:paraId="2AB120E1" w14:textId="77777777" w:rsidR="00965D41" w:rsidRPr="00EF0D82" w:rsidRDefault="00965D41" w:rsidP="00AA3C88">
            <w:pPr>
              <w:ind w:left="0"/>
              <w:jc w:val="center"/>
              <w:rPr>
                <w:rFonts w:ascii="Bookman Old Style" w:hAnsi="Bookman Old Style" w:cs="Arial"/>
                <w:bCs/>
                <w:color w:val="000000" w:themeColor="text1"/>
                <w:sz w:val="20"/>
                <w:szCs w:val="20"/>
                <w:lang w:val="es-CO" w:eastAsia="es-CO"/>
              </w:rPr>
            </w:pPr>
            <w:r w:rsidRPr="00EF0D82">
              <w:rPr>
                <w:rFonts w:ascii="Bookman Old Style" w:hAnsi="Bookman Old Style" w:cs="Arial"/>
                <w:bCs/>
                <w:color w:val="000000" w:themeColor="text1"/>
                <w:sz w:val="20"/>
                <w:szCs w:val="20"/>
                <w:lang w:val="es-CO" w:eastAsia="es-CO"/>
              </w:rPr>
              <w:t>Precio Refinería de Barranca</w:t>
            </w:r>
          </w:p>
        </w:tc>
        <w:tc>
          <w:tcPr>
            <w:tcW w:w="560" w:type="pct"/>
            <w:tcBorders>
              <w:top w:val="nil"/>
              <w:left w:val="nil"/>
              <w:bottom w:val="double" w:sz="6" w:space="0" w:color="auto"/>
              <w:right w:val="single" w:sz="4" w:space="0" w:color="auto"/>
            </w:tcBorders>
            <w:shd w:val="clear" w:color="auto" w:fill="auto"/>
            <w:vAlign w:val="center"/>
            <w:hideMark/>
          </w:tcPr>
          <w:p w14:paraId="68472B5B" w14:textId="77777777" w:rsidR="00965D41" w:rsidRPr="00EF0D82" w:rsidRDefault="00965D41" w:rsidP="00AA3C88">
            <w:pPr>
              <w:ind w:left="0"/>
              <w:jc w:val="center"/>
              <w:rPr>
                <w:rFonts w:ascii="Bookman Old Style" w:hAnsi="Bookman Old Style" w:cs="Arial"/>
                <w:bCs/>
                <w:color w:val="000000" w:themeColor="text1"/>
                <w:sz w:val="20"/>
                <w:szCs w:val="20"/>
                <w:lang w:val="es-CO" w:eastAsia="es-CO"/>
              </w:rPr>
            </w:pPr>
            <w:r w:rsidRPr="00EF0D82">
              <w:rPr>
                <w:rFonts w:ascii="Bookman Old Style" w:hAnsi="Bookman Old Style" w:cs="Arial"/>
                <w:bCs/>
                <w:color w:val="000000" w:themeColor="text1"/>
                <w:sz w:val="20"/>
                <w:szCs w:val="20"/>
                <w:lang w:val="es-CO" w:eastAsia="es-CO"/>
              </w:rPr>
              <w:t>Precio Reficar</w:t>
            </w:r>
          </w:p>
        </w:tc>
        <w:tc>
          <w:tcPr>
            <w:tcW w:w="560" w:type="pct"/>
            <w:tcBorders>
              <w:top w:val="nil"/>
              <w:left w:val="nil"/>
              <w:bottom w:val="double" w:sz="6" w:space="0" w:color="auto"/>
              <w:right w:val="single" w:sz="4" w:space="0" w:color="auto"/>
            </w:tcBorders>
            <w:shd w:val="clear" w:color="auto" w:fill="auto"/>
            <w:vAlign w:val="center"/>
            <w:hideMark/>
          </w:tcPr>
          <w:p w14:paraId="0D57372D" w14:textId="77777777"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Apiay</w:t>
            </w:r>
          </w:p>
        </w:tc>
        <w:tc>
          <w:tcPr>
            <w:tcW w:w="561" w:type="pct"/>
            <w:tcBorders>
              <w:top w:val="nil"/>
              <w:left w:val="nil"/>
              <w:bottom w:val="double" w:sz="6" w:space="0" w:color="auto"/>
              <w:right w:val="single" w:sz="4" w:space="0" w:color="auto"/>
            </w:tcBorders>
            <w:shd w:val="clear" w:color="auto" w:fill="auto"/>
            <w:vAlign w:val="center"/>
            <w:hideMark/>
          </w:tcPr>
          <w:p w14:paraId="65EC6926" w14:textId="77777777"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Dina</w:t>
            </w:r>
          </w:p>
        </w:tc>
        <w:tc>
          <w:tcPr>
            <w:tcW w:w="561" w:type="pct"/>
            <w:tcBorders>
              <w:top w:val="nil"/>
              <w:left w:val="nil"/>
              <w:bottom w:val="double" w:sz="6" w:space="0" w:color="auto"/>
              <w:right w:val="double" w:sz="6" w:space="0" w:color="auto"/>
            </w:tcBorders>
            <w:shd w:val="clear" w:color="auto" w:fill="auto"/>
            <w:vAlign w:val="center"/>
            <w:hideMark/>
          </w:tcPr>
          <w:p w14:paraId="398AD2A9" w14:textId="2ADF802C"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Cusiana</w:t>
            </w:r>
          </w:p>
        </w:tc>
        <w:tc>
          <w:tcPr>
            <w:tcW w:w="582" w:type="pct"/>
            <w:tcBorders>
              <w:top w:val="nil"/>
              <w:left w:val="nil"/>
              <w:bottom w:val="double" w:sz="6" w:space="0" w:color="auto"/>
              <w:right w:val="double" w:sz="6" w:space="0" w:color="auto"/>
            </w:tcBorders>
            <w:shd w:val="clear" w:color="auto" w:fill="auto"/>
            <w:vAlign w:val="center"/>
            <w:hideMark/>
          </w:tcPr>
          <w:p w14:paraId="1DC080E7" w14:textId="5B44E469"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Cupiagua</w:t>
            </w:r>
          </w:p>
        </w:tc>
      </w:tr>
      <w:tr w:rsidR="00AA3C88" w:rsidRPr="00EF0D82" w14:paraId="34C9F984" w14:textId="77777777" w:rsidTr="00DC3366">
        <w:trPr>
          <w:trHeight w:val="466"/>
        </w:trPr>
        <w:tc>
          <w:tcPr>
            <w:tcW w:w="1610" w:type="pct"/>
            <w:tcBorders>
              <w:top w:val="single" w:sz="4" w:space="0" w:color="auto"/>
              <w:left w:val="double" w:sz="6" w:space="0" w:color="auto"/>
              <w:bottom w:val="double" w:sz="6" w:space="0" w:color="auto"/>
              <w:right w:val="single" w:sz="4" w:space="0" w:color="auto"/>
            </w:tcBorders>
            <w:shd w:val="clear" w:color="auto" w:fill="auto"/>
            <w:vAlign w:val="center"/>
            <w:hideMark/>
          </w:tcPr>
          <w:p w14:paraId="7D38D2E0"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de venta al comercializador mayorista (sin incluir transporte) $/KG</w:t>
            </w:r>
          </w:p>
        </w:tc>
        <w:tc>
          <w:tcPr>
            <w:tcW w:w="563" w:type="pct"/>
            <w:tcBorders>
              <w:top w:val="single" w:sz="4" w:space="0" w:color="auto"/>
              <w:left w:val="nil"/>
              <w:bottom w:val="double" w:sz="6" w:space="0" w:color="auto"/>
              <w:right w:val="single" w:sz="4" w:space="0" w:color="auto"/>
            </w:tcBorders>
            <w:shd w:val="clear" w:color="auto" w:fill="auto"/>
            <w:vAlign w:val="center"/>
            <w:hideMark/>
          </w:tcPr>
          <w:p w14:paraId="07FEDA15"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450.39</w:t>
            </w:r>
          </w:p>
        </w:tc>
        <w:tc>
          <w:tcPr>
            <w:tcW w:w="560" w:type="pct"/>
            <w:tcBorders>
              <w:top w:val="single" w:sz="4" w:space="0" w:color="auto"/>
              <w:left w:val="nil"/>
              <w:bottom w:val="double" w:sz="6" w:space="0" w:color="auto"/>
              <w:right w:val="single" w:sz="4" w:space="0" w:color="auto"/>
            </w:tcBorders>
            <w:shd w:val="clear" w:color="auto" w:fill="auto"/>
            <w:vAlign w:val="center"/>
            <w:hideMark/>
          </w:tcPr>
          <w:p w14:paraId="57011119"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673.27</w:t>
            </w:r>
          </w:p>
        </w:tc>
        <w:tc>
          <w:tcPr>
            <w:tcW w:w="560" w:type="pct"/>
            <w:tcBorders>
              <w:top w:val="single" w:sz="4" w:space="0" w:color="auto"/>
              <w:left w:val="nil"/>
              <w:bottom w:val="double" w:sz="6" w:space="0" w:color="auto"/>
              <w:right w:val="single" w:sz="4" w:space="0" w:color="auto"/>
            </w:tcBorders>
            <w:shd w:val="clear" w:color="auto" w:fill="auto"/>
            <w:vAlign w:val="center"/>
            <w:hideMark/>
          </w:tcPr>
          <w:p w14:paraId="5EF9D222"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450.39</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30FF4B54" w14:textId="77777777" w:rsidR="00965D41" w:rsidRPr="00AA3C88" w:rsidRDefault="00965D41" w:rsidP="00AA3C88">
            <w:pPr>
              <w:ind w:left="0"/>
              <w:jc w:val="center"/>
              <w:rPr>
                <w:rFonts w:ascii="Bookman Old Style" w:hAnsi="Bookman Old Style" w:cs="Arial"/>
                <w:bCs/>
                <w:sz w:val="18"/>
                <w:szCs w:val="18"/>
                <w:lang w:val="es-CO" w:eastAsia="es-CO"/>
              </w:rPr>
            </w:pPr>
            <w:r w:rsidRPr="00AA3C88">
              <w:rPr>
                <w:rFonts w:ascii="Bookman Old Style" w:hAnsi="Bookman Old Style" w:cs="Arial"/>
                <w:bCs/>
                <w:sz w:val="18"/>
                <w:szCs w:val="18"/>
                <w:lang w:val="es-CO" w:eastAsia="es-CO"/>
              </w:rPr>
              <w:t>450.39</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4CF99B59" w14:textId="77777777" w:rsidR="00965D41" w:rsidRPr="00AA3C88" w:rsidRDefault="00965D41" w:rsidP="00AA3C88">
            <w:pPr>
              <w:ind w:left="0"/>
              <w:jc w:val="center"/>
              <w:rPr>
                <w:rFonts w:ascii="Bookman Old Style" w:hAnsi="Bookman Old Style" w:cs="Arial"/>
                <w:bCs/>
                <w:sz w:val="18"/>
                <w:szCs w:val="18"/>
                <w:lang w:val="es-CO" w:eastAsia="es-CO"/>
              </w:rPr>
            </w:pPr>
            <w:r w:rsidRPr="00AA3C88">
              <w:rPr>
                <w:rFonts w:ascii="Bookman Old Style" w:hAnsi="Bookman Old Style" w:cs="Arial"/>
                <w:bCs/>
                <w:sz w:val="18"/>
                <w:szCs w:val="18"/>
                <w:lang w:val="es-CO" w:eastAsia="es-CO"/>
              </w:rPr>
              <w:t>450.39</w:t>
            </w:r>
          </w:p>
        </w:tc>
        <w:tc>
          <w:tcPr>
            <w:tcW w:w="582" w:type="pct"/>
            <w:tcBorders>
              <w:top w:val="nil"/>
              <w:left w:val="nil"/>
              <w:bottom w:val="double" w:sz="6" w:space="0" w:color="auto"/>
              <w:right w:val="single" w:sz="4" w:space="0" w:color="auto"/>
            </w:tcBorders>
            <w:shd w:val="clear" w:color="auto" w:fill="auto"/>
            <w:vAlign w:val="center"/>
            <w:hideMark/>
          </w:tcPr>
          <w:p w14:paraId="1EC98A43" w14:textId="77777777" w:rsidR="00965D41" w:rsidRPr="00AA3C88" w:rsidRDefault="00965D41" w:rsidP="00AA3C88">
            <w:pPr>
              <w:ind w:left="0"/>
              <w:jc w:val="center"/>
              <w:rPr>
                <w:rFonts w:ascii="Bookman Old Style" w:hAnsi="Bookman Old Style" w:cs="Arial"/>
                <w:bCs/>
                <w:sz w:val="18"/>
                <w:szCs w:val="18"/>
                <w:lang w:val="es-CO" w:eastAsia="es-CO"/>
              </w:rPr>
            </w:pPr>
            <w:r w:rsidRPr="00AA3C88">
              <w:rPr>
                <w:rFonts w:ascii="Bookman Old Style" w:hAnsi="Bookman Old Style" w:cs="Arial"/>
                <w:bCs/>
                <w:sz w:val="18"/>
                <w:szCs w:val="18"/>
                <w:lang w:val="es-CO" w:eastAsia="es-CO"/>
              </w:rPr>
              <w:t>450.39</w:t>
            </w:r>
          </w:p>
        </w:tc>
      </w:tr>
    </w:tbl>
    <w:p w14:paraId="43761A3D" w14:textId="77777777" w:rsidR="00965D41" w:rsidRPr="00EF0D82" w:rsidRDefault="00965D41" w:rsidP="00AA3C88">
      <w:pPr>
        <w:ind w:left="0"/>
        <w:jc w:val="center"/>
        <w:rPr>
          <w:rFonts w:ascii="Bookman Old Style" w:hAnsi="Bookman Old Style" w:cs="Arial"/>
          <w:bCs/>
          <w:iCs/>
          <w:sz w:val="16"/>
          <w:szCs w:val="16"/>
          <w:lang w:val="es-CO" w:eastAsia="es-CO"/>
        </w:rPr>
      </w:pPr>
      <w:r>
        <w:rPr>
          <w:rFonts w:ascii="Bookman Old Style" w:hAnsi="Bookman Old Style" w:cs="Arial"/>
          <w:bCs/>
          <w:iCs/>
          <w:sz w:val="16"/>
          <w:szCs w:val="16"/>
          <w:lang w:val="es-CO" w:eastAsia="es-CO"/>
        </w:rPr>
        <w:t>Fuente: Ecopetrol</w:t>
      </w:r>
    </w:p>
    <w:p w14:paraId="4690D097" w14:textId="77777777" w:rsidR="00317E08" w:rsidRDefault="00317E08" w:rsidP="00965D41">
      <w:pPr>
        <w:ind w:left="0"/>
        <w:contextualSpacing/>
        <w:rPr>
          <w:rFonts w:ascii="Bookman Old Style" w:hAnsi="Bookman Old Style"/>
        </w:rPr>
      </w:pPr>
    </w:p>
    <w:p w14:paraId="3E38EB84" w14:textId="77777777" w:rsidR="00317E08" w:rsidRDefault="00317E08" w:rsidP="00965D41">
      <w:pPr>
        <w:ind w:left="0"/>
        <w:contextualSpacing/>
        <w:rPr>
          <w:rFonts w:ascii="Bookman Old Style" w:hAnsi="Bookman Old Style"/>
        </w:rPr>
      </w:pPr>
    </w:p>
    <w:tbl>
      <w:tblPr>
        <w:tblW w:w="5026" w:type="pct"/>
        <w:tblCellMar>
          <w:left w:w="70" w:type="dxa"/>
          <w:right w:w="70" w:type="dxa"/>
        </w:tblCellMar>
        <w:tblLook w:val="04A0" w:firstRow="1" w:lastRow="0" w:firstColumn="1" w:lastColumn="0" w:noHBand="0" w:noVBand="1"/>
      </w:tblPr>
      <w:tblGrid>
        <w:gridCol w:w="3015"/>
        <w:gridCol w:w="1054"/>
        <w:gridCol w:w="1048"/>
        <w:gridCol w:w="1048"/>
        <w:gridCol w:w="1050"/>
        <w:gridCol w:w="1050"/>
        <w:gridCol w:w="1093"/>
      </w:tblGrid>
      <w:tr w:rsidR="00965D41" w:rsidRPr="0096368D" w14:paraId="4E51AEE4" w14:textId="77777777" w:rsidTr="00FD1938">
        <w:trPr>
          <w:trHeight w:val="350"/>
        </w:trPr>
        <w:tc>
          <w:tcPr>
            <w:tcW w:w="5000" w:type="pct"/>
            <w:gridSpan w:val="7"/>
            <w:vMerge w:val="restart"/>
            <w:tcBorders>
              <w:top w:val="double" w:sz="6" w:space="0" w:color="auto"/>
              <w:left w:val="double" w:sz="6" w:space="0" w:color="auto"/>
              <w:bottom w:val="single" w:sz="4" w:space="0" w:color="000000"/>
              <w:right w:val="double" w:sz="6" w:space="0" w:color="000000"/>
            </w:tcBorders>
            <w:shd w:val="clear" w:color="auto" w:fill="auto"/>
            <w:vAlign w:val="center"/>
            <w:hideMark/>
          </w:tcPr>
          <w:p w14:paraId="457C583B" w14:textId="77777777" w:rsidR="00965D41" w:rsidRPr="0096368D" w:rsidRDefault="00965D41" w:rsidP="00842DB6">
            <w:pPr>
              <w:ind w:left="0"/>
              <w:jc w:val="center"/>
              <w:rPr>
                <w:rFonts w:ascii="Bookman Old Style" w:hAnsi="Bookman Old Style" w:cs="Arial"/>
                <w:sz w:val="18"/>
                <w:szCs w:val="18"/>
                <w:lang w:val="es-CO" w:eastAsia="es-CO"/>
              </w:rPr>
            </w:pPr>
            <w:r w:rsidRPr="0096368D">
              <w:rPr>
                <w:rFonts w:ascii="Bookman Old Style" w:hAnsi="Bookman Old Style" w:cs="Arial"/>
                <w:sz w:val="18"/>
                <w:szCs w:val="18"/>
                <w:lang w:val="es-CO" w:eastAsia="es-CO"/>
              </w:rPr>
              <w:t>PRECIOS MAXIMOS REGULADOS GLP DE MAYO 15 2020 A JUNIO 14 2020</w:t>
            </w:r>
          </w:p>
        </w:tc>
      </w:tr>
      <w:tr w:rsidR="00965D41" w:rsidRPr="0096368D" w14:paraId="15C628A3" w14:textId="77777777" w:rsidTr="00FD1938">
        <w:trPr>
          <w:trHeight w:val="543"/>
        </w:trPr>
        <w:tc>
          <w:tcPr>
            <w:tcW w:w="5000" w:type="pct"/>
            <w:gridSpan w:val="7"/>
            <w:vMerge/>
            <w:tcBorders>
              <w:top w:val="double" w:sz="6" w:space="0" w:color="auto"/>
              <w:left w:val="double" w:sz="6" w:space="0" w:color="auto"/>
              <w:bottom w:val="single" w:sz="4" w:space="0" w:color="000000"/>
              <w:right w:val="double" w:sz="6" w:space="0" w:color="000000"/>
            </w:tcBorders>
            <w:shd w:val="clear" w:color="auto" w:fill="auto"/>
            <w:vAlign w:val="center"/>
            <w:hideMark/>
          </w:tcPr>
          <w:p w14:paraId="2EAF4A67" w14:textId="77777777" w:rsidR="00965D41" w:rsidRPr="0096368D" w:rsidRDefault="00965D41" w:rsidP="00842DB6">
            <w:pPr>
              <w:ind w:left="0"/>
              <w:rPr>
                <w:rFonts w:ascii="Bookman Old Style" w:hAnsi="Bookman Old Style" w:cs="Arial"/>
                <w:sz w:val="18"/>
                <w:szCs w:val="18"/>
                <w:lang w:val="es-CO" w:eastAsia="es-CO"/>
              </w:rPr>
            </w:pPr>
          </w:p>
        </w:tc>
      </w:tr>
      <w:tr w:rsidR="00965D41" w:rsidRPr="0096368D" w14:paraId="067D2DB7" w14:textId="77777777" w:rsidTr="00FD1938">
        <w:trPr>
          <w:trHeight w:val="1022"/>
        </w:trPr>
        <w:tc>
          <w:tcPr>
            <w:tcW w:w="1611" w:type="pct"/>
            <w:tcBorders>
              <w:top w:val="nil"/>
              <w:left w:val="double" w:sz="6" w:space="0" w:color="auto"/>
              <w:bottom w:val="double" w:sz="6" w:space="0" w:color="auto"/>
              <w:right w:val="single" w:sz="4" w:space="0" w:color="auto"/>
            </w:tcBorders>
            <w:shd w:val="clear" w:color="auto" w:fill="auto"/>
            <w:vAlign w:val="center"/>
            <w:hideMark/>
          </w:tcPr>
          <w:p w14:paraId="6E11B92C" w14:textId="77777777" w:rsidR="00965D41" w:rsidRPr="00EF0D82" w:rsidRDefault="00965D41" w:rsidP="00842DB6">
            <w:pPr>
              <w:ind w:left="0"/>
              <w:jc w:val="center"/>
              <w:rPr>
                <w:rFonts w:ascii="Bookman Old Style" w:hAnsi="Bookman Old Style" w:cs="Arial"/>
                <w:bCs/>
                <w:sz w:val="20"/>
                <w:szCs w:val="20"/>
                <w:lang w:val="es-CO" w:eastAsia="es-CO"/>
              </w:rPr>
            </w:pPr>
            <w:r>
              <w:rPr>
                <w:rFonts w:ascii="Bookman Old Style" w:hAnsi="Bookman Old Style" w:cs="Arial"/>
                <w:bCs/>
                <w:color w:val="000000" w:themeColor="text1"/>
                <w:sz w:val="20"/>
                <w:szCs w:val="20"/>
                <w:lang w:val="es-CO" w:eastAsia="es-CO"/>
              </w:rPr>
              <w:t>Fecha de aplicación de la tarifa</w:t>
            </w:r>
          </w:p>
        </w:tc>
        <w:tc>
          <w:tcPr>
            <w:tcW w:w="563" w:type="pct"/>
            <w:tcBorders>
              <w:top w:val="nil"/>
              <w:left w:val="nil"/>
              <w:bottom w:val="double" w:sz="6" w:space="0" w:color="auto"/>
              <w:right w:val="single" w:sz="4" w:space="0" w:color="auto"/>
            </w:tcBorders>
            <w:shd w:val="clear" w:color="auto" w:fill="auto"/>
            <w:vAlign w:val="center"/>
            <w:hideMark/>
          </w:tcPr>
          <w:p w14:paraId="38F9C386"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Refinería de Barranca</w:t>
            </w:r>
          </w:p>
        </w:tc>
        <w:tc>
          <w:tcPr>
            <w:tcW w:w="560" w:type="pct"/>
            <w:tcBorders>
              <w:top w:val="nil"/>
              <w:left w:val="nil"/>
              <w:bottom w:val="double" w:sz="6" w:space="0" w:color="auto"/>
              <w:right w:val="single" w:sz="4" w:space="0" w:color="auto"/>
            </w:tcBorders>
            <w:shd w:val="clear" w:color="auto" w:fill="auto"/>
            <w:vAlign w:val="center"/>
            <w:hideMark/>
          </w:tcPr>
          <w:p w14:paraId="60CEACF1"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Reficar</w:t>
            </w:r>
          </w:p>
        </w:tc>
        <w:tc>
          <w:tcPr>
            <w:tcW w:w="560" w:type="pct"/>
            <w:tcBorders>
              <w:top w:val="nil"/>
              <w:left w:val="nil"/>
              <w:bottom w:val="double" w:sz="6" w:space="0" w:color="auto"/>
              <w:right w:val="single" w:sz="4" w:space="0" w:color="auto"/>
            </w:tcBorders>
            <w:shd w:val="clear" w:color="auto" w:fill="auto"/>
            <w:vAlign w:val="center"/>
            <w:hideMark/>
          </w:tcPr>
          <w:p w14:paraId="73CD7B67"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Apiay</w:t>
            </w:r>
          </w:p>
        </w:tc>
        <w:tc>
          <w:tcPr>
            <w:tcW w:w="561" w:type="pct"/>
            <w:tcBorders>
              <w:top w:val="nil"/>
              <w:left w:val="nil"/>
              <w:bottom w:val="double" w:sz="6" w:space="0" w:color="auto"/>
              <w:right w:val="single" w:sz="4" w:space="0" w:color="auto"/>
            </w:tcBorders>
            <w:shd w:val="clear" w:color="auto" w:fill="auto"/>
            <w:vAlign w:val="center"/>
            <w:hideMark/>
          </w:tcPr>
          <w:p w14:paraId="2D04272A"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Dina</w:t>
            </w:r>
          </w:p>
        </w:tc>
        <w:tc>
          <w:tcPr>
            <w:tcW w:w="561" w:type="pct"/>
            <w:tcBorders>
              <w:top w:val="nil"/>
              <w:left w:val="nil"/>
              <w:bottom w:val="double" w:sz="6" w:space="0" w:color="auto"/>
              <w:right w:val="double" w:sz="6" w:space="0" w:color="auto"/>
            </w:tcBorders>
            <w:shd w:val="clear" w:color="auto" w:fill="auto"/>
            <w:vAlign w:val="center"/>
            <w:hideMark/>
          </w:tcPr>
          <w:p w14:paraId="135F3CC5"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 xml:space="preserve">Precio  Cusiana </w:t>
            </w:r>
          </w:p>
        </w:tc>
        <w:tc>
          <w:tcPr>
            <w:tcW w:w="582" w:type="pct"/>
            <w:tcBorders>
              <w:top w:val="nil"/>
              <w:left w:val="nil"/>
              <w:bottom w:val="double" w:sz="6" w:space="0" w:color="auto"/>
              <w:right w:val="double" w:sz="6" w:space="0" w:color="auto"/>
            </w:tcBorders>
            <w:shd w:val="clear" w:color="auto" w:fill="auto"/>
            <w:vAlign w:val="center"/>
            <w:hideMark/>
          </w:tcPr>
          <w:p w14:paraId="47AB021F"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 xml:space="preserve">Precio  Cupiagua </w:t>
            </w:r>
          </w:p>
        </w:tc>
      </w:tr>
      <w:tr w:rsidR="00965D41" w:rsidRPr="0096368D" w14:paraId="1068004A" w14:textId="77777777" w:rsidTr="00FD1938">
        <w:trPr>
          <w:trHeight w:val="559"/>
        </w:trPr>
        <w:tc>
          <w:tcPr>
            <w:tcW w:w="1611" w:type="pct"/>
            <w:tcBorders>
              <w:top w:val="single" w:sz="4" w:space="0" w:color="auto"/>
              <w:left w:val="double" w:sz="6" w:space="0" w:color="auto"/>
              <w:bottom w:val="double" w:sz="6" w:space="0" w:color="auto"/>
              <w:right w:val="single" w:sz="4" w:space="0" w:color="auto"/>
            </w:tcBorders>
            <w:shd w:val="clear" w:color="auto" w:fill="auto"/>
            <w:vAlign w:val="center"/>
            <w:hideMark/>
          </w:tcPr>
          <w:p w14:paraId="0B4F7FC7" w14:textId="77777777" w:rsidR="00965D41" w:rsidRPr="00EF0D82" w:rsidRDefault="00965D41" w:rsidP="00842DB6">
            <w:pPr>
              <w:ind w:left="0"/>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de venta al comercializador mayorista (sin incluir transporte) $/KG</w:t>
            </w:r>
          </w:p>
        </w:tc>
        <w:tc>
          <w:tcPr>
            <w:tcW w:w="563" w:type="pct"/>
            <w:tcBorders>
              <w:top w:val="single" w:sz="4" w:space="0" w:color="auto"/>
              <w:left w:val="nil"/>
              <w:bottom w:val="double" w:sz="6" w:space="0" w:color="auto"/>
              <w:right w:val="single" w:sz="4" w:space="0" w:color="auto"/>
            </w:tcBorders>
            <w:shd w:val="clear" w:color="auto" w:fill="auto"/>
            <w:vAlign w:val="center"/>
            <w:hideMark/>
          </w:tcPr>
          <w:p w14:paraId="03E5B4E9"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447.91</w:t>
            </w:r>
          </w:p>
        </w:tc>
        <w:tc>
          <w:tcPr>
            <w:tcW w:w="560" w:type="pct"/>
            <w:tcBorders>
              <w:top w:val="single" w:sz="4" w:space="0" w:color="auto"/>
              <w:left w:val="nil"/>
              <w:bottom w:val="double" w:sz="6" w:space="0" w:color="auto"/>
              <w:right w:val="single" w:sz="4" w:space="0" w:color="auto"/>
            </w:tcBorders>
            <w:shd w:val="clear" w:color="auto" w:fill="auto"/>
            <w:vAlign w:val="center"/>
            <w:hideMark/>
          </w:tcPr>
          <w:p w14:paraId="1E5A0A4A"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659.33</w:t>
            </w:r>
          </w:p>
        </w:tc>
        <w:tc>
          <w:tcPr>
            <w:tcW w:w="560" w:type="pct"/>
            <w:tcBorders>
              <w:top w:val="single" w:sz="4" w:space="0" w:color="auto"/>
              <w:left w:val="nil"/>
              <w:bottom w:val="double" w:sz="6" w:space="0" w:color="auto"/>
              <w:right w:val="single" w:sz="4" w:space="0" w:color="auto"/>
            </w:tcBorders>
            <w:shd w:val="clear" w:color="auto" w:fill="auto"/>
            <w:vAlign w:val="center"/>
            <w:hideMark/>
          </w:tcPr>
          <w:p w14:paraId="7F4982D5"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447.91</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422D304C"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447.91</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5AA2A475"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447.91</w:t>
            </w:r>
          </w:p>
        </w:tc>
        <w:tc>
          <w:tcPr>
            <w:tcW w:w="582" w:type="pct"/>
            <w:tcBorders>
              <w:top w:val="nil"/>
              <w:left w:val="nil"/>
              <w:bottom w:val="double" w:sz="6" w:space="0" w:color="auto"/>
              <w:right w:val="single" w:sz="4" w:space="0" w:color="auto"/>
            </w:tcBorders>
            <w:shd w:val="clear" w:color="auto" w:fill="auto"/>
            <w:vAlign w:val="center"/>
            <w:hideMark/>
          </w:tcPr>
          <w:p w14:paraId="2C8BF5F8"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447.91</w:t>
            </w:r>
          </w:p>
        </w:tc>
      </w:tr>
    </w:tbl>
    <w:p w14:paraId="00DFDE85" w14:textId="77777777" w:rsidR="00965D41" w:rsidRPr="00EF0D82" w:rsidRDefault="00965D41" w:rsidP="00965D41">
      <w:pPr>
        <w:ind w:left="0"/>
        <w:jc w:val="both"/>
        <w:rPr>
          <w:rFonts w:ascii="Bookman Old Style" w:hAnsi="Bookman Old Style" w:cs="Arial"/>
          <w:bCs/>
          <w:iCs/>
          <w:sz w:val="16"/>
          <w:szCs w:val="16"/>
          <w:lang w:val="es-CO" w:eastAsia="es-CO"/>
        </w:rPr>
      </w:pPr>
      <w:r>
        <w:rPr>
          <w:rFonts w:ascii="Bookman Old Style" w:hAnsi="Bookman Old Style" w:cs="Arial"/>
          <w:bCs/>
          <w:iCs/>
          <w:sz w:val="16"/>
          <w:szCs w:val="16"/>
          <w:lang w:val="es-CO" w:eastAsia="es-CO"/>
        </w:rPr>
        <w:t>Fuente: Ecopetrol</w:t>
      </w:r>
    </w:p>
    <w:p w14:paraId="052AE77C" w14:textId="77777777" w:rsidR="00965D41" w:rsidRDefault="00965D41" w:rsidP="0062472D">
      <w:pPr>
        <w:ind w:left="0"/>
        <w:contextualSpacing/>
        <w:jc w:val="both"/>
        <w:rPr>
          <w:rFonts w:ascii="Bookman Old Style" w:hAnsi="Bookman Old Style"/>
          <w:lang w:val="es-CO"/>
        </w:rPr>
      </w:pPr>
    </w:p>
    <w:p w14:paraId="4FE78C82" w14:textId="3A42E95D" w:rsidR="00CD06CB" w:rsidRDefault="00C2350C" w:rsidP="0062472D">
      <w:pPr>
        <w:ind w:left="0"/>
        <w:contextualSpacing/>
        <w:jc w:val="both"/>
        <w:rPr>
          <w:rFonts w:ascii="Bookman Old Style" w:hAnsi="Bookman Old Style"/>
          <w:lang w:val="es-CO"/>
        </w:rPr>
      </w:pPr>
      <w:r>
        <w:rPr>
          <w:rFonts w:ascii="Bookman Old Style" w:hAnsi="Bookman Old Style"/>
          <w:lang w:val="es-CO"/>
        </w:rPr>
        <w:t>Ahora, la Comisión</w:t>
      </w:r>
      <w:r w:rsidR="00774B7D">
        <w:rPr>
          <w:rFonts w:ascii="Bookman Old Style" w:hAnsi="Bookman Old Style"/>
          <w:lang w:val="es-CO"/>
        </w:rPr>
        <w:t>,</w:t>
      </w:r>
      <w:r>
        <w:rPr>
          <w:rFonts w:ascii="Bookman Old Style" w:hAnsi="Bookman Old Style"/>
          <w:lang w:val="es-CO"/>
        </w:rPr>
        <w:t xml:space="preserve"> como parte del seguimiento a la aplicación de dicha medida</w:t>
      </w:r>
      <w:r w:rsidR="00774B7D">
        <w:rPr>
          <w:rFonts w:ascii="Bookman Old Style" w:hAnsi="Bookman Old Style"/>
          <w:lang w:val="es-CO"/>
        </w:rPr>
        <w:t xml:space="preserve">, </w:t>
      </w:r>
      <w:r>
        <w:rPr>
          <w:rFonts w:ascii="Bookman Old Style" w:hAnsi="Bookman Old Style"/>
          <w:lang w:val="es-CO"/>
        </w:rPr>
        <w:t>ha encontrado que los presupuestos que la justifican</w:t>
      </w:r>
      <w:r w:rsidR="00837AE5">
        <w:rPr>
          <w:rFonts w:ascii="Bookman Old Style" w:hAnsi="Bookman Old Style"/>
          <w:lang w:val="es-CO"/>
        </w:rPr>
        <w:t>,</w:t>
      </w:r>
      <w:r>
        <w:rPr>
          <w:rFonts w:ascii="Bookman Old Style" w:hAnsi="Bookman Old Style"/>
          <w:lang w:val="es-CO"/>
        </w:rPr>
        <w:t xml:space="preserve"> relacionados con la volatilidad de los precios internacionales del petróleo, </w:t>
      </w:r>
      <w:r w:rsidR="00800D2D">
        <w:rPr>
          <w:rFonts w:ascii="Bookman Old Style" w:hAnsi="Bookman Old Style"/>
          <w:lang w:val="es-CO"/>
        </w:rPr>
        <w:t>la tasa representativa del mercado</w:t>
      </w:r>
      <w:r w:rsidR="00837AE5">
        <w:rPr>
          <w:rFonts w:ascii="Bookman Old Style" w:hAnsi="Bookman Old Style"/>
          <w:lang w:val="es-CO"/>
        </w:rPr>
        <w:t>, así como de</w:t>
      </w:r>
      <w:r w:rsidR="00800D2D">
        <w:rPr>
          <w:rFonts w:ascii="Bookman Old Style" w:hAnsi="Bookman Old Style"/>
          <w:lang w:val="es-CO"/>
        </w:rPr>
        <w:t xml:space="preserve"> la incertidumbre en relación con los eventos que pueden </w:t>
      </w:r>
      <w:r w:rsidR="00837AE5">
        <w:rPr>
          <w:rFonts w:ascii="Bookman Old Style" w:hAnsi="Bookman Old Style"/>
          <w:lang w:val="es-CO"/>
        </w:rPr>
        <w:t>desprenderse aún de la pandemia del COVID -19, como nuevos confinamientos por períodos extendidos en el tiempo,</w:t>
      </w:r>
      <w:r w:rsidR="00993220">
        <w:rPr>
          <w:rFonts w:ascii="Bookman Old Style" w:hAnsi="Bookman Old Style"/>
          <w:lang w:val="es-CO"/>
        </w:rPr>
        <w:t xml:space="preserve"> hacen factible que </w:t>
      </w:r>
      <w:r w:rsidR="000A309E">
        <w:rPr>
          <w:rFonts w:ascii="Bookman Old Style" w:hAnsi="Bookman Old Style"/>
          <w:lang w:val="es-CO"/>
        </w:rPr>
        <w:t xml:space="preserve">para el segundo </w:t>
      </w:r>
      <w:r w:rsidR="00D2645D">
        <w:rPr>
          <w:rFonts w:ascii="Bookman Old Style" w:hAnsi="Bookman Old Style"/>
          <w:lang w:val="es-CO"/>
        </w:rPr>
        <w:t>semestre del año 2020</w:t>
      </w:r>
      <w:r w:rsidR="00B22B67">
        <w:rPr>
          <w:rFonts w:ascii="Bookman Old Style" w:hAnsi="Bookman Old Style"/>
          <w:lang w:val="es-CO"/>
        </w:rPr>
        <w:t xml:space="preserve"> (i.e. </w:t>
      </w:r>
      <w:r w:rsidR="00D2645D">
        <w:rPr>
          <w:rFonts w:ascii="Bookman Old Style" w:hAnsi="Bookman Old Style"/>
          <w:lang w:val="es-CO"/>
        </w:rPr>
        <w:t>correspondiente al mismo período en que se aplican las ofertas públicas de cantidades como mecanismo de asignación del GLP en el mercado mayorista por parte de Ecopetrol</w:t>
      </w:r>
      <w:r w:rsidR="00B22B67">
        <w:rPr>
          <w:rFonts w:ascii="Bookman Old Style" w:hAnsi="Bookman Old Style"/>
          <w:lang w:val="es-CO"/>
        </w:rPr>
        <w:t>)</w:t>
      </w:r>
      <w:r w:rsidR="00D80604">
        <w:rPr>
          <w:rFonts w:ascii="Bookman Old Style" w:hAnsi="Bookman Old Style"/>
          <w:lang w:val="es-CO"/>
        </w:rPr>
        <w:t>,</w:t>
      </w:r>
      <w:r w:rsidR="00D2645D">
        <w:rPr>
          <w:rFonts w:ascii="Bookman Old Style" w:hAnsi="Bookman Old Style"/>
          <w:lang w:val="es-CO"/>
        </w:rPr>
        <w:t xml:space="preserve"> </w:t>
      </w:r>
      <w:r w:rsidR="00CD06CB">
        <w:rPr>
          <w:rFonts w:ascii="Bookman Old Style" w:hAnsi="Bookman Old Style"/>
          <w:lang w:val="es-CO"/>
        </w:rPr>
        <w:t xml:space="preserve">el precio regulado pueda igualmente terminar </w:t>
      </w:r>
      <w:r w:rsidR="000A309E" w:rsidRPr="000A309E">
        <w:rPr>
          <w:rFonts w:ascii="Bookman Old Style" w:hAnsi="Bookman Old Style"/>
          <w:lang w:val="es-CO"/>
        </w:rPr>
        <w:t>en valores, expresados en pesos por kilogramo, por debajo de los históricos con los que Ecopetrol ha llevado a cabo su operación y el suministro del producto</w:t>
      </w:r>
      <w:r w:rsidR="00774B7D">
        <w:rPr>
          <w:rFonts w:ascii="Bookman Old Style" w:hAnsi="Bookman Old Style"/>
          <w:lang w:val="es-CO"/>
        </w:rPr>
        <w:t>,</w:t>
      </w:r>
      <w:r w:rsidR="00CD06CB">
        <w:rPr>
          <w:rFonts w:ascii="Bookman Old Style" w:hAnsi="Bookman Old Style"/>
          <w:lang w:val="es-CO"/>
        </w:rPr>
        <w:t xml:space="preserve"> y se mantenga </w:t>
      </w:r>
      <w:r w:rsidR="00D80604">
        <w:rPr>
          <w:rFonts w:ascii="Bookman Old Style" w:hAnsi="Bookman Old Style"/>
          <w:lang w:val="es-CO"/>
        </w:rPr>
        <w:t>la posibilidad de una</w:t>
      </w:r>
      <w:r w:rsidR="001003F2">
        <w:rPr>
          <w:rFonts w:ascii="Bookman Old Style" w:hAnsi="Bookman Old Style"/>
          <w:lang w:val="es-CO"/>
        </w:rPr>
        <w:t xml:space="preserve"> reducción </w:t>
      </w:r>
      <w:r w:rsidR="00D80604">
        <w:rPr>
          <w:rFonts w:ascii="Bookman Old Style" w:hAnsi="Bookman Old Style"/>
          <w:lang w:val="es-CO"/>
        </w:rPr>
        <w:t>en</w:t>
      </w:r>
      <w:r w:rsidR="001003F2">
        <w:rPr>
          <w:rFonts w:ascii="Bookman Old Style" w:hAnsi="Bookman Old Style"/>
          <w:lang w:val="es-CO"/>
        </w:rPr>
        <w:t xml:space="preserve"> la oferta de GLP con destino al servicio público domiciliario</w:t>
      </w:r>
      <w:r w:rsidR="001444A8">
        <w:rPr>
          <w:rFonts w:ascii="Bookman Old Style" w:hAnsi="Bookman Old Style"/>
          <w:lang w:val="es-CO"/>
        </w:rPr>
        <w:t>, lo cual afectaría la continuidad en el suministro.</w:t>
      </w:r>
    </w:p>
    <w:p w14:paraId="17710B20" w14:textId="66C4896A" w:rsidR="00683460" w:rsidRDefault="00683460" w:rsidP="0062472D">
      <w:pPr>
        <w:ind w:left="0"/>
        <w:contextualSpacing/>
        <w:jc w:val="both"/>
        <w:rPr>
          <w:rFonts w:ascii="Bookman Old Style" w:hAnsi="Bookman Old Style"/>
          <w:lang w:val="es-CO"/>
        </w:rPr>
      </w:pPr>
    </w:p>
    <w:p w14:paraId="1CD88997" w14:textId="38F1E3E8" w:rsidR="00683460" w:rsidRDefault="00683460" w:rsidP="0062472D">
      <w:pPr>
        <w:ind w:left="0"/>
        <w:contextualSpacing/>
        <w:jc w:val="both"/>
        <w:rPr>
          <w:rFonts w:ascii="Bookman Old Style" w:hAnsi="Bookman Old Style"/>
          <w:lang w:val="es-CO"/>
        </w:rPr>
      </w:pPr>
      <w:r>
        <w:rPr>
          <w:rFonts w:ascii="Bookman Old Style" w:hAnsi="Bookman Old Style"/>
          <w:lang w:val="es-CO"/>
        </w:rPr>
        <w:t>Así mismo, que aún se mantienen las condiciones en las cuales la oferta de producto</w:t>
      </w:r>
      <w:r w:rsidR="0087162F">
        <w:rPr>
          <w:rFonts w:ascii="Bookman Old Style" w:hAnsi="Bookman Old Style"/>
          <w:lang w:val="es-CO"/>
        </w:rPr>
        <w:t>,</w:t>
      </w:r>
      <w:r>
        <w:rPr>
          <w:rFonts w:ascii="Bookman Old Style" w:hAnsi="Bookman Old Style"/>
          <w:lang w:val="es-CO"/>
        </w:rPr>
        <w:t xml:space="preserve"> </w:t>
      </w:r>
      <w:r w:rsidR="0087162F">
        <w:rPr>
          <w:rFonts w:ascii="Bookman Old Style" w:hAnsi="Bookman Old Style"/>
          <w:lang w:val="es-CO"/>
        </w:rPr>
        <w:t xml:space="preserve">para </w:t>
      </w:r>
      <w:r>
        <w:rPr>
          <w:rFonts w:ascii="Bookman Old Style" w:hAnsi="Bookman Old Style"/>
          <w:lang w:val="es-CO"/>
        </w:rPr>
        <w:t xml:space="preserve">el caso de fuentes </w:t>
      </w:r>
      <w:r w:rsidR="0087162F">
        <w:rPr>
          <w:rFonts w:ascii="Bookman Old Style" w:hAnsi="Bookman Old Style"/>
          <w:lang w:val="es-CO"/>
        </w:rPr>
        <w:t xml:space="preserve">distintas a las comercializadas por Ecopetrol </w:t>
      </w:r>
      <w:r>
        <w:rPr>
          <w:rFonts w:ascii="Bookman Old Style" w:hAnsi="Bookman Old Style"/>
          <w:lang w:val="es-CO"/>
        </w:rPr>
        <w:t xml:space="preserve">o </w:t>
      </w:r>
      <w:r w:rsidR="0087162F">
        <w:rPr>
          <w:rFonts w:ascii="Bookman Old Style" w:hAnsi="Bookman Old Style"/>
          <w:lang w:val="es-CO"/>
        </w:rPr>
        <w:t xml:space="preserve">provenientes </w:t>
      </w:r>
      <w:r>
        <w:rPr>
          <w:rFonts w:ascii="Bookman Old Style" w:hAnsi="Bookman Old Style"/>
          <w:lang w:val="es-CO"/>
        </w:rPr>
        <w:t xml:space="preserve">de </w:t>
      </w:r>
      <w:r w:rsidR="0087162F">
        <w:rPr>
          <w:rFonts w:ascii="Bookman Old Style" w:hAnsi="Bookman Old Style"/>
          <w:lang w:val="es-CO"/>
        </w:rPr>
        <w:t>la capacidad de importación de GLP con la</w:t>
      </w:r>
      <w:r>
        <w:rPr>
          <w:rFonts w:ascii="Bookman Old Style" w:hAnsi="Bookman Old Style"/>
          <w:lang w:val="es-CO"/>
        </w:rPr>
        <w:t xml:space="preserve"> que se cuenta en el país</w:t>
      </w:r>
      <w:r w:rsidR="0087162F">
        <w:rPr>
          <w:rFonts w:ascii="Bookman Old Style" w:hAnsi="Bookman Old Style"/>
          <w:lang w:val="es-CO"/>
        </w:rPr>
        <w:t>,</w:t>
      </w:r>
      <w:r>
        <w:rPr>
          <w:rFonts w:ascii="Bookman Old Style" w:hAnsi="Bookman Old Style"/>
          <w:lang w:val="es-CO"/>
        </w:rPr>
        <w:t xml:space="preserve"> no permite</w:t>
      </w:r>
      <w:r w:rsidR="0087162F">
        <w:rPr>
          <w:rFonts w:ascii="Bookman Old Style" w:hAnsi="Bookman Old Style"/>
          <w:lang w:val="es-CO"/>
        </w:rPr>
        <w:t>n</w:t>
      </w:r>
      <w:r>
        <w:rPr>
          <w:rFonts w:ascii="Bookman Old Style" w:hAnsi="Bookman Old Style"/>
          <w:lang w:val="es-CO"/>
        </w:rPr>
        <w:t xml:space="preserve"> </w:t>
      </w:r>
      <w:r w:rsidR="0087162F">
        <w:rPr>
          <w:rFonts w:ascii="Bookman Old Style" w:hAnsi="Bookman Old Style"/>
          <w:lang w:val="es-CO"/>
        </w:rPr>
        <w:t xml:space="preserve">sustituir </w:t>
      </w:r>
      <w:r>
        <w:rPr>
          <w:rFonts w:ascii="Bookman Old Style" w:hAnsi="Bookman Old Style"/>
          <w:lang w:val="es-CO"/>
        </w:rPr>
        <w:t>en su totalidad dicha oferta</w:t>
      </w:r>
      <w:r w:rsidR="0087162F">
        <w:rPr>
          <w:rFonts w:ascii="Bookman Old Style" w:hAnsi="Bookman Old Style"/>
          <w:lang w:val="es-CO"/>
        </w:rPr>
        <w:t>,</w:t>
      </w:r>
      <w:r>
        <w:rPr>
          <w:rFonts w:ascii="Bookman Old Style" w:hAnsi="Bookman Old Style"/>
          <w:lang w:val="es-CO"/>
        </w:rPr>
        <w:t xml:space="preserve"> de 42 </w:t>
      </w:r>
      <w:r w:rsidR="00432132">
        <w:rPr>
          <w:rFonts w:ascii="Bookman Old Style" w:hAnsi="Bookman Old Style"/>
          <w:lang w:val="es-CO"/>
        </w:rPr>
        <w:t>a 45 millones de Kg, de las fuentes de</w:t>
      </w:r>
      <w:r w:rsidR="0087162F">
        <w:rPr>
          <w:rFonts w:ascii="Bookman Old Style" w:hAnsi="Bookman Old Style"/>
          <w:lang w:val="es-CO"/>
        </w:rPr>
        <w:t xml:space="preserve"> </w:t>
      </w:r>
      <w:r w:rsidR="00432132">
        <w:rPr>
          <w:rFonts w:ascii="Bookman Old Style" w:hAnsi="Bookman Old Style"/>
          <w:lang w:val="es-CO"/>
        </w:rPr>
        <w:t xml:space="preserve">precio regulado, que lleven a encontrar otro tipo de alternativas regulatorias con el objeto de garantizar la continuidad en el suministro para el servicio público domiciliario. </w:t>
      </w:r>
      <w:r>
        <w:rPr>
          <w:rFonts w:ascii="Bookman Old Style" w:hAnsi="Bookman Old Style"/>
          <w:lang w:val="es-CO"/>
        </w:rPr>
        <w:t xml:space="preserve">  </w:t>
      </w:r>
    </w:p>
    <w:p w14:paraId="6147D5A0" w14:textId="1BDB454E" w:rsidR="00432132" w:rsidRDefault="00432132" w:rsidP="0062472D">
      <w:pPr>
        <w:ind w:left="0"/>
        <w:contextualSpacing/>
        <w:jc w:val="both"/>
        <w:rPr>
          <w:rFonts w:ascii="Bookman Old Style" w:hAnsi="Bookman Old Style"/>
          <w:lang w:val="es-CO"/>
        </w:rPr>
      </w:pPr>
    </w:p>
    <w:p w14:paraId="4D4F8788" w14:textId="5F3923BA" w:rsidR="00A0613F" w:rsidRDefault="00432132" w:rsidP="0062472D">
      <w:pPr>
        <w:ind w:left="0"/>
        <w:contextualSpacing/>
        <w:jc w:val="both"/>
        <w:rPr>
          <w:rFonts w:ascii="Bookman Old Style" w:hAnsi="Bookman Old Style"/>
          <w:lang w:val="es-CO"/>
        </w:rPr>
      </w:pPr>
      <w:r>
        <w:rPr>
          <w:rFonts w:ascii="Bookman Old Style" w:hAnsi="Bookman Old Style"/>
          <w:lang w:val="es-CO"/>
        </w:rPr>
        <w:t xml:space="preserve">De acuerdo con esto, </w:t>
      </w:r>
      <w:r w:rsidR="00246D9F">
        <w:rPr>
          <w:rFonts w:ascii="Bookman Old Style" w:hAnsi="Bookman Old Style"/>
          <w:lang w:val="es-CO"/>
        </w:rPr>
        <w:t xml:space="preserve">se establece que la aplicación de la Resolución CREG 045 de 2020 se debe extender </w:t>
      </w:r>
      <w:r w:rsidR="00532670">
        <w:rPr>
          <w:rFonts w:ascii="Bookman Old Style" w:hAnsi="Bookman Old Style"/>
          <w:lang w:val="es-CO"/>
        </w:rPr>
        <w:t>más allá del término inicialmente previsto, el cual correspond</w:t>
      </w:r>
      <w:r w:rsidR="009A15D4">
        <w:rPr>
          <w:rFonts w:ascii="Bookman Old Style" w:hAnsi="Bookman Old Style"/>
          <w:lang w:val="es-CO"/>
        </w:rPr>
        <w:t>ía</w:t>
      </w:r>
      <w:r w:rsidR="00532670">
        <w:rPr>
          <w:rFonts w:ascii="Bookman Old Style" w:hAnsi="Bookman Old Style"/>
          <w:lang w:val="es-CO"/>
        </w:rPr>
        <w:t xml:space="preserve"> al 30 de junio de 2020, en la medida que se pueden seguir presentando los eventos que la justifican y la motivan</w:t>
      </w:r>
      <w:r w:rsidR="00A0613F">
        <w:rPr>
          <w:rFonts w:ascii="Bookman Old Style" w:hAnsi="Bookman Old Style"/>
          <w:lang w:val="es-CO"/>
        </w:rPr>
        <w:t>, así como tienen como objetivo y finalidad garantizar la continuidad en la oferta del suministro para el servicio público domiciliario</w:t>
      </w:r>
      <w:r w:rsidR="00917CA0">
        <w:rPr>
          <w:rFonts w:ascii="Bookman Old Style" w:hAnsi="Bookman Old Style"/>
          <w:lang w:val="es-CO"/>
        </w:rPr>
        <w:t xml:space="preserve">, dentro de los principios a que hacen referencia los artículos 1 a 13 de la Ley 142 de 1994; </w:t>
      </w:r>
      <w:r w:rsidR="001439B7">
        <w:rPr>
          <w:rFonts w:ascii="Bookman Old Style" w:hAnsi="Bookman Old Style"/>
          <w:lang w:val="es-CO"/>
        </w:rPr>
        <w:t xml:space="preserve">teniendo como pretensión que </w:t>
      </w:r>
      <w:r w:rsidR="00917CA0">
        <w:rPr>
          <w:rFonts w:ascii="Bookman Old Style" w:hAnsi="Bookman Old Style"/>
          <w:lang w:val="es-CO"/>
        </w:rPr>
        <w:t xml:space="preserve"> </w:t>
      </w:r>
      <w:r w:rsidR="00917CA0" w:rsidRPr="00917CA0">
        <w:rPr>
          <w:rFonts w:ascii="Bookman Old Style" w:hAnsi="Bookman Old Style"/>
          <w:lang w:val="es-CO"/>
        </w:rPr>
        <w:t>el servicio se preste en forma continua y eficiente.</w:t>
      </w:r>
      <w:r w:rsidR="009A15D4">
        <w:rPr>
          <w:rFonts w:ascii="Bookman Old Style" w:hAnsi="Bookman Old Style"/>
          <w:lang w:val="es-CO"/>
        </w:rPr>
        <w:t xml:space="preserve"> Dicha extensión corresponde </w:t>
      </w:r>
      <w:r w:rsidR="00A23CF8">
        <w:rPr>
          <w:rFonts w:ascii="Bookman Old Style" w:hAnsi="Bookman Old Style"/>
          <w:lang w:val="es-CO"/>
        </w:rPr>
        <w:t>a la finalización de la segunda OPC del 2020, la cual corresponde al 31 de diciembre de 2020.</w:t>
      </w:r>
    </w:p>
    <w:p w14:paraId="6657A0F4" w14:textId="4AC6975E" w:rsidR="00A23CF8" w:rsidRDefault="00A23CF8" w:rsidP="0062472D">
      <w:pPr>
        <w:ind w:left="0"/>
        <w:contextualSpacing/>
        <w:jc w:val="both"/>
        <w:rPr>
          <w:rFonts w:ascii="Bookman Old Style" w:hAnsi="Bookman Old Style"/>
          <w:lang w:val="es-CO"/>
        </w:rPr>
      </w:pPr>
    </w:p>
    <w:p w14:paraId="3FA9CC1D" w14:textId="49A772AB" w:rsidR="00A23CF8" w:rsidRDefault="00A23CF8" w:rsidP="0062472D">
      <w:pPr>
        <w:ind w:left="0"/>
        <w:contextualSpacing/>
        <w:jc w:val="both"/>
        <w:rPr>
          <w:rFonts w:ascii="Bookman Old Style" w:hAnsi="Bookman Old Style"/>
          <w:lang w:val="es-CO"/>
        </w:rPr>
      </w:pPr>
      <w:r>
        <w:rPr>
          <w:rFonts w:ascii="Bookman Old Style" w:hAnsi="Bookman Old Style"/>
          <w:lang w:val="es-CO"/>
        </w:rPr>
        <w:t xml:space="preserve">Estima la Comisión que dicho plazo es razonable, en la medida que </w:t>
      </w:r>
      <w:r w:rsidR="00E03B3B">
        <w:rPr>
          <w:rFonts w:ascii="Bookman Old Style" w:hAnsi="Bookman Old Style"/>
          <w:lang w:val="es-CO"/>
        </w:rPr>
        <w:t xml:space="preserve">se estima que en dicho momento se encuentre una mayor estabilidad en relación </w:t>
      </w:r>
      <w:r w:rsidR="00DA0DB6">
        <w:rPr>
          <w:rFonts w:ascii="Bookman Old Style" w:hAnsi="Bookman Old Style"/>
          <w:lang w:val="es-CO"/>
        </w:rPr>
        <w:t>con la volatilidad</w:t>
      </w:r>
      <w:r w:rsidR="00E03B3B">
        <w:rPr>
          <w:rFonts w:ascii="Bookman Old Style" w:hAnsi="Bookman Old Style"/>
          <w:lang w:val="es-CO"/>
        </w:rPr>
        <w:t xml:space="preserve"> de los precios internacionales del petróleo y </w:t>
      </w:r>
      <w:r w:rsidR="00DA0DB6">
        <w:rPr>
          <w:rFonts w:ascii="Bookman Old Style" w:hAnsi="Bookman Old Style"/>
          <w:lang w:val="es-CO"/>
        </w:rPr>
        <w:t xml:space="preserve">la </w:t>
      </w:r>
      <w:r w:rsidR="00E03B3B">
        <w:rPr>
          <w:rFonts w:ascii="Bookman Old Style" w:hAnsi="Bookman Old Style"/>
          <w:lang w:val="es-CO"/>
        </w:rPr>
        <w:t>TRM, así como la pandemia del COVID-19</w:t>
      </w:r>
      <w:r w:rsidR="00DA0DB6">
        <w:rPr>
          <w:rFonts w:ascii="Bookman Old Style" w:hAnsi="Bookman Old Style"/>
          <w:lang w:val="es-CO"/>
        </w:rPr>
        <w:t xml:space="preserve">. </w:t>
      </w:r>
      <w:r w:rsidR="009E0449">
        <w:rPr>
          <w:rFonts w:ascii="Bookman Old Style" w:hAnsi="Bookman Old Style"/>
          <w:lang w:val="es-CO"/>
        </w:rPr>
        <w:t>De igual manera</w:t>
      </w:r>
      <w:r w:rsidR="00D351BE">
        <w:rPr>
          <w:rFonts w:ascii="Bookman Old Style" w:hAnsi="Bookman Old Style"/>
          <w:lang w:val="es-CO"/>
        </w:rPr>
        <w:t xml:space="preserve">, se debe hacer seguimiento a la aplicación de la medida y la evolución del sector del GLP, lo cual incluye la oferta de GLP para el servicio público domiciliario. </w:t>
      </w:r>
      <w:r w:rsidR="00E03B3B">
        <w:rPr>
          <w:rFonts w:ascii="Bookman Old Style" w:hAnsi="Bookman Old Style"/>
          <w:lang w:val="es-CO"/>
        </w:rPr>
        <w:t xml:space="preserve"> </w:t>
      </w:r>
    </w:p>
    <w:p w14:paraId="7F812358" w14:textId="69F5D55A" w:rsidR="001439B7" w:rsidRDefault="001439B7" w:rsidP="0062472D">
      <w:pPr>
        <w:ind w:left="0"/>
        <w:contextualSpacing/>
        <w:jc w:val="both"/>
        <w:rPr>
          <w:rFonts w:ascii="Bookman Old Style" w:hAnsi="Bookman Old Style"/>
          <w:lang w:val="es-CO"/>
        </w:rPr>
      </w:pPr>
    </w:p>
    <w:p w14:paraId="1706C3AD" w14:textId="71016C78" w:rsidR="001439B7" w:rsidRDefault="004F2C3F" w:rsidP="0062472D">
      <w:pPr>
        <w:ind w:left="0"/>
        <w:contextualSpacing/>
        <w:jc w:val="both"/>
        <w:rPr>
          <w:rFonts w:ascii="Bookman Old Style" w:hAnsi="Bookman Old Style"/>
          <w:lang w:val="es-CO"/>
        </w:rPr>
      </w:pPr>
      <w:r>
        <w:rPr>
          <w:rFonts w:ascii="Bookman Old Style" w:hAnsi="Bookman Old Style"/>
          <w:lang w:val="es-CO"/>
        </w:rPr>
        <w:t>D</w:t>
      </w:r>
      <w:r w:rsidR="001439B7">
        <w:rPr>
          <w:rFonts w:ascii="Bookman Old Style" w:hAnsi="Bookman Old Style"/>
          <w:lang w:val="es-CO"/>
        </w:rPr>
        <w:t>entro de las consideraciones de la Resolución CREG 045 de 2020 la Comisión expuso:</w:t>
      </w:r>
    </w:p>
    <w:p w14:paraId="5031A93C" w14:textId="77777777" w:rsidR="00E05316" w:rsidRDefault="00E05316" w:rsidP="0062472D">
      <w:pPr>
        <w:ind w:left="0"/>
        <w:contextualSpacing/>
        <w:jc w:val="both"/>
        <w:rPr>
          <w:rFonts w:ascii="Bookman Old Style" w:hAnsi="Bookman Old Style"/>
          <w:lang w:val="es-CO"/>
        </w:rPr>
      </w:pPr>
    </w:p>
    <w:p w14:paraId="05593BCD" w14:textId="1D658772" w:rsidR="001439B7" w:rsidRPr="00E05316" w:rsidRDefault="00E05316" w:rsidP="00774B7D">
      <w:pPr>
        <w:ind w:left="28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E05316">
        <w:rPr>
          <w:rFonts w:ascii="Bookman Old Style" w:hAnsi="Bookman Old Style"/>
          <w:i/>
          <w:iCs/>
          <w:sz w:val="22"/>
          <w:szCs w:val="22"/>
          <w:lang w:val="es-CO"/>
        </w:rPr>
        <w:t>Finalmente, teniendo en cuenta el Parágrafo 1º del artículo 3º del decreto legislativo 517 de 2020, la Comisión encuentra que dicha medida regulatoria debe estar vigente hasta finalizar la OPC vigente, lo cual corresponde al 30 de junio de 2020, toda vez que a dicho momento se puede contar con una mayor información sobre la disponibilidad de oferta de GLP con destino al servicio público domiciliario, de acuerdo con las declaraciones de producción de GLP que se alleguen al Ministerio de Minas y Energía, las cantidades ofrecidas por Ecopetrol para la siguiente oferta pública de cantidades del segundo semestre de 2020, así como lo que ocurra con la emergencia declarada y los comportamientos de los precios internacionales del petróleo</w:t>
      </w:r>
      <w:r w:rsidR="00C77614">
        <w:rPr>
          <w:rFonts w:ascii="Bookman Old Style" w:hAnsi="Bookman Old Style"/>
          <w:i/>
          <w:iCs/>
          <w:sz w:val="22"/>
          <w:szCs w:val="22"/>
          <w:lang w:val="es-CO"/>
        </w:rPr>
        <w:t xml:space="preserve"> (…)”</w:t>
      </w:r>
    </w:p>
    <w:p w14:paraId="039A17E9" w14:textId="77777777" w:rsidR="001439B7" w:rsidRDefault="001439B7" w:rsidP="0062472D">
      <w:pPr>
        <w:ind w:left="0"/>
        <w:contextualSpacing/>
        <w:jc w:val="both"/>
        <w:rPr>
          <w:rFonts w:ascii="Bookman Old Style" w:hAnsi="Bookman Old Style"/>
          <w:lang w:val="es-CO"/>
        </w:rPr>
      </w:pPr>
    </w:p>
    <w:p w14:paraId="45FE7436" w14:textId="78C69D61" w:rsidR="00432132" w:rsidRDefault="00C77614" w:rsidP="0062472D">
      <w:pPr>
        <w:ind w:left="0"/>
        <w:contextualSpacing/>
        <w:jc w:val="both"/>
        <w:rPr>
          <w:rFonts w:ascii="Bookman Old Style" w:hAnsi="Bookman Old Style"/>
          <w:lang w:val="es-CO"/>
        </w:rPr>
      </w:pPr>
      <w:r>
        <w:rPr>
          <w:rFonts w:ascii="Bookman Old Style" w:hAnsi="Bookman Old Style"/>
          <w:lang w:val="es-CO"/>
        </w:rPr>
        <w:t>En este sentido, la extensión en la aplicación de medida regulatoria de la Resolución CREG 045 de 2020</w:t>
      </w:r>
      <w:r w:rsidR="00916339">
        <w:rPr>
          <w:rFonts w:ascii="Bookman Old Style" w:hAnsi="Bookman Old Style"/>
          <w:lang w:val="es-CO"/>
        </w:rPr>
        <w:t xml:space="preserve"> se hace igualmente en el marco del parágrafo 1º del artículo 3 del Decreto Legislativo 517 de 2020, el cual establece lo siguiente:</w:t>
      </w:r>
    </w:p>
    <w:p w14:paraId="1A95B3ED" w14:textId="7C244863" w:rsidR="00916339" w:rsidRDefault="00916339" w:rsidP="0062472D">
      <w:pPr>
        <w:ind w:left="0"/>
        <w:contextualSpacing/>
        <w:jc w:val="both"/>
        <w:rPr>
          <w:rFonts w:ascii="Bookman Old Style" w:hAnsi="Bookman Old Style"/>
          <w:lang w:val="es-CO"/>
        </w:rPr>
      </w:pPr>
    </w:p>
    <w:p w14:paraId="16F9EE23" w14:textId="4B415644" w:rsidR="00916339" w:rsidRPr="006575C8" w:rsidRDefault="006575C8" w:rsidP="00774B7D">
      <w:pPr>
        <w:ind w:left="284"/>
        <w:contextualSpacing/>
        <w:jc w:val="both"/>
        <w:rPr>
          <w:rFonts w:ascii="Bookman Old Style" w:hAnsi="Bookman Old Style"/>
          <w:i/>
          <w:iCs/>
          <w:sz w:val="22"/>
          <w:szCs w:val="22"/>
          <w:lang w:val="es-CO"/>
        </w:rPr>
      </w:pPr>
      <w:r w:rsidRPr="006575C8">
        <w:rPr>
          <w:rFonts w:ascii="Bookman Old Style" w:hAnsi="Bookman Old Style"/>
          <w:i/>
          <w:iCs/>
          <w:sz w:val="22"/>
          <w:szCs w:val="22"/>
          <w:lang w:val="es-CO"/>
        </w:rPr>
        <w:t>“</w:t>
      </w:r>
      <w:r w:rsidRPr="006575C8">
        <w:rPr>
          <w:rFonts w:ascii="Bookman Old Style" w:hAnsi="Bookman Old Style"/>
          <w:b/>
          <w:bCs/>
          <w:i/>
          <w:iCs/>
          <w:sz w:val="22"/>
          <w:szCs w:val="22"/>
          <w:lang w:val="es-CO"/>
        </w:rPr>
        <w:t>PARÁGRAFO PRIMERO.</w:t>
      </w:r>
      <w:r w:rsidRPr="006575C8">
        <w:rPr>
          <w:rFonts w:ascii="Bookman Old Style" w:hAnsi="Bookman Old Style"/>
          <w:i/>
          <w:iCs/>
          <w:sz w:val="22"/>
          <w:szCs w:val="22"/>
          <w:lang w:val="es-CO"/>
        </w:rPr>
        <w:t xml:space="preserve"> Para las medidas que adopte la Comisión de Regulación de Energía y Gas - CREG, se establecerán en cada caso su vigencia en función del cumplimiento de los objetivos para los cuales hayan sido expedidas.”</w:t>
      </w:r>
    </w:p>
    <w:p w14:paraId="68E80491" w14:textId="77777777" w:rsidR="00CD06CB" w:rsidRDefault="00CD06CB" w:rsidP="0062472D">
      <w:pPr>
        <w:ind w:left="0"/>
        <w:contextualSpacing/>
        <w:jc w:val="both"/>
        <w:rPr>
          <w:rFonts w:ascii="Bookman Old Style" w:hAnsi="Bookman Old Style"/>
          <w:lang w:val="es-CO"/>
        </w:rPr>
      </w:pPr>
    </w:p>
    <w:p w14:paraId="263F0898" w14:textId="644E7990" w:rsidR="00A33283" w:rsidRDefault="006575C8" w:rsidP="00F132A2">
      <w:pPr>
        <w:ind w:left="0"/>
        <w:contextualSpacing/>
        <w:jc w:val="both"/>
        <w:rPr>
          <w:rFonts w:ascii="Bookman Old Style" w:hAnsi="Bookman Old Style"/>
          <w:lang w:val="es-CO"/>
        </w:rPr>
      </w:pPr>
      <w:r>
        <w:rPr>
          <w:rFonts w:ascii="Bookman Old Style" w:hAnsi="Bookman Old Style"/>
          <w:lang w:val="es-CO"/>
        </w:rPr>
        <w:t xml:space="preserve">En relación con dicho parágrafo, </w:t>
      </w:r>
      <w:r w:rsidR="00F132A2" w:rsidRPr="00F132A2">
        <w:rPr>
          <w:rFonts w:ascii="Bookman Old Style" w:hAnsi="Bookman Old Style"/>
          <w:lang w:val="es-CO"/>
        </w:rPr>
        <w:t>debe advertirse que las medidas regulatorias que se adopt</w:t>
      </w:r>
      <w:r w:rsidR="00F132A2">
        <w:rPr>
          <w:rFonts w:ascii="Bookman Old Style" w:hAnsi="Bookman Old Style"/>
          <w:lang w:val="es-CO"/>
        </w:rPr>
        <w:t>a</w:t>
      </w:r>
      <w:r w:rsidR="00F132A2" w:rsidRPr="00F132A2">
        <w:rPr>
          <w:rFonts w:ascii="Bookman Old Style" w:hAnsi="Bookman Old Style"/>
          <w:lang w:val="es-CO"/>
        </w:rPr>
        <w:t>n con base en el artículo 3º del Decreto Legislativo 517 de 2020 no conjuran la situación de manera inmediata</w:t>
      </w:r>
      <w:r w:rsidR="00F132A2">
        <w:rPr>
          <w:rFonts w:ascii="Bookman Old Style" w:hAnsi="Bookman Old Style"/>
          <w:lang w:val="es-CO"/>
        </w:rPr>
        <w:t xml:space="preserve"> o sus efectos son instantáneos en el tiempo</w:t>
      </w:r>
      <w:r w:rsidR="00F132A2" w:rsidRPr="00F132A2">
        <w:rPr>
          <w:rFonts w:ascii="Bookman Old Style" w:hAnsi="Bookman Old Style"/>
          <w:lang w:val="es-CO"/>
        </w:rPr>
        <w:t xml:space="preserve">, </w:t>
      </w:r>
      <w:r w:rsidR="00F132A2">
        <w:rPr>
          <w:rFonts w:ascii="Bookman Old Style" w:hAnsi="Bookman Old Style"/>
          <w:lang w:val="es-CO"/>
        </w:rPr>
        <w:t xml:space="preserve">razón por la cual, teniendo en cuenta </w:t>
      </w:r>
      <w:r w:rsidR="00F132A2" w:rsidRPr="00F132A2">
        <w:rPr>
          <w:rFonts w:ascii="Bookman Old Style" w:hAnsi="Bookman Old Style"/>
          <w:lang w:val="es-CO"/>
        </w:rPr>
        <w:t>los objetivos que persiguen</w:t>
      </w:r>
      <w:r w:rsidR="00F132A2">
        <w:rPr>
          <w:rFonts w:ascii="Bookman Old Style" w:hAnsi="Bookman Old Style"/>
          <w:lang w:val="es-CO"/>
        </w:rPr>
        <w:t>, estas se deben mantener</w:t>
      </w:r>
      <w:r w:rsidR="00F132A2" w:rsidRPr="00F132A2">
        <w:rPr>
          <w:rFonts w:ascii="Bookman Old Style" w:hAnsi="Bookman Old Style"/>
          <w:lang w:val="es-CO"/>
        </w:rPr>
        <w:t xml:space="preserve"> hasta que la situación sea conjurada de manera efectiva</w:t>
      </w:r>
      <w:r w:rsidR="00774B7D">
        <w:rPr>
          <w:rFonts w:ascii="Bookman Old Style" w:hAnsi="Bookman Old Style"/>
          <w:lang w:val="es-CO"/>
        </w:rPr>
        <w:t>,</w:t>
      </w:r>
      <w:r w:rsidR="00F132A2" w:rsidRPr="00F132A2">
        <w:rPr>
          <w:rFonts w:ascii="Bookman Old Style" w:hAnsi="Bookman Old Style"/>
          <w:lang w:val="es-CO"/>
        </w:rPr>
        <w:t xml:space="preserve"> y buscan igualmente reducir incertidumbres en </w:t>
      </w:r>
      <w:r w:rsidR="00A33283">
        <w:rPr>
          <w:rFonts w:ascii="Bookman Old Style" w:hAnsi="Bookman Old Style"/>
          <w:lang w:val="es-CO"/>
        </w:rPr>
        <w:t xml:space="preserve">la continuidad y </w:t>
      </w:r>
      <w:r w:rsidR="00F132A2" w:rsidRPr="00F132A2">
        <w:rPr>
          <w:rFonts w:ascii="Bookman Old Style" w:hAnsi="Bookman Old Style"/>
          <w:lang w:val="es-CO"/>
        </w:rPr>
        <w:t>la prestación</w:t>
      </w:r>
      <w:r w:rsidR="00A33283">
        <w:rPr>
          <w:rFonts w:ascii="Bookman Old Style" w:hAnsi="Bookman Old Style"/>
          <w:lang w:val="es-CO"/>
        </w:rPr>
        <w:t xml:space="preserve"> eficiente</w:t>
      </w:r>
      <w:r w:rsidR="00F132A2" w:rsidRPr="00F132A2">
        <w:rPr>
          <w:rFonts w:ascii="Bookman Old Style" w:hAnsi="Bookman Old Style"/>
          <w:lang w:val="es-CO"/>
        </w:rPr>
        <w:t xml:space="preserve"> de los servicios públicos domiciliarios ante los eventos que est</w:t>
      </w:r>
      <w:r w:rsidR="00774B7D">
        <w:rPr>
          <w:rFonts w:ascii="Bookman Old Style" w:hAnsi="Bookman Old Style"/>
          <w:lang w:val="es-CO"/>
        </w:rPr>
        <w:t>á</w:t>
      </w:r>
      <w:r w:rsidR="00F132A2" w:rsidRPr="00F132A2">
        <w:rPr>
          <w:rFonts w:ascii="Bookman Old Style" w:hAnsi="Bookman Old Style"/>
          <w:lang w:val="es-CO"/>
        </w:rPr>
        <w:t xml:space="preserve"> generando la emergencia del COVID-19. </w:t>
      </w:r>
    </w:p>
    <w:p w14:paraId="4706784C" w14:textId="77777777" w:rsidR="00A33283" w:rsidRDefault="00A33283" w:rsidP="00F132A2">
      <w:pPr>
        <w:ind w:left="0"/>
        <w:contextualSpacing/>
        <w:jc w:val="both"/>
        <w:rPr>
          <w:rFonts w:ascii="Bookman Old Style" w:hAnsi="Bookman Old Style"/>
          <w:lang w:val="es-CO"/>
        </w:rPr>
      </w:pPr>
    </w:p>
    <w:p w14:paraId="5B6CDFD4" w14:textId="319A72AA" w:rsidR="00F132A2" w:rsidRPr="00F132A2" w:rsidRDefault="00F132A2" w:rsidP="00F132A2">
      <w:pPr>
        <w:ind w:left="0"/>
        <w:contextualSpacing/>
        <w:jc w:val="both"/>
        <w:rPr>
          <w:rFonts w:ascii="Bookman Old Style" w:hAnsi="Bookman Old Style"/>
          <w:lang w:val="es-CO"/>
        </w:rPr>
      </w:pPr>
      <w:r w:rsidRPr="00F132A2">
        <w:rPr>
          <w:rFonts w:ascii="Bookman Old Style" w:hAnsi="Bookman Old Style"/>
          <w:lang w:val="es-CO"/>
        </w:rPr>
        <w:t xml:space="preserve">Entiende la Comisión </w:t>
      </w:r>
      <w:r w:rsidR="00A33283">
        <w:rPr>
          <w:rFonts w:ascii="Bookman Old Style" w:hAnsi="Bookman Old Style"/>
          <w:lang w:val="es-CO"/>
        </w:rPr>
        <w:t xml:space="preserve">entonces </w:t>
      </w:r>
      <w:r w:rsidRPr="00F132A2">
        <w:rPr>
          <w:rFonts w:ascii="Bookman Old Style" w:hAnsi="Bookman Old Style"/>
          <w:lang w:val="es-CO"/>
        </w:rPr>
        <w:t>que el ejercicio de dichas atribuciones: i) debe estar limitado en el tiempo, es decir</w:t>
      </w:r>
      <w:r w:rsidR="00774B7D">
        <w:rPr>
          <w:rFonts w:ascii="Bookman Old Style" w:hAnsi="Bookman Old Style"/>
          <w:lang w:val="es-CO"/>
        </w:rPr>
        <w:t>,</w:t>
      </w:r>
      <w:r w:rsidRPr="00F132A2">
        <w:rPr>
          <w:rFonts w:ascii="Bookman Old Style" w:hAnsi="Bookman Old Style"/>
          <w:lang w:val="es-CO"/>
        </w:rPr>
        <w:t xml:space="preserve"> no es una atribución ordinaria que perdura; ii) los efectos de las medidas son transitorios, es decir, tienen una limitación en su ap</w:t>
      </w:r>
      <w:r w:rsidR="0077797E">
        <w:rPr>
          <w:rFonts w:ascii="Bookman Old Style" w:hAnsi="Bookman Old Style"/>
          <w:lang w:val="es-CO"/>
        </w:rPr>
        <w:t>licación en el tiempo; iii)</w:t>
      </w:r>
      <w:r w:rsidRPr="00F132A2">
        <w:rPr>
          <w:rFonts w:ascii="Bookman Old Style" w:hAnsi="Bookman Old Style"/>
          <w:lang w:val="es-CO"/>
        </w:rPr>
        <w:t xml:space="preserve"> sus efectos pueden ir más allá del período de la emergencia en la medida que conjurar estos eventos no se hace de manera inmediata </w:t>
      </w:r>
      <w:r w:rsidR="004E49FE">
        <w:rPr>
          <w:rFonts w:ascii="Bookman Old Style" w:hAnsi="Bookman Old Style"/>
          <w:lang w:val="es-CO"/>
        </w:rPr>
        <w:t xml:space="preserve">o instantánea </w:t>
      </w:r>
      <w:r w:rsidRPr="00F132A2">
        <w:rPr>
          <w:rFonts w:ascii="Bookman Old Style" w:hAnsi="Bookman Old Style"/>
          <w:lang w:val="es-CO"/>
        </w:rPr>
        <w:t xml:space="preserve">con la expedición de la decisión. </w:t>
      </w:r>
    </w:p>
    <w:p w14:paraId="09144F7A" w14:textId="77777777" w:rsidR="006575C8" w:rsidRDefault="006575C8" w:rsidP="0062472D">
      <w:pPr>
        <w:ind w:left="0"/>
        <w:contextualSpacing/>
        <w:jc w:val="both"/>
        <w:rPr>
          <w:rFonts w:ascii="Bookman Old Style" w:hAnsi="Bookman Old Style"/>
          <w:lang w:val="es-CO"/>
        </w:rPr>
      </w:pPr>
    </w:p>
    <w:p w14:paraId="0D7A5B83" w14:textId="5714B622" w:rsidR="0062472D" w:rsidRDefault="00FF3401" w:rsidP="0062472D">
      <w:pPr>
        <w:ind w:left="0"/>
        <w:contextualSpacing/>
        <w:jc w:val="both"/>
        <w:rPr>
          <w:rFonts w:ascii="Bookman Old Style" w:hAnsi="Bookman Old Style"/>
          <w:lang w:val="es-CO"/>
        </w:rPr>
      </w:pPr>
      <w:r>
        <w:rPr>
          <w:rFonts w:ascii="Bookman Old Style" w:hAnsi="Bookman Old Style"/>
          <w:lang w:val="es-CO"/>
        </w:rPr>
        <w:t>Finalmente</w:t>
      </w:r>
      <w:r w:rsidR="0062472D">
        <w:rPr>
          <w:rFonts w:ascii="Bookman Old Style" w:hAnsi="Bookman Old Style"/>
          <w:lang w:val="es-CO"/>
        </w:rPr>
        <w:t xml:space="preserve">, </w:t>
      </w:r>
      <w:r>
        <w:rPr>
          <w:rFonts w:ascii="Bookman Old Style" w:hAnsi="Bookman Old Style"/>
          <w:lang w:val="es-CO"/>
        </w:rPr>
        <w:t xml:space="preserve">así como se expuso en el caso de la Resolución CREG 045 de 2020, </w:t>
      </w:r>
      <w:r w:rsidR="0062472D">
        <w:rPr>
          <w:rFonts w:ascii="Bookman Old Style" w:hAnsi="Bookman Old Style"/>
          <w:lang w:val="es-CO"/>
        </w:rPr>
        <w:t xml:space="preserve">se espera que los usuarios vean una disminución en el costo del servicio, en la medida en que el precio internacional del GLP de referencia para el precio nacional disminuya, sin comprometer el abastecimiento y la continuidad en la prestación del servicio. Lo anterior se verá en la medida en que los distribuidores y comercializadores minoristas efectivamente trasladen este menor costo a los usuarios, considerando que las </w:t>
      </w:r>
      <w:r w:rsidR="0062472D" w:rsidRPr="0023500E">
        <w:rPr>
          <w:rFonts w:ascii="Bookman Old Style" w:hAnsi="Bookman Old Style"/>
          <w:lang w:val="es-CO"/>
        </w:rPr>
        <w:t xml:space="preserve">actividades de distribución y comercialización </w:t>
      </w:r>
      <w:r w:rsidR="0062472D">
        <w:rPr>
          <w:rFonts w:ascii="Bookman Old Style" w:hAnsi="Bookman Old Style"/>
          <w:lang w:val="es-CO"/>
        </w:rPr>
        <w:t xml:space="preserve">minorista </w:t>
      </w:r>
      <w:r w:rsidR="0062472D" w:rsidRPr="0023500E">
        <w:rPr>
          <w:rFonts w:ascii="Bookman Old Style" w:hAnsi="Bookman Old Style"/>
          <w:lang w:val="es-CO"/>
        </w:rPr>
        <w:t>se encuentran bajo un régimen de libertad vigilada</w:t>
      </w:r>
      <w:r w:rsidR="0062472D">
        <w:rPr>
          <w:rFonts w:ascii="Bookman Old Style" w:hAnsi="Bookman Old Style"/>
          <w:lang w:val="es-CO"/>
        </w:rPr>
        <w:t>.</w:t>
      </w:r>
    </w:p>
    <w:p w14:paraId="72DF57D0" w14:textId="77777777" w:rsidR="00454363" w:rsidRDefault="00454363" w:rsidP="0062472D">
      <w:pPr>
        <w:ind w:left="0"/>
        <w:contextualSpacing/>
        <w:jc w:val="both"/>
        <w:rPr>
          <w:rFonts w:ascii="Bookman Old Style" w:hAnsi="Bookman Old Style"/>
          <w:lang w:val="es-CO"/>
        </w:rPr>
      </w:pPr>
    </w:p>
    <w:p w14:paraId="1B66AFF4" w14:textId="667C7BEA" w:rsidR="00454363" w:rsidRDefault="00454363" w:rsidP="0062472D">
      <w:pPr>
        <w:ind w:left="0"/>
        <w:contextualSpacing/>
        <w:jc w:val="both"/>
        <w:rPr>
          <w:rFonts w:ascii="Bookman Old Style" w:hAnsi="Bookman Old Style"/>
          <w:lang w:val="es-CO"/>
        </w:rPr>
      </w:pPr>
      <w:r>
        <w:rPr>
          <w:rFonts w:ascii="Bookman Old Style" w:hAnsi="Bookman Old Style"/>
          <w:lang w:val="es-CO"/>
        </w:rPr>
        <w:t>Mediante la Resolución CREG 097 de 2020 se sometió a consulta el proyecto de resolución “</w:t>
      </w:r>
      <w:r w:rsidRPr="00454363">
        <w:rPr>
          <w:rFonts w:ascii="Bookman Old Style" w:hAnsi="Bookman Old Style"/>
          <w:lang w:val="es-CO"/>
        </w:rPr>
        <w:t>Disposiciones tarifarias dentro del precio máximo regulado para la comercialización mayorista de GLP en el marco del artículo 3 del Decreto Legislativo 517 de 2020</w:t>
      </w:r>
      <w:r>
        <w:rPr>
          <w:rFonts w:ascii="Bookman Old Style" w:hAnsi="Bookman Old Style"/>
          <w:lang w:val="es-CO"/>
        </w:rPr>
        <w:t>”. Dentro del plazo establecido para la consulta se recibieron comentarios por parte de Ecopetrol y Gasnov</w:t>
      </w:r>
      <w:r w:rsidR="00FD1938">
        <w:rPr>
          <w:rFonts w:ascii="Bookman Old Style" w:hAnsi="Bookman Old Style"/>
          <w:lang w:val="es-CO"/>
        </w:rPr>
        <w:t>a.</w:t>
      </w:r>
      <w:r>
        <w:rPr>
          <w:rFonts w:ascii="Bookman Old Style" w:hAnsi="Bookman Old Style"/>
          <w:lang w:val="es-CO"/>
        </w:rPr>
        <w:t xml:space="preserve"> En el Documento CREG </w:t>
      </w:r>
      <w:r w:rsidR="00316623">
        <w:rPr>
          <w:rFonts w:ascii="Bookman Old Style" w:hAnsi="Bookman Old Style"/>
          <w:lang w:val="es-CO"/>
        </w:rPr>
        <w:t>077</w:t>
      </w:r>
      <w:r>
        <w:rPr>
          <w:rFonts w:ascii="Bookman Old Style" w:hAnsi="Bookman Old Style"/>
          <w:lang w:val="es-CO"/>
        </w:rPr>
        <w:t xml:space="preserve"> de 2020 se </w:t>
      </w:r>
      <w:r w:rsidR="00FD1938">
        <w:rPr>
          <w:rFonts w:ascii="Bookman Old Style" w:hAnsi="Bookman Old Style"/>
          <w:lang w:val="es-CO"/>
        </w:rPr>
        <w:t xml:space="preserve">transcriben dichas comunicaciones y se </w:t>
      </w:r>
      <w:r>
        <w:rPr>
          <w:rFonts w:ascii="Bookman Old Style" w:hAnsi="Bookman Old Style"/>
          <w:lang w:val="es-CO"/>
        </w:rPr>
        <w:t xml:space="preserve">da respuesta a estos comentarios. </w:t>
      </w:r>
    </w:p>
    <w:p w14:paraId="35AB3E41" w14:textId="05800D6C" w:rsidR="00454363" w:rsidRDefault="00454363" w:rsidP="0062472D">
      <w:pPr>
        <w:ind w:left="0"/>
        <w:contextualSpacing/>
        <w:jc w:val="both"/>
        <w:rPr>
          <w:rFonts w:ascii="Bookman Old Style" w:hAnsi="Bookman Old Style"/>
          <w:lang w:val="es-CO"/>
        </w:rPr>
      </w:pPr>
    </w:p>
    <w:p w14:paraId="5C1C623F" w14:textId="5A256D76" w:rsidR="00454363" w:rsidRDefault="00454363" w:rsidP="00454363">
      <w:pPr>
        <w:ind w:left="0"/>
        <w:contextualSpacing/>
        <w:jc w:val="both"/>
        <w:rPr>
          <w:rFonts w:ascii="Bookman Old Style" w:hAnsi="Bookman Old Style"/>
          <w:lang w:val="es-CO"/>
        </w:rPr>
      </w:pPr>
      <w:r>
        <w:rPr>
          <w:rFonts w:ascii="Bookman Old Style" w:hAnsi="Bookman Old Style"/>
          <w:lang w:val="es-CO"/>
        </w:rPr>
        <w:t xml:space="preserve">Finalmente, teniendo en cuenta que el artículo 3 del Decreto Legislativo </w:t>
      </w:r>
      <w:r w:rsidR="00221312">
        <w:rPr>
          <w:rFonts w:ascii="Bookman Old Style" w:hAnsi="Bookman Old Style"/>
          <w:lang w:val="es-CO"/>
        </w:rPr>
        <w:t>establece que las medidas que se adopten por parte de la Comisión se han de llevar a cabo m</w:t>
      </w:r>
      <w:r w:rsidR="00221312" w:rsidRPr="00221312">
        <w:rPr>
          <w:rFonts w:ascii="Bookman Old Style" w:hAnsi="Bookman Old Style"/>
          <w:lang w:val="es-CO"/>
        </w:rPr>
        <w:t>ientras permanezca vigente la declaratoria de Emergencia Sanitaria por parte del Ministerio de Salud y Protección Social</w:t>
      </w:r>
      <w:r w:rsidR="00221312">
        <w:rPr>
          <w:rFonts w:ascii="Bookman Old Style" w:hAnsi="Bookman Old Style"/>
          <w:lang w:val="es-CO"/>
        </w:rPr>
        <w:t xml:space="preserve">, la cual en principio va hasta el 30 de mayo de 2020, </w:t>
      </w:r>
      <w:r>
        <w:rPr>
          <w:rFonts w:ascii="Bookman Old Style" w:hAnsi="Bookman Old Style"/>
          <w:lang w:val="es-CO"/>
        </w:rPr>
        <w:t xml:space="preserve">la Comisión </w:t>
      </w:r>
      <w:r w:rsidR="00221312">
        <w:rPr>
          <w:rFonts w:ascii="Bookman Old Style" w:hAnsi="Bookman Old Style"/>
          <w:lang w:val="es-CO"/>
        </w:rPr>
        <w:t xml:space="preserve">dará aplicación a lo dispuesto en el </w:t>
      </w:r>
      <w:r>
        <w:rPr>
          <w:rFonts w:ascii="Bookman Old Style" w:hAnsi="Bookman Old Style"/>
          <w:lang w:val="es-CO"/>
        </w:rPr>
        <w:t xml:space="preserve">parágrafo 2º del </w:t>
      </w:r>
      <w:r w:rsidRPr="00C04854">
        <w:rPr>
          <w:rFonts w:ascii="Bookman Old Style" w:hAnsi="Bookman Old Style"/>
          <w:lang w:val="es-CO"/>
        </w:rPr>
        <w:t>artículo 3º del decreto legislativo 517 de 2020</w:t>
      </w:r>
      <w:r>
        <w:rPr>
          <w:rFonts w:ascii="Bookman Old Style" w:hAnsi="Bookman Old Style"/>
          <w:lang w:val="es-CO"/>
        </w:rPr>
        <w:t xml:space="preserve"> establece lo siguiente:</w:t>
      </w:r>
    </w:p>
    <w:p w14:paraId="47F1E600" w14:textId="77777777" w:rsidR="00454363" w:rsidRDefault="00454363" w:rsidP="00454363">
      <w:pPr>
        <w:ind w:left="0"/>
        <w:contextualSpacing/>
        <w:jc w:val="both"/>
        <w:rPr>
          <w:rFonts w:ascii="Bookman Old Style" w:hAnsi="Bookman Old Style"/>
          <w:lang w:val="es-CO"/>
        </w:rPr>
      </w:pPr>
    </w:p>
    <w:p w14:paraId="2611630C" w14:textId="77777777" w:rsidR="00454363" w:rsidRPr="00EA4AD8" w:rsidRDefault="00454363" w:rsidP="00454363">
      <w:pPr>
        <w:ind w:left="284" w:right="284"/>
        <w:contextualSpacing/>
        <w:jc w:val="both"/>
        <w:rPr>
          <w:rFonts w:ascii="Bookman Old Style" w:hAnsi="Bookman Old Style"/>
          <w:i/>
          <w:iCs/>
          <w:sz w:val="22"/>
          <w:szCs w:val="22"/>
          <w:lang w:val="es-CO"/>
        </w:rPr>
      </w:pPr>
      <w:r>
        <w:rPr>
          <w:rFonts w:ascii="Bookman Old Style" w:hAnsi="Bookman Old Style"/>
          <w:b/>
          <w:bCs/>
          <w:i/>
          <w:iCs/>
          <w:sz w:val="22"/>
          <w:szCs w:val="22"/>
          <w:lang w:val="es-CO"/>
        </w:rPr>
        <w:t>“</w:t>
      </w:r>
      <w:r w:rsidRPr="00EA4AD8">
        <w:rPr>
          <w:rFonts w:ascii="Bookman Old Style" w:hAnsi="Bookman Old Style"/>
          <w:b/>
          <w:bCs/>
          <w:i/>
          <w:iCs/>
          <w:sz w:val="22"/>
          <w:szCs w:val="22"/>
          <w:lang w:val="es-CO"/>
        </w:rPr>
        <w:t>PARÁGRAFO SEGUNDO.</w:t>
      </w:r>
      <w:r w:rsidRPr="00EA4AD8">
        <w:rPr>
          <w:rFonts w:ascii="Bookman Old Style" w:hAnsi="Bookman Old Style"/>
          <w:i/>
          <w:iCs/>
          <w:sz w:val="22"/>
          <w:szCs w:val="22"/>
          <w:lang w:val="es-CO"/>
        </w:rPr>
        <w:t xml:space="preserve"> La Comisión de Regulación de Energía y Gas ­ CREG- podrá adoptar todas las medidas necesarias de las que trata este Decreto mientras permanezca vigente la declaratoria de Emergencia Sanitaria por parte del Ministerio de Salud y Protección Social, sin la observación de los períodos, plazos y requisitos definidos en las leyes 142 y 143 de 1994 y demás disposiciones legales.</w:t>
      </w:r>
    </w:p>
    <w:p w14:paraId="04117D0F" w14:textId="77777777" w:rsidR="00454363" w:rsidRPr="00EA4AD8" w:rsidRDefault="00454363" w:rsidP="00454363">
      <w:pPr>
        <w:ind w:left="284" w:right="284"/>
        <w:contextualSpacing/>
        <w:jc w:val="both"/>
        <w:rPr>
          <w:rFonts w:ascii="Bookman Old Style" w:hAnsi="Bookman Old Style"/>
          <w:i/>
          <w:iCs/>
          <w:sz w:val="22"/>
          <w:szCs w:val="22"/>
          <w:lang w:val="es-CO"/>
        </w:rPr>
      </w:pPr>
    </w:p>
    <w:p w14:paraId="2DF756AE" w14:textId="5C5DFD15" w:rsidR="00454363" w:rsidRDefault="00454363" w:rsidP="00454363">
      <w:pPr>
        <w:ind w:left="284" w:right="284"/>
        <w:contextualSpacing/>
        <w:jc w:val="both"/>
        <w:rPr>
          <w:rFonts w:ascii="Bookman Old Style" w:hAnsi="Bookman Old Style"/>
          <w:i/>
          <w:iCs/>
          <w:sz w:val="22"/>
          <w:szCs w:val="22"/>
          <w:lang w:val="es-CO"/>
        </w:rPr>
      </w:pPr>
      <w:r w:rsidRPr="00FD1938">
        <w:rPr>
          <w:rFonts w:ascii="Bookman Old Style" w:hAnsi="Bookman Old Style"/>
          <w:i/>
          <w:iCs/>
          <w:sz w:val="22"/>
          <w:szCs w:val="22"/>
          <w:u w:val="single"/>
          <w:lang w:val="es-CO"/>
        </w:rPr>
        <w:t xml:space="preserve">Así mismo, el Ministerio de Minas y Energía y sus entidades adscritas podrán establecer las medidas extraordinarias de las que trata este Decreto sin necesidad de agotar el requisito de información de los proyectos de regulación a la Superintendencia de Industria y Comercio del que tratan la Ley 1340 de 2009 y el Decreto 1074 de 2015. </w:t>
      </w:r>
      <w:r w:rsidRPr="00EA4AD8">
        <w:rPr>
          <w:rFonts w:ascii="Bookman Old Style" w:hAnsi="Bookman Old Style"/>
          <w:i/>
          <w:iCs/>
          <w:sz w:val="22"/>
          <w:szCs w:val="22"/>
          <w:lang w:val="es-CO"/>
        </w:rPr>
        <w:t>Tampoco será de obligatorio el cumplimiento de los requisitos y plazos de publicidad y de consulta de los proyectos de regulación previstos en la Ley 1437 de 2011 y el Decreto 1078 de 2015.</w:t>
      </w:r>
      <w:r>
        <w:rPr>
          <w:rFonts w:ascii="Bookman Old Style" w:hAnsi="Bookman Old Style"/>
          <w:i/>
          <w:iCs/>
          <w:sz w:val="22"/>
          <w:szCs w:val="22"/>
          <w:lang w:val="es-CO"/>
        </w:rPr>
        <w:t>”</w:t>
      </w:r>
      <w:r w:rsidR="00FD1938">
        <w:rPr>
          <w:rFonts w:ascii="Bookman Old Style" w:hAnsi="Bookman Old Style"/>
          <w:i/>
          <w:iCs/>
          <w:sz w:val="22"/>
          <w:szCs w:val="22"/>
          <w:lang w:val="es-CO"/>
        </w:rPr>
        <w:t xml:space="preserve"> (Resaltado fuera de texto)</w:t>
      </w:r>
    </w:p>
    <w:p w14:paraId="04C52DD4" w14:textId="77777777" w:rsidR="00454363" w:rsidRDefault="00454363" w:rsidP="00454363">
      <w:pPr>
        <w:ind w:left="0" w:right="284"/>
        <w:contextualSpacing/>
        <w:jc w:val="both"/>
        <w:rPr>
          <w:rFonts w:ascii="Bookman Old Style" w:hAnsi="Bookman Old Style"/>
          <w:i/>
          <w:iCs/>
          <w:sz w:val="22"/>
          <w:szCs w:val="22"/>
          <w:lang w:val="es-CO"/>
        </w:rPr>
      </w:pPr>
    </w:p>
    <w:p w14:paraId="4BAF8458" w14:textId="2D90650F" w:rsidR="0062472D" w:rsidRDefault="00FD1938" w:rsidP="0062472D">
      <w:pPr>
        <w:ind w:left="0"/>
        <w:contextualSpacing/>
        <w:jc w:val="both"/>
        <w:rPr>
          <w:rFonts w:ascii="Bookman Old Style" w:hAnsi="Bookman Old Style"/>
        </w:rPr>
      </w:pPr>
      <w:r w:rsidRPr="00FD1938">
        <w:rPr>
          <w:rFonts w:ascii="Bookman Old Style" w:hAnsi="Bookman Old Style"/>
        </w:rPr>
        <w:t>Que, en relación con lo anterior, la Comisión de Regulación de Energía y Gas aprobó el presente acto administrativo en la sesión No.</w:t>
      </w:r>
      <w:r w:rsidR="00316623">
        <w:rPr>
          <w:rFonts w:ascii="Bookman Old Style" w:hAnsi="Bookman Old Style"/>
        </w:rPr>
        <w:t>1011</w:t>
      </w:r>
      <w:r w:rsidRPr="00FD1938">
        <w:rPr>
          <w:rFonts w:ascii="Bookman Old Style" w:hAnsi="Bookman Old Style"/>
        </w:rPr>
        <w:t xml:space="preserve"> del </w:t>
      </w:r>
      <w:r w:rsidR="00316623">
        <w:rPr>
          <w:rFonts w:ascii="Bookman Old Style" w:hAnsi="Bookman Old Style"/>
        </w:rPr>
        <w:t>29</w:t>
      </w:r>
      <w:r w:rsidRPr="00FD1938">
        <w:rPr>
          <w:rFonts w:ascii="Bookman Old Style" w:hAnsi="Bookman Old Style"/>
        </w:rPr>
        <w:t xml:space="preserve"> de </w:t>
      </w:r>
      <w:r w:rsidR="003C53AB">
        <w:rPr>
          <w:rFonts w:ascii="Bookman Old Style" w:hAnsi="Bookman Old Style"/>
        </w:rPr>
        <w:t>mayo</w:t>
      </w:r>
      <w:r w:rsidRPr="00FD1938">
        <w:rPr>
          <w:rFonts w:ascii="Bookman Old Style" w:hAnsi="Bookman Old Style"/>
        </w:rPr>
        <w:t xml:space="preserve"> de 2020.</w:t>
      </w:r>
    </w:p>
    <w:p w14:paraId="4AC23A61" w14:textId="79A3F50D" w:rsidR="00FD1938" w:rsidRDefault="00FD1938" w:rsidP="0062472D">
      <w:pPr>
        <w:ind w:left="0"/>
        <w:contextualSpacing/>
        <w:jc w:val="both"/>
        <w:rPr>
          <w:rFonts w:ascii="Bookman Old Style" w:hAnsi="Bookman Old Style"/>
        </w:rPr>
      </w:pPr>
    </w:p>
    <w:p w14:paraId="21FCFFFE" w14:textId="01F567F4" w:rsidR="003C53AB" w:rsidRDefault="003C53AB" w:rsidP="0062472D">
      <w:pPr>
        <w:ind w:left="0"/>
        <w:contextualSpacing/>
        <w:jc w:val="both"/>
        <w:rPr>
          <w:rFonts w:ascii="Bookman Old Style" w:hAnsi="Bookman Old Style"/>
        </w:rPr>
      </w:pPr>
    </w:p>
    <w:p w14:paraId="3EA1A35A" w14:textId="5A0497E0" w:rsidR="003C53AB" w:rsidRDefault="003C53AB" w:rsidP="0062472D">
      <w:pPr>
        <w:ind w:left="0"/>
        <w:contextualSpacing/>
        <w:jc w:val="both"/>
        <w:rPr>
          <w:rFonts w:ascii="Bookman Old Style" w:hAnsi="Bookman Old Style"/>
        </w:rPr>
      </w:pPr>
    </w:p>
    <w:p w14:paraId="7D435798" w14:textId="77777777" w:rsidR="003C53AB" w:rsidRPr="003B29E2" w:rsidRDefault="003C53AB" w:rsidP="0062472D">
      <w:pPr>
        <w:ind w:left="0"/>
        <w:contextualSpacing/>
        <w:jc w:val="both"/>
        <w:rPr>
          <w:rFonts w:ascii="Bookman Old Style" w:hAnsi="Bookman Old Style"/>
        </w:rPr>
      </w:pPr>
    </w:p>
    <w:p w14:paraId="27750B26" w14:textId="77777777" w:rsidR="0062472D" w:rsidRPr="005658FF" w:rsidRDefault="0062472D" w:rsidP="0062472D">
      <w:pPr>
        <w:ind w:left="0"/>
        <w:contextualSpacing/>
        <w:jc w:val="center"/>
        <w:rPr>
          <w:rFonts w:ascii="Bookman Old Style" w:hAnsi="Bookman Old Style"/>
          <w:b/>
        </w:rPr>
      </w:pPr>
      <w:r w:rsidRPr="00C07899">
        <w:rPr>
          <w:rFonts w:ascii="Bookman Old Style" w:hAnsi="Bookman Old Style"/>
          <w:b/>
        </w:rPr>
        <w:t>R E S U E L V E:</w:t>
      </w:r>
    </w:p>
    <w:p w14:paraId="5DC2CE53" w14:textId="77777777" w:rsidR="003C53AB" w:rsidRDefault="003C53AB" w:rsidP="00CD36FC">
      <w:pPr>
        <w:ind w:left="0"/>
        <w:contextualSpacing/>
        <w:jc w:val="both"/>
        <w:rPr>
          <w:rFonts w:ascii="Bookman Old Style" w:hAnsi="Bookman Old Style" w:cs="Arial"/>
          <w:b/>
          <w:color w:val="000000"/>
        </w:rPr>
      </w:pPr>
    </w:p>
    <w:p w14:paraId="3699CDE1" w14:textId="6B1BBCE6" w:rsidR="00511718" w:rsidRPr="0096368D" w:rsidRDefault="00DA64E7" w:rsidP="00CD36FC">
      <w:pPr>
        <w:ind w:left="0"/>
        <w:contextualSpacing/>
        <w:jc w:val="both"/>
        <w:rPr>
          <w:rFonts w:ascii="Bookman Old Style" w:hAnsi="Bookman Old Style"/>
          <w:bCs/>
        </w:rPr>
      </w:pPr>
      <w:r w:rsidRPr="00C07899">
        <w:rPr>
          <w:rFonts w:ascii="Bookman Old Style" w:hAnsi="Bookman Old Style"/>
          <w:b/>
        </w:rPr>
        <w:t xml:space="preserve">ARTÍCULO </w:t>
      </w:r>
      <w:r w:rsidR="00B96BD5">
        <w:rPr>
          <w:rFonts w:ascii="Bookman Old Style" w:hAnsi="Bookman Old Style"/>
          <w:b/>
        </w:rPr>
        <w:t>1</w:t>
      </w:r>
      <w:r w:rsidRPr="00C07899">
        <w:rPr>
          <w:rFonts w:ascii="Bookman Old Style" w:hAnsi="Bookman Old Style"/>
          <w:b/>
        </w:rPr>
        <w:t xml:space="preserve">. </w:t>
      </w:r>
      <w:r w:rsidR="002357A9" w:rsidRPr="1818C21B">
        <w:rPr>
          <w:rFonts w:ascii="Bookman Old Style" w:hAnsi="Bookman Old Style"/>
          <w:b/>
          <w:bCs/>
        </w:rPr>
        <w:t xml:space="preserve">Medida </w:t>
      </w:r>
      <w:r w:rsidR="5D882196" w:rsidRPr="1818C21B">
        <w:rPr>
          <w:rFonts w:ascii="Bookman Old Style" w:hAnsi="Bookman Old Style"/>
          <w:b/>
          <w:bCs/>
        </w:rPr>
        <w:t>sobre</w:t>
      </w:r>
      <w:r w:rsidR="002357A9">
        <w:rPr>
          <w:rFonts w:ascii="Bookman Old Style" w:hAnsi="Bookman Old Style"/>
          <w:b/>
        </w:rPr>
        <w:t xml:space="preserve"> el p</w:t>
      </w:r>
      <w:r w:rsidR="0073164A">
        <w:rPr>
          <w:rFonts w:ascii="Bookman Old Style" w:hAnsi="Bookman Old Style"/>
          <w:b/>
        </w:rPr>
        <w:t xml:space="preserve">recio </w:t>
      </w:r>
      <w:r w:rsidR="002357A9">
        <w:rPr>
          <w:rFonts w:ascii="Bookman Old Style" w:hAnsi="Bookman Old Style"/>
          <w:b/>
        </w:rPr>
        <w:t>máximo regulado de suministro de GLP de fuentes de producción nacional</w:t>
      </w:r>
      <w:r w:rsidRPr="00C07899">
        <w:rPr>
          <w:rFonts w:ascii="Bookman Old Style" w:hAnsi="Bookman Old Style"/>
          <w:b/>
        </w:rPr>
        <w:t xml:space="preserve">. </w:t>
      </w:r>
      <w:r w:rsidR="00E517E5">
        <w:rPr>
          <w:rFonts w:ascii="Bookman Old Style" w:hAnsi="Bookman Old Style"/>
          <w:bCs/>
        </w:rPr>
        <w:t>E</w:t>
      </w:r>
      <w:r w:rsidR="0096368D">
        <w:rPr>
          <w:rFonts w:ascii="Bookman Old Style" w:hAnsi="Bookman Old Style"/>
          <w:bCs/>
        </w:rPr>
        <w:t xml:space="preserve">l artículo 1º de la Resolución CREG 045 de 2020 se </w:t>
      </w:r>
      <w:r w:rsidR="00E517E5">
        <w:rPr>
          <w:rFonts w:ascii="Bookman Old Style" w:hAnsi="Bookman Old Style"/>
          <w:bCs/>
        </w:rPr>
        <w:t xml:space="preserve">mantendrá vigente hasta </w:t>
      </w:r>
      <w:r w:rsidR="00196F51">
        <w:rPr>
          <w:rFonts w:ascii="Bookman Old Style" w:hAnsi="Bookman Old Style"/>
          <w:bCs/>
        </w:rPr>
        <w:t xml:space="preserve">el 31 de diciembre </w:t>
      </w:r>
      <w:r w:rsidR="0077797E">
        <w:rPr>
          <w:rFonts w:ascii="Bookman Old Style" w:hAnsi="Bookman Old Style"/>
          <w:bCs/>
        </w:rPr>
        <w:t>de 2020</w:t>
      </w:r>
      <w:r w:rsidR="00196F51">
        <w:rPr>
          <w:rFonts w:ascii="Bookman Old Style" w:hAnsi="Bookman Old Style"/>
          <w:bCs/>
        </w:rPr>
        <w:t>.</w:t>
      </w:r>
    </w:p>
    <w:p w14:paraId="7DBA6361" w14:textId="77777777" w:rsidR="00F901BE" w:rsidRPr="00C07899" w:rsidRDefault="00F901BE" w:rsidP="00C07899">
      <w:pPr>
        <w:ind w:left="0"/>
        <w:contextualSpacing/>
        <w:jc w:val="both"/>
        <w:rPr>
          <w:rFonts w:ascii="Bookman Old Style" w:hAnsi="Bookman Old Style" w:cs="Arial"/>
        </w:rPr>
      </w:pPr>
    </w:p>
    <w:p w14:paraId="0EAAC5D2" w14:textId="0A815F95" w:rsidR="00885E65" w:rsidRPr="003D60EA" w:rsidRDefault="00CD0DE2" w:rsidP="73C55A47">
      <w:pPr>
        <w:ind w:left="0"/>
        <w:contextualSpacing/>
        <w:jc w:val="both"/>
        <w:rPr>
          <w:rFonts w:ascii="Bookman Old Style" w:hAnsi="Bookman Old Style"/>
        </w:rPr>
      </w:pPr>
      <w:r w:rsidRPr="000A70C3">
        <w:rPr>
          <w:rFonts w:ascii="Bookman Old Style" w:hAnsi="Bookman Old Style"/>
          <w:b/>
        </w:rPr>
        <w:t>A</w:t>
      </w:r>
      <w:r w:rsidR="003E1031" w:rsidRPr="000A70C3">
        <w:rPr>
          <w:rFonts w:ascii="Bookman Old Style" w:hAnsi="Bookman Old Style"/>
          <w:b/>
        </w:rPr>
        <w:t xml:space="preserve">RTÍCULO </w:t>
      </w:r>
      <w:r w:rsidR="00D32370" w:rsidRPr="000A70C3">
        <w:rPr>
          <w:rFonts w:ascii="Bookman Old Style" w:hAnsi="Bookman Old Style"/>
          <w:b/>
        </w:rPr>
        <w:t>2</w:t>
      </w:r>
      <w:r w:rsidR="004C4C34" w:rsidRPr="000A70C3">
        <w:rPr>
          <w:rFonts w:ascii="Bookman Old Style" w:hAnsi="Bookman Old Style"/>
          <w:b/>
        </w:rPr>
        <w:t xml:space="preserve">. </w:t>
      </w:r>
      <w:r w:rsidRPr="000A70C3">
        <w:rPr>
          <w:rFonts w:ascii="Bookman Old Style" w:hAnsi="Bookman Old Style"/>
          <w:b/>
        </w:rPr>
        <w:t>Vigencia</w:t>
      </w:r>
      <w:r w:rsidR="004C4C34" w:rsidRPr="000A70C3">
        <w:rPr>
          <w:rFonts w:ascii="Bookman Old Style" w:hAnsi="Bookman Old Style"/>
          <w:b/>
        </w:rPr>
        <w:t xml:space="preserve">. </w:t>
      </w:r>
      <w:r w:rsidR="004C4C34" w:rsidRPr="000A70C3">
        <w:rPr>
          <w:rFonts w:ascii="Bookman Old Style" w:hAnsi="Bookman Old Style"/>
        </w:rPr>
        <w:t xml:space="preserve">Esta resolución rige a partir de su publicación en el </w:t>
      </w:r>
      <w:r w:rsidR="004C4C34" w:rsidRPr="000A70C3">
        <w:rPr>
          <w:rFonts w:ascii="Bookman Old Style" w:hAnsi="Bookman Old Style"/>
          <w:i/>
        </w:rPr>
        <w:t>Diario Oficial</w:t>
      </w:r>
      <w:r w:rsidR="00885E65" w:rsidRPr="000A70C3">
        <w:rPr>
          <w:rFonts w:ascii="Bookman Old Style" w:hAnsi="Bookman Old Style"/>
        </w:rPr>
        <w:t>.</w:t>
      </w:r>
    </w:p>
    <w:p w14:paraId="3E651C61" w14:textId="77777777" w:rsidR="004C4C34" w:rsidRPr="00C07899" w:rsidRDefault="004C4C34" w:rsidP="00C07899">
      <w:pPr>
        <w:ind w:left="0"/>
        <w:contextualSpacing/>
        <w:rPr>
          <w:rFonts w:ascii="Bookman Old Style" w:hAnsi="Bookman Old Style"/>
        </w:rPr>
      </w:pPr>
    </w:p>
    <w:p w14:paraId="2786B5AB" w14:textId="77777777" w:rsidR="00926C07" w:rsidRPr="00C07899" w:rsidRDefault="00926C07" w:rsidP="00C07899">
      <w:pPr>
        <w:ind w:left="0"/>
        <w:contextualSpacing/>
        <w:rPr>
          <w:rFonts w:ascii="Bookman Old Style" w:hAnsi="Bookman Old Style"/>
        </w:rPr>
      </w:pPr>
    </w:p>
    <w:p w14:paraId="47FE7E38" w14:textId="77777777" w:rsidR="004C4C34" w:rsidRPr="00C07899" w:rsidRDefault="004C4C34" w:rsidP="00C07899">
      <w:pPr>
        <w:contextualSpacing/>
        <w:jc w:val="center"/>
        <w:rPr>
          <w:rFonts w:ascii="Bookman Old Style" w:hAnsi="Bookman Old Style"/>
          <w:b/>
        </w:rPr>
      </w:pPr>
      <w:r w:rsidRPr="00C07899">
        <w:rPr>
          <w:rFonts w:ascii="Bookman Old Style" w:hAnsi="Bookman Old Style"/>
          <w:b/>
        </w:rPr>
        <w:t>PUBLÍQUESE Y CÚMPLASE</w:t>
      </w:r>
    </w:p>
    <w:p w14:paraId="093D010A" w14:textId="77777777" w:rsidR="004C4C34" w:rsidRPr="00C07899" w:rsidRDefault="004C4C34" w:rsidP="00C07899">
      <w:pPr>
        <w:contextualSpacing/>
        <w:rPr>
          <w:rFonts w:ascii="Bookman Old Style" w:hAnsi="Bookman Old Style"/>
        </w:rPr>
      </w:pPr>
    </w:p>
    <w:p w14:paraId="1302A1E8" w14:textId="77777777" w:rsidR="00907EBC" w:rsidRPr="00C07899" w:rsidRDefault="00907EBC" w:rsidP="00C07899">
      <w:pPr>
        <w:contextualSpacing/>
        <w:rPr>
          <w:rFonts w:ascii="Bookman Old Style" w:hAnsi="Bookman Old Style"/>
        </w:rPr>
      </w:pPr>
    </w:p>
    <w:p w14:paraId="4BDAE000" w14:textId="6D02DED7" w:rsidR="00E033F2" w:rsidRDefault="00316623" w:rsidP="00C07899">
      <w:pPr>
        <w:ind w:left="0"/>
        <w:contextualSpacing/>
        <w:rPr>
          <w:rFonts w:ascii="Bookman Old Style" w:hAnsi="Bookman Old Style"/>
        </w:rPr>
      </w:pPr>
      <w:r>
        <w:rPr>
          <w:rFonts w:ascii="Bookman Old Style" w:hAnsi="Bookman Old Style"/>
        </w:rPr>
        <w:t xml:space="preserve">Dada en Bogotá, D.C., a </w:t>
      </w:r>
      <w:r w:rsidRPr="00316623">
        <w:rPr>
          <w:rFonts w:ascii="Bookman Old Style" w:hAnsi="Bookman Old Style"/>
          <w:b/>
          <w:bCs/>
        </w:rPr>
        <w:t>29 MAY. 2020</w:t>
      </w:r>
    </w:p>
    <w:p w14:paraId="7FAF68EC" w14:textId="77777777" w:rsidR="00A56691" w:rsidRDefault="00A56691" w:rsidP="00C07899">
      <w:pPr>
        <w:ind w:left="0"/>
        <w:contextualSpacing/>
        <w:rPr>
          <w:rFonts w:ascii="Bookman Old Style" w:hAnsi="Bookman Old Style"/>
        </w:rPr>
      </w:pPr>
    </w:p>
    <w:p w14:paraId="3AB2377D" w14:textId="77777777" w:rsidR="00F901BE" w:rsidRDefault="00F901BE" w:rsidP="00C07899">
      <w:pPr>
        <w:ind w:left="0"/>
        <w:contextualSpacing/>
        <w:rPr>
          <w:rFonts w:ascii="Bookman Old Style" w:hAnsi="Bookman Old Style"/>
        </w:rPr>
      </w:pPr>
    </w:p>
    <w:p w14:paraId="53F9DE2B" w14:textId="222BE19B" w:rsidR="00F901BE" w:rsidRDefault="00F901BE" w:rsidP="00C07899">
      <w:pPr>
        <w:ind w:left="0"/>
        <w:contextualSpacing/>
        <w:rPr>
          <w:rFonts w:ascii="Bookman Old Style" w:hAnsi="Bookman Old Style"/>
        </w:rPr>
      </w:pPr>
    </w:p>
    <w:p w14:paraId="087AC8C2" w14:textId="77777777" w:rsidR="00316623" w:rsidRDefault="00316623" w:rsidP="00C07899">
      <w:pPr>
        <w:ind w:left="0"/>
        <w:contextualSpacing/>
        <w:rPr>
          <w:rFonts w:ascii="Bookman Old Style" w:hAnsi="Bookman Old Style"/>
        </w:rPr>
      </w:pPr>
    </w:p>
    <w:p w14:paraId="7F5F58F8" w14:textId="77777777" w:rsidR="00A56691" w:rsidRPr="00C07899" w:rsidRDefault="00A56691" w:rsidP="00C07899">
      <w:pPr>
        <w:ind w:left="0"/>
        <w:contextualSpacing/>
        <w:rPr>
          <w:rFonts w:ascii="Bookman Old Style" w:hAnsi="Bookman Old Style"/>
        </w:rPr>
      </w:pPr>
    </w:p>
    <w:tbl>
      <w:tblPr>
        <w:tblW w:w="8931" w:type="dxa"/>
        <w:jc w:val="center"/>
        <w:tblCellSpacing w:w="0" w:type="dxa"/>
        <w:tblCellMar>
          <w:left w:w="0" w:type="dxa"/>
          <w:right w:w="0" w:type="dxa"/>
        </w:tblCellMar>
        <w:tblLook w:val="04A0" w:firstRow="1" w:lastRow="0" w:firstColumn="1" w:lastColumn="0" w:noHBand="0" w:noVBand="1"/>
      </w:tblPr>
      <w:tblGrid>
        <w:gridCol w:w="4395"/>
        <w:gridCol w:w="4536"/>
      </w:tblGrid>
      <w:tr w:rsidR="00196F51" w:rsidRPr="00FC430C" w14:paraId="53C41115" w14:textId="77777777" w:rsidTr="00842DB6">
        <w:trPr>
          <w:tblCellSpacing w:w="0" w:type="dxa"/>
          <w:jc w:val="center"/>
        </w:trPr>
        <w:tc>
          <w:tcPr>
            <w:tcW w:w="4395" w:type="dxa"/>
            <w:hideMark/>
          </w:tcPr>
          <w:p w14:paraId="17133EAF" w14:textId="77777777" w:rsidR="00196F51" w:rsidRPr="00FC430C" w:rsidRDefault="00196F51" w:rsidP="00842DB6">
            <w:pPr>
              <w:ind w:left="66"/>
              <w:jc w:val="center"/>
              <w:rPr>
                <w:rFonts w:ascii="Bookman Old Style" w:hAnsi="Bookman Old Style" w:cs="Arial"/>
                <w:b/>
                <w:spacing w:val="-3"/>
              </w:rPr>
            </w:pPr>
            <w:r>
              <w:rPr>
                <w:rFonts w:ascii="Bookman Old Style" w:hAnsi="Bookman Old Style" w:cs="Arial"/>
                <w:b/>
                <w:spacing w:val="-3"/>
              </w:rPr>
              <w:t>DIEGO MESA PUYO</w:t>
            </w:r>
          </w:p>
        </w:tc>
        <w:tc>
          <w:tcPr>
            <w:tcW w:w="4536" w:type="dxa"/>
            <w:hideMark/>
          </w:tcPr>
          <w:p w14:paraId="58586FC1" w14:textId="77777777" w:rsidR="00196F51" w:rsidRPr="00FC430C" w:rsidRDefault="00196F51" w:rsidP="00842DB6">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196F51" w:rsidRPr="00FC430C" w14:paraId="534F7313" w14:textId="77777777" w:rsidTr="00842DB6">
        <w:trPr>
          <w:tblCellSpacing w:w="0" w:type="dxa"/>
          <w:jc w:val="center"/>
        </w:trPr>
        <w:tc>
          <w:tcPr>
            <w:tcW w:w="4395" w:type="dxa"/>
          </w:tcPr>
          <w:p w14:paraId="23D047E5" w14:textId="77777777" w:rsidR="00196F51" w:rsidRPr="00D94FBB" w:rsidRDefault="00196F51" w:rsidP="00842DB6">
            <w:pPr>
              <w:ind w:left="66"/>
              <w:jc w:val="center"/>
              <w:rPr>
                <w:rFonts w:ascii="Bookman Old Style" w:hAnsi="Bookman Old Style" w:cs="Arial"/>
                <w:spacing w:val="-3"/>
              </w:rPr>
            </w:pPr>
            <w:r>
              <w:rPr>
                <w:rFonts w:ascii="Bookman Old Style" w:hAnsi="Bookman Old Style" w:cs="Arial"/>
                <w:spacing w:val="-3"/>
              </w:rPr>
              <w:t>Viceministro de Energía</w:t>
            </w:r>
          </w:p>
        </w:tc>
        <w:tc>
          <w:tcPr>
            <w:tcW w:w="4536" w:type="dxa"/>
          </w:tcPr>
          <w:p w14:paraId="0862D9F0" w14:textId="77777777" w:rsidR="00196F51" w:rsidRDefault="00196F51" w:rsidP="00842DB6">
            <w:pPr>
              <w:ind w:left="89"/>
              <w:jc w:val="center"/>
              <w:rPr>
                <w:rFonts w:ascii="Bookman Old Style" w:hAnsi="Bookman Old Style" w:cs="Arial"/>
                <w:b/>
                <w:spacing w:val="-3"/>
              </w:rPr>
            </w:pPr>
            <w:r w:rsidRPr="00FC430C">
              <w:rPr>
                <w:rFonts w:ascii="Bookman Old Style" w:hAnsi="Bookman Old Style" w:cs="Arial"/>
                <w:spacing w:val="-3"/>
              </w:rPr>
              <w:t>Director Ejecutivo</w:t>
            </w:r>
          </w:p>
        </w:tc>
      </w:tr>
      <w:tr w:rsidR="00196F51" w:rsidRPr="00FC430C" w14:paraId="1980E7DC" w14:textId="77777777" w:rsidTr="00842DB6">
        <w:trPr>
          <w:tblCellSpacing w:w="0" w:type="dxa"/>
          <w:jc w:val="center"/>
        </w:trPr>
        <w:tc>
          <w:tcPr>
            <w:tcW w:w="4395" w:type="dxa"/>
            <w:hideMark/>
          </w:tcPr>
          <w:p w14:paraId="29FE8428" w14:textId="77777777" w:rsidR="00196F51" w:rsidRPr="00FC430C" w:rsidRDefault="00196F51" w:rsidP="00842DB6">
            <w:pPr>
              <w:ind w:left="66"/>
              <w:jc w:val="center"/>
              <w:rPr>
                <w:rFonts w:ascii="Bookman Old Style" w:eastAsia="Arial Unicode MS" w:hAnsi="Bookman Old Style" w:cs="Arial"/>
                <w:color w:val="000000"/>
              </w:rPr>
            </w:pPr>
            <w:r>
              <w:rPr>
                <w:rFonts w:ascii="Bookman Old Style" w:hAnsi="Bookman Old Style" w:cs="Arial"/>
                <w:spacing w:val="-3"/>
              </w:rPr>
              <w:t xml:space="preserve">Delegado de la </w:t>
            </w:r>
            <w:r w:rsidRPr="00FC430C">
              <w:rPr>
                <w:rFonts w:ascii="Bookman Old Style" w:hAnsi="Bookman Old Style" w:cs="Arial"/>
                <w:spacing w:val="-3"/>
              </w:rPr>
              <w:t>Ministr</w:t>
            </w:r>
            <w:r>
              <w:rPr>
                <w:rFonts w:ascii="Bookman Old Style" w:hAnsi="Bookman Old Style" w:cs="Arial"/>
                <w:spacing w:val="-3"/>
              </w:rPr>
              <w:t>a</w:t>
            </w:r>
            <w:r w:rsidRPr="00FC430C">
              <w:rPr>
                <w:rFonts w:ascii="Bookman Old Style" w:hAnsi="Bookman Old Style" w:cs="Arial"/>
                <w:spacing w:val="-3"/>
              </w:rPr>
              <w:t xml:space="preserve"> de Minas y Energía</w:t>
            </w:r>
          </w:p>
        </w:tc>
        <w:tc>
          <w:tcPr>
            <w:tcW w:w="4536" w:type="dxa"/>
            <w:hideMark/>
          </w:tcPr>
          <w:p w14:paraId="2420CDB9" w14:textId="77777777" w:rsidR="00196F51" w:rsidRPr="00FC430C" w:rsidRDefault="00196F51" w:rsidP="00842DB6">
            <w:pPr>
              <w:jc w:val="center"/>
              <w:rPr>
                <w:rFonts w:ascii="Bookman Old Style" w:eastAsia="Arial Unicode MS" w:hAnsi="Bookman Old Style" w:cs="Arial"/>
                <w:color w:val="000000"/>
              </w:rPr>
            </w:pPr>
          </w:p>
        </w:tc>
      </w:tr>
      <w:tr w:rsidR="00196F51" w:rsidRPr="00FC430C" w14:paraId="6C0485E6" w14:textId="77777777" w:rsidTr="00842DB6">
        <w:trPr>
          <w:tblCellSpacing w:w="0" w:type="dxa"/>
          <w:jc w:val="center"/>
        </w:trPr>
        <w:tc>
          <w:tcPr>
            <w:tcW w:w="4395" w:type="dxa"/>
            <w:hideMark/>
          </w:tcPr>
          <w:p w14:paraId="014B9880" w14:textId="77777777" w:rsidR="00196F51" w:rsidRPr="00FC430C" w:rsidRDefault="00196F51" w:rsidP="00842DB6">
            <w:pPr>
              <w:ind w:left="66"/>
              <w:jc w:val="center"/>
              <w:rPr>
                <w:rFonts w:ascii="Bookman Old Style" w:eastAsia="Arial Unicode MS" w:hAnsi="Bookman Old Style" w:cs="Arial"/>
                <w:color w:val="000000"/>
              </w:rPr>
            </w:pPr>
            <w:r w:rsidRPr="00FC430C">
              <w:rPr>
                <w:rFonts w:ascii="Bookman Old Style" w:hAnsi="Bookman Old Style" w:cs="Arial"/>
                <w:spacing w:val="-3"/>
              </w:rPr>
              <w:t>President</w:t>
            </w:r>
            <w:r>
              <w:rPr>
                <w:rFonts w:ascii="Bookman Old Style" w:hAnsi="Bookman Old Style" w:cs="Arial"/>
                <w:spacing w:val="-3"/>
              </w:rPr>
              <w:t>a</w:t>
            </w:r>
          </w:p>
        </w:tc>
        <w:tc>
          <w:tcPr>
            <w:tcW w:w="4536" w:type="dxa"/>
          </w:tcPr>
          <w:p w14:paraId="4C26151B" w14:textId="77777777" w:rsidR="00196F51" w:rsidRPr="00FC430C" w:rsidRDefault="00196F51" w:rsidP="00842DB6">
            <w:pPr>
              <w:jc w:val="center"/>
              <w:rPr>
                <w:rFonts w:ascii="Bookman Old Style" w:eastAsia="Arial Unicode MS" w:hAnsi="Bookman Old Style" w:cs="Arial"/>
                <w:color w:val="000000"/>
              </w:rPr>
            </w:pPr>
          </w:p>
        </w:tc>
      </w:tr>
    </w:tbl>
    <w:p w14:paraId="0544E996" w14:textId="77777777" w:rsidR="00E060BE" w:rsidRPr="00C07899" w:rsidRDefault="00E060BE" w:rsidP="00C07899">
      <w:pPr>
        <w:ind w:left="0"/>
        <w:rPr>
          <w:rFonts w:ascii="Bookman Old Style" w:hAnsi="Bookman Old Style"/>
        </w:rPr>
      </w:pPr>
    </w:p>
    <w:sectPr w:rsidR="00E060BE" w:rsidRPr="00C07899" w:rsidSect="005A59EF">
      <w:headerReference w:type="default" r:id="rId21"/>
      <w:headerReference w:type="first" r:id="rId2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DB28" w14:textId="77777777" w:rsidR="00362340" w:rsidRDefault="00362340">
      <w:r>
        <w:separator/>
      </w:r>
    </w:p>
  </w:endnote>
  <w:endnote w:type="continuationSeparator" w:id="0">
    <w:p w14:paraId="7E16899F" w14:textId="77777777" w:rsidR="00362340" w:rsidRDefault="00362340">
      <w:r>
        <w:continuationSeparator/>
      </w:r>
    </w:p>
  </w:endnote>
  <w:endnote w:type="continuationNotice" w:id="1">
    <w:p w14:paraId="479B9A69" w14:textId="77777777" w:rsidR="00362340" w:rsidRDefault="0036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D7E7C" w14:textId="77777777" w:rsidR="00362340" w:rsidRDefault="00362340">
      <w:r>
        <w:separator/>
      </w:r>
    </w:p>
  </w:footnote>
  <w:footnote w:type="continuationSeparator" w:id="0">
    <w:p w14:paraId="184D9299" w14:textId="77777777" w:rsidR="00362340" w:rsidRDefault="00362340">
      <w:r>
        <w:continuationSeparator/>
      </w:r>
    </w:p>
  </w:footnote>
  <w:footnote w:type="continuationNotice" w:id="1">
    <w:p w14:paraId="0B445158" w14:textId="77777777" w:rsidR="00362340" w:rsidRDefault="00362340"/>
  </w:footnote>
  <w:footnote w:id="2">
    <w:p w14:paraId="0D39040B" w14:textId="77777777" w:rsidR="009E0449" w:rsidRPr="00295FE5" w:rsidRDefault="009E0449" w:rsidP="0062472D">
      <w:pPr>
        <w:pStyle w:val="Textonotapie"/>
        <w:ind w:left="0"/>
        <w:jc w:val="both"/>
        <w:rPr>
          <w:rFonts w:ascii="Bookman Old Style" w:hAnsi="Bookman Old Style" w:cs="Arial"/>
          <w:sz w:val="16"/>
          <w:szCs w:val="16"/>
        </w:rPr>
      </w:pPr>
      <w:r w:rsidRPr="00C85CB0">
        <w:rPr>
          <w:rStyle w:val="Refdenotaalpie"/>
          <w:rFonts w:ascii="Bookman Old Style" w:hAnsi="Bookman Old Style" w:cs="Arial"/>
          <w:sz w:val="16"/>
          <w:szCs w:val="16"/>
          <w:vertAlign w:val="baseline"/>
        </w:rPr>
        <w:footnoteRef/>
      </w:r>
      <w:r w:rsidRPr="00295FE5">
        <w:rPr>
          <w:rFonts w:ascii="Bookman Old Style" w:hAnsi="Bookman Old Style" w:cs="Arial"/>
          <w:sz w:val="16"/>
          <w:szCs w:val="16"/>
        </w:rPr>
        <w:t xml:space="preserve"> Actividad consistente en la compra y venta de GLP al por mayor y a granel, con destino al Servicio Público Domiciliario de Gas Combustible. Resoluciones CREG 066 de 2007 y 066 de 2007.</w:t>
      </w:r>
    </w:p>
  </w:footnote>
  <w:footnote w:id="3">
    <w:p w14:paraId="5F5CC90D" w14:textId="77777777" w:rsidR="009E0449" w:rsidRPr="00295FE5" w:rsidRDefault="009E0449" w:rsidP="0062472D">
      <w:pPr>
        <w:pStyle w:val="Textonotapie"/>
        <w:ind w:left="0"/>
        <w:jc w:val="both"/>
        <w:rPr>
          <w:rFonts w:ascii="Bookman Old Style" w:hAnsi="Bookman Old Style" w:cs="Arial"/>
          <w:sz w:val="16"/>
          <w:szCs w:val="16"/>
        </w:rPr>
      </w:pPr>
      <w:r w:rsidRPr="00295FE5">
        <w:rPr>
          <w:rFonts w:ascii="Bookman Old Style" w:hAnsi="Bookman Old Style" w:cs="Arial"/>
          <w:sz w:val="16"/>
          <w:szCs w:val="16"/>
        </w:rPr>
        <w:footnoteRef/>
      </w:r>
      <w:r w:rsidRPr="00295FE5">
        <w:rPr>
          <w:rFonts w:ascii="Bookman Old Style" w:hAnsi="Bookman Old Style" w:cs="Arial"/>
          <w:sz w:val="16"/>
          <w:szCs w:val="16"/>
        </w:rPr>
        <w:t xml:space="preserve"> El sistema de transporte por ductos está conformado por poliductos (ducto que puede transportas diferentes derivados del petróleo como gasolina, GLP, etc.) o propanoductos (ducto en el que sólo se transporta GLP). Este cargo lo aplican los distribuidores que adquieren el producto proveniente de la refinería de Barrancabermeja y optan por transportarlo hasta uno de los diferentes puntos terminales del sistema de transporte. Este costo varía según el ducto utilizado y la distancia por la que es transportado el GLP. El costo se encuentra establecido en las Resoluciones CREG 016 y 099 de 2010. La tarifa aprobada se ajusta mensualmente con base en el Índice de Precios al Productor - IPP.</w:t>
      </w:r>
    </w:p>
  </w:footnote>
  <w:footnote w:id="4">
    <w:p w14:paraId="0599D443" w14:textId="77777777" w:rsidR="009E0449" w:rsidRPr="00D9210B" w:rsidRDefault="009E0449" w:rsidP="0062472D">
      <w:pPr>
        <w:pStyle w:val="Textonotapie"/>
        <w:ind w:left="0"/>
        <w:jc w:val="both"/>
        <w:rPr>
          <w:rFonts w:cs="Arial"/>
          <w:sz w:val="16"/>
          <w:szCs w:val="16"/>
        </w:rPr>
      </w:pPr>
      <w:r w:rsidRPr="00295FE5">
        <w:rPr>
          <w:rFonts w:ascii="Bookman Old Style" w:hAnsi="Bookman Old Style" w:cs="Arial"/>
          <w:sz w:val="16"/>
          <w:szCs w:val="16"/>
        </w:rPr>
        <w:footnoteRef/>
      </w:r>
      <w:r>
        <w:rPr>
          <w:rFonts w:ascii="Bookman Old Style" w:hAnsi="Bookman Old Style" w:cs="Arial"/>
          <w:sz w:val="16"/>
          <w:szCs w:val="16"/>
        </w:rPr>
        <w:t xml:space="preserve"> </w:t>
      </w:r>
      <w:r w:rsidRPr="00295FE5">
        <w:rPr>
          <w:rFonts w:ascii="Bookman Old Style" w:hAnsi="Bookman Old Style" w:cs="Arial"/>
          <w:sz w:val="16"/>
          <w:szCs w:val="16"/>
        </w:rPr>
        <w:t>Actividad que comprende: i) la compra del GLP en el mercado mayorista con destino al usuario final, ii) el flete desde el Punto de Entrega del comercializador mayorista, o desde el Punto de Entrega del Transportador, hasta las plantas de envasado, iii) el envasado de cilindros marcados y iv) la operación de la planta de envasado correspondiente.  Comprende además las actividades de flete y entrega de producto a granel a través de tanques estacionarios instalados en el domicilio de los usuarios finales y de venta de cilindros a través de Puntos de Venta. Esta se encuentra regulada a través de las Resoluciones CREG 023 de 2008 y 001 de 2009.</w:t>
      </w:r>
    </w:p>
  </w:footnote>
  <w:footnote w:id="5">
    <w:p w14:paraId="7970CE53" w14:textId="77777777" w:rsidR="009E0449" w:rsidRPr="006428D2" w:rsidRDefault="009E0449" w:rsidP="0062472D">
      <w:pPr>
        <w:pStyle w:val="Textonotapie"/>
        <w:ind w:left="0"/>
        <w:jc w:val="both"/>
        <w:rPr>
          <w:rFonts w:ascii="Bookman Old Style" w:hAnsi="Bookman Old Style" w:cs="Arial"/>
          <w:sz w:val="16"/>
          <w:szCs w:val="16"/>
        </w:rPr>
      </w:pPr>
      <w:r w:rsidRPr="00A51EFB">
        <w:rPr>
          <w:rStyle w:val="Refdenotaalpie"/>
          <w:rFonts w:ascii="Bookman Old Style" w:hAnsi="Bookman Old Style" w:cs="Arial"/>
          <w:sz w:val="16"/>
          <w:szCs w:val="16"/>
          <w:vertAlign w:val="baseline"/>
        </w:rPr>
        <w:footnoteRef/>
      </w:r>
      <w:r w:rsidRPr="00A51EFB">
        <w:rPr>
          <w:rFonts w:ascii="Bookman Old Style" w:hAnsi="Bookman Old Style" w:cs="Arial"/>
          <w:sz w:val="16"/>
          <w:szCs w:val="16"/>
        </w:rPr>
        <w:t xml:space="preserve"> </w:t>
      </w:r>
      <w:r w:rsidRPr="00A51EFB">
        <w:rPr>
          <w:rFonts w:ascii="Bookman Old Style" w:eastAsia="Calibri" w:hAnsi="Bookman Old Style" w:cs="Arial"/>
          <w:sz w:val="16"/>
          <w:szCs w:val="16"/>
          <w:lang w:val="es-CO" w:eastAsia="en-US"/>
        </w:rPr>
        <w:t>En</w:t>
      </w:r>
      <w:r w:rsidRPr="00A51EFB">
        <w:rPr>
          <w:rFonts w:ascii="Bookman Old Style" w:hAnsi="Bookman Old Style" w:cs="Arial"/>
          <w:sz w:val="16"/>
          <w:szCs w:val="16"/>
        </w:rPr>
        <w:t xml:space="preserve"> el caso de Ecopetrol, agente con p</w:t>
      </w:r>
      <w:r>
        <w:rPr>
          <w:rFonts w:ascii="Bookman Old Style" w:hAnsi="Bookman Old Style" w:cs="Arial"/>
          <w:sz w:val="16"/>
          <w:szCs w:val="16"/>
        </w:rPr>
        <w:t>osición dominante en el mercado de GLP</w:t>
      </w:r>
      <w:r w:rsidRPr="00A51EFB">
        <w:rPr>
          <w:rFonts w:ascii="Bookman Old Style" w:hAnsi="Bookman Old Style" w:cs="Arial"/>
          <w:sz w:val="16"/>
          <w:szCs w:val="16"/>
        </w:rPr>
        <w:t>, la CREG estableció un precio regulado para el producto proveniente de las principales fuentes de producción nacional, es decir Barranca</w:t>
      </w:r>
      <w:r>
        <w:rPr>
          <w:rFonts w:ascii="Bookman Old Style" w:hAnsi="Bookman Old Style" w:cs="Arial"/>
          <w:sz w:val="16"/>
          <w:szCs w:val="16"/>
        </w:rPr>
        <w:t>bermeja</w:t>
      </w:r>
      <w:r w:rsidRPr="00A51EFB">
        <w:rPr>
          <w:rFonts w:ascii="Bookman Old Style" w:hAnsi="Bookman Old Style" w:cs="Arial"/>
          <w:sz w:val="16"/>
          <w:szCs w:val="16"/>
        </w:rPr>
        <w:t>, Apiay y Cartagena</w:t>
      </w:r>
      <w:r>
        <w:rPr>
          <w:rFonts w:ascii="Bookman Old Style" w:hAnsi="Bookman Old Style" w:cs="Arial"/>
          <w:sz w:val="16"/>
          <w:szCs w:val="16"/>
        </w:rPr>
        <w:t>,</w:t>
      </w:r>
      <w:r w:rsidRPr="00A51EFB">
        <w:rPr>
          <w:rFonts w:ascii="Bookman Old Style" w:hAnsi="Bookman Old Style" w:cs="Arial"/>
          <w:sz w:val="16"/>
          <w:szCs w:val="16"/>
        </w:rPr>
        <w:t xml:space="preserve"> equivalente a la paridad de exportación. Considerando la eventual necesidad de hacer importaciones marginales, </w:t>
      </w:r>
      <w:r w:rsidRPr="006428D2">
        <w:rPr>
          <w:rFonts w:ascii="Bookman Old Style" w:hAnsi="Bookman Old Style" w:cs="Arial"/>
          <w:sz w:val="16"/>
          <w:szCs w:val="16"/>
        </w:rPr>
        <w:t>aquellas que sean realizadas por Ecopetrol también tienen un precio regulado equivalente al costo de importación más un 8% de margen de comercialización, siempre y cuando las mismas se hagan para atender incrementos de la demanda y no para cubrir desviaciones de producción previamente contratadas.</w:t>
      </w:r>
    </w:p>
    <w:p w14:paraId="77A84AFF" w14:textId="77777777" w:rsidR="009E0449" w:rsidRPr="00A51EFB" w:rsidRDefault="009E0449" w:rsidP="0062472D">
      <w:pPr>
        <w:pStyle w:val="Textonotapie"/>
        <w:ind w:left="0"/>
        <w:jc w:val="both"/>
        <w:rPr>
          <w:rFonts w:ascii="Bookman Old Style" w:hAnsi="Bookman Old Style" w:cs="Arial"/>
          <w:sz w:val="16"/>
          <w:szCs w:val="16"/>
        </w:rPr>
      </w:pPr>
      <w:r w:rsidRPr="006428D2">
        <w:rPr>
          <w:rFonts w:ascii="Bookman Old Style" w:hAnsi="Bookman Old Style" w:cs="Arial"/>
          <w:sz w:val="16"/>
          <w:szCs w:val="16"/>
        </w:rPr>
        <w:t>Así mismo, cuando se hizo el análisis por parte de la CREG para la expedición de la Resolución CREG 066 de 2007 se observó que el Campo de Cusiana era operado por un agente diferente al Comercializador Mayorista que en ese momento tenía posición dominante en el mercado y por lo tanto podría considerarse como un posible competidor.</w:t>
      </w:r>
      <w:r>
        <w:rPr>
          <w:rFonts w:ascii="Bookman Old Style" w:hAnsi="Bookman Old Style" w:cs="Arial"/>
          <w:sz w:val="16"/>
          <w:szCs w:val="16"/>
        </w:rPr>
        <w:t xml:space="preserve"> Mediante la Resolución CREG 110 de 2019 se definió el precio regulado para la fuente Cupiagua.</w:t>
      </w:r>
    </w:p>
  </w:footnote>
  <w:footnote w:id="6">
    <w:p w14:paraId="0E521ACA" w14:textId="77777777" w:rsidR="009E0449" w:rsidRPr="00A51EFB" w:rsidRDefault="009E0449" w:rsidP="0062472D">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Con el propósito de introducir señales para incentivar la entrada de potenciales nuevos Comercializadores Mayoristas y para eliminar cualquier barrera o indefinición que pudiese presentarse ante una iniciativa privada en este sentido, y buscando además garantizar la seguridad de suministro de producto y crear competencia al inicio de la cadena, la CREG determinó que para el GLP proveniente de otras fuentes o importado por terceros distintos a Ecopetrol, el precio sería fijado libremente por el Comercializador Mayorista. Sin embargo, la CREG reconoció que inicialmente la entrada de nuevos agentes capaces de dinamizar la competencia no ser</w:t>
      </w:r>
      <w:r>
        <w:rPr>
          <w:rFonts w:ascii="Bookman Old Style" w:hAnsi="Bookman Old Style" w:cs="Arial"/>
          <w:sz w:val="16"/>
          <w:szCs w:val="16"/>
        </w:rPr>
        <w:t>ía</w:t>
      </w:r>
      <w:r w:rsidRPr="00A51EFB">
        <w:rPr>
          <w:rFonts w:ascii="Bookman Old Style" w:hAnsi="Bookman Old Style" w:cs="Arial"/>
          <w:sz w:val="16"/>
          <w:szCs w:val="16"/>
        </w:rPr>
        <w:t xml:space="preserve"> significativa en la medida en que existen restricciones en la disponibilidad de infraestructura de importación y transporte por ductos para grandes cantidades. Por lo tanto, al menos en el corto plazo, la seguridad de suministro de GLP para atender la demanda nacional de gas combustible seguiría dependiendo casi en su totalidad de Ecopetrol.</w:t>
      </w:r>
    </w:p>
  </w:footnote>
  <w:footnote w:id="7">
    <w:p w14:paraId="7EDA7E7C" w14:textId="77777777" w:rsidR="009E0449" w:rsidRPr="00A51EFB" w:rsidRDefault="009E0449" w:rsidP="0062472D">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Ley 142 de 1994, Arts. 1 a 12.</w:t>
      </w:r>
    </w:p>
  </w:footnote>
  <w:footnote w:id="8">
    <w:p w14:paraId="1F3369B6" w14:textId="77777777" w:rsidR="009E0449" w:rsidRPr="00A51EFB" w:rsidRDefault="009E0449" w:rsidP="0062472D">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El concepto de costo de oportunidad da una señal de precio eficiente a la oferta, puesto que quien produce el GLP obtiene al menos, lo que obtendría por venderlo en la segunda mejor alternativa.</w:t>
      </w:r>
    </w:p>
  </w:footnote>
  <w:footnote w:id="9">
    <w:p w14:paraId="2E80187D" w14:textId="1ED945E0" w:rsidR="009E0449" w:rsidRPr="00B203A3" w:rsidRDefault="009E0449">
      <w:pPr>
        <w:pStyle w:val="Textonotapie"/>
        <w:rPr>
          <w:lang w:val="es-CO"/>
        </w:rPr>
      </w:pPr>
      <w:r>
        <w:rPr>
          <w:rStyle w:val="Refdenotaalpie"/>
        </w:rPr>
        <w:footnoteRef/>
      </w:r>
      <w:r>
        <w:t xml:space="preserve"> </w:t>
      </w:r>
    </w:p>
  </w:footnote>
  <w:footnote w:id="10">
    <w:p w14:paraId="126B3EF7" w14:textId="77777777" w:rsidR="009E0449" w:rsidRPr="00FD485A" w:rsidRDefault="009E0449" w:rsidP="0062472D">
      <w:pPr>
        <w:pStyle w:val="Textonotapie"/>
        <w:ind w:left="0"/>
        <w:jc w:val="both"/>
        <w:rPr>
          <w:lang w:val="es-CO"/>
        </w:rPr>
      </w:pPr>
      <w:r w:rsidRPr="00FD485A">
        <w:rPr>
          <w:rFonts w:ascii="Bookman Old Style" w:hAnsi="Bookman Old Style" w:cs="Arial"/>
          <w:sz w:val="16"/>
          <w:szCs w:val="16"/>
        </w:rPr>
        <w:footnoteRef/>
      </w:r>
      <w:r w:rsidRPr="00FD485A">
        <w:rPr>
          <w:rFonts w:ascii="Bookman Old Style" w:hAnsi="Bookman Old Style" w:cs="Arial"/>
          <w:sz w:val="16"/>
          <w:szCs w:val="16"/>
        </w:rPr>
        <w:t xml:space="preserve"> Ver resoluciones CREG 079 de 2015 y 063 de 2016.</w:t>
      </w:r>
    </w:p>
  </w:footnote>
  <w:footnote w:id="11">
    <w:p w14:paraId="375B4706" w14:textId="77777777" w:rsidR="009E0449" w:rsidRPr="00307BF5" w:rsidRDefault="009E0449" w:rsidP="0062472D">
      <w:pPr>
        <w:pStyle w:val="Textonotapie"/>
        <w:ind w:left="0"/>
        <w:jc w:val="both"/>
        <w:rPr>
          <w:rFonts w:ascii="Bookman Old Style" w:hAnsi="Bookman Old Style" w:cs="Arial"/>
          <w:sz w:val="16"/>
          <w:szCs w:val="16"/>
        </w:rPr>
      </w:pPr>
      <w:r w:rsidRPr="00307BF5">
        <w:rPr>
          <w:rFonts w:ascii="Bookman Old Style" w:hAnsi="Bookman Old Style" w:cs="Arial"/>
          <w:sz w:val="16"/>
          <w:szCs w:val="16"/>
        </w:rPr>
        <w:footnoteRef/>
      </w:r>
      <w:r w:rsidRPr="00307BF5">
        <w:rPr>
          <w:rFonts w:ascii="Bookman Old Style" w:hAnsi="Bookman Old Style" w:cs="Arial"/>
          <w:sz w:val="16"/>
          <w:szCs w:val="16"/>
        </w:rPr>
        <w:t xml:space="preserve"> </w:t>
      </w:r>
      <w:r w:rsidRPr="00307BF5">
        <w:rPr>
          <w:rFonts w:ascii="Bookman Old Style" w:hAnsi="Bookman Old Style" w:cs="Arial"/>
          <w:b/>
          <w:bCs/>
          <w:sz w:val="16"/>
          <w:szCs w:val="16"/>
        </w:rPr>
        <w:t>Ley 142 de 1994.</w:t>
      </w:r>
      <w:r>
        <w:rPr>
          <w:rFonts w:ascii="Bookman Old Style" w:hAnsi="Bookman Old Style" w:cs="Arial"/>
          <w:sz w:val="16"/>
          <w:szCs w:val="16"/>
        </w:rPr>
        <w:t xml:space="preserve"> </w:t>
      </w:r>
      <w:r w:rsidRPr="00307BF5">
        <w:rPr>
          <w:rFonts w:ascii="Bookman Old Style" w:hAnsi="Bookman Old Style" w:cs="Arial"/>
          <w:b/>
          <w:bCs/>
          <w:sz w:val="16"/>
          <w:szCs w:val="16"/>
        </w:rPr>
        <w:t>ARTÍCULO 126. VIGENCIA DE LAS FÓRMULAS DE TARIFAS.</w:t>
      </w:r>
      <w:r w:rsidRPr="00307BF5">
        <w:rPr>
          <w:rFonts w:ascii="Bookman Old Style" w:hAnsi="Bookman Old Style" w:cs="Arial"/>
          <w:sz w:val="16"/>
          <w:szCs w:val="16"/>
        </w:rPr>
        <w:t xml:space="preserve">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Vencido el período de vigencia de las fórmulas tarifarias, continuarán rigiendo mientras la comisión no fije las nuevas.</w:t>
      </w:r>
    </w:p>
  </w:footnote>
  <w:footnote w:id="12">
    <w:p w14:paraId="43C07AFC" w14:textId="77777777" w:rsidR="009E0449" w:rsidRPr="005C4CD9" w:rsidRDefault="009E0449" w:rsidP="0062472D">
      <w:pPr>
        <w:pStyle w:val="Textonotapie"/>
        <w:ind w:left="0"/>
        <w:jc w:val="both"/>
        <w:rPr>
          <w:rFonts w:ascii="Bookman Old Style" w:hAnsi="Bookman Old Style" w:cs="Arial"/>
          <w:sz w:val="16"/>
          <w:szCs w:val="16"/>
        </w:rPr>
      </w:pPr>
      <w:r w:rsidRPr="005C4CD9">
        <w:rPr>
          <w:rFonts w:ascii="Bookman Old Style" w:hAnsi="Bookman Old Style" w:cs="Arial"/>
          <w:sz w:val="16"/>
          <w:szCs w:val="16"/>
        </w:rPr>
        <w:footnoteRef/>
      </w:r>
      <w:r w:rsidRPr="005C4CD9">
        <w:rPr>
          <w:rFonts w:ascii="Bookman Old Style" w:hAnsi="Bookman Old Style" w:cs="Arial"/>
          <w:sz w:val="16"/>
          <w:szCs w:val="16"/>
        </w:rPr>
        <w:t xml:space="preserve"> Potencial de Producción de GLP – PP: pronóstico de las cantidades de GLP, medidas en</w:t>
      </w:r>
      <w:r>
        <w:rPr>
          <w:rFonts w:ascii="Bookman Old Style" w:hAnsi="Bookman Old Style" w:cs="Arial"/>
          <w:sz w:val="16"/>
          <w:szCs w:val="16"/>
        </w:rPr>
        <w:t xml:space="preserve"> </w:t>
      </w:r>
      <w:r w:rsidRPr="005C4CD9">
        <w:rPr>
          <w:rFonts w:ascii="Bookman Old Style" w:hAnsi="Bookman Old Style" w:cs="Arial"/>
          <w:sz w:val="16"/>
          <w:szCs w:val="16"/>
        </w:rPr>
        <w:t>toneladas, que pueden ser producidas diariamente en promedio mes, en cada fuente de</w:t>
      </w:r>
      <w:r>
        <w:rPr>
          <w:rFonts w:ascii="Bookman Old Style" w:hAnsi="Bookman Old Style" w:cs="Arial"/>
          <w:sz w:val="16"/>
          <w:szCs w:val="16"/>
        </w:rPr>
        <w:t xml:space="preserve"> </w:t>
      </w:r>
      <w:r w:rsidRPr="005C4CD9">
        <w:rPr>
          <w:rFonts w:ascii="Bookman Old Style" w:hAnsi="Bookman Old Style" w:cs="Arial"/>
          <w:sz w:val="16"/>
          <w:szCs w:val="16"/>
        </w:rPr>
        <w:t>producción o puestas en el punto de recibo del sistema de poliductos y propanoductos</w:t>
      </w:r>
      <w:r>
        <w:rPr>
          <w:rFonts w:ascii="Bookman Old Style" w:hAnsi="Bookman Old Style" w:cs="Arial"/>
          <w:sz w:val="16"/>
          <w:szCs w:val="16"/>
        </w:rPr>
        <w:t>,</w:t>
      </w:r>
      <w:r w:rsidRPr="005C4CD9">
        <w:rPr>
          <w:rFonts w:ascii="Bookman Old Style" w:hAnsi="Bookman Old Style" w:cs="Arial"/>
          <w:sz w:val="16"/>
          <w:szCs w:val="16"/>
        </w:rPr>
        <w:t xml:space="preserve"> para</w:t>
      </w:r>
      <w:r>
        <w:rPr>
          <w:rFonts w:ascii="Bookman Old Style" w:hAnsi="Bookman Old Style" w:cs="Arial"/>
          <w:sz w:val="16"/>
          <w:szCs w:val="16"/>
        </w:rPr>
        <w:t xml:space="preserve"> </w:t>
      </w:r>
      <w:r w:rsidRPr="005C4CD9">
        <w:rPr>
          <w:rFonts w:ascii="Bookman Old Style" w:hAnsi="Bookman Old Style" w:cs="Arial"/>
          <w:sz w:val="16"/>
          <w:szCs w:val="16"/>
        </w:rPr>
        <w:t>atender los requerimientos de la demanda y que cumplen con las condiciones de calidad</w:t>
      </w:r>
      <w:r>
        <w:rPr>
          <w:rFonts w:ascii="Bookman Old Style" w:hAnsi="Bookman Old Style" w:cs="Arial"/>
          <w:sz w:val="16"/>
          <w:szCs w:val="16"/>
        </w:rPr>
        <w:t xml:space="preserve"> </w:t>
      </w:r>
      <w:r w:rsidRPr="005C4CD9">
        <w:rPr>
          <w:rFonts w:ascii="Bookman Old Style" w:hAnsi="Bookman Old Style" w:cs="Arial"/>
          <w:sz w:val="16"/>
          <w:szCs w:val="16"/>
        </w:rPr>
        <w:t>previstas en la regulación para su comercialización. Este pronóstico considera la información</w:t>
      </w:r>
      <w:r>
        <w:rPr>
          <w:rFonts w:ascii="Bookman Old Style" w:hAnsi="Bookman Old Style" w:cs="Arial"/>
          <w:sz w:val="16"/>
          <w:szCs w:val="16"/>
        </w:rPr>
        <w:t xml:space="preserve"> </w:t>
      </w:r>
      <w:r w:rsidRPr="005C4CD9">
        <w:rPr>
          <w:rFonts w:ascii="Bookman Old Style" w:hAnsi="Bookman Old Style" w:cs="Arial"/>
          <w:sz w:val="16"/>
          <w:szCs w:val="16"/>
        </w:rPr>
        <w:t>técnica y operativa de las refinerías</w:t>
      </w:r>
      <w:r>
        <w:rPr>
          <w:rFonts w:ascii="Bookman Old Style" w:hAnsi="Bookman Old Style" w:cs="Arial"/>
          <w:sz w:val="16"/>
          <w:szCs w:val="16"/>
        </w:rPr>
        <w:t>,</w:t>
      </w:r>
      <w:r w:rsidRPr="005C4CD9">
        <w:rPr>
          <w:rFonts w:ascii="Bookman Old Style" w:hAnsi="Bookman Old Style" w:cs="Arial"/>
          <w:sz w:val="16"/>
          <w:szCs w:val="16"/>
        </w:rPr>
        <w:t xml:space="preserve"> así como </w:t>
      </w:r>
      <w:r>
        <w:rPr>
          <w:rFonts w:ascii="Bookman Old Style" w:hAnsi="Bookman Old Style" w:cs="Arial"/>
          <w:sz w:val="16"/>
          <w:szCs w:val="16"/>
        </w:rPr>
        <w:t>la</w:t>
      </w:r>
      <w:r w:rsidRPr="005C4CD9">
        <w:rPr>
          <w:rFonts w:ascii="Bookman Old Style" w:hAnsi="Bookman Old Style" w:cs="Arial"/>
          <w:sz w:val="16"/>
          <w:szCs w:val="16"/>
        </w:rPr>
        <w:t xml:space="preserve"> de los campos productores de gas natural a</w:t>
      </w:r>
      <w:r>
        <w:rPr>
          <w:rFonts w:ascii="Bookman Old Style" w:hAnsi="Bookman Old Style" w:cs="Arial"/>
          <w:sz w:val="16"/>
          <w:szCs w:val="16"/>
        </w:rPr>
        <w:t xml:space="preserve"> </w:t>
      </w:r>
      <w:r w:rsidRPr="005C4CD9">
        <w:rPr>
          <w:rFonts w:ascii="Bookman Old Style" w:hAnsi="Bookman Old Style" w:cs="Arial"/>
          <w:sz w:val="16"/>
          <w:szCs w:val="16"/>
        </w:rPr>
        <w:t>partir de los cuales se obtiene GLP a la tasa máxima eficiente de recobro</w:t>
      </w:r>
      <w:r>
        <w:rPr>
          <w:rFonts w:ascii="Bookman Old Style" w:hAnsi="Bookman Old Style" w:cs="Arial"/>
          <w:sz w:val="16"/>
          <w:szCs w:val="16"/>
        </w:rPr>
        <w:t>;</w:t>
      </w:r>
      <w:r w:rsidRPr="005C4CD9">
        <w:rPr>
          <w:rFonts w:ascii="Bookman Old Style" w:hAnsi="Bookman Old Style" w:cs="Arial"/>
          <w:sz w:val="16"/>
          <w:szCs w:val="16"/>
        </w:rPr>
        <w:t xml:space="preserve"> y está basado en la</w:t>
      </w:r>
      <w:r>
        <w:rPr>
          <w:rFonts w:ascii="Bookman Old Style" w:hAnsi="Bookman Old Style" w:cs="Arial"/>
          <w:sz w:val="16"/>
          <w:szCs w:val="16"/>
        </w:rPr>
        <w:t xml:space="preserve"> </w:t>
      </w:r>
      <w:r w:rsidRPr="005C4CD9">
        <w:rPr>
          <w:rFonts w:ascii="Bookman Old Style" w:hAnsi="Bookman Old Style" w:cs="Arial"/>
          <w:sz w:val="16"/>
          <w:szCs w:val="16"/>
        </w:rPr>
        <w:t>capacidad nominal de las instalaciones de producción existentes y proyectadas. La suma de</w:t>
      </w:r>
      <w:r>
        <w:rPr>
          <w:rFonts w:ascii="Bookman Old Style" w:hAnsi="Bookman Old Style" w:cs="Arial"/>
          <w:sz w:val="16"/>
          <w:szCs w:val="16"/>
        </w:rPr>
        <w:t xml:space="preserve"> </w:t>
      </w:r>
      <w:r w:rsidRPr="005C4CD9">
        <w:rPr>
          <w:rFonts w:ascii="Bookman Old Style" w:hAnsi="Bookman Old Style" w:cs="Arial"/>
          <w:sz w:val="16"/>
          <w:szCs w:val="16"/>
        </w:rPr>
        <w:t>la PC y de la PTDV deberá ser igual al PP.</w:t>
      </w:r>
    </w:p>
  </w:footnote>
  <w:footnote w:id="13">
    <w:p w14:paraId="4A3AEC2A" w14:textId="77777777" w:rsidR="009E0449" w:rsidRPr="008B3BC1" w:rsidRDefault="009E0449" w:rsidP="0062472D">
      <w:pPr>
        <w:pStyle w:val="Textonotapie"/>
        <w:ind w:left="0"/>
        <w:jc w:val="both"/>
        <w:rPr>
          <w:rFonts w:ascii="Bookman Old Style" w:hAnsi="Bookman Old Style" w:cs="Arial"/>
          <w:sz w:val="16"/>
          <w:szCs w:val="16"/>
        </w:rPr>
      </w:pPr>
      <w:r w:rsidRPr="008B3BC1">
        <w:rPr>
          <w:rFonts w:ascii="Bookman Old Style" w:hAnsi="Bookman Old Style" w:cs="Arial"/>
          <w:sz w:val="16"/>
          <w:szCs w:val="16"/>
        </w:rPr>
        <w:footnoteRef/>
      </w:r>
      <w:r w:rsidRPr="008B3BC1">
        <w:rPr>
          <w:rFonts w:ascii="Bookman Old Style" w:hAnsi="Bookman Old Style" w:cs="Arial"/>
          <w:sz w:val="16"/>
          <w:szCs w:val="16"/>
        </w:rPr>
        <w:t xml:space="preserve"> Producción Total Disponible para la Venta</w:t>
      </w:r>
      <w:r>
        <w:rPr>
          <w:rFonts w:ascii="Bookman Old Style" w:hAnsi="Bookman Old Style" w:cs="Arial"/>
          <w:sz w:val="16"/>
          <w:szCs w:val="16"/>
        </w:rPr>
        <w:t xml:space="preserve"> - </w:t>
      </w:r>
      <w:r w:rsidRPr="008B3BC1">
        <w:rPr>
          <w:rFonts w:ascii="Bookman Old Style" w:hAnsi="Bookman Old Style" w:cs="Arial"/>
          <w:sz w:val="16"/>
          <w:szCs w:val="16"/>
        </w:rPr>
        <w:t>PTDV: totalidad de las cantidades diarias</w:t>
      </w:r>
      <w:r>
        <w:rPr>
          <w:rFonts w:ascii="Bookman Old Style" w:hAnsi="Bookman Old Style" w:cs="Arial"/>
          <w:sz w:val="16"/>
          <w:szCs w:val="16"/>
        </w:rPr>
        <w:t xml:space="preserve"> </w:t>
      </w:r>
      <w:r w:rsidRPr="008B3BC1">
        <w:rPr>
          <w:rFonts w:ascii="Bookman Old Style" w:hAnsi="Bookman Old Style" w:cs="Arial"/>
          <w:sz w:val="16"/>
          <w:szCs w:val="16"/>
        </w:rPr>
        <w:t>promedio mes de GLP, medidas en toneladas, que un productor o importador de GLP estima</w:t>
      </w:r>
      <w:r>
        <w:rPr>
          <w:rFonts w:ascii="Bookman Old Style" w:hAnsi="Bookman Old Style" w:cs="Arial"/>
          <w:sz w:val="16"/>
          <w:szCs w:val="16"/>
        </w:rPr>
        <w:t xml:space="preserve"> </w:t>
      </w:r>
      <w:r w:rsidRPr="008B3BC1">
        <w:rPr>
          <w:rFonts w:ascii="Bookman Old Style" w:hAnsi="Bookman Old Style" w:cs="Arial"/>
          <w:sz w:val="16"/>
          <w:szCs w:val="16"/>
        </w:rPr>
        <w:t>que tendrá disponibles para la venta, en un periodo determinado, a través de contratos de</w:t>
      </w:r>
      <w:r>
        <w:rPr>
          <w:rFonts w:ascii="Bookman Old Style" w:hAnsi="Bookman Old Style" w:cs="Arial"/>
          <w:sz w:val="16"/>
          <w:szCs w:val="16"/>
        </w:rPr>
        <w:t xml:space="preserve"> </w:t>
      </w:r>
      <w:r w:rsidRPr="008B3BC1">
        <w:rPr>
          <w:rFonts w:ascii="Bookman Old Style" w:hAnsi="Bookman Old Style" w:cs="Arial"/>
          <w:sz w:val="16"/>
          <w:szCs w:val="16"/>
        </w:rPr>
        <w:t>suministro en cada fuente de producción, en el punto de recibo del sistema de poliductos y</w:t>
      </w:r>
      <w:r>
        <w:rPr>
          <w:rFonts w:ascii="Bookman Old Style" w:hAnsi="Bookman Old Style" w:cs="Arial"/>
          <w:sz w:val="16"/>
          <w:szCs w:val="16"/>
        </w:rPr>
        <w:t xml:space="preserve"> </w:t>
      </w:r>
      <w:r w:rsidRPr="008B3BC1">
        <w:rPr>
          <w:rFonts w:ascii="Bookman Old Style" w:hAnsi="Bookman Old Style" w:cs="Arial"/>
          <w:sz w:val="16"/>
          <w:szCs w:val="16"/>
        </w:rPr>
        <w:t>propanoductos o punto de importación, según sea el caso. Este pronóstico considera la</w:t>
      </w:r>
      <w:r>
        <w:rPr>
          <w:rFonts w:ascii="Bookman Old Style" w:hAnsi="Bookman Old Style" w:cs="Arial"/>
          <w:sz w:val="16"/>
          <w:szCs w:val="16"/>
        </w:rPr>
        <w:t xml:space="preserve"> </w:t>
      </w:r>
      <w:r w:rsidRPr="008B3BC1">
        <w:rPr>
          <w:rFonts w:ascii="Bookman Old Style" w:hAnsi="Bookman Old Style" w:cs="Arial"/>
          <w:sz w:val="16"/>
          <w:szCs w:val="16"/>
        </w:rPr>
        <w:t>información técnica y operativa de las refinerías</w:t>
      </w:r>
      <w:r>
        <w:rPr>
          <w:rFonts w:ascii="Bookman Old Style" w:hAnsi="Bookman Old Style" w:cs="Arial"/>
          <w:sz w:val="16"/>
          <w:szCs w:val="16"/>
        </w:rPr>
        <w:t>,</w:t>
      </w:r>
      <w:r w:rsidRPr="008B3BC1">
        <w:rPr>
          <w:rFonts w:ascii="Bookman Old Style" w:hAnsi="Bookman Old Style" w:cs="Arial"/>
          <w:sz w:val="16"/>
          <w:szCs w:val="16"/>
        </w:rPr>
        <w:t xml:space="preserve"> así como </w:t>
      </w:r>
      <w:r>
        <w:rPr>
          <w:rFonts w:ascii="Bookman Old Style" w:hAnsi="Bookman Old Style" w:cs="Arial"/>
          <w:sz w:val="16"/>
          <w:szCs w:val="16"/>
        </w:rPr>
        <w:t>la</w:t>
      </w:r>
      <w:r w:rsidRPr="008B3BC1">
        <w:rPr>
          <w:rFonts w:ascii="Bookman Old Style" w:hAnsi="Bookman Old Style" w:cs="Arial"/>
          <w:sz w:val="16"/>
          <w:szCs w:val="16"/>
        </w:rPr>
        <w:t xml:space="preserve"> de los campos productores de gas</w:t>
      </w:r>
      <w:r>
        <w:rPr>
          <w:rFonts w:ascii="Bookman Old Style" w:hAnsi="Bookman Old Style" w:cs="Arial"/>
          <w:sz w:val="16"/>
          <w:szCs w:val="16"/>
        </w:rPr>
        <w:t xml:space="preserve"> </w:t>
      </w:r>
      <w:r w:rsidRPr="008B3BC1">
        <w:rPr>
          <w:rFonts w:ascii="Bookman Old Style" w:hAnsi="Bookman Old Style" w:cs="Arial"/>
          <w:sz w:val="16"/>
          <w:szCs w:val="16"/>
        </w:rPr>
        <w:t>natural a partir de los cuales se obtiene GLP a la tasa máxima eficiente de recobro y está</w:t>
      </w:r>
      <w:r>
        <w:rPr>
          <w:rFonts w:ascii="Bookman Old Style" w:hAnsi="Bookman Old Style" w:cs="Arial"/>
          <w:sz w:val="16"/>
          <w:szCs w:val="16"/>
        </w:rPr>
        <w:t xml:space="preserve"> </w:t>
      </w:r>
      <w:r w:rsidRPr="008B3BC1">
        <w:rPr>
          <w:rFonts w:ascii="Bookman Old Style" w:hAnsi="Bookman Old Style" w:cs="Arial"/>
          <w:sz w:val="16"/>
          <w:szCs w:val="16"/>
        </w:rPr>
        <w:t>basado en la capacidad nominal de las instalaciones de producción existentes y proyectadas.</w:t>
      </w:r>
    </w:p>
  </w:footnote>
  <w:footnote w:id="14">
    <w:p w14:paraId="60D2EC57" w14:textId="108ED20C" w:rsidR="009E0449" w:rsidRPr="00942EB8" w:rsidRDefault="009E0449" w:rsidP="00942EB8">
      <w:pPr>
        <w:pStyle w:val="Textonotapie"/>
        <w:ind w:left="0"/>
        <w:jc w:val="both"/>
        <w:rPr>
          <w:lang w:val="es-CO"/>
        </w:rPr>
      </w:pPr>
      <w:r w:rsidRPr="00942EB8">
        <w:rPr>
          <w:rFonts w:ascii="Bookman Old Style" w:hAnsi="Bookman Old Style" w:cs="Arial"/>
          <w:sz w:val="16"/>
          <w:szCs w:val="16"/>
        </w:rPr>
        <w:footnoteRef/>
      </w:r>
      <w:r w:rsidRPr="00942EB8">
        <w:rPr>
          <w:rFonts w:ascii="Bookman Old Style" w:hAnsi="Bookman Old Style" w:cs="Arial"/>
          <w:sz w:val="16"/>
          <w:szCs w:val="16"/>
        </w:rPr>
        <w:t xml:space="preserve"> </w:t>
      </w:r>
      <w:r>
        <w:rPr>
          <w:rFonts w:ascii="Bookman Old Style" w:hAnsi="Bookman Old Style" w:cs="Arial"/>
          <w:sz w:val="16"/>
          <w:szCs w:val="16"/>
        </w:rPr>
        <w:t>El esquema de compensaciones previsto</w:t>
      </w:r>
      <w:r w:rsidRPr="00942EB8">
        <w:rPr>
          <w:rFonts w:ascii="Bookman Old Style" w:hAnsi="Bookman Old Style" w:cs="Arial"/>
          <w:sz w:val="16"/>
          <w:szCs w:val="16"/>
        </w:rPr>
        <w:t xml:space="preserve"> en la Resolución CREG 053 de 2011, podrían no ser aplicables por la referencia igualmente al precio del producto. El esquema de compensaciones esta basado en que Ecopetrol en el evento de incumplir con la entrega de las cantidades previstas en los contratos de suministro de GLP </w:t>
      </w:r>
      <w:r>
        <w:rPr>
          <w:rFonts w:ascii="Bookman Old Style" w:hAnsi="Bookman Old Style" w:cs="Arial"/>
          <w:sz w:val="16"/>
          <w:szCs w:val="16"/>
        </w:rPr>
        <w:t>debe asumir el valor una compensación, la cual está asociada al</w:t>
      </w:r>
      <w:r w:rsidRPr="00942EB8">
        <w:rPr>
          <w:rFonts w:ascii="Bookman Old Style" w:hAnsi="Bookman Old Style" w:cs="Arial"/>
          <w:sz w:val="16"/>
          <w:szCs w:val="16"/>
        </w:rPr>
        <w:t xml:space="preserve"> valor del precio de GLP</w:t>
      </w:r>
      <w:r>
        <w:rPr>
          <w:rFonts w:ascii="Bookman Old Style" w:hAnsi="Bookman Old Style" w:cs="Arial"/>
          <w:sz w:val="16"/>
          <w:szCs w:val="16"/>
        </w:rPr>
        <w:t xml:space="preserve"> con</w:t>
      </w:r>
      <w:r w:rsidRPr="00942EB8">
        <w:rPr>
          <w:rFonts w:ascii="Bookman Old Style" w:hAnsi="Bookman Old Style" w:cs="Arial"/>
          <w:sz w:val="16"/>
          <w:szCs w:val="16"/>
        </w:rPr>
        <w:t xml:space="preserve"> la referencia internacional, </w:t>
      </w:r>
      <w:r>
        <w:rPr>
          <w:rFonts w:ascii="Bookman Old Style" w:hAnsi="Bookman Old Style" w:cs="Arial"/>
          <w:sz w:val="16"/>
          <w:szCs w:val="16"/>
        </w:rPr>
        <w:t>por lo que al aplicar dicha referencia esto</w:t>
      </w:r>
      <w:r w:rsidRPr="00942EB8">
        <w:rPr>
          <w:rFonts w:ascii="Bookman Old Style" w:hAnsi="Bookman Old Style" w:cs="Arial"/>
          <w:sz w:val="16"/>
          <w:szCs w:val="16"/>
        </w:rPr>
        <w:t xml:space="preserve"> conllevaría a que </w:t>
      </w:r>
      <w:r>
        <w:rPr>
          <w:rFonts w:ascii="Bookman Old Style" w:hAnsi="Bookman Old Style" w:cs="Arial"/>
          <w:sz w:val="16"/>
          <w:szCs w:val="16"/>
        </w:rPr>
        <w:t xml:space="preserve">el valor de </w:t>
      </w:r>
      <w:r w:rsidRPr="00942EB8">
        <w:rPr>
          <w:rFonts w:ascii="Bookman Old Style" w:hAnsi="Bookman Old Style" w:cs="Arial"/>
          <w:sz w:val="16"/>
          <w:szCs w:val="16"/>
        </w:rPr>
        <w:t xml:space="preserve">la compensación </w:t>
      </w:r>
      <w:r>
        <w:rPr>
          <w:rFonts w:ascii="Bookman Old Style" w:hAnsi="Bookman Old Style" w:cs="Arial"/>
          <w:sz w:val="16"/>
          <w:szCs w:val="16"/>
        </w:rPr>
        <w:t>fuese</w:t>
      </w:r>
      <w:r w:rsidRPr="00942EB8">
        <w:rPr>
          <w:rFonts w:ascii="Bookman Old Style" w:hAnsi="Bookman Old Style" w:cs="Arial"/>
          <w:sz w:val="16"/>
          <w:szCs w:val="16"/>
        </w:rPr>
        <w:t xml:space="preserve"> igual a 0 o </w:t>
      </w:r>
      <w:r>
        <w:rPr>
          <w:rFonts w:ascii="Bookman Old Style" w:hAnsi="Bookman Old Style" w:cs="Arial"/>
          <w:sz w:val="16"/>
          <w:szCs w:val="16"/>
        </w:rPr>
        <w:t>un valor negativo</w:t>
      </w:r>
      <w:r w:rsidRPr="00942EB8">
        <w:rPr>
          <w:rFonts w:ascii="Bookman Old Style" w:hAnsi="Bookman Old Style" w:cs="Arial"/>
          <w:sz w:val="16"/>
          <w:szCs w:val="16"/>
        </w:rPr>
        <w:t xml:space="preserve">, lo que equivale </w:t>
      </w:r>
      <w:r>
        <w:rPr>
          <w:rFonts w:ascii="Bookman Old Style" w:hAnsi="Bookman Old Style" w:cs="Arial"/>
          <w:sz w:val="16"/>
          <w:szCs w:val="16"/>
        </w:rPr>
        <w:t xml:space="preserve">en la práctica </w:t>
      </w:r>
      <w:r w:rsidRPr="00942EB8">
        <w:rPr>
          <w:rFonts w:ascii="Bookman Old Style" w:hAnsi="Bookman Old Style" w:cs="Arial"/>
          <w:sz w:val="16"/>
          <w:szCs w:val="16"/>
        </w:rPr>
        <w:t>a no compensar.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782" w14:textId="77777777" w:rsidR="009E0449" w:rsidRDefault="009E0449" w:rsidP="00951F79">
    <w:pPr>
      <w:pStyle w:val="Ttulo1"/>
      <w:ind w:right="6"/>
      <w:jc w:val="left"/>
      <w:rPr>
        <w:rFonts w:ascii="Bookman Old Style" w:hAnsi="Bookman Old Style" w:cs="Arial"/>
        <w:b w:val="0"/>
        <w:sz w:val="22"/>
        <w:szCs w:val="22"/>
      </w:rPr>
    </w:pPr>
  </w:p>
  <w:p w14:paraId="09291403" w14:textId="23EFE477" w:rsidR="009E0449" w:rsidRPr="00951F79" w:rsidRDefault="009E044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316623">
      <w:rPr>
        <w:rFonts w:ascii="Bookman Old Style" w:hAnsi="Bookman Old Style" w:cs="Arial"/>
        <w:b w:val="0"/>
        <w:sz w:val="22"/>
        <w:szCs w:val="22"/>
      </w:rPr>
      <w:t xml:space="preserve"> </w:t>
    </w:r>
    <w:r w:rsidRPr="00316623">
      <w:rPr>
        <w:rFonts w:ascii="Bookman Old Style" w:hAnsi="Bookman Old Style" w:cs="Arial"/>
        <w:bCs/>
        <w:szCs w:val="24"/>
        <w:u w:val="single"/>
      </w:rPr>
      <w:t xml:space="preserve"> </w:t>
    </w:r>
    <w:r w:rsidR="00316623" w:rsidRPr="00316623">
      <w:rPr>
        <w:rFonts w:ascii="Bookman Old Style" w:hAnsi="Bookman Old Style" w:cs="Arial"/>
        <w:bCs/>
        <w:szCs w:val="24"/>
        <w:u w:val="single"/>
      </w:rPr>
      <w:t>102</w:t>
    </w:r>
    <w:r w:rsidR="00316623">
      <w:rPr>
        <w:rFonts w:ascii="Bookman Old Style" w:hAnsi="Bookman Old Style" w:cs="Arial"/>
        <w:b w:val="0"/>
        <w:szCs w:val="24"/>
        <w:u w:val="single"/>
      </w:rPr>
      <w:t xml:space="preserve">    </w:t>
    </w:r>
    <w:r w:rsidR="00857C79">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857C79">
      <w:rPr>
        <w:rFonts w:ascii="Bookman Old Style" w:hAnsi="Bookman Old Style" w:cs="Arial"/>
        <w:b w:val="0"/>
        <w:sz w:val="22"/>
        <w:szCs w:val="22"/>
      </w:rPr>
      <w:t xml:space="preserve">   </w:t>
    </w:r>
    <w:r w:rsidR="00857C79" w:rsidRPr="00316623">
      <w:rPr>
        <w:rFonts w:ascii="Bookman Old Style" w:hAnsi="Bookman Old Style" w:cs="Arial"/>
        <w:bCs/>
        <w:szCs w:val="24"/>
        <w:u w:val="single"/>
      </w:rPr>
      <w:t>2</w:t>
    </w:r>
    <w:r w:rsidR="00316623">
      <w:rPr>
        <w:rFonts w:ascii="Bookman Old Style" w:hAnsi="Bookman Old Style" w:cs="Arial"/>
        <w:bCs/>
        <w:szCs w:val="24"/>
        <w:u w:val="single"/>
      </w:rPr>
      <w:t>9</w:t>
    </w:r>
    <w:r w:rsidR="00857C79" w:rsidRPr="00857C79">
      <w:rPr>
        <w:rFonts w:ascii="Bookman Old Style" w:hAnsi="Bookman Old Style" w:cs="Arial"/>
        <w:bCs/>
        <w:szCs w:val="24"/>
        <w:u w:val="single"/>
      </w:rPr>
      <w:t xml:space="preserve"> MAY. 2020</w:t>
    </w:r>
    <w:r w:rsidR="00316623">
      <w:rPr>
        <w:rFonts w:ascii="Bookman Old Style" w:hAnsi="Bookman Old Style" w:cs="Arial"/>
        <w:bCs/>
        <w:szCs w:val="24"/>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Pr="00904800">
        <w:rPr>
          <w:rFonts w:ascii="Bookman Old Style" w:hAnsi="Bookman Old Style" w:cs="Arial"/>
          <w:b w:val="0"/>
          <w:noProof/>
          <w:sz w:val="22"/>
          <w:szCs w:val="22"/>
        </w:rPr>
        <w:t>18</w:t>
      </w:r>
    </w:fldSimple>
  </w:p>
  <w:p w14:paraId="07F169E5" w14:textId="77777777" w:rsidR="009E0449" w:rsidRDefault="009E0449"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53D4BC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F8C13F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5A3DAB1" w14:textId="77777777" w:rsidR="009E0449" w:rsidRPr="002F5820" w:rsidRDefault="009E0449" w:rsidP="002F5820">
    <w:pPr>
      <w:pBdr>
        <w:bottom w:val="single" w:sz="12" w:space="1" w:color="auto"/>
      </w:pBdr>
      <w:ind w:left="0"/>
      <w:contextualSpacing/>
      <w:jc w:val="center"/>
      <w:rPr>
        <w:rFonts w:ascii="Bookman Old Style" w:hAnsi="Bookman Old Style"/>
        <w:sz w:val="16"/>
        <w:szCs w:val="16"/>
      </w:rPr>
    </w:pPr>
  </w:p>
  <w:p w14:paraId="44C38CB5" w14:textId="53967175" w:rsidR="009E0449" w:rsidRDefault="009E0449" w:rsidP="003E1031">
    <w:pPr>
      <w:pBdr>
        <w:bottom w:val="single" w:sz="12" w:space="1" w:color="auto"/>
      </w:pBdr>
      <w:ind w:left="0"/>
      <w:contextualSpacing/>
      <w:jc w:val="both"/>
      <w:rPr>
        <w:rFonts w:ascii="Bookman Old Style" w:hAnsi="Bookman Old Style"/>
        <w:sz w:val="22"/>
        <w:szCs w:val="22"/>
      </w:rPr>
    </w:pPr>
    <w:r w:rsidRPr="0062472D">
      <w:rPr>
        <w:rFonts w:ascii="Bookman Old Style" w:hAnsi="Bookman Old Style"/>
        <w:sz w:val="22"/>
        <w:szCs w:val="22"/>
      </w:rPr>
      <w:t>Por la cual se adoptan disposiciones tarifarias dentro del precio máximo regulado para la comercialización mayorista de GLP en el marco del artículo 3 del Decreto Legislativo 517 de 2020</w:t>
    </w:r>
  </w:p>
  <w:p w14:paraId="12DEAADB" w14:textId="77777777" w:rsidR="003E1031" w:rsidRDefault="003E1031" w:rsidP="003E1031">
    <w:pPr>
      <w:pBdr>
        <w:bottom w:val="single" w:sz="12" w:space="1" w:color="auto"/>
      </w:pBdr>
      <w:ind w:left="0"/>
      <w:contextualSpacing/>
      <w:jc w:val="both"/>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3C2" w14:textId="77777777" w:rsidR="009E0449" w:rsidRDefault="009E0449"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9E0449" w:rsidRDefault="009E0449">
    <w:pPr>
      <w:pStyle w:val="Encabezado"/>
      <w:jc w:val="center"/>
      <w:rPr>
        <w:rFonts w:ascii="Arial" w:hAnsi="Arial" w:cs="Arial"/>
        <w:spacing w:val="20"/>
        <w:sz w:val="20"/>
      </w:rPr>
    </w:pPr>
  </w:p>
  <w:p w14:paraId="2E967F04" w14:textId="77777777" w:rsidR="009E0449" w:rsidRDefault="009E044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122900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D42717"/>
    <w:multiLevelType w:val="hybridMultilevel"/>
    <w:tmpl w:val="AF1C49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023B5F"/>
    <w:multiLevelType w:val="hybridMultilevel"/>
    <w:tmpl w:val="F3E4F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0B699A"/>
    <w:multiLevelType w:val="hybridMultilevel"/>
    <w:tmpl w:val="28BC0BF0"/>
    <w:lvl w:ilvl="0" w:tplc="3A36BDD2">
      <w:start w:val="1"/>
      <w:numFmt w:val="bullet"/>
      <w:lvlText w:val="•"/>
      <w:lvlJc w:val="left"/>
      <w:pPr>
        <w:tabs>
          <w:tab w:val="num" w:pos="720"/>
        </w:tabs>
        <w:ind w:left="720" w:hanging="360"/>
      </w:pPr>
      <w:rPr>
        <w:rFonts w:ascii="Arial" w:hAnsi="Arial" w:hint="default"/>
      </w:rPr>
    </w:lvl>
    <w:lvl w:ilvl="1" w:tplc="CC2A2368" w:tentative="1">
      <w:start w:val="1"/>
      <w:numFmt w:val="bullet"/>
      <w:lvlText w:val="•"/>
      <w:lvlJc w:val="left"/>
      <w:pPr>
        <w:tabs>
          <w:tab w:val="num" w:pos="1440"/>
        </w:tabs>
        <w:ind w:left="1440" w:hanging="360"/>
      </w:pPr>
      <w:rPr>
        <w:rFonts w:ascii="Arial" w:hAnsi="Arial" w:hint="default"/>
      </w:rPr>
    </w:lvl>
    <w:lvl w:ilvl="2" w:tplc="B464E2DE" w:tentative="1">
      <w:start w:val="1"/>
      <w:numFmt w:val="bullet"/>
      <w:lvlText w:val="•"/>
      <w:lvlJc w:val="left"/>
      <w:pPr>
        <w:tabs>
          <w:tab w:val="num" w:pos="2160"/>
        </w:tabs>
        <w:ind w:left="2160" w:hanging="360"/>
      </w:pPr>
      <w:rPr>
        <w:rFonts w:ascii="Arial" w:hAnsi="Arial" w:hint="default"/>
      </w:rPr>
    </w:lvl>
    <w:lvl w:ilvl="3" w:tplc="08AAD0C8" w:tentative="1">
      <w:start w:val="1"/>
      <w:numFmt w:val="bullet"/>
      <w:lvlText w:val="•"/>
      <w:lvlJc w:val="left"/>
      <w:pPr>
        <w:tabs>
          <w:tab w:val="num" w:pos="2880"/>
        </w:tabs>
        <w:ind w:left="2880" w:hanging="360"/>
      </w:pPr>
      <w:rPr>
        <w:rFonts w:ascii="Arial" w:hAnsi="Arial" w:hint="default"/>
      </w:rPr>
    </w:lvl>
    <w:lvl w:ilvl="4" w:tplc="4440A852" w:tentative="1">
      <w:start w:val="1"/>
      <w:numFmt w:val="bullet"/>
      <w:lvlText w:val="•"/>
      <w:lvlJc w:val="left"/>
      <w:pPr>
        <w:tabs>
          <w:tab w:val="num" w:pos="3600"/>
        </w:tabs>
        <w:ind w:left="3600" w:hanging="360"/>
      </w:pPr>
      <w:rPr>
        <w:rFonts w:ascii="Arial" w:hAnsi="Arial" w:hint="default"/>
      </w:rPr>
    </w:lvl>
    <w:lvl w:ilvl="5" w:tplc="C3AAE704" w:tentative="1">
      <w:start w:val="1"/>
      <w:numFmt w:val="bullet"/>
      <w:lvlText w:val="•"/>
      <w:lvlJc w:val="left"/>
      <w:pPr>
        <w:tabs>
          <w:tab w:val="num" w:pos="4320"/>
        </w:tabs>
        <w:ind w:left="4320" w:hanging="360"/>
      </w:pPr>
      <w:rPr>
        <w:rFonts w:ascii="Arial" w:hAnsi="Arial" w:hint="default"/>
      </w:rPr>
    </w:lvl>
    <w:lvl w:ilvl="6" w:tplc="3F9E1886" w:tentative="1">
      <w:start w:val="1"/>
      <w:numFmt w:val="bullet"/>
      <w:lvlText w:val="•"/>
      <w:lvlJc w:val="left"/>
      <w:pPr>
        <w:tabs>
          <w:tab w:val="num" w:pos="5040"/>
        </w:tabs>
        <w:ind w:left="5040" w:hanging="360"/>
      </w:pPr>
      <w:rPr>
        <w:rFonts w:ascii="Arial" w:hAnsi="Arial" w:hint="default"/>
      </w:rPr>
    </w:lvl>
    <w:lvl w:ilvl="7" w:tplc="154678BE" w:tentative="1">
      <w:start w:val="1"/>
      <w:numFmt w:val="bullet"/>
      <w:lvlText w:val="•"/>
      <w:lvlJc w:val="left"/>
      <w:pPr>
        <w:tabs>
          <w:tab w:val="num" w:pos="5760"/>
        </w:tabs>
        <w:ind w:left="5760" w:hanging="360"/>
      </w:pPr>
      <w:rPr>
        <w:rFonts w:ascii="Arial" w:hAnsi="Arial" w:hint="default"/>
      </w:rPr>
    </w:lvl>
    <w:lvl w:ilvl="8" w:tplc="6CE4EB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FA37BB"/>
    <w:multiLevelType w:val="hybridMultilevel"/>
    <w:tmpl w:val="74AEA7EC"/>
    <w:lvl w:ilvl="0" w:tplc="AED01850">
      <w:start w:val="1"/>
      <w:numFmt w:val="bullet"/>
      <w:lvlText w:val="•"/>
      <w:lvlJc w:val="left"/>
      <w:pPr>
        <w:tabs>
          <w:tab w:val="num" w:pos="720"/>
        </w:tabs>
        <w:ind w:left="720" w:hanging="360"/>
      </w:pPr>
      <w:rPr>
        <w:rFonts w:ascii="Arial" w:hAnsi="Arial" w:hint="default"/>
      </w:rPr>
    </w:lvl>
    <w:lvl w:ilvl="1" w:tplc="1D42B7DE" w:tentative="1">
      <w:start w:val="1"/>
      <w:numFmt w:val="bullet"/>
      <w:lvlText w:val="•"/>
      <w:lvlJc w:val="left"/>
      <w:pPr>
        <w:tabs>
          <w:tab w:val="num" w:pos="1440"/>
        </w:tabs>
        <w:ind w:left="1440" w:hanging="360"/>
      </w:pPr>
      <w:rPr>
        <w:rFonts w:ascii="Arial" w:hAnsi="Arial" w:hint="default"/>
      </w:rPr>
    </w:lvl>
    <w:lvl w:ilvl="2" w:tplc="6414C378" w:tentative="1">
      <w:start w:val="1"/>
      <w:numFmt w:val="bullet"/>
      <w:lvlText w:val="•"/>
      <w:lvlJc w:val="left"/>
      <w:pPr>
        <w:tabs>
          <w:tab w:val="num" w:pos="2160"/>
        </w:tabs>
        <w:ind w:left="2160" w:hanging="360"/>
      </w:pPr>
      <w:rPr>
        <w:rFonts w:ascii="Arial" w:hAnsi="Arial" w:hint="default"/>
      </w:rPr>
    </w:lvl>
    <w:lvl w:ilvl="3" w:tplc="4FA61928" w:tentative="1">
      <w:start w:val="1"/>
      <w:numFmt w:val="bullet"/>
      <w:lvlText w:val="•"/>
      <w:lvlJc w:val="left"/>
      <w:pPr>
        <w:tabs>
          <w:tab w:val="num" w:pos="2880"/>
        </w:tabs>
        <w:ind w:left="2880" w:hanging="360"/>
      </w:pPr>
      <w:rPr>
        <w:rFonts w:ascii="Arial" w:hAnsi="Arial" w:hint="default"/>
      </w:rPr>
    </w:lvl>
    <w:lvl w:ilvl="4" w:tplc="594E9F2C" w:tentative="1">
      <w:start w:val="1"/>
      <w:numFmt w:val="bullet"/>
      <w:lvlText w:val="•"/>
      <w:lvlJc w:val="left"/>
      <w:pPr>
        <w:tabs>
          <w:tab w:val="num" w:pos="3600"/>
        </w:tabs>
        <w:ind w:left="3600" w:hanging="360"/>
      </w:pPr>
      <w:rPr>
        <w:rFonts w:ascii="Arial" w:hAnsi="Arial" w:hint="default"/>
      </w:rPr>
    </w:lvl>
    <w:lvl w:ilvl="5" w:tplc="C2C46A84" w:tentative="1">
      <w:start w:val="1"/>
      <w:numFmt w:val="bullet"/>
      <w:lvlText w:val="•"/>
      <w:lvlJc w:val="left"/>
      <w:pPr>
        <w:tabs>
          <w:tab w:val="num" w:pos="4320"/>
        </w:tabs>
        <w:ind w:left="4320" w:hanging="360"/>
      </w:pPr>
      <w:rPr>
        <w:rFonts w:ascii="Arial" w:hAnsi="Arial" w:hint="default"/>
      </w:rPr>
    </w:lvl>
    <w:lvl w:ilvl="6" w:tplc="E636674C" w:tentative="1">
      <w:start w:val="1"/>
      <w:numFmt w:val="bullet"/>
      <w:lvlText w:val="•"/>
      <w:lvlJc w:val="left"/>
      <w:pPr>
        <w:tabs>
          <w:tab w:val="num" w:pos="5040"/>
        </w:tabs>
        <w:ind w:left="5040" w:hanging="360"/>
      </w:pPr>
      <w:rPr>
        <w:rFonts w:ascii="Arial" w:hAnsi="Arial" w:hint="default"/>
      </w:rPr>
    </w:lvl>
    <w:lvl w:ilvl="7" w:tplc="29C83234" w:tentative="1">
      <w:start w:val="1"/>
      <w:numFmt w:val="bullet"/>
      <w:lvlText w:val="•"/>
      <w:lvlJc w:val="left"/>
      <w:pPr>
        <w:tabs>
          <w:tab w:val="num" w:pos="5760"/>
        </w:tabs>
        <w:ind w:left="5760" w:hanging="360"/>
      </w:pPr>
      <w:rPr>
        <w:rFonts w:ascii="Arial" w:hAnsi="Arial" w:hint="default"/>
      </w:rPr>
    </w:lvl>
    <w:lvl w:ilvl="8" w:tplc="6AACE6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6" w15:restartNumberingAfterBreak="0">
    <w:nsid w:val="48F947B2"/>
    <w:multiLevelType w:val="hybridMultilevel"/>
    <w:tmpl w:val="9188884A"/>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AA3B60"/>
    <w:multiLevelType w:val="hybridMultilevel"/>
    <w:tmpl w:val="24E6D0C0"/>
    <w:lvl w:ilvl="0" w:tplc="11205474">
      <w:start w:val="1"/>
      <w:numFmt w:val="bullet"/>
      <w:lvlText w:val="•"/>
      <w:lvlJc w:val="left"/>
      <w:pPr>
        <w:tabs>
          <w:tab w:val="num" w:pos="720"/>
        </w:tabs>
        <w:ind w:left="720" w:hanging="360"/>
      </w:pPr>
      <w:rPr>
        <w:rFonts w:ascii="Arial" w:hAnsi="Arial" w:hint="default"/>
      </w:rPr>
    </w:lvl>
    <w:lvl w:ilvl="1" w:tplc="73504C76" w:tentative="1">
      <w:start w:val="1"/>
      <w:numFmt w:val="bullet"/>
      <w:lvlText w:val="•"/>
      <w:lvlJc w:val="left"/>
      <w:pPr>
        <w:tabs>
          <w:tab w:val="num" w:pos="1440"/>
        </w:tabs>
        <w:ind w:left="1440" w:hanging="360"/>
      </w:pPr>
      <w:rPr>
        <w:rFonts w:ascii="Arial" w:hAnsi="Arial" w:hint="default"/>
      </w:rPr>
    </w:lvl>
    <w:lvl w:ilvl="2" w:tplc="A1165F6C" w:tentative="1">
      <w:start w:val="1"/>
      <w:numFmt w:val="bullet"/>
      <w:lvlText w:val="•"/>
      <w:lvlJc w:val="left"/>
      <w:pPr>
        <w:tabs>
          <w:tab w:val="num" w:pos="2160"/>
        </w:tabs>
        <w:ind w:left="2160" w:hanging="360"/>
      </w:pPr>
      <w:rPr>
        <w:rFonts w:ascii="Arial" w:hAnsi="Arial" w:hint="default"/>
      </w:rPr>
    </w:lvl>
    <w:lvl w:ilvl="3" w:tplc="0F02404A" w:tentative="1">
      <w:start w:val="1"/>
      <w:numFmt w:val="bullet"/>
      <w:lvlText w:val="•"/>
      <w:lvlJc w:val="left"/>
      <w:pPr>
        <w:tabs>
          <w:tab w:val="num" w:pos="2880"/>
        </w:tabs>
        <w:ind w:left="2880" w:hanging="360"/>
      </w:pPr>
      <w:rPr>
        <w:rFonts w:ascii="Arial" w:hAnsi="Arial" w:hint="default"/>
      </w:rPr>
    </w:lvl>
    <w:lvl w:ilvl="4" w:tplc="BDC4B586" w:tentative="1">
      <w:start w:val="1"/>
      <w:numFmt w:val="bullet"/>
      <w:lvlText w:val="•"/>
      <w:lvlJc w:val="left"/>
      <w:pPr>
        <w:tabs>
          <w:tab w:val="num" w:pos="3600"/>
        </w:tabs>
        <w:ind w:left="3600" w:hanging="360"/>
      </w:pPr>
      <w:rPr>
        <w:rFonts w:ascii="Arial" w:hAnsi="Arial" w:hint="default"/>
      </w:rPr>
    </w:lvl>
    <w:lvl w:ilvl="5" w:tplc="53FC4AD8" w:tentative="1">
      <w:start w:val="1"/>
      <w:numFmt w:val="bullet"/>
      <w:lvlText w:val="•"/>
      <w:lvlJc w:val="left"/>
      <w:pPr>
        <w:tabs>
          <w:tab w:val="num" w:pos="4320"/>
        </w:tabs>
        <w:ind w:left="4320" w:hanging="360"/>
      </w:pPr>
      <w:rPr>
        <w:rFonts w:ascii="Arial" w:hAnsi="Arial" w:hint="default"/>
      </w:rPr>
    </w:lvl>
    <w:lvl w:ilvl="6" w:tplc="BAD624C0" w:tentative="1">
      <w:start w:val="1"/>
      <w:numFmt w:val="bullet"/>
      <w:lvlText w:val="•"/>
      <w:lvlJc w:val="left"/>
      <w:pPr>
        <w:tabs>
          <w:tab w:val="num" w:pos="5040"/>
        </w:tabs>
        <w:ind w:left="5040" w:hanging="360"/>
      </w:pPr>
      <w:rPr>
        <w:rFonts w:ascii="Arial" w:hAnsi="Arial" w:hint="default"/>
      </w:rPr>
    </w:lvl>
    <w:lvl w:ilvl="7" w:tplc="4DA8B2C4" w:tentative="1">
      <w:start w:val="1"/>
      <w:numFmt w:val="bullet"/>
      <w:lvlText w:val="•"/>
      <w:lvlJc w:val="left"/>
      <w:pPr>
        <w:tabs>
          <w:tab w:val="num" w:pos="5760"/>
        </w:tabs>
        <w:ind w:left="5760" w:hanging="360"/>
      </w:pPr>
      <w:rPr>
        <w:rFonts w:ascii="Arial" w:hAnsi="Arial" w:hint="default"/>
      </w:rPr>
    </w:lvl>
    <w:lvl w:ilvl="8" w:tplc="C0F2B7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7D5F12"/>
    <w:multiLevelType w:val="hybridMultilevel"/>
    <w:tmpl w:val="EDEE6E34"/>
    <w:lvl w:ilvl="0" w:tplc="256AD328">
      <w:start w:val="1"/>
      <w:numFmt w:val="decimal"/>
      <w:lvlText w:val="Artículo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23"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 w15:restartNumberingAfterBreak="0">
    <w:nsid w:val="6C6065A2"/>
    <w:multiLevelType w:val="hybridMultilevel"/>
    <w:tmpl w:val="7AC2FD92"/>
    <w:lvl w:ilvl="0" w:tplc="595A260C">
      <w:start w:val="1"/>
      <w:numFmt w:val="bullet"/>
      <w:lvlText w:val="•"/>
      <w:lvlJc w:val="left"/>
      <w:pPr>
        <w:tabs>
          <w:tab w:val="num" w:pos="720"/>
        </w:tabs>
        <w:ind w:left="720" w:hanging="360"/>
      </w:pPr>
      <w:rPr>
        <w:rFonts w:ascii="Arial" w:hAnsi="Arial" w:hint="default"/>
      </w:rPr>
    </w:lvl>
    <w:lvl w:ilvl="1" w:tplc="0D3AD540" w:tentative="1">
      <w:start w:val="1"/>
      <w:numFmt w:val="bullet"/>
      <w:lvlText w:val="•"/>
      <w:lvlJc w:val="left"/>
      <w:pPr>
        <w:tabs>
          <w:tab w:val="num" w:pos="1440"/>
        </w:tabs>
        <w:ind w:left="1440" w:hanging="360"/>
      </w:pPr>
      <w:rPr>
        <w:rFonts w:ascii="Arial" w:hAnsi="Arial" w:hint="default"/>
      </w:rPr>
    </w:lvl>
    <w:lvl w:ilvl="2" w:tplc="B4C466C4" w:tentative="1">
      <w:start w:val="1"/>
      <w:numFmt w:val="bullet"/>
      <w:lvlText w:val="•"/>
      <w:lvlJc w:val="left"/>
      <w:pPr>
        <w:tabs>
          <w:tab w:val="num" w:pos="2160"/>
        </w:tabs>
        <w:ind w:left="2160" w:hanging="360"/>
      </w:pPr>
      <w:rPr>
        <w:rFonts w:ascii="Arial" w:hAnsi="Arial" w:hint="default"/>
      </w:rPr>
    </w:lvl>
    <w:lvl w:ilvl="3" w:tplc="0532AAE2" w:tentative="1">
      <w:start w:val="1"/>
      <w:numFmt w:val="bullet"/>
      <w:lvlText w:val="•"/>
      <w:lvlJc w:val="left"/>
      <w:pPr>
        <w:tabs>
          <w:tab w:val="num" w:pos="2880"/>
        </w:tabs>
        <w:ind w:left="2880" w:hanging="360"/>
      </w:pPr>
      <w:rPr>
        <w:rFonts w:ascii="Arial" w:hAnsi="Arial" w:hint="default"/>
      </w:rPr>
    </w:lvl>
    <w:lvl w:ilvl="4" w:tplc="09A09E8C" w:tentative="1">
      <w:start w:val="1"/>
      <w:numFmt w:val="bullet"/>
      <w:lvlText w:val="•"/>
      <w:lvlJc w:val="left"/>
      <w:pPr>
        <w:tabs>
          <w:tab w:val="num" w:pos="3600"/>
        </w:tabs>
        <w:ind w:left="3600" w:hanging="360"/>
      </w:pPr>
      <w:rPr>
        <w:rFonts w:ascii="Arial" w:hAnsi="Arial" w:hint="default"/>
      </w:rPr>
    </w:lvl>
    <w:lvl w:ilvl="5" w:tplc="C898E526" w:tentative="1">
      <w:start w:val="1"/>
      <w:numFmt w:val="bullet"/>
      <w:lvlText w:val="•"/>
      <w:lvlJc w:val="left"/>
      <w:pPr>
        <w:tabs>
          <w:tab w:val="num" w:pos="4320"/>
        </w:tabs>
        <w:ind w:left="4320" w:hanging="360"/>
      </w:pPr>
      <w:rPr>
        <w:rFonts w:ascii="Arial" w:hAnsi="Arial" w:hint="default"/>
      </w:rPr>
    </w:lvl>
    <w:lvl w:ilvl="6" w:tplc="7354E5DA" w:tentative="1">
      <w:start w:val="1"/>
      <w:numFmt w:val="bullet"/>
      <w:lvlText w:val="•"/>
      <w:lvlJc w:val="left"/>
      <w:pPr>
        <w:tabs>
          <w:tab w:val="num" w:pos="5040"/>
        </w:tabs>
        <w:ind w:left="5040" w:hanging="360"/>
      </w:pPr>
      <w:rPr>
        <w:rFonts w:ascii="Arial" w:hAnsi="Arial" w:hint="default"/>
      </w:rPr>
    </w:lvl>
    <w:lvl w:ilvl="7" w:tplc="662E476E" w:tentative="1">
      <w:start w:val="1"/>
      <w:numFmt w:val="bullet"/>
      <w:lvlText w:val="•"/>
      <w:lvlJc w:val="left"/>
      <w:pPr>
        <w:tabs>
          <w:tab w:val="num" w:pos="5760"/>
        </w:tabs>
        <w:ind w:left="5760" w:hanging="360"/>
      </w:pPr>
      <w:rPr>
        <w:rFonts w:ascii="Arial" w:hAnsi="Arial" w:hint="default"/>
      </w:rPr>
    </w:lvl>
    <w:lvl w:ilvl="8" w:tplc="CCAEE39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3A1DFB"/>
    <w:multiLevelType w:val="hybridMultilevel"/>
    <w:tmpl w:val="B672DB26"/>
    <w:lvl w:ilvl="0" w:tplc="EAB8405E">
      <w:start w:val="1"/>
      <w:numFmt w:val="bullet"/>
      <w:lvlText w:val="•"/>
      <w:lvlJc w:val="left"/>
      <w:pPr>
        <w:tabs>
          <w:tab w:val="num" w:pos="720"/>
        </w:tabs>
        <w:ind w:left="720" w:hanging="360"/>
      </w:pPr>
      <w:rPr>
        <w:rFonts w:ascii="Arial" w:hAnsi="Arial" w:hint="default"/>
      </w:rPr>
    </w:lvl>
    <w:lvl w:ilvl="1" w:tplc="DE1A4C92" w:tentative="1">
      <w:start w:val="1"/>
      <w:numFmt w:val="bullet"/>
      <w:lvlText w:val="•"/>
      <w:lvlJc w:val="left"/>
      <w:pPr>
        <w:tabs>
          <w:tab w:val="num" w:pos="1440"/>
        </w:tabs>
        <w:ind w:left="1440" w:hanging="360"/>
      </w:pPr>
      <w:rPr>
        <w:rFonts w:ascii="Arial" w:hAnsi="Arial" w:hint="default"/>
      </w:rPr>
    </w:lvl>
    <w:lvl w:ilvl="2" w:tplc="D826D83E" w:tentative="1">
      <w:start w:val="1"/>
      <w:numFmt w:val="bullet"/>
      <w:lvlText w:val="•"/>
      <w:lvlJc w:val="left"/>
      <w:pPr>
        <w:tabs>
          <w:tab w:val="num" w:pos="2160"/>
        </w:tabs>
        <w:ind w:left="2160" w:hanging="360"/>
      </w:pPr>
      <w:rPr>
        <w:rFonts w:ascii="Arial" w:hAnsi="Arial" w:hint="default"/>
      </w:rPr>
    </w:lvl>
    <w:lvl w:ilvl="3" w:tplc="3B101D2C" w:tentative="1">
      <w:start w:val="1"/>
      <w:numFmt w:val="bullet"/>
      <w:lvlText w:val="•"/>
      <w:lvlJc w:val="left"/>
      <w:pPr>
        <w:tabs>
          <w:tab w:val="num" w:pos="2880"/>
        </w:tabs>
        <w:ind w:left="2880" w:hanging="360"/>
      </w:pPr>
      <w:rPr>
        <w:rFonts w:ascii="Arial" w:hAnsi="Arial" w:hint="default"/>
      </w:rPr>
    </w:lvl>
    <w:lvl w:ilvl="4" w:tplc="976234F4" w:tentative="1">
      <w:start w:val="1"/>
      <w:numFmt w:val="bullet"/>
      <w:lvlText w:val="•"/>
      <w:lvlJc w:val="left"/>
      <w:pPr>
        <w:tabs>
          <w:tab w:val="num" w:pos="3600"/>
        </w:tabs>
        <w:ind w:left="3600" w:hanging="360"/>
      </w:pPr>
      <w:rPr>
        <w:rFonts w:ascii="Arial" w:hAnsi="Arial" w:hint="default"/>
      </w:rPr>
    </w:lvl>
    <w:lvl w:ilvl="5" w:tplc="DF00A2BA" w:tentative="1">
      <w:start w:val="1"/>
      <w:numFmt w:val="bullet"/>
      <w:lvlText w:val="•"/>
      <w:lvlJc w:val="left"/>
      <w:pPr>
        <w:tabs>
          <w:tab w:val="num" w:pos="4320"/>
        </w:tabs>
        <w:ind w:left="4320" w:hanging="360"/>
      </w:pPr>
      <w:rPr>
        <w:rFonts w:ascii="Arial" w:hAnsi="Arial" w:hint="default"/>
      </w:rPr>
    </w:lvl>
    <w:lvl w:ilvl="6" w:tplc="5D4CBE06" w:tentative="1">
      <w:start w:val="1"/>
      <w:numFmt w:val="bullet"/>
      <w:lvlText w:val="•"/>
      <w:lvlJc w:val="left"/>
      <w:pPr>
        <w:tabs>
          <w:tab w:val="num" w:pos="5040"/>
        </w:tabs>
        <w:ind w:left="5040" w:hanging="360"/>
      </w:pPr>
      <w:rPr>
        <w:rFonts w:ascii="Arial" w:hAnsi="Arial" w:hint="default"/>
      </w:rPr>
    </w:lvl>
    <w:lvl w:ilvl="7" w:tplc="8D18735A" w:tentative="1">
      <w:start w:val="1"/>
      <w:numFmt w:val="bullet"/>
      <w:lvlText w:val="•"/>
      <w:lvlJc w:val="left"/>
      <w:pPr>
        <w:tabs>
          <w:tab w:val="num" w:pos="5760"/>
        </w:tabs>
        <w:ind w:left="5760" w:hanging="360"/>
      </w:pPr>
      <w:rPr>
        <w:rFonts w:ascii="Arial" w:hAnsi="Arial" w:hint="default"/>
      </w:rPr>
    </w:lvl>
    <w:lvl w:ilvl="8" w:tplc="D0EEDE1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22568F"/>
    <w:multiLevelType w:val="hybridMultilevel"/>
    <w:tmpl w:val="DC229860"/>
    <w:lvl w:ilvl="0" w:tplc="240A000F">
      <w:start w:val="1"/>
      <w:numFmt w:val="decimal"/>
      <w:lvlText w:val="%1."/>
      <w:lvlJc w:val="left"/>
      <w:pPr>
        <w:ind w:left="2520" w:hanging="360"/>
      </w:p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5"/>
  </w:num>
  <w:num w:numId="4">
    <w:abstractNumId w:val="7"/>
  </w:num>
  <w:num w:numId="5">
    <w:abstractNumId w:val="24"/>
  </w:num>
  <w:num w:numId="6">
    <w:abstractNumId w:val="4"/>
  </w:num>
  <w:num w:numId="7">
    <w:abstractNumId w:val="3"/>
  </w:num>
  <w:num w:numId="8">
    <w:abstractNumId w:val="27"/>
  </w:num>
  <w:num w:numId="9">
    <w:abstractNumId w:val="26"/>
  </w:num>
  <w:num w:numId="10">
    <w:abstractNumId w:val="18"/>
  </w:num>
  <w:num w:numId="11">
    <w:abstractNumId w:val="36"/>
  </w:num>
  <w:num w:numId="12">
    <w:abstractNumId w:val="33"/>
  </w:num>
  <w:num w:numId="13">
    <w:abstractNumId w:val="11"/>
  </w:num>
  <w:num w:numId="14">
    <w:abstractNumId w:val="2"/>
  </w:num>
  <w:num w:numId="15">
    <w:abstractNumId w:val="19"/>
  </w:num>
  <w:num w:numId="16">
    <w:abstractNumId w:val="1"/>
  </w:num>
  <w:num w:numId="17">
    <w:abstractNumId w:val="10"/>
  </w:num>
  <w:num w:numId="18">
    <w:abstractNumId w:val="0"/>
  </w:num>
  <w:num w:numId="19">
    <w:abstractNumId w:val="29"/>
  </w:num>
  <w:num w:numId="20">
    <w:abstractNumId w:val="23"/>
  </w:num>
  <w:num w:numId="21">
    <w:abstractNumId w:val="8"/>
  </w:num>
  <w:num w:numId="22">
    <w:abstractNumId w:val="9"/>
  </w:num>
  <w:num w:numId="23">
    <w:abstractNumId w:val="34"/>
  </w:num>
  <w:num w:numId="24">
    <w:abstractNumId w:val="22"/>
  </w:num>
  <w:num w:numId="25">
    <w:abstractNumId w:val="28"/>
  </w:num>
  <w:num w:numId="26">
    <w:abstractNumId w:val="21"/>
  </w:num>
  <w:num w:numId="27">
    <w:abstractNumId w:val="25"/>
  </w:num>
  <w:num w:numId="28">
    <w:abstractNumId w:val="31"/>
  </w:num>
  <w:num w:numId="29">
    <w:abstractNumId w:val="13"/>
  </w:num>
  <w:num w:numId="30">
    <w:abstractNumId w:val="5"/>
  </w:num>
  <w:num w:numId="31">
    <w:abstractNumId w:val="16"/>
  </w:num>
  <w:num w:numId="32">
    <w:abstractNumId w:val="32"/>
  </w:num>
  <w:num w:numId="33">
    <w:abstractNumId w:val="12"/>
  </w:num>
  <w:num w:numId="34">
    <w:abstractNumId w:val="30"/>
  </w:num>
  <w:num w:numId="35">
    <w:abstractNumId w:val="17"/>
  </w:num>
  <w:num w:numId="36">
    <w:abstractNumId w:val="2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EFA"/>
    <w:rsid w:val="00002C71"/>
    <w:rsid w:val="000031AD"/>
    <w:rsid w:val="00004117"/>
    <w:rsid w:val="0000503E"/>
    <w:rsid w:val="00006AE2"/>
    <w:rsid w:val="00006EF0"/>
    <w:rsid w:val="000076A1"/>
    <w:rsid w:val="00011232"/>
    <w:rsid w:val="00012259"/>
    <w:rsid w:val="00013272"/>
    <w:rsid w:val="00015D18"/>
    <w:rsid w:val="000160AD"/>
    <w:rsid w:val="0001610F"/>
    <w:rsid w:val="00016213"/>
    <w:rsid w:val="00016AA7"/>
    <w:rsid w:val="00016CA5"/>
    <w:rsid w:val="00017199"/>
    <w:rsid w:val="00017415"/>
    <w:rsid w:val="000178E9"/>
    <w:rsid w:val="000179DE"/>
    <w:rsid w:val="00021007"/>
    <w:rsid w:val="000212FD"/>
    <w:rsid w:val="00021C2E"/>
    <w:rsid w:val="00021E49"/>
    <w:rsid w:val="000231D5"/>
    <w:rsid w:val="00023704"/>
    <w:rsid w:val="00023AEB"/>
    <w:rsid w:val="00023EE7"/>
    <w:rsid w:val="00024E29"/>
    <w:rsid w:val="00025383"/>
    <w:rsid w:val="00025AE8"/>
    <w:rsid w:val="00025F75"/>
    <w:rsid w:val="00027741"/>
    <w:rsid w:val="00030479"/>
    <w:rsid w:val="00030717"/>
    <w:rsid w:val="000309F3"/>
    <w:rsid w:val="00031913"/>
    <w:rsid w:val="00033671"/>
    <w:rsid w:val="00033745"/>
    <w:rsid w:val="0003377E"/>
    <w:rsid w:val="00035A39"/>
    <w:rsid w:val="00037E01"/>
    <w:rsid w:val="0004012A"/>
    <w:rsid w:val="00040760"/>
    <w:rsid w:val="000408DF"/>
    <w:rsid w:val="00042947"/>
    <w:rsid w:val="00045D3D"/>
    <w:rsid w:val="000464EB"/>
    <w:rsid w:val="00050087"/>
    <w:rsid w:val="000514A4"/>
    <w:rsid w:val="000531A3"/>
    <w:rsid w:val="000536CF"/>
    <w:rsid w:val="00054155"/>
    <w:rsid w:val="00054E28"/>
    <w:rsid w:val="00055CCD"/>
    <w:rsid w:val="00060C2E"/>
    <w:rsid w:val="000611DC"/>
    <w:rsid w:val="00061366"/>
    <w:rsid w:val="00061AE8"/>
    <w:rsid w:val="00062A73"/>
    <w:rsid w:val="00062C6F"/>
    <w:rsid w:val="00063657"/>
    <w:rsid w:val="00063D93"/>
    <w:rsid w:val="000643E9"/>
    <w:rsid w:val="000647D2"/>
    <w:rsid w:val="000666F2"/>
    <w:rsid w:val="00066E2E"/>
    <w:rsid w:val="00066F24"/>
    <w:rsid w:val="0006781C"/>
    <w:rsid w:val="00070155"/>
    <w:rsid w:val="00070799"/>
    <w:rsid w:val="00071088"/>
    <w:rsid w:val="000711E4"/>
    <w:rsid w:val="000716FC"/>
    <w:rsid w:val="000718DB"/>
    <w:rsid w:val="000719D4"/>
    <w:rsid w:val="00073862"/>
    <w:rsid w:val="00075871"/>
    <w:rsid w:val="00076680"/>
    <w:rsid w:val="00076A1D"/>
    <w:rsid w:val="00077C5E"/>
    <w:rsid w:val="00080617"/>
    <w:rsid w:val="0008073E"/>
    <w:rsid w:val="00081739"/>
    <w:rsid w:val="00081C0C"/>
    <w:rsid w:val="000831E9"/>
    <w:rsid w:val="00083BD1"/>
    <w:rsid w:val="00084B6E"/>
    <w:rsid w:val="00085166"/>
    <w:rsid w:val="00085FF3"/>
    <w:rsid w:val="00086C97"/>
    <w:rsid w:val="00087259"/>
    <w:rsid w:val="00087C15"/>
    <w:rsid w:val="00087D46"/>
    <w:rsid w:val="00091C72"/>
    <w:rsid w:val="00091CDB"/>
    <w:rsid w:val="00091FAE"/>
    <w:rsid w:val="0009442D"/>
    <w:rsid w:val="00094AC4"/>
    <w:rsid w:val="00094FF0"/>
    <w:rsid w:val="000956B8"/>
    <w:rsid w:val="00097CB0"/>
    <w:rsid w:val="00097E7F"/>
    <w:rsid w:val="000A0328"/>
    <w:rsid w:val="000A08C0"/>
    <w:rsid w:val="000A14CB"/>
    <w:rsid w:val="000A19AC"/>
    <w:rsid w:val="000A20EE"/>
    <w:rsid w:val="000A309E"/>
    <w:rsid w:val="000A54E7"/>
    <w:rsid w:val="000A5655"/>
    <w:rsid w:val="000A6191"/>
    <w:rsid w:val="000A648B"/>
    <w:rsid w:val="000A70C3"/>
    <w:rsid w:val="000A75DE"/>
    <w:rsid w:val="000B1F9B"/>
    <w:rsid w:val="000B2958"/>
    <w:rsid w:val="000B2A46"/>
    <w:rsid w:val="000B2D10"/>
    <w:rsid w:val="000B2DE1"/>
    <w:rsid w:val="000B2E5D"/>
    <w:rsid w:val="000B2EC9"/>
    <w:rsid w:val="000B332A"/>
    <w:rsid w:val="000B346C"/>
    <w:rsid w:val="000B3F5D"/>
    <w:rsid w:val="000B4B0A"/>
    <w:rsid w:val="000B4CA7"/>
    <w:rsid w:val="000B549F"/>
    <w:rsid w:val="000B5BB2"/>
    <w:rsid w:val="000B6B9E"/>
    <w:rsid w:val="000B6D4E"/>
    <w:rsid w:val="000B7F64"/>
    <w:rsid w:val="000C12DE"/>
    <w:rsid w:val="000C137E"/>
    <w:rsid w:val="000C2468"/>
    <w:rsid w:val="000C2DC7"/>
    <w:rsid w:val="000C2FD6"/>
    <w:rsid w:val="000C330B"/>
    <w:rsid w:val="000C4D3C"/>
    <w:rsid w:val="000C5161"/>
    <w:rsid w:val="000C5449"/>
    <w:rsid w:val="000C554A"/>
    <w:rsid w:val="000C562B"/>
    <w:rsid w:val="000C5738"/>
    <w:rsid w:val="000C58C9"/>
    <w:rsid w:val="000C6352"/>
    <w:rsid w:val="000C65A9"/>
    <w:rsid w:val="000C6C9F"/>
    <w:rsid w:val="000C6CAA"/>
    <w:rsid w:val="000C7728"/>
    <w:rsid w:val="000C7A97"/>
    <w:rsid w:val="000D002D"/>
    <w:rsid w:val="000D237C"/>
    <w:rsid w:val="000D26F8"/>
    <w:rsid w:val="000D29BE"/>
    <w:rsid w:val="000D2A54"/>
    <w:rsid w:val="000D2D27"/>
    <w:rsid w:val="000D2E40"/>
    <w:rsid w:val="000D397B"/>
    <w:rsid w:val="000D5D06"/>
    <w:rsid w:val="000D6777"/>
    <w:rsid w:val="000D695E"/>
    <w:rsid w:val="000E0E85"/>
    <w:rsid w:val="000E1F18"/>
    <w:rsid w:val="000E262C"/>
    <w:rsid w:val="000E3F18"/>
    <w:rsid w:val="000E43F2"/>
    <w:rsid w:val="000E5E4A"/>
    <w:rsid w:val="000E67FA"/>
    <w:rsid w:val="000E6DD3"/>
    <w:rsid w:val="000E7ED7"/>
    <w:rsid w:val="000F0863"/>
    <w:rsid w:val="000F165C"/>
    <w:rsid w:val="000F1FB2"/>
    <w:rsid w:val="000F3990"/>
    <w:rsid w:val="000F5513"/>
    <w:rsid w:val="000F7EB4"/>
    <w:rsid w:val="0010010D"/>
    <w:rsid w:val="001003F2"/>
    <w:rsid w:val="00100C51"/>
    <w:rsid w:val="0010122B"/>
    <w:rsid w:val="00103BDB"/>
    <w:rsid w:val="00105EED"/>
    <w:rsid w:val="00106654"/>
    <w:rsid w:val="00107E69"/>
    <w:rsid w:val="0011110F"/>
    <w:rsid w:val="00113698"/>
    <w:rsid w:val="00115313"/>
    <w:rsid w:val="00115DC9"/>
    <w:rsid w:val="00115F61"/>
    <w:rsid w:val="00116387"/>
    <w:rsid w:val="0011681E"/>
    <w:rsid w:val="00116CB1"/>
    <w:rsid w:val="00116DE7"/>
    <w:rsid w:val="00117256"/>
    <w:rsid w:val="00117EC3"/>
    <w:rsid w:val="001207C6"/>
    <w:rsid w:val="00121E22"/>
    <w:rsid w:val="00122A8E"/>
    <w:rsid w:val="0012327A"/>
    <w:rsid w:val="00123764"/>
    <w:rsid w:val="00123B8A"/>
    <w:rsid w:val="00124E3F"/>
    <w:rsid w:val="00127E69"/>
    <w:rsid w:val="001321C4"/>
    <w:rsid w:val="0013392D"/>
    <w:rsid w:val="001351BF"/>
    <w:rsid w:val="0013521E"/>
    <w:rsid w:val="0013526C"/>
    <w:rsid w:val="0013563D"/>
    <w:rsid w:val="00136E6F"/>
    <w:rsid w:val="00136E84"/>
    <w:rsid w:val="00137163"/>
    <w:rsid w:val="00137C7E"/>
    <w:rsid w:val="001405C6"/>
    <w:rsid w:val="00140C24"/>
    <w:rsid w:val="00141013"/>
    <w:rsid w:val="0014109B"/>
    <w:rsid w:val="00141EA9"/>
    <w:rsid w:val="001439B7"/>
    <w:rsid w:val="00143C8C"/>
    <w:rsid w:val="001444A8"/>
    <w:rsid w:val="001450D2"/>
    <w:rsid w:val="00145676"/>
    <w:rsid w:val="001459F4"/>
    <w:rsid w:val="00146344"/>
    <w:rsid w:val="001505A1"/>
    <w:rsid w:val="00150A49"/>
    <w:rsid w:val="00150C6A"/>
    <w:rsid w:val="001530DC"/>
    <w:rsid w:val="00153F3A"/>
    <w:rsid w:val="001547AE"/>
    <w:rsid w:val="00156BAE"/>
    <w:rsid w:val="00156BAF"/>
    <w:rsid w:val="0015708B"/>
    <w:rsid w:val="001570F2"/>
    <w:rsid w:val="001578AD"/>
    <w:rsid w:val="00160217"/>
    <w:rsid w:val="001603A8"/>
    <w:rsid w:val="00160CFE"/>
    <w:rsid w:val="00161163"/>
    <w:rsid w:val="00162338"/>
    <w:rsid w:val="00163185"/>
    <w:rsid w:val="001651AE"/>
    <w:rsid w:val="001657B3"/>
    <w:rsid w:val="00167982"/>
    <w:rsid w:val="00167F25"/>
    <w:rsid w:val="00170282"/>
    <w:rsid w:val="00170799"/>
    <w:rsid w:val="001707F3"/>
    <w:rsid w:val="0017084E"/>
    <w:rsid w:val="00170CDD"/>
    <w:rsid w:val="00173A77"/>
    <w:rsid w:val="00174C23"/>
    <w:rsid w:val="001758A9"/>
    <w:rsid w:val="00175C5B"/>
    <w:rsid w:val="00180562"/>
    <w:rsid w:val="00180C0B"/>
    <w:rsid w:val="001817F2"/>
    <w:rsid w:val="00181A77"/>
    <w:rsid w:val="0018283C"/>
    <w:rsid w:val="001828E3"/>
    <w:rsid w:val="00182FC7"/>
    <w:rsid w:val="0018442D"/>
    <w:rsid w:val="00184D7A"/>
    <w:rsid w:val="00185D3E"/>
    <w:rsid w:val="00186D07"/>
    <w:rsid w:val="001876A5"/>
    <w:rsid w:val="001905B1"/>
    <w:rsid w:val="00190ECF"/>
    <w:rsid w:val="00190FE2"/>
    <w:rsid w:val="0019161B"/>
    <w:rsid w:val="00191B4C"/>
    <w:rsid w:val="00191B65"/>
    <w:rsid w:val="00192CBF"/>
    <w:rsid w:val="00192FF1"/>
    <w:rsid w:val="001931B3"/>
    <w:rsid w:val="0019374F"/>
    <w:rsid w:val="00194CB2"/>
    <w:rsid w:val="00194F23"/>
    <w:rsid w:val="00195641"/>
    <w:rsid w:val="00195862"/>
    <w:rsid w:val="00196B14"/>
    <w:rsid w:val="00196F51"/>
    <w:rsid w:val="001A0CCB"/>
    <w:rsid w:val="001A0F4E"/>
    <w:rsid w:val="001A16B4"/>
    <w:rsid w:val="001A3011"/>
    <w:rsid w:val="001A48B2"/>
    <w:rsid w:val="001A5F1B"/>
    <w:rsid w:val="001A7507"/>
    <w:rsid w:val="001A7CBB"/>
    <w:rsid w:val="001B034F"/>
    <w:rsid w:val="001B1687"/>
    <w:rsid w:val="001B1C22"/>
    <w:rsid w:val="001B1CCD"/>
    <w:rsid w:val="001B316E"/>
    <w:rsid w:val="001B31D5"/>
    <w:rsid w:val="001B34C6"/>
    <w:rsid w:val="001B6907"/>
    <w:rsid w:val="001B787A"/>
    <w:rsid w:val="001C134D"/>
    <w:rsid w:val="001C2130"/>
    <w:rsid w:val="001C2452"/>
    <w:rsid w:val="001C2787"/>
    <w:rsid w:val="001C2DD4"/>
    <w:rsid w:val="001C344B"/>
    <w:rsid w:val="001C4A10"/>
    <w:rsid w:val="001C6108"/>
    <w:rsid w:val="001D2048"/>
    <w:rsid w:val="001D22A9"/>
    <w:rsid w:val="001D2604"/>
    <w:rsid w:val="001D320C"/>
    <w:rsid w:val="001D7832"/>
    <w:rsid w:val="001D7BDE"/>
    <w:rsid w:val="001E00A9"/>
    <w:rsid w:val="001E0A71"/>
    <w:rsid w:val="001E0ADC"/>
    <w:rsid w:val="001E0D2F"/>
    <w:rsid w:val="001E0D95"/>
    <w:rsid w:val="001E12A7"/>
    <w:rsid w:val="001E1F78"/>
    <w:rsid w:val="001E25FF"/>
    <w:rsid w:val="001E2B7B"/>
    <w:rsid w:val="001E4776"/>
    <w:rsid w:val="001E5DD7"/>
    <w:rsid w:val="001F01DF"/>
    <w:rsid w:val="001F1B2C"/>
    <w:rsid w:val="001F231C"/>
    <w:rsid w:val="001F336C"/>
    <w:rsid w:val="001F3F66"/>
    <w:rsid w:val="001F4752"/>
    <w:rsid w:val="001F4B05"/>
    <w:rsid w:val="001F54DF"/>
    <w:rsid w:val="001F5F5D"/>
    <w:rsid w:val="001F6046"/>
    <w:rsid w:val="001F662F"/>
    <w:rsid w:val="001F7DA3"/>
    <w:rsid w:val="00201A02"/>
    <w:rsid w:val="00201B19"/>
    <w:rsid w:val="00202193"/>
    <w:rsid w:val="002027FB"/>
    <w:rsid w:val="002031E2"/>
    <w:rsid w:val="00203510"/>
    <w:rsid w:val="0020354E"/>
    <w:rsid w:val="002044B5"/>
    <w:rsid w:val="00206858"/>
    <w:rsid w:val="00206939"/>
    <w:rsid w:val="002071B8"/>
    <w:rsid w:val="00207FD2"/>
    <w:rsid w:val="002102C4"/>
    <w:rsid w:val="0021062F"/>
    <w:rsid w:val="002107FF"/>
    <w:rsid w:val="00210DC1"/>
    <w:rsid w:val="002114FD"/>
    <w:rsid w:val="00211D34"/>
    <w:rsid w:val="00212257"/>
    <w:rsid w:val="00214F04"/>
    <w:rsid w:val="0021508E"/>
    <w:rsid w:val="0021553B"/>
    <w:rsid w:val="00215A52"/>
    <w:rsid w:val="00215B19"/>
    <w:rsid w:val="00215B78"/>
    <w:rsid w:val="002163C6"/>
    <w:rsid w:val="00217BDB"/>
    <w:rsid w:val="00220254"/>
    <w:rsid w:val="00220BAE"/>
    <w:rsid w:val="00221049"/>
    <w:rsid w:val="0022109C"/>
    <w:rsid w:val="00221312"/>
    <w:rsid w:val="002228F9"/>
    <w:rsid w:val="00223132"/>
    <w:rsid w:val="00224F7B"/>
    <w:rsid w:val="002255C7"/>
    <w:rsid w:val="00226612"/>
    <w:rsid w:val="00226D9E"/>
    <w:rsid w:val="00227AC7"/>
    <w:rsid w:val="002307F1"/>
    <w:rsid w:val="0023102B"/>
    <w:rsid w:val="002331A2"/>
    <w:rsid w:val="002338AE"/>
    <w:rsid w:val="00233AA1"/>
    <w:rsid w:val="00233EEA"/>
    <w:rsid w:val="002348B9"/>
    <w:rsid w:val="00234C59"/>
    <w:rsid w:val="0023500E"/>
    <w:rsid w:val="002352B9"/>
    <w:rsid w:val="002355BB"/>
    <w:rsid w:val="00235768"/>
    <w:rsid w:val="002357A9"/>
    <w:rsid w:val="002368BF"/>
    <w:rsid w:val="00236A8B"/>
    <w:rsid w:val="0023784F"/>
    <w:rsid w:val="002379A0"/>
    <w:rsid w:val="00240C7B"/>
    <w:rsid w:val="00242F2F"/>
    <w:rsid w:val="00244371"/>
    <w:rsid w:val="0024492A"/>
    <w:rsid w:val="002450BB"/>
    <w:rsid w:val="002466F5"/>
    <w:rsid w:val="00246948"/>
    <w:rsid w:val="00246976"/>
    <w:rsid w:val="00246C1D"/>
    <w:rsid w:val="00246D9F"/>
    <w:rsid w:val="00250A58"/>
    <w:rsid w:val="00251D61"/>
    <w:rsid w:val="00251DF1"/>
    <w:rsid w:val="00251EB7"/>
    <w:rsid w:val="00253629"/>
    <w:rsid w:val="002536B6"/>
    <w:rsid w:val="00254A34"/>
    <w:rsid w:val="002557ED"/>
    <w:rsid w:val="00255FFB"/>
    <w:rsid w:val="00256BF1"/>
    <w:rsid w:val="00260F6F"/>
    <w:rsid w:val="00262C68"/>
    <w:rsid w:val="0026356D"/>
    <w:rsid w:val="002642F2"/>
    <w:rsid w:val="00265052"/>
    <w:rsid w:val="002651DB"/>
    <w:rsid w:val="00266CD6"/>
    <w:rsid w:val="00267098"/>
    <w:rsid w:val="002673AC"/>
    <w:rsid w:val="002675B2"/>
    <w:rsid w:val="00267860"/>
    <w:rsid w:val="00267C3E"/>
    <w:rsid w:val="002720B0"/>
    <w:rsid w:val="0027241F"/>
    <w:rsid w:val="00272F8D"/>
    <w:rsid w:val="00273AFD"/>
    <w:rsid w:val="00273C2B"/>
    <w:rsid w:val="00275223"/>
    <w:rsid w:val="00275DAB"/>
    <w:rsid w:val="002760D0"/>
    <w:rsid w:val="00276B3A"/>
    <w:rsid w:val="002800B5"/>
    <w:rsid w:val="0028047F"/>
    <w:rsid w:val="00283E49"/>
    <w:rsid w:val="00286E90"/>
    <w:rsid w:val="0028701A"/>
    <w:rsid w:val="00287113"/>
    <w:rsid w:val="00287755"/>
    <w:rsid w:val="002903C0"/>
    <w:rsid w:val="0029099B"/>
    <w:rsid w:val="00292684"/>
    <w:rsid w:val="00292BDF"/>
    <w:rsid w:val="002930AF"/>
    <w:rsid w:val="00293BA8"/>
    <w:rsid w:val="00293C5E"/>
    <w:rsid w:val="002944B8"/>
    <w:rsid w:val="00295FE5"/>
    <w:rsid w:val="002A1D69"/>
    <w:rsid w:val="002A23E6"/>
    <w:rsid w:val="002A2960"/>
    <w:rsid w:val="002A2FDF"/>
    <w:rsid w:val="002A4B68"/>
    <w:rsid w:val="002A511E"/>
    <w:rsid w:val="002A5B32"/>
    <w:rsid w:val="002A65CB"/>
    <w:rsid w:val="002A74BF"/>
    <w:rsid w:val="002A782A"/>
    <w:rsid w:val="002A7E18"/>
    <w:rsid w:val="002B0A86"/>
    <w:rsid w:val="002B11E2"/>
    <w:rsid w:val="002B24B8"/>
    <w:rsid w:val="002B261A"/>
    <w:rsid w:val="002B2819"/>
    <w:rsid w:val="002B33B9"/>
    <w:rsid w:val="002B3C7B"/>
    <w:rsid w:val="002B5C43"/>
    <w:rsid w:val="002B67B7"/>
    <w:rsid w:val="002B7AA2"/>
    <w:rsid w:val="002C0D10"/>
    <w:rsid w:val="002C1B57"/>
    <w:rsid w:val="002C3949"/>
    <w:rsid w:val="002C41EB"/>
    <w:rsid w:val="002C4830"/>
    <w:rsid w:val="002C48CB"/>
    <w:rsid w:val="002C4956"/>
    <w:rsid w:val="002C6776"/>
    <w:rsid w:val="002D06B1"/>
    <w:rsid w:val="002D06D2"/>
    <w:rsid w:val="002D0B70"/>
    <w:rsid w:val="002D1E9A"/>
    <w:rsid w:val="002D2D1D"/>
    <w:rsid w:val="002D3725"/>
    <w:rsid w:val="002D3AE9"/>
    <w:rsid w:val="002D3E89"/>
    <w:rsid w:val="002D4109"/>
    <w:rsid w:val="002D4510"/>
    <w:rsid w:val="002D4A92"/>
    <w:rsid w:val="002D5B71"/>
    <w:rsid w:val="002D5F18"/>
    <w:rsid w:val="002D7DAC"/>
    <w:rsid w:val="002E077C"/>
    <w:rsid w:val="002E0B87"/>
    <w:rsid w:val="002E3581"/>
    <w:rsid w:val="002E3695"/>
    <w:rsid w:val="002E3944"/>
    <w:rsid w:val="002F02DE"/>
    <w:rsid w:val="002F0734"/>
    <w:rsid w:val="002F15CD"/>
    <w:rsid w:val="002F1F39"/>
    <w:rsid w:val="002F46E7"/>
    <w:rsid w:val="002F5820"/>
    <w:rsid w:val="002F5997"/>
    <w:rsid w:val="002F69F2"/>
    <w:rsid w:val="002F7761"/>
    <w:rsid w:val="00300D7D"/>
    <w:rsid w:val="00303120"/>
    <w:rsid w:val="0030364A"/>
    <w:rsid w:val="0030404C"/>
    <w:rsid w:val="00305CEF"/>
    <w:rsid w:val="00305D80"/>
    <w:rsid w:val="00307BF5"/>
    <w:rsid w:val="003101C9"/>
    <w:rsid w:val="003101DA"/>
    <w:rsid w:val="003111C3"/>
    <w:rsid w:val="00312FB7"/>
    <w:rsid w:val="003131F5"/>
    <w:rsid w:val="003142BA"/>
    <w:rsid w:val="00314757"/>
    <w:rsid w:val="00314DB7"/>
    <w:rsid w:val="00315BA7"/>
    <w:rsid w:val="00315D37"/>
    <w:rsid w:val="003163BC"/>
    <w:rsid w:val="00316623"/>
    <w:rsid w:val="0031728F"/>
    <w:rsid w:val="0031757A"/>
    <w:rsid w:val="00317C84"/>
    <w:rsid w:val="00317E08"/>
    <w:rsid w:val="00320357"/>
    <w:rsid w:val="003203DA"/>
    <w:rsid w:val="003208F5"/>
    <w:rsid w:val="00320D12"/>
    <w:rsid w:val="003211CE"/>
    <w:rsid w:val="003215C0"/>
    <w:rsid w:val="003229FD"/>
    <w:rsid w:val="003236E7"/>
    <w:rsid w:val="003239F9"/>
    <w:rsid w:val="00323F4B"/>
    <w:rsid w:val="003252B5"/>
    <w:rsid w:val="003258DA"/>
    <w:rsid w:val="00325B9D"/>
    <w:rsid w:val="00325FE9"/>
    <w:rsid w:val="003261CD"/>
    <w:rsid w:val="00326316"/>
    <w:rsid w:val="00327795"/>
    <w:rsid w:val="00327861"/>
    <w:rsid w:val="00327BEC"/>
    <w:rsid w:val="00331D61"/>
    <w:rsid w:val="00333CC3"/>
    <w:rsid w:val="0033414F"/>
    <w:rsid w:val="0033459D"/>
    <w:rsid w:val="00335579"/>
    <w:rsid w:val="00335684"/>
    <w:rsid w:val="0033670F"/>
    <w:rsid w:val="003406D0"/>
    <w:rsid w:val="00340B64"/>
    <w:rsid w:val="003412E1"/>
    <w:rsid w:val="00341FB3"/>
    <w:rsid w:val="00342C57"/>
    <w:rsid w:val="003434E5"/>
    <w:rsid w:val="0034377F"/>
    <w:rsid w:val="00347BA0"/>
    <w:rsid w:val="00350255"/>
    <w:rsid w:val="0035028E"/>
    <w:rsid w:val="00351FC9"/>
    <w:rsid w:val="003521F5"/>
    <w:rsid w:val="00352CBF"/>
    <w:rsid w:val="0035403A"/>
    <w:rsid w:val="0035423F"/>
    <w:rsid w:val="003544CE"/>
    <w:rsid w:val="003566A1"/>
    <w:rsid w:val="00356C05"/>
    <w:rsid w:val="0035730C"/>
    <w:rsid w:val="00361108"/>
    <w:rsid w:val="00361891"/>
    <w:rsid w:val="00362340"/>
    <w:rsid w:val="003625E5"/>
    <w:rsid w:val="00362693"/>
    <w:rsid w:val="00362B54"/>
    <w:rsid w:val="0036389D"/>
    <w:rsid w:val="0036394B"/>
    <w:rsid w:val="00363C15"/>
    <w:rsid w:val="00363C55"/>
    <w:rsid w:val="00364FBC"/>
    <w:rsid w:val="0036565C"/>
    <w:rsid w:val="00365A91"/>
    <w:rsid w:val="00366DB6"/>
    <w:rsid w:val="003700A3"/>
    <w:rsid w:val="003709B5"/>
    <w:rsid w:val="00371EDF"/>
    <w:rsid w:val="00372617"/>
    <w:rsid w:val="0037316B"/>
    <w:rsid w:val="00373B09"/>
    <w:rsid w:val="00374CEE"/>
    <w:rsid w:val="003759C2"/>
    <w:rsid w:val="00377046"/>
    <w:rsid w:val="003775F7"/>
    <w:rsid w:val="00377A80"/>
    <w:rsid w:val="00377F68"/>
    <w:rsid w:val="00380833"/>
    <w:rsid w:val="00381CAD"/>
    <w:rsid w:val="003833B8"/>
    <w:rsid w:val="00383733"/>
    <w:rsid w:val="00383AD4"/>
    <w:rsid w:val="00384624"/>
    <w:rsid w:val="003852A8"/>
    <w:rsid w:val="00385689"/>
    <w:rsid w:val="003858E5"/>
    <w:rsid w:val="00385A60"/>
    <w:rsid w:val="00386014"/>
    <w:rsid w:val="00386726"/>
    <w:rsid w:val="00386920"/>
    <w:rsid w:val="00387AEE"/>
    <w:rsid w:val="00391C43"/>
    <w:rsid w:val="00392A9C"/>
    <w:rsid w:val="00393B60"/>
    <w:rsid w:val="00394EBD"/>
    <w:rsid w:val="00396A20"/>
    <w:rsid w:val="00396C19"/>
    <w:rsid w:val="00397365"/>
    <w:rsid w:val="003A0DE6"/>
    <w:rsid w:val="003A1082"/>
    <w:rsid w:val="003A17EE"/>
    <w:rsid w:val="003A2BDF"/>
    <w:rsid w:val="003A2E20"/>
    <w:rsid w:val="003A31F6"/>
    <w:rsid w:val="003A335F"/>
    <w:rsid w:val="003A609B"/>
    <w:rsid w:val="003A6B0E"/>
    <w:rsid w:val="003B02C2"/>
    <w:rsid w:val="003B0EEE"/>
    <w:rsid w:val="003B1219"/>
    <w:rsid w:val="003B29E2"/>
    <w:rsid w:val="003B32C5"/>
    <w:rsid w:val="003B4654"/>
    <w:rsid w:val="003B4A87"/>
    <w:rsid w:val="003B5437"/>
    <w:rsid w:val="003B739E"/>
    <w:rsid w:val="003B7B67"/>
    <w:rsid w:val="003B7EA4"/>
    <w:rsid w:val="003C124D"/>
    <w:rsid w:val="003C1E24"/>
    <w:rsid w:val="003C20D4"/>
    <w:rsid w:val="003C251F"/>
    <w:rsid w:val="003C3447"/>
    <w:rsid w:val="003C3FF1"/>
    <w:rsid w:val="003C53AB"/>
    <w:rsid w:val="003C5F90"/>
    <w:rsid w:val="003C629B"/>
    <w:rsid w:val="003D076C"/>
    <w:rsid w:val="003D0CD9"/>
    <w:rsid w:val="003D0E63"/>
    <w:rsid w:val="003D12B3"/>
    <w:rsid w:val="003D1380"/>
    <w:rsid w:val="003D42B6"/>
    <w:rsid w:val="003D48F2"/>
    <w:rsid w:val="003D4C7A"/>
    <w:rsid w:val="003D60EA"/>
    <w:rsid w:val="003D62FD"/>
    <w:rsid w:val="003E1031"/>
    <w:rsid w:val="003E222D"/>
    <w:rsid w:val="003E3544"/>
    <w:rsid w:val="003E4D25"/>
    <w:rsid w:val="003E5427"/>
    <w:rsid w:val="003E78B5"/>
    <w:rsid w:val="003E7B80"/>
    <w:rsid w:val="003E7EB3"/>
    <w:rsid w:val="003F27C8"/>
    <w:rsid w:val="003F3776"/>
    <w:rsid w:val="003F3E0E"/>
    <w:rsid w:val="003F3E12"/>
    <w:rsid w:val="003F3E4F"/>
    <w:rsid w:val="003F4438"/>
    <w:rsid w:val="003F44C9"/>
    <w:rsid w:val="003F4E9B"/>
    <w:rsid w:val="003F5F1C"/>
    <w:rsid w:val="003F639D"/>
    <w:rsid w:val="003F6B65"/>
    <w:rsid w:val="003F6D46"/>
    <w:rsid w:val="003F73CD"/>
    <w:rsid w:val="003F73E6"/>
    <w:rsid w:val="003F7D10"/>
    <w:rsid w:val="0040021B"/>
    <w:rsid w:val="00400D76"/>
    <w:rsid w:val="00401165"/>
    <w:rsid w:val="00401D51"/>
    <w:rsid w:val="004033EB"/>
    <w:rsid w:val="0040663B"/>
    <w:rsid w:val="00406A7A"/>
    <w:rsid w:val="00406D0C"/>
    <w:rsid w:val="00406F0E"/>
    <w:rsid w:val="004071CF"/>
    <w:rsid w:val="004075EE"/>
    <w:rsid w:val="0040771B"/>
    <w:rsid w:val="004105D6"/>
    <w:rsid w:val="0041071E"/>
    <w:rsid w:val="00410A36"/>
    <w:rsid w:val="00411398"/>
    <w:rsid w:val="00411726"/>
    <w:rsid w:val="0041409F"/>
    <w:rsid w:val="00414CC9"/>
    <w:rsid w:val="00415BAB"/>
    <w:rsid w:val="00415ED2"/>
    <w:rsid w:val="00415F28"/>
    <w:rsid w:val="00417568"/>
    <w:rsid w:val="0042068C"/>
    <w:rsid w:val="00420B9B"/>
    <w:rsid w:val="00421700"/>
    <w:rsid w:val="0042263B"/>
    <w:rsid w:val="00423868"/>
    <w:rsid w:val="00424DF4"/>
    <w:rsid w:val="0042600F"/>
    <w:rsid w:val="00426A95"/>
    <w:rsid w:val="004271E1"/>
    <w:rsid w:val="00427684"/>
    <w:rsid w:val="004304F6"/>
    <w:rsid w:val="004306BC"/>
    <w:rsid w:val="004315AA"/>
    <w:rsid w:val="00432132"/>
    <w:rsid w:val="00432F31"/>
    <w:rsid w:val="00433DCA"/>
    <w:rsid w:val="00436024"/>
    <w:rsid w:val="00436535"/>
    <w:rsid w:val="00436B99"/>
    <w:rsid w:val="004402FE"/>
    <w:rsid w:val="0044113F"/>
    <w:rsid w:val="0044149A"/>
    <w:rsid w:val="00442B53"/>
    <w:rsid w:val="00442F6A"/>
    <w:rsid w:val="0044305A"/>
    <w:rsid w:val="0044318E"/>
    <w:rsid w:val="00443320"/>
    <w:rsid w:val="00443461"/>
    <w:rsid w:val="00443B06"/>
    <w:rsid w:val="00443B35"/>
    <w:rsid w:val="004441B1"/>
    <w:rsid w:val="00445979"/>
    <w:rsid w:val="00445E36"/>
    <w:rsid w:val="00446354"/>
    <w:rsid w:val="004465A4"/>
    <w:rsid w:val="00447186"/>
    <w:rsid w:val="00447711"/>
    <w:rsid w:val="00453542"/>
    <w:rsid w:val="00453A12"/>
    <w:rsid w:val="00454363"/>
    <w:rsid w:val="004543F9"/>
    <w:rsid w:val="00454B34"/>
    <w:rsid w:val="00455FD0"/>
    <w:rsid w:val="0045636F"/>
    <w:rsid w:val="004566D1"/>
    <w:rsid w:val="00456D4B"/>
    <w:rsid w:val="00456D58"/>
    <w:rsid w:val="0045760A"/>
    <w:rsid w:val="00460138"/>
    <w:rsid w:val="004606BD"/>
    <w:rsid w:val="00460701"/>
    <w:rsid w:val="00461A3C"/>
    <w:rsid w:val="00461B16"/>
    <w:rsid w:val="00461E6B"/>
    <w:rsid w:val="00463B08"/>
    <w:rsid w:val="00463BAC"/>
    <w:rsid w:val="00464AEB"/>
    <w:rsid w:val="00465413"/>
    <w:rsid w:val="004654DA"/>
    <w:rsid w:val="004659C3"/>
    <w:rsid w:val="00470100"/>
    <w:rsid w:val="0047122B"/>
    <w:rsid w:val="00472150"/>
    <w:rsid w:val="0047248B"/>
    <w:rsid w:val="00472A4C"/>
    <w:rsid w:val="00472B35"/>
    <w:rsid w:val="00472E76"/>
    <w:rsid w:val="00473B7A"/>
    <w:rsid w:val="00473BA4"/>
    <w:rsid w:val="00473BDD"/>
    <w:rsid w:val="00474D61"/>
    <w:rsid w:val="004767CD"/>
    <w:rsid w:val="00476A15"/>
    <w:rsid w:val="004777A3"/>
    <w:rsid w:val="004807ED"/>
    <w:rsid w:val="00481A77"/>
    <w:rsid w:val="004842A6"/>
    <w:rsid w:val="004857B2"/>
    <w:rsid w:val="00487EB6"/>
    <w:rsid w:val="00490832"/>
    <w:rsid w:val="004918E1"/>
    <w:rsid w:val="00493D2F"/>
    <w:rsid w:val="00494245"/>
    <w:rsid w:val="004954E9"/>
    <w:rsid w:val="00495A21"/>
    <w:rsid w:val="00495CB1"/>
    <w:rsid w:val="004960E9"/>
    <w:rsid w:val="0049776D"/>
    <w:rsid w:val="004A206B"/>
    <w:rsid w:val="004A290F"/>
    <w:rsid w:val="004A2E88"/>
    <w:rsid w:val="004A3A26"/>
    <w:rsid w:val="004A3A37"/>
    <w:rsid w:val="004A40F4"/>
    <w:rsid w:val="004A4326"/>
    <w:rsid w:val="004A4C62"/>
    <w:rsid w:val="004A4CB8"/>
    <w:rsid w:val="004A5182"/>
    <w:rsid w:val="004A52FE"/>
    <w:rsid w:val="004A5305"/>
    <w:rsid w:val="004B073A"/>
    <w:rsid w:val="004B136F"/>
    <w:rsid w:val="004B2420"/>
    <w:rsid w:val="004B28FE"/>
    <w:rsid w:val="004B3EE4"/>
    <w:rsid w:val="004B4336"/>
    <w:rsid w:val="004B5B00"/>
    <w:rsid w:val="004B669A"/>
    <w:rsid w:val="004B78D4"/>
    <w:rsid w:val="004B7F7B"/>
    <w:rsid w:val="004C0288"/>
    <w:rsid w:val="004C0BCD"/>
    <w:rsid w:val="004C1089"/>
    <w:rsid w:val="004C1180"/>
    <w:rsid w:val="004C1C2F"/>
    <w:rsid w:val="004C206E"/>
    <w:rsid w:val="004C3C07"/>
    <w:rsid w:val="004C3E9B"/>
    <w:rsid w:val="004C3F08"/>
    <w:rsid w:val="004C44F3"/>
    <w:rsid w:val="004C482B"/>
    <w:rsid w:val="004C4C34"/>
    <w:rsid w:val="004C4D2A"/>
    <w:rsid w:val="004C4F18"/>
    <w:rsid w:val="004C6960"/>
    <w:rsid w:val="004C7907"/>
    <w:rsid w:val="004D1154"/>
    <w:rsid w:val="004D1189"/>
    <w:rsid w:val="004D22FE"/>
    <w:rsid w:val="004D2D99"/>
    <w:rsid w:val="004D3C4D"/>
    <w:rsid w:val="004D62CF"/>
    <w:rsid w:val="004D6A70"/>
    <w:rsid w:val="004D7634"/>
    <w:rsid w:val="004D7B69"/>
    <w:rsid w:val="004E0E9D"/>
    <w:rsid w:val="004E1599"/>
    <w:rsid w:val="004E2D67"/>
    <w:rsid w:val="004E319C"/>
    <w:rsid w:val="004E3371"/>
    <w:rsid w:val="004E37B4"/>
    <w:rsid w:val="004E410D"/>
    <w:rsid w:val="004E48A9"/>
    <w:rsid w:val="004E49FE"/>
    <w:rsid w:val="004E4E01"/>
    <w:rsid w:val="004E5BE9"/>
    <w:rsid w:val="004E611A"/>
    <w:rsid w:val="004E658B"/>
    <w:rsid w:val="004E6E11"/>
    <w:rsid w:val="004E6E47"/>
    <w:rsid w:val="004E6F6C"/>
    <w:rsid w:val="004F04EF"/>
    <w:rsid w:val="004F1699"/>
    <w:rsid w:val="004F273C"/>
    <w:rsid w:val="004F2A33"/>
    <w:rsid w:val="004F2C3F"/>
    <w:rsid w:val="004F49A3"/>
    <w:rsid w:val="004F4A8B"/>
    <w:rsid w:val="004F4BC3"/>
    <w:rsid w:val="004F6460"/>
    <w:rsid w:val="004F662A"/>
    <w:rsid w:val="004F729E"/>
    <w:rsid w:val="004F7C11"/>
    <w:rsid w:val="00500D9A"/>
    <w:rsid w:val="00500EE0"/>
    <w:rsid w:val="00501021"/>
    <w:rsid w:val="00502829"/>
    <w:rsid w:val="00503764"/>
    <w:rsid w:val="00505395"/>
    <w:rsid w:val="00505D37"/>
    <w:rsid w:val="00506380"/>
    <w:rsid w:val="00506D56"/>
    <w:rsid w:val="005071EF"/>
    <w:rsid w:val="00510761"/>
    <w:rsid w:val="00510C1F"/>
    <w:rsid w:val="00511718"/>
    <w:rsid w:val="00511FA8"/>
    <w:rsid w:val="00513775"/>
    <w:rsid w:val="00513B8E"/>
    <w:rsid w:val="005144EC"/>
    <w:rsid w:val="005146E7"/>
    <w:rsid w:val="0051498C"/>
    <w:rsid w:val="00514BAA"/>
    <w:rsid w:val="0052062F"/>
    <w:rsid w:val="00520A26"/>
    <w:rsid w:val="00521831"/>
    <w:rsid w:val="00523730"/>
    <w:rsid w:val="005238CB"/>
    <w:rsid w:val="005258D2"/>
    <w:rsid w:val="005277CD"/>
    <w:rsid w:val="005300D3"/>
    <w:rsid w:val="005306AA"/>
    <w:rsid w:val="005306EB"/>
    <w:rsid w:val="00530A7D"/>
    <w:rsid w:val="00530B09"/>
    <w:rsid w:val="00531A78"/>
    <w:rsid w:val="00532622"/>
    <w:rsid w:val="00532670"/>
    <w:rsid w:val="00532B39"/>
    <w:rsid w:val="0053310B"/>
    <w:rsid w:val="005333BA"/>
    <w:rsid w:val="0053361A"/>
    <w:rsid w:val="0053390C"/>
    <w:rsid w:val="005358A5"/>
    <w:rsid w:val="0053630C"/>
    <w:rsid w:val="00536888"/>
    <w:rsid w:val="00536D53"/>
    <w:rsid w:val="00536E4B"/>
    <w:rsid w:val="005379FF"/>
    <w:rsid w:val="00537C0F"/>
    <w:rsid w:val="00541190"/>
    <w:rsid w:val="0054130A"/>
    <w:rsid w:val="00541B67"/>
    <w:rsid w:val="005427A3"/>
    <w:rsid w:val="00542A10"/>
    <w:rsid w:val="00543F1C"/>
    <w:rsid w:val="005440D6"/>
    <w:rsid w:val="00544F70"/>
    <w:rsid w:val="00544F82"/>
    <w:rsid w:val="00545976"/>
    <w:rsid w:val="0054641F"/>
    <w:rsid w:val="0054722B"/>
    <w:rsid w:val="00547D77"/>
    <w:rsid w:val="005509D2"/>
    <w:rsid w:val="00550D1C"/>
    <w:rsid w:val="00550F3F"/>
    <w:rsid w:val="00551175"/>
    <w:rsid w:val="005512EE"/>
    <w:rsid w:val="00551826"/>
    <w:rsid w:val="005522C6"/>
    <w:rsid w:val="005532C2"/>
    <w:rsid w:val="00553362"/>
    <w:rsid w:val="00561AFA"/>
    <w:rsid w:val="005621AA"/>
    <w:rsid w:val="0056285D"/>
    <w:rsid w:val="00564640"/>
    <w:rsid w:val="005648DA"/>
    <w:rsid w:val="00564E13"/>
    <w:rsid w:val="00565A32"/>
    <w:rsid w:val="00567927"/>
    <w:rsid w:val="0057141B"/>
    <w:rsid w:val="0057181D"/>
    <w:rsid w:val="00573B34"/>
    <w:rsid w:val="00573E92"/>
    <w:rsid w:val="0057438A"/>
    <w:rsid w:val="00574733"/>
    <w:rsid w:val="00574734"/>
    <w:rsid w:val="0057594E"/>
    <w:rsid w:val="005807D6"/>
    <w:rsid w:val="005809ED"/>
    <w:rsid w:val="00580AE4"/>
    <w:rsid w:val="005814BE"/>
    <w:rsid w:val="00581925"/>
    <w:rsid w:val="00581BB4"/>
    <w:rsid w:val="00581DC0"/>
    <w:rsid w:val="00582712"/>
    <w:rsid w:val="00582AFD"/>
    <w:rsid w:val="00582FCA"/>
    <w:rsid w:val="00583700"/>
    <w:rsid w:val="00584400"/>
    <w:rsid w:val="00585E59"/>
    <w:rsid w:val="00586C91"/>
    <w:rsid w:val="00586E75"/>
    <w:rsid w:val="00587504"/>
    <w:rsid w:val="00587B9C"/>
    <w:rsid w:val="00591100"/>
    <w:rsid w:val="00591303"/>
    <w:rsid w:val="00593C4F"/>
    <w:rsid w:val="005942FD"/>
    <w:rsid w:val="005946A8"/>
    <w:rsid w:val="0059527A"/>
    <w:rsid w:val="0059643A"/>
    <w:rsid w:val="00596903"/>
    <w:rsid w:val="005A03B9"/>
    <w:rsid w:val="005A0700"/>
    <w:rsid w:val="005A1EB4"/>
    <w:rsid w:val="005A2197"/>
    <w:rsid w:val="005A248E"/>
    <w:rsid w:val="005A2829"/>
    <w:rsid w:val="005A2857"/>
    <w:rsid w:val="005A2DC1"/>
    <w:rsid w:val="005A4407"/>
    <w:rsid w:val="005A4EA3"/>
    <w:rsid w:val="005A53A5"/>
    <w:rsid w:val="005A59D1"/>
    <w:rsid w:val="005A59EF"/>
    <w:rsid w:val="005A61E5"/>
    <w:rsid w:val="005A6DCC"/>
    <w:rsid w:val="005A70AD"/>
    <w:rsid w:val="005A747D"/>
    <w:rsid w:val="005B1C7E"/>
    <w:rsid w:val="005B25D3"/>
    <w:rsid w:val="005B2AB2"/>
    <w:rsid w:val="005B2E14"/>
    <w:rsid w:val="005B390F"/>
    <w:rsid w:val="005B47BA"/>
    <w:rsid w:val="005B4C18"/>
    <w:rsid w:val="005B5401"/>
    <w:rsid w:val="005B6AE9"/>
    <w:rsid w:val="005B7EFA"/>
    <w:rsid w:val="005B7F5D"/>
    <w:rsid w:val="005C07E2"/>
    <w:rsid w:val="005C1407"/>
    <w:rsid w:val="005C21BD"/>
    <w:rsid w:val="005C2AC9"/>
    <w:rsid w:val="005C326C"/>
    <w:rsid w:val="005C340B"/>
    <w:rsid w:val="005C4053"/>
    <w:rsid w:val="005C4303"/>
    <w:rsid w:val="005C4B16"/>
    <w:rsid w:val="005C4CD9"/>
    <w:rsid w:val="005C5D3B"/>
    <w:rsid w:val="005C61C3"/>
    <w:rsid w:val="005C664F"/>
    <w:rsid w:val="005C6976"/>
    <w:rsid w:val="005C6C19"/>
    <w:rsid w:val="005C6E73"/>
    <w:rsid w:val="005C71B5"/>
    <w:rsid w:val="005C7E2D"/>
    <w:rsid w:val="005D0CDA"/>
    <w:rsid w:val="005D195F"/>
    <w:rsid w:val="005D200B"/>
    <w:rsid w:val="005D2394"/>
    <w:rsid w:val="005D55F8"/>
    <w:rsid w:val="005D602E"/>
    <w:rsid w:val="005E0CFA"/>
    <w:rsid w:val="005E1FD6"/>
    <w:rsid w:val="005E33D8"/>
    <w:rsid w:val="005E34A8"/>
    <w:rsid w:val="005E5052"/>
    <w:rsid w:val="005E55C7"/>
    <w:rsid w:val="005E56DA"/>
    <w:rsid w:val="005E56E1"/>
    <w:rsid w:val="005E69C4"/>
    <w:rsid w:val="005E77A3"/>
    <w:rsid w:val="005F08C5"/>
    <w:rsid w:val="005F0CE0"/>
    <w:rsid w:val="005F200D"/>
    <w:rsid w:val="005F362A"/>
    <w:rsid w:val="005F4492"/>
    <w:rsid w:val="005F482F"/>
    <w:rsid w:val="005F4FED"/>
    <w:rsid w:val="005F5466"/>
    <w:rsid w:val="005F5808"/>
    <w:rsid w:val="005F62E7"/>
    <w:rsid w:val="005F6E30"/>
    <w:rsid w:val="005F6F41"/>
    <w:rsid w:val="0060055F"/>
    <w:rsid w:val="0060078C"/>
    <w:rsid w:val="00600BB3"/>
    <w:rsid w:val="00602795"/>
    <w:rsid w:val="0060361F"/>
    <w:rsid w:val="00603A9B"/>
    <w:rsid w:val="00603B65"/>
    <w:rsid w:val="00603BC6"/>
    <w:rsid w:val="006047E3"/>
    <w:rsid w:val="00605818"/>
    <w:rsid w:val="0060659F"/>
    <w:rsid w:val="0061012B"/>
    <w:rsid w:val="00610325"/>
    <w:rsid w:val="006106FA"/>
    <w:rsid w:val="00610DE7"/>
    <w:rsid w:val="00611184"/>
    <w:rsid w:val="006122C3"/>
    <w:rsid w:val="00612AE5"/>
    <w:rsid w:val="00612C6C"/>
    <w:rsid w:val="0061510C"/>
    <w:rsid w:val="006164D1"/>
    <w:rsid w:val="00616B98"/>
    <w:rsid w:val="00621EBC"/>
    <w:rsid w:val="0062472D"/>
    <w:rsid w:val="00625DC6"/>
    <w:rsid w:val="00626ABF"/>
    <w:rsid w:val="00626EA2"/>
    <w:rsid w:val="00626EED"/>
    <w:rsid w:val="00627B63"/>
    <w:rsid w:val="00627CA8"/>
    <w:rsid w:val="00630022"/>
    <w:rsid w:val="006301B1"/>
    <w:rsid w:val="00630B56"/>
    <w:rsid w:val="00630CA9"/>
    <w:rsid w:val="00630D1E"/>
    <w:rsid w:val="00632116"/>
    <w:rsid w:val="00633D70"/>
    <w:rsid w:val="0063611C"/>
    <w:rsid w:val="00637CE6"/>
    <w:rsid w:val="006413A2"/>
    <w:rsid w:val="00641FFC"/>
    <w:rsid w:val="0064273A"/>
    <w:rsid w:val="006428D2"/>
    <w:rsid w:val="00642BE1"/>
    <w:rsid w:val="0064391D"/>
    <w:rsid w:val="00643BAE"/>
    <w:rsid w:val="00643EDC"/>
    <w:rsid w:val="00644AF7"/>
    <w:rsid w:val="0064719D"/>
    <w:rsid w:val="00650729"/>
    <w:rsid w:val="00650BE1"/>
    <w:rsid w:val="00651821"/>
    <w:rsid w:val="006518EA"/>
    <w:rsid w:val="00651C25"/>
    <w:rsid w:val="006522CA"/>
    <w:rsid w:val="00652554"/>
    <w:rsid w:val="006525B3"/>
    <w:rsid w:val="0065311F"/>
    <w:rsid w:val="00653828"/>
    <w:rsid w:val="00653E55"/>
    <w:rsid w:val="00654384"/>
    <w:rsid w:val="006550E4"/>
    <w:rsid w:val="006573AE"/>
    <w:rsid w:val="006575C8"/>
    <w:rsid w:val="00657EBC"/>
    <w:rsid w:val="006602A9"/>
    <w:rsid w:val="00660DB0"/>
    <w:rsid w:val="00661DF3"/>
    <w:rsid w:val="00661F3A"/>
    <w:rsid w:val="0066420D"/>
    <w:rsid w:val="00666BFF"/>
    <w:rsid w:val="00666F4B"/>
    <w:rsid w:val="006675CD"/>
    <w:rsid w:val="00667841"/>
    <w:rsid w:val="00671C43"/>
    <w:rsid w:val="00672371"/>
    <w:rsid w:val="00673C9C"/>
    <w:rsid w:val="006748E6"/>
    <w:rsid w:val="00674EBB"/>
    <w:rsid w:val="00674FEE"/>
    <w:rsid w:val="00675968"/>
    <w:rsid w:val="00676E8D"/>
    <w:rsid w:val="00680280"/>
    <w:rsid w:val="00680435"/>
    <w:rsid w:val="006818AB"/>
    <w:rsid w:val="006822BE"/>
    <w:rsid w:val="006823AD"/>
    <w:rsid w:val="00682631"/>
    <w:rsid w:val="00683460"/>
    <w:rsid w:val="00683C2A"/>
    <w:rsid w:val="00684D9B"/>
    <w:rsid w:val="0068510A"/>
    <w:rsid w:val="00685C3C"/>
    <w:rsid w:val="00686451"/>
    <w:rsid w:val="006869D2"/>
    <w:rsid w:val="00686E4A"/>
    <w:rsid w:val="006875B4"/>
    <w:rsid w:val="00690457"/>
    <w:rsid w:val="006906B6"/>
    <w:rsid w:val="00690DF1"/>
    <w:rsid w:val="00692022"/>
    <w:rsid w:val="006926D9"/>
    <w:rsid w:val="0069456B"/>
    <w:rsid w:val="00695587"/>
    <w:rsid w:val="006966A4"/>
    <w:rsid w:val="00696BFA"/>
    <w:rsid w:val="006972FD"/>
    <w:rsid w:val="00697324"/>
    <w:rsid w:val="00697556"/>
    <w:rsid w:val="00697C68"/>
    <w:rsid w:val="006A1023"/>
    <w:rsid w:val="006A17A1"/>
    <w:rsid w:val="006A1FC0"/>
    <w:rsid w:val="006A49C7"/>
    <w:rsid w:val="006A5184"/>
    <w:rsid w:val="006A642C"/>
    <w:rsid w:val="006A6526"/>
    <w:rsid w:val="006A69F2"/>
    <w:rsid w:val="006B0E5F"/>
    <w:rsid w:val="006B12FB"/>
    <w:rsid w:val="006B1876"/>
    <w:rsid w:val="006B3D2E"/>
    <w:rsid w:val="006B3D69"/>
    <w:rsid w:val="006B4114"/>
    <w:rsid w:val="006B4647"/>
    <w:rsid w:val="006B4C2B"/>
    <w:rsid w:val="006B5107"/>
    <w:rsid w:val="006B6194"/>
    <w:rsid w:val="006B6D47"/>
    <w:rsid w:val="006B71FE"/>
    <w:rsid w:val="006B7F18"/>
    <w:rsid w:val="006C0E8E"/>
    <w:rsid w:val="006C548A"/>
    <w:rsid w:val="006C5769"/>
    <w:rsid w:val="006C5AFE"/>
    <w:rsid w:val="006C5B99"/>
    <w:rsid w:val="006C63ED"/>
    <w:rsid w:val="006C6A5F"/>
    <w:rsid w:val="006D082F"/>
    <w:rsid w:val="006D0CA7"/>
    <w:rsid w:val="006D16D2"/>
    <w:rsid w:val="006D213D"/>
    <w:rsid w:val="006D3CC7"/>
    <w:rsid w:val="006D50D4"/>
    <w:rsid w:val="006D5158"/>
    <w:rsid w:val="006D5B1A"/>
    <w:rsid w:val="006D5B22"/>
    <w:rsid w:val="006D6242"/>
    <w:rsid w:val="006D6F39"/>
    <w:rsid w:val="006D7584"/>
    <w:rsid w:val="006E06AB"/>
    <w:rsid w:val="006E1EEB"/>
    <w:rsid w:val="006E1F36"/>
    <w:rsid w:val="006E30E0"/>
    <w:rsid w:val="006E31DE"/>
    <w:rsid w:val="006E442A"/>
    <w:rsid w:val="006E48DF"/>
    <w:rsid w:val="006E4C67"/>
    <w:rsid w:val="006E6CE7"/>
    <w:rsid w:val="006E712E"/>
    <w:rsid w:val="006F0143"/>
    <w:rsid w:val="006F2813"/>
    <w:rsid w:val="006F2EC8"/>
    <w:rsid w:val="006F3A2B"/>
    <w:rsid w:val="006F40FD"/>
    <w:rsid w:val="006F4941"/>
    <w:rsid w:val="006F564C"/>
    <w:rsid w:val="006F5E72"/>
    <w:rsid w:val="006F669D"/>
    <w:rsid w:val="006F6D95"/>
    <w:rsid w:val="006F6F53"/>
    <w:rsid w:val="006F76C3"/>
    <w:rsid w:val="006F76EA"/>
    <w:rsid w:val="00700088"/>
    <w:rsid w:val="00700383"/>
    <w:rsid w:val="007009F8"/>
    <w:rsid w:val="00701F53"/>
    <w:rsid w:val="00702643"/>
    <w:rsid w:val="007036C7"/>
    <w:rsid w:val="00703D1E"/>
    <w:rsid w:val="00703E5A"/>
    <w:rsid w:val="0070515F"/>
    <w:rsid w:val="0070561B"/>
    <w:rsid w:val="00706951"/>
    <w:rsid w:val="00706F13"/>
    <w:rsid w:val="00707259"/>
    <w:rsid w:val="007072E8"/>
    <w:rsid w:val="00710E8C"/>
    <w:rsid w:val="00711DF8"/>
    <w:rsid w:val="00713295"/>
    <w:rsid w:val="007139A0"/>
    <w:rsid w:val="00714F8E"/>
    <w:rsid w:val="007151CE"/>
    <w:rsid w:val="0071618A"/>
    <w:rsid w:val="0071618D"/>
    <w:rsid w:val="00716905"/>
    <w:rsid w:val="00716CA7"/>
    <w:rsid w:val="00716F6D"/>
    <w:rsid w:val="00720721"/>
    <w:rsid w:val="007210D5"/>
    <w:rsid w:val="0072114F"/>
    <w:rsid w:val="007227A5"/>
    <w:rsid w:val="007234B8"/>
    <w:rsid w:val="00723524"/>
    <w:rsid w:val="007243E8"/>
    <w:rsid w:val="0072440E"/>
    <w:rsid w:val="00724470"/>
    <w:rsid w:val="007246CD"/>
    <w:rsid w:val="00725758"/>
    <w:rsid w:val="00725FA4"/>
    <w:rsid w:val="0072774B"/>
    <w:rsid w:val="00727E8D"/>
    <w:rsid w:val="00730BE5"/>
    <w:rsid w:val="00730F03"/>
    <w:rsid w:val="00731266"/>
    <w:rsid w:val="0073164A"/>
    <w:rsid w:val="00734112"/>
    <w:rsid w:val="00734ABF"/>
    <w:rsid w:val="0073688E"/>
    <w:rsid w:val="007374E5"/>
    <w:rsid w:val="00737BE7"/>
    <w:rsid w:val="00740213"/>
    <w:rsid w:val="00740446"/>
    <w:rsid w:val="0074070B"/>
    <w:rsid w:val="007438A9"/>
    <w:rsid w:val="0074491E"/>
    <w:rsid w:val="0074535C"/>
    <w:rsid w:val="00745568"/>
    <w:rsid w:val="007457D1"/>
    <w:rsid w:val="0074586E"/>
    <w:rsid w:val="00745FBF"/>
    <w:rsid w:val="00746DFD"/>
    <w:rsid w:val="00747AE8"/>
    <w:rsid w:val="007505CB"/>
    <w:rsid w:val="00750DD4"/>
    <w:rsid w:val="00750FB5"/>
    <w:rsid w:val="00751574"/>
    <w:rsid w:val="00752B08"/>
    <w:rsid w:val="00754B36"/>
    <w:rsid w:val="0075606C"/>
    <w:rsid w:val="00760277"/>
    <w:rsid w:val="00760A37"/>
    <w:rsid w:val="00760CBC"/>
    <w:rsid w:val="00761554"/>
    <w:rsid w:val="00761F9B"/>
    <w:rsid w:val="0076247A"/>
    <w:rsid w:val="00763A7C"/>
    <w:rsid w:val="0076432A"/>
    <w:rsid w:val="00765B26"/>
    <w:rsid w:val="00765C7B"/>
    <w:rsid w:val="00766064"/>
    <w:rsid w:val="00767022"/>
    <w:rsid w:val="00767310"/>
    <w:rsid w:val="00767502"/>
    <w:rsid w:val="00767824"/>
    <w:rsid w:val="00770743"/>
    <w:rsid w:val="00772123"/>
    <w:rsid w:val="00772397"/>
    <w:rsid w:val="0077253B"/>
    <w:rsid w:val="007730B5"/>
    <w:rsid w:val="00774B7D"/>
    <w:rsid w:val="00775964"/>
    <w:rsid w:val="007765FE"/>
    <w:rsid w:val="00776841"/>
    <w:rsid w:val="00777234"/>
    <w:rsid w:val="0077797E"/>
    <w:rsid w:val="00777C75"/>
    <w:rsid w:val="00780826"/>
    <w:rsid w:val="007811AB"/>
    <w:rsid w:val="00781C08"/>
    <w:rsid w:val="007834D3"/>
    <w:rsid w:val="00783769"/>
    <w:rsid w:val="00785388"/>
    <w:rsid w:val="0078550F"/>
    <w:rsid w:val="00786CD0"/>
    <w:rsid w:val="0079177A"/>
    <w:rsid w:val="00792A15"/>
    <w:rsid w:val="00794E2E"/>
    <w:rsid w:val="00795006"/>
    <w:rsid w:val="00795BFB"/>
    <w:rsid w:val="00796B01"/>
    <w:rsid w:val="00796B80"/>
    <w:rsid w:val="00797F03"/>
    <w:rsid w:val="007A03FC"/>
    <w:rsid w:val="007A0C27"/>
    <w:rsid w:val="007A19A9"/>
    <w:rsid w:val="007A271D"/>
    <w:rsid w:val="007A4BF4"/>
    <w:rsid w:val="007A4D71"/>
    <w:rsid w:val="007A5297"/>
    <w:rsid w:val="007A5782"/>
    <w:rsid w:val="007A5D61"/>
    <w:rsid w:val="007A69CA"/>
    <w:rsid w:val="007A6C89"/>
    <w:rsid w:val="007A6FAF"/>
    <w:rsid w:val="007A7975"/>
    <w:rsid w:val="007B1608"/>
    <w:rsid w:val="007B23BA"/>
    <w:rsid w:val="007B2760"/>
    <w:rsid w:val="007B4094"/>
    <w:rsid w:val="007B454F"/>
    <w:rsid w:val="007B4838"/>
    <w:rsid w:val="007B5838"/>
    <w:rsid w:val="007B5ACA"/>
    <w:rsid w:val="007B60F5"/>
    <w:rsid w:val="007B7AAC"/>
    <w:rsid w:val="007B7AE1"/>
    <w:rsid w:val="007B7CCE"/>
    <w:rsid w:val="007C02FF"/>
    <w:rsid w:val="007C1235"/>
    <w:rsid w:val="007C2F7A"/>
    <w:rsid w:val="007C31EC"/>
    <w:rsid w:val="007C37A8"/>
    <w:rsid w:val="007C6A3F"/>
    <w:rsid w:val="007C6C06"/>
    <w:rsid w:val="007C7492"/>
    <w:rsid w:val="007C7F08"/>
    <w:rsid w:val="007D012A"/>
    <w:rsid w:val="007D0299"/>
    <w:rsid w:val="007D0691"/>
    <w:rsid w:val="007D2128"/>
    <w:rsid w:val="007D2890"/>
    <w:rsid w:val="007D3E88"/>
    <w:rsid w:val="007D4936"/>
    <w:rsid w:val="007D4A74"/>
    <w:rsid w:val="007D50D8"/>
    <w:rsid w:val="007D60EF"/>
    <w:rsid w:val="007D7DA9"/>
    <w:rsid w:val="007E08FC"/>
    <w:rsid w:val="007E0FB3"/>
    <w:rsid w:val="007E143C"/>
    <w:rsid w:val="007E2754"/>
    <w:rsid w:val="007E3104"/>
    <w:rsid w:val="007E51F3"/>
    <w:rsid w:val="007E521C"/>
    <w:rsid w:val="007E572C"/>
    <w:rsid w:val="007E5F51"/>
    <w:rsid w:val="007E61C9"/>
    <w:rsid w:val="007E7799"/>
    <w:rsid w:val="007F0040"/>
    <w:rsid w:val="007F160E"/>
    <w:rsid w:val="007F1A3A"/>
    <w:rsid w:val="007F1C0E"/>
    <w:rsid w:val="007F1CD1"/>
    <w:rsid w:val="007F33D7"/>
    <w:rsid w:val="007F428A"/>
    <w:rsid w:val="007F4FC4"/>
    <w:rsid w:val="007F56C4"/>
    <w:rsid w:val="007F67AE"/>
    <w:rsid w:val="0080002D"/>
    <w:rsid w:val="00800D2D"/>
    <w:rsid w:val="0080190E"/>
    <w:rsid w:val="00801B68"/>
    <w:rsid w:val="00802C83"/>
    <w:rsid w:val="00803543"/>
    <w:rsid w:val="0080391F"/>
    <w:rsid w:val="008053F0"/>
    <w:rsid w:val="008062E8"/>
    <w:rsid w:val="00806713"/>
    <w:rsid w:val="008067AA"/>
    <w:rsid w:val="00806C01"/>
    <w:rsid w:val="00806F1F"/>
    <w:rsid w:val="00807E82"/>
    <w:rsid w:val="00810919"/>
    <w:rsid w:val="00810AD3"/>
    <w:rsid w:val="00810B35"/>
    <w:rsid w:val="008115F8"/>
    <w:rsid w:val="00811CD5"/>
    <w:rsid w:val="00812196"/>
    <w:rsid w:val="008148CC"/>
    <w:rsid w:val="00815E47"/>
    <w:rsid w:val="00817A6C"/>
    <w:rsid w:val="00820408"/>
    <w:rsid w:val="00820A48"/>
    <w:rsid w:val="00820C76"/>
    <w:rsid w:val="008210AB"/>
    <w:rsid w:val="008211A4"/>
    <w:rsid w:val="00821828"/>
    <w:rsid w:val="00822DDA"/>
    <w:rsid w:val="008238A7"/>
    <w:rsid w:val="00824694"/>
    <w:rsid w:val="008250A5"/>
    <w:rsid w:val="008250CE"/>
    <w:rsid w:val="00825EC7"/>
    <w:rsid w:val="008266C5"/>
    <w:rsid w:val="00827041"/>
    <w:rsid w:val="00827D84"/>
    <w:rsid w:val="00830790"/>
    <w:rsid w:val="0083097C"/>
    <w:rsid w:val="00831D75"/>
    <w:rsid w:val="00831E27"/>
    <w:rsid w:val="0083335F"/>
    <w:rsid w:val="008338CE"/>
    <w:rsid w:val="008339E9"/>
    <w:rsid w:val="00833DD1"/>
    <w:rsid w:val="0083410E"/>
    <w:rsid w:val="00836236"/>
    <w:rsid w:val="00836D08"/>
    <w:rsid w:val="00837AE5"/>
    <w:rsid w:val="00837ECA"/>
    <w:rsid w:val="00842DB6"/>
    <w:rsid w:val="00843AB0"/>
    <w:rsid w:val="00843B8C"/>
    <w:rsid w:val="00844822"/>
    <w:rsid w:val="00845646"/>
    <w:rsid w:val="00846441"/>
    <w:rsid w:val="0084693A"/>
    <w:rsid w:val="00846C96"/>
    <w:rsid w:val="00847191"/>
    <w:rsid w:val="0084753A"/>
    <w:rsid w:val="00847625"/>
    <w:rsid w:val="00850537"/>
    <w:rsid w:val="00851E26"/>
    <w:rsid w:val="00853271"/>
    <w:rsid w:val="00853D12"/>
    <w:rsid w:val="0085453C"/>
    <w:rsid w:val="00854CC2"/>
    <w:rsid w:val="00857C79"/>
    <w:rsid w:val="00860647"/>
    <w:rsid w:val="008609A4"/>
    <w:rsid w:val="00860FD3"/>
    <w:rsid w:val="00862368"/>
    <w:rsid w:val="008635A5"/>
    <w:rsid w:val="00863E90"/>
    <w:rsid w:val="00863F06"/>
    <w:rsid w:val="008641A7"/>
    <w:rsid w:val="00866744"/>
    <w:rsid w:val="0086726C"/>
    <w:rsid w:val="00867769"/>
    <w:rsid w:val="008677E8"/>
    <w:rsid w:val="00867F70"/>
    <w:rsid w:val="0087063F"/>
    <w:rsid w:val="008706CA"/>
    <w:rsid w:val="00870D60"/>
    <w:rsid w:val="008710B6"/>
    <w:rsid w:val="0087162F"/>
    <w:rsid w:val="0087225E"/>
    <w:rsid w:val="00872B5F"/>
    <w:rsid w:val="00873150"/>
    <w:rsid w:val="0087657D"/>
    <w:rsid w:val="00876899"/>
    <w:rsid w:val="00876D92"/>
    <w:rsid w:val="00877692"/>
    <w:rsid w:val="00877EEC"/>
    <w:rsid w:val="0088029B"/>
    <w:rsid w:val="008807D5"/>
    <w:rsid w:val="00880832"/>
    <w:rsid w:val="00881D6B"/>
    <w:rsid w:val="00883FC0"/>
    <w:rsid w:val="00884A54"/>
    <w:rsid w:val="00885E65"/>
    <w:rsid w:val="00885E90"/>
    <w:rsid w:val="00886EE1"/>
    <w:rsid w:val="00887118"/>
    <w:rsid w:val="0088727D"/>
    <w:rsid w:val="008874A7"/>
    <w:rsid w:val="00887574"/>
    <w:rsid w:val="008875B6"/>
    <w:rsid w:val="00890E8D"/>
    <w:rsid w:val="008928EA"/>
    <w:rsid w:val="00893011"/>
    <w:rsid w:val="008949DE"/>
    <w:rsid w:val="00894ABB"/>
    <w:rsid w:val="0089543C"/>
    <w:rsid w:val="00895843"/>
    <w:rsid w:val="00895C2F"/>
    <w:rsid w:val="008961B4"/>
    <w:rsid w:val="00896FD1"/>
    <w:rsid w:val="0089745A"/>
    <w:rsid w:val="00897C75"/>
    <w:rsid w:val="008A01D4"/>
    <w:rsid w:val="008A0A72"/>
    <w:rsid w:val="008A0DCF"/>
    <w:rsid w:val="008A1859"/>
    <w:rsid w:val="008A26CB"/>
    <w:rsid w:val="008A270B"/>
    <w:rsid w:val="008A3A97"/>
    <w:rsid w:val="008A3DF7"/>
    <w:rsid w:val="008A4270"/>
    <w:rsid w:val="008A5096"/>
    <w:rsid w:val="008A54AC"/>
    <w:rsid w:val="008A6D54"/>
    <w:rsid w:val="008B0808"/>
    <w:rsid w:val="008B171F"/>
    <w:rsid w:val="008B3BC1"/>
    <w:rsid w:val="008B4100"/>
    <w:rsid w:val="008B5B56"/>
    <w:rsid w:val="008B6463"/>
    <w:rsid w:val="008B694B"/>
    <w:rsid w:val="008B6995"/>
    <w:rsid w:val="008B69D5"/>
    <w:rsid w:val="008B7183"/>
    <w:rsid w:val="008B78B2"/>
    <w:rsid w:val="008B7BF6"/>
    <w:rsid w:val="008C1130"/>
    <w:rsid w:val="008C129E"/>
    <w:rsid w:val="008C2174"/>
    <w:rsid w:val="008C2771"/>
    <w:rsid w:val="008C2854"/>
    <w:rsid w:val="008C36F8"/>
    <w:rsid w:val="008C532E"/>
    <w:rsid w:val="008C5A0B"/>
    <w:rsid w:val="008C5A29"/>
    <w:rsid w:val="008C5C8A"/>
    <w:rsid w:val="008C5E9F"/>
    <w:rsid w:val="008C7129"/>
    <w:rsid w:val="008D00C4"/>
    <w:rsid w:val="008D0BA7"/>
    <w:rsid w:val="008D14D6"/>
    <w:rsid w:val="008D18E6"/>
    <w:rsid w:val="008D18ED"/>
    <w:rsid w:val="008D1C79"/>
    <w:rsid w:val="008D1F14"/>
    <w:rsid w:val="008D32AC"/>
    <w:rsid w:val="008D3AF6"/>
    <w:rsid w:val="008D3F48"/>
    <w:rsid w:val="008D4A0E"/>
    <w:rsid w:val="008D55D4"/>
    <w:rsid w:val="008D5BD1"/>
    <w:rsid w:val="008D7A9B"/>
    <w:rsid w:val="008E0060"/>
    <w:rsid w:val="008E03CE"/>
    <w:rsid w:val="008E0A4E"/>
    <w:rsid w:val="008E10EC"/>
    <w:rsid w:val="008E11A3"/>
    <w:rsid w:val="008E1AB3"/>
    <w:rsid w:val="008E2C7D"/>
    <w:rsid w:val="008E394A"/>
    <w:rsid w:val="008E4ACE"/>
    <w:rsid w:val="008E4CB4"/>
    <w:rsid w:val="008E69D3"/>
    <w:rsid w:val="008E7091"/>
    <w:rsid w:val="008E76AC"/>
    <w:rsid w:val="008E7998"/>
    <w:rsid w:val="008F02D0"/>
    <w:rsid w:val="008F09F9"/>
    <w:rsid w:val="008F0DBA"/>
    <w:rsid w:val="008F10AB"/>
    <w:rsid w:val="008F21F6"/>
    <w:rsid w:val="008F25E5"/>
    <w:rsid w:val="008F2A1F"/>
    <w:rsid w:val="008F2A78"/>
    <w:rsid w:val="008F30AF"/>
    <w:rsid w:val="008F5399"/>
    <w:rsid w:val="008F54B8"/>
    <w:rsid w:val="008F5AC0"/>
    <w:rsid w:val="008F66AF"/>
    <w:rsid w:val="008F7072"/>
    <w:rsid w:val="008F7D3E"/>
    <w:rsid w:val="00900686"/>
    <w:rsid w:val="00902BDE"/>
    <w:rsid w:val="00902EA1"/>
    <w:rsid w:val="00903389"/>
    <w:rsid w:val="00903832"/>
    <w:rsid w:val="00904800"/>
    <w:rsid w:val="0090517F"/>
    <w:rsid w:val="009066D6"/>
    <w:rsid w:val="00907EBC"/>
    <w:rsid w:val="0091022A"/>
    <w:rsid w:val="00910780"/>
    <w:rsid w:val="00910E87"/>
    <w:rsid w:val="00910F9E"/>
    <w:rsid w:val="00913484"/>
    <w:rsid w:val="00913DD9"/>
    <w:rsid w:val="009140F3"/>
    <w:rsid w:val="009140FD"/>
    <w:rsid w:val="00914153"/>
    <w:rsid w:val="00914455"/>
    <w:rsid w:val="00916339"/>
    <w:rsid w:val="00916780"/>
    <w:rsid w:val="00916E1A"/>
    <w:rsid w:val="00917010"/>
    <w:rsid w:val="00917CA0"/>
    <w:rsid w:val="0091C3F9"/>
    <w:rsid w:val="00920D44"/>
    <w:rsid w:val="00921501"/>
    <w:rsid w:val="00921DA5"/>
    <w:rsid w:val="0092218A"/>
    <w:rsid w:val="0092236D"/>
    <w:rsid w:val="00922402"/>
    <w:rsid w:val="009225BE"/>
    <w:rsid w:val="009242CC"/>
    <w:rsid w:val="009250A9"/>
    <w:rsid w:val="00925748"/>
    <w:rsid w:val="00926C07"/>
    <w:rsid w:val="00927C94"/>
    <w:rsid w:val="00927DA4"/>
    <w:rsid w:val="009349E7"/>
    <w:rsid w:val="009351B7"/>
    <w:rsid w:val="009351FA"/>
    <w:rsid w:val="009354A7"/>
    <w:rsid w:val="00936594"/>
    <w:rsid w:val="00937382"/>
    <w:rsid w:val="009375CF"/>
    <w:rsid w:val="00937ACE"/>
    <w:rsid w:val="00937AD3"/>
    <w:rsid w:val="00940AB2"/>
    <w:rsid w:val="009410E8"/>
    <w:rsid w:val="0094119E"/>
    <w:rsid w:val="0094181D"/>
    <w:rsid w:val="00941D1F"/>
    <w:rsid w:val="00942D30"/>
    <w:rsid w:val="00942EB8"/>
    <w:rsid w:val="009430E3"/>
    <w:rsid w:val="00943B72"/>
    <w:rsid w:val="009443BE"/>
    <w:rsid w:val="009448F0"/>
    <w:rsid w:val="009449FB"/>
    <w:rsid w:val="00945386"/>
    <w:rsid w:val="00945518"/>
    <w:rsid w:val="00946646"/>
    <w:rsid w:val="00947533"/>
    <w:rsid w:val="00947737"/>
    <w:rsid w:val="00947F40"/>
    <w:rsid w:val="00950EDD"/>
    <w:rsid w:val="00951361"/>
    <w:rsid w:val="00951B2F"/>
    <w:rsid w:val="00951F79"/>
    <w:rsid w:val="009522A8"/>
    <w:rsid w:val="009535CE"/>
    <w:rsid w:val="009538AC"/>
    <w:rsid w:val="00954306"/>
    <w:rsid w:val="009545A7"/>
    <w:rsid w:val="0095465E"/>
    <w:rsid w:val="00955B3F"/>
    <w:rsid w:val="0095654F"/>
    <w:rsid w:val="00956AC4"/>
    <w:rsid w:val="00957730"/>
    <w:rsid w:val="0096049A"/>
    <w:rsid w:val="00960B9B"/>
    <w:rsid w:val="00960EA0"/>
    <w:rsid w:val="00963185"/>
    <w:rsid w:val="009635B2"/>
    <w:rsid w:val="0096368D"/>
    <w:rsid w:val="00963AA9"/>
    <w:rsid w:val="009651C2"/>
    <w:rsid w:val="00965415"/>
    <w:rsid w:val="00965D41"/>
    <w:rsid w:val="009700A0"/>
    <w:rsid w:val="009701ED"/>
    <w:rsid w:val="009706DC"/>
    <w:rsid w:val="009709A7"/>
    <w:rsid w:val="00970B59"/>
    <w:rsid w:val="00971492"/>
    <w:rsid w:val="00972D85"/>
    <w:rsid w:val="00973557"/>
    <w:rsid w:val="00974AB5"/>
    <w:rsid w:val="009753DB"/>
    <w:rsid w:val="00975D1F"/>
    <w:rsid w:val="009762E4"/>
    <w:rsid w:val="0097695C"/>
    <w:rsid w:val="00977F54"/>
    <w:rsid w:val="009805A8"/>
    <w:rsid w:val="009805CF"/>
    <w:rsid w:val="009805FA"/>
    <w:rsid w:val="0098146D"/>
    <w:rsid w:val="009814C0"/>
    <w:rsid w:val="009816A9"/>
    <w:rsid w:val="00982D72"/>
    <w:rsid w:val="00982F2D"/>
    <w:rsid w:val="00983833"/>
    <w:rsid w:val="00984A37"/>
    <w:rsid w:val="00984CAC"/>
    <w:rsid w:val="00985944"/>
    <w:rsid w:val="0098634D"/>
    <w:rsid w:val="00986958"/>
    <w:rsid w:val="0098706D"/>
    <w:rsid w:val="00990813"/>
    <w:rsid w:val="0099116C"/>
    <w:rsid w:val="00993022"/>
    <w:rsid w:val="00993220"/>
    <w:rsid w:val="0099331D"/>
    <w:rsid w:val="009935FB"/>
    <w:rsid w:val="00993A57"/>
    <w:rsid w:val="00995BEC"/>
    <w:rsid w:val="00995F37"/>
    <w:rsid w:val="00996C6C"/>
    <w:rsid w:val="009A07A3"/>
    <w:rsid w:val="009A0826"/>
    <w:rsid w:val="009A15D4"/>
    <w:rsid w:val="009A1CAA"/>
    <w:rsid w:val="009A29C9"/>
    <w:rsid w:val="009A3504"/>
    <w:rsid w:val="009A71C9"/>
    <w:rsid w:val="009A7527"/>
    <w:rsid w:val="009A7B73"/>
    <w:rsid w:val="009B0CB7"/>
    <w:rsid w:val="009B0FBB"/>
    <w:rsid w:val="009B16C0"/>
    <w:rsid w:val="009B23EF"/>
    <w:rsid w:val="009B2F67"/>
    <w:rsid w:val="009B4866"/>
    <w:rsid w:val="009B5DAE"/>
    <w:rsid w:val="009B61F5"/>
    <w:rsid w:val="009C09E2"/>
    <w:rsid w:val="009C0A5B"/>
    <w:rsid w:val="009C163C"/>
    <w:rsid w:val="009C25CC"/>
    <w:rsid w:val="009C2608"/>
    <w:rsid w:val="009C4E55"/>
    <w:rsid w:val="009C50EF"/>
    <w:rsid w:val="009C68DD"/>
    <w:rsid w:val="009C7C35"/>
    <w:rsid w:val="009D0A95"/>
    <w:rsid w:val="009D0BF8"/>
    <w:rsid w:val="009D1053"/>
    <w:rsid w:val="009D15B5"/>
    <w:rsid w:val="009D31A7"/>
    <w:rsid w:val="009D3305"/>
    <w:rsid w:val="009D3CAF"/>
    <w:rsid w:val="009D42B2"/>
    <w:rsid w:val="009D5309"/>
    <w:rsid w:val="009D6790"/>
    <w:rsid w:val="009D7802"/>
    <w:rsid w:val="009D7AD7"/>
    <w:rsid w:val="009E0449"/>
    <w:rsid w:val="009E16ED"/>
    <w:rsid w:val="009E2848"/>
    <w:rsid w:val="009E46F8"/>
    <w:rsid w:val="009E4742"/>
    <w:rsid w:val="009E63D1"/>
    <w:rsid w:val="009E6AD3"/>
    <w:rsid w:val="009E6DF8"/>
    <w:rsid w:val="009E7258"/>
    <w:rsid w:val="009E7E28"/>
    <w:rsid w:val="009F0BC3"/>
    <w:rsid w:val="009F2073"/>
    <w:rsid w:val="009F252F"/>
    <w:rsid w:val="009F319D"/>
    <w:rsid w:val="009F3DB4"/>
    <w:rsid w:val="009F46FB"/>
    <w:rsid w:val="009F4A13"/>
    <w:rsid w:val="009F4A54"/>
    <w:rsid w:val="009F4BEC"/>
    <w:rsid w:val="009F5874"/>
    <w:rsid w:val="009F5937"/>
    <w:rsid w:val="009F59C9"/>
    <w:rsid w:val="009F5F4B"/>
    <w:rsid w:val="009F6992"/>
    <w:rsid w:val="009F6D9E"/>
    <w:rsid w:val="009F7653"/>
    <w:rsid w:val="009F7792"/>
    <w:rsid w:val="009F7DFE"/>
    <w:rsid w:val="00A00D24"/>
    <w:rsid w:val="00A03159"/>
    <w:rsid w:val="00A03168"/>
    <w:rsid w:val="00A03C24"/>
    <w:rsid w:val="00A03EEA"/>
    <w:rsid w:val="00A0427B"/>
    <w:rsid w:val="00A05011"/>
    <w:rsid w:val="00A055CD"/>
    <w:rsid w:val="00A0613F"/>
    <w:rsid w:val="00A06D92"/>
    <w:rsid w:val="00A06E70"/>
    <w:rsid w:val="00A1378A"/>
    <w:rsid w:val="00A138AC"/>
    <w:rsid w:val="00A14098"/>
    <w:rsid w:val="00A14BDF"/>
    <w:rsid w:val="00A15134"/>
    <w:rsid w:val="00A16775"/>
    <w:rsid w:val="00A16FF0"/>
    <w:rsid w:val="00A1717D"/>
    <w:rsid w:val="00A206D5"/>
    <w:rsid w:val="00A209C3"/>
    <w:rsid w:val="00A217F6"/>
    <w:rsid w:val="00A21D8D"/>
    <w:rsid w:val="00A22420"/>
    <w:rsid w:val="00A22A8D"/>
    <w:rsid w:val="00A233DD"/>
    <w:rsid w:val="00A23BF2"/>
    <w:rsid w:val="00A23CF8"/>
    <w:rsid w:val="00A24575"/>
    <w:rsid w:val="00A252A7"/>
    <w:rsid w:val="00A25FD7"/>
    <w:rsid w:val="00A27D01"/>
    <w:rsid w:val="00A320B5"/>
    <w:rsid w:val="00A325EF"/>
    <w:rsid w:val="00A32968"/>
    <w:rsid w:val="00A33283"/>
    <w:rsid w:val="00A33EC9"/>
    <w:rsid w:val="00A34717"/>
    <w:rsid w:val="00A361CF"/>
    <w:rsid w:val="00A37CFB"/>
    <w:rsid w:val="00A40E96"/>
    <w:rsid w:val="00A42277"/>
    <w:rsid w:val="00A431B1"/>
    <w:rsid w:val="00A43AFF"/>
    <w:rsid w:val="00A44651"/>
    <w:rsid w:val="00A45CB6"/>
    <w:rsid w:val="00A45D68"/>
    <w:rsid w:val="00A45DED"/>
    <w:rsid w:val="00A46737"/>
    <w:rsid w:val="00A46BE8"/>
    <w:rsid w:val="00A5018D"/>
    <w:rsid w:val="00A51EFB"/>
    <w:rsid w:val="00A52B9D"/>
    <w:rsid w:val="00A52BA4"/>
    <w:rsid w:val="00A541FE"/>
    <w:rsid w:val="00A54C10"/>
    <w:rsid w:val="00A551ED"/>
    <w:rsid w:val="00A55A2D"/>
    <w:rsid w:val="00A56691"/>
    <w:rsid w:val="00A56FC1"/>
    <w:rsid w:val="00A57AC1"/>
    <w:rsid w:val="00A60D6B"/>
    <w:rsid w:val="00A61702"/>
    <w:rsid w:val="00A61C0B"/>
    <w:rsid w:val="00A62293"/>
    <w:rsid w:val="00A6345F"/>
    <w:rsid w:val="00A639F2"/>
    <w:rsid w:val="00A645B5"/>
    <w:rsid w:val="00A64F85"/>
    <w:rsid w:val="00A65EBD"/>
    <w:rsid w:val="00A668E9"/>
    <w:rsid w:val="00A6755E"/>
    <w:rsid w:val="00A6794C"/>
    <w:rsid w:val="00A67E0E"/>
    <w:rsid w:val="00A717B2"/>
    <w:rsid w:val="00A73AB6"/>
    <w:rsid w:val="00A74178"/>
    <w:rsid w:val="00A7443C"/>
    <w:rsid w:val="00A74E54"/>
    <w:rsid w:val="00A7597D"/>
    <w:rsid w:val="00A7715E"/>
    <w:rsid w:val="00A7793A"/>
    <w:rsid w:val="00A84225"/>
    <w:rsid w:val="00A850C4"/>
    <w:rsid w:val="00A853C8"/>
    <w:rsid w:val="00A856C3"/>
    <w:rsid w:val="00A87042"/>
    <w:rsid w:val="00A90DCA"/>
    <w:rsid w:val="00A90F8E"/>
    <w:rsid w:val="00A92E5C"/>
    <w:rsid w:val="00A9342B"/>
    <w:rsid w:val="00A949F0"/>
    <w:rsid w:val="00A94A0A"/>
    <w:rsid w:val="00A950B3"/>
    <w:rsid w:val="00A955D9"/>
    <w:rsid w:val="00A96408"/>
    <w:rsid w:val="00A9796F"/>
    <w:rsid w:val="00AA18E0"/>
    <w:rsid w:val="00AA1F69"/>
    <w:rsid w:val="00AA2B6B"/>
    <w:rsid w:val="00AA3C88"/>
    <w:rsid w:val="00AA4CC7"/>
    <w:rsid w:val="00AA52E5"/>
    <w:rsid w:val="00AA5E8E"/>
    <w:rsid w:val="00AA753E"/>
    <w:rsid w:val="00AA7FEA"/>
    <w:rsid w:val="00AB07CD"/>
    <w:rsid w:val="00AB1DB7"/>
    <w:rsid w:val="00AB1E24"/>
    <w:rsid w:val="00AB29CB"/>
    <w:rsid w:val="00AB2BAD"/>
    <w:rsid w:val="00AB32B3"/>
    <w:rsid w:val="00AB454B"/>
    <w:rsid w:val="00AB48E0"/>
    <w:rsid w:val="00AB4BDF"/>
    <w:rsid w:val="00AB5828"/>
    <w:rsid w:val="00AB6CA7"/>
    <w:rsid w:val="00AB6F9D"/>
    <w:rsid w:val="00AC13F3"/>
    <w:rsid w:val="00AC18A8"/>
    <w:rsid w:val="00AC24FF"/>
    <w:rsid w:val="00AC274A"/>
    <w:rsid w:val="00AC2B62"/>
    <w:rsid w:val="00AC2CB1"/>
    <w:rsid w:val="00AC37B4"/>
    <w:rsid w:val="00AC47A9"/>
    <w:rsid w:val="00AC5883"/>
    <w:rsid w:val="00AC5951"/>
    <w:rsid w:val="00AC78CC"/>
    <w:rsid w:val="00AD01E4"/>
    <w:rsid w:val="00AD0858"/>
    <w:rsid w:val="00AD0A0B"/>
    <w:rsid w:val="00AD1379"/>
    <w:rsid w:val="00AD17B7"/>
    <w:rsid w:val="00AD33C5"/>
    <w:rsid w:val="00AD3930"/>
    <w:rsid w:val="00AD45EB"/>
    <w:rsid w:val="00AD4A73"/>
    <w:rsid w:val="00AD4F72"/>
    <w:rsid w:val="00AD5E29"/>
    <w:rsid w:val="00AD64C8"/>
    <w:rsid w:val="00AD7DD0"/>
    <w:rsid w:val="00AD7E1F"/>
    <w:rsid w:val="00AE02E3"/>
    <w:rsid w:val="00AE08B3"/>
    <w:rsid w:val="00AE215E"/>
    <w:rsid w:val="00AE2A2A"/>
    <w:rsid w:val="00AE2F6C"/>
    <w:rsid w:val="00AE31EA"/>
    <w:rsid w:val="00AE5A53"/>
    <w:rsid w:val="00AE7340"/>
    <w:rsid w:val="00AE7B1A"/>
    <w:rsid w:val="00AF09A9"/>
    <w:rsid w:val="00AF17B7"/>
    <w:rsid w:val="00AF1BBD"/>
    <w:rsid w:val="00AF3448"/>
    <w:rsid w:val="00AF66B3"/>
    <w:rsid w:val="00AF6B38"/>
    <w:rsid w:val="00AF7101"/>
    <w:rsid w:val="00AF748A"/>
    <w:rsid w:val="00AF765E"/>
    <w:rsid w:val="00AF7A4A"/>
    <w:rsid w:val="00AF7DC8"/>
    <w:rsid w:val="00AF7F4C"/>
    <w:rsid w:val="00B00317"/>
    <w:rsid w:val="00B0044D"/>
    <w:rsid w:val="00B0059E"/>
    <w:rsid w:val="00B01A93"/>
    <w:rsid w:val="00B02671"/>
    <w:rsid w:val="00B03096"/>
    <w:rsid w:val="00B03356"/>
    <w:rsid w:val="00B03CE5"/>
    <w:rsid w:val="00B046CB"/>
    <w:rsid w:val="00B04B07"/>
    <w:rsid w:val="00B0674E"/>
    <w:rsid w:val="00B10207"/>
    <w:rsid w:val="00B1037D"/>
    <w:rsid w:val="00B10A12"/>
    <w:rsid w:val="00B11B44"/>
    <w:rsid w:val="00B1264B"/>
    <w:rsid w:val="00B12B5F"/>
    <w:rsid w:val="00B132C5"/>
    <w:rsid w:val="00B138BF"/>
    <w:rsid w:val="00B13CA2"/>
    <w:rsid w:val="00B141E7"/>
    <w:rsid w:val="00B1505B"/>
    <w:rsid w:val="00B16E29"/>
    <w:rsid w:val="00B203A3"/>
    <w:rsid w:val="00B2049E"/>
    <w:rsid w:val="00B206EE"/>
    <w:rsid w:val="00B2121C"/>
    <w:rsid w:val="00B22839"/>
    <w:rsid w:val="00B22B67"/>
    <w:rsid w:val="00B237EF"/>
    <w:rsid w:val="00B2435B"/>
    <w:rsid w:val="00B25FB8"/>
    <w:rsid w:val="00B26177"/>
    <w:rsid w:val="00B26BAC"/>
    <w:rsid w:val="00B276FB"/>
    <w:rsid w:val="00B27A72"/>
    <w:rsid w:val="00B307BD"/>
    <w:rsid w:val="00B32F89"/>
    <w:rsid w:val="00B33642"/>
    <w:rsid w:val="00B3420C"/>
    <w:rsid w:val="00B34A7A"/>
    <w:rsid w:val="00B34F9B"/>
    <w:rsid w:val="00B3511C"/>
    <w:rsid w:val="00B351B4"/>
    <w:rsid w:val="00B352FC"/>
    <w:rsid w:val="00B35EDD"/>
    <w:rsid w:val="00B36139"/>
    <w:rsid w:val="00B367AE"/>
    <w:rsid w:val="00B3689F"/>
    <w:rsid w:val="00B36AEA"/>
    <w:rsid w:val="00B37316"/>
    <w:rsid w:val="00B374DF"/>
    <w:rsid w:val="00B4049E"/>
    <w:rsid w:val="00B410DD"/>
    <w:rsid w:val="00B41391"/>
    <w:rsid w:val="00B426AE"/>
    <w:rsid w:val="00B44279"/>
    <w:rsid w:val="00B44BC1"/>
    <w:rsid w:val="00B46BCA"/>
    <w:rsid w:val="00B478AA"/>
    <w:rsid w:val="00B50AEB"/>
    <w:rsid w:val="00B50F64"/>
    <w:rsid w:val="00B51739"/>
    <w:rsid w:val="00B526DC"/>
    <w:rsid w:val="00B53376"/>
    <w:rsid w:val="00B53899"/>
    <w:rsid w:val="00B53E3D"/>
    <w:rsid w:val="00B54A09"/>
    <w:rsid w:val="00B54FE2"/>
    <w:rsid w:val="00B55427"/>
    <w:rsid w:val="00B55556"/>
    <w:rsid w:val="00B555CC"/>
    <w:rsid w:val="00B55A86"/>
    <w:rsid w:val="00B56561"/>
    <w:rsid w:val="00B56B38"/>
    <w:rsid w:val="00B576AE"/>
    <w:rsid w:val="00B60777"/>
    <w:rsid w:val="00B6090B"/>
    <w:rsid w:val="00B61844"/>
    <w:rsid w:val="00B62468"/>
    <w:rsid w:val="00B64D3C"/>
    <w:rsid w:val="00B65AC9"/>
    <w:rsid w:val="00B66F20"/>
    <w:rsid w:val="00B6766F"/>
    <w:rsid w:val="00B679D6"/>
    <w:rsid w:val="00B67A6F"/>
    <w:rsid w:val="00B70F58"/>
    <w:rsid w:val="00B71352"/>
    <w:rsid w:val="00B73134"/>
    <w:rsid w:val="00B76119"/>
    <w:rsid w:val="00B80F49"/>
    <w:rsid w:val="00B8124D"/>
    <w:rsid w:val="00B81932"/>
    <w:rsid w:val="00B81967"/>
    <w:rsid w:val="00B81CE1"/>
    <w:rsid w:val="00B825F3"/>
    <w:rsid w:val="00B8286D"/>
    <w:rsid w:val="00B83F85"/>
    <w:rsid w:val="00B86580"/>
    <w:rsid w:val="00B866E1"/>
    <w:rsid w:val="00B86D18"/>
    <w:rsid w:val="00B86DBF"/>
    <w:rsid w:val="00B86DC9"/>
    <w:rsid w:val="00B8756C"/>
    <w:rsid w:val="00B87806"/>
    <w:rsid w:val="00B87EC9"/>
    <w:rsid w:val="00B90317"/>
    <w:rsid w:val="00B90942"/>
    <w:rsid w:val="00B90D58"/>
    <w:rsid w:val="00B91043"/>
    <w:rsid w:val="00B9225F"/>
    <w:rsid w:val="00B92DF0"/>
    <w:rsid w:val="00B93325"/>
    <w:rsid w:val="00B94E9C"/>
    <w:rsid w:val="00B95553"/>
    <w:rsid w:val="00B9680E"/>
    <w:rsid w:val="00B96BD5"/>
    <w:rsid w:val="00B97227"/>
    <w:rsid w:val="00B97FEA"/>
    <w:rsid w:val="00BA0475"/>
    <w:rsid w:val="00BA0A10"/>
    <w:rsid w:val="00BA0B8E"/>
    <w:rsid w:val="00BA0D4B"/>
    <w:rsid w:val="00BA12D1"/>
    <w:rsid w:val="00BA1563"/>
    <w:rsid w:val="00BA223D"/>
    <w:rsid w:val="00BA2AD5"/>
    <w:rsid w:val="00BA2B2B"/>
    <w:rsid w:val="00BA369F"/>
    <w:rsid w:val="00BA4746"/>
    <w:rsid w:val="00BA5916"/>
    <w:rsid w:val="00BA593F"/>
    <w:rsid w:val="00BA5ACC"/>
    <w:rsid w:val="00BA5EC3"/>
    <w:rsid w:val="00BA5F2C"/>
    <w:rsid w:val="00BA6F4F"/>
    <w:rsid w:val="00BA70B3"/>
    <w:rsid w:val="00BA74C0"/>
    <w:rsid w:val="00BB041D"/>
    <w:rsid w:val="00BB08AE"/>
    <w:rsid w:val="00BB09D5"/>
    <w:rsid w:val="00BB4710"/>
    <w:rsid w:val="00BB48BE"/>
    <w:rsid w:val="00BB4AAD"/>
    <w:rsid w:val="00BB5273"/>
    <w:rsid w:val="00BB5ACE"/>
    <w:rsid w:val="00BB6C12"/>
    <w:rsid w:val="00BB6FF6"/>
    <w:rsid w:val="00BB7F13"/>
    <w:rsid w:val="00BC1479"/>
    <w:rsid w:val="00BC38FD"/>
    <w:rsid w:val="00BC3B07"/>
    <w:rsid w:val="00BC48FF"/>
    <w:rsid w:val="00BC5072"/>
    <w:rsid w:val="00BC5447"/>
    <w:rsid w:val="00BC59DC"/>
    <w:rsid w:val="00BC5BF6"/>
    <w:rsid w:val="00BC61E2"/>
    <w:rsid w:val="00BC7184"/>
    <w:rsid w:val="00BC7BBE"/>
    <w:rsid w:val="00BD0448"/>
    <w:rsid w:val="00BD15B7"/>
    <w:rsid w:val="00BD1D21"/>
    <w:rsid w:val="00BD2C78"/>
    <w:rsid w:val="00BD2E43"/>
    <w:rsid w:val="00BD3C65"/>
    <w:rsid w:val="00BD666F"/>
    <w:rsid w:val="00BD7733"/>
    <w:rsid w:val="00BE0DFF"/>
    <w:rsid w:val="00BE1AC3"/>
    <w:rsid w:val="00BE22B6"/>
    <w:rsid w:val="00BE22F8"/>
    <w:rsid w:val="00BE4FAA"/>
    <w:rsid w:val="00BE572D"/>
    <w:rsid w:val="00BE57F5"/>
    <w:rsid w:val="00BE5885"/>
    <w:rsid w:val="00BE5CD4"/>
    <w:rsid w:val="00BF1833"/>
    <w:rsid w:val="00BF1BCA"/>
    <w:rsid w:val="00BF2252"/>
    <w:rsid w:val="00BF263C"/>
    <w:rsid w:val="00BF31F9"/>
    <w:rsid w:val="00BF3A9D"/>
    <w:rsid w:val="00BF3D6F"/>
    <w:rsid w:val="00BF4383"/>
    <w:rsid w:val="00BF4950"/>
    <w:rsid w:val="00BF5BFF"/>
    <w:rsid w:val="00C007FE"/>
    <w:rsid w:val="00C0083E"/>
    <w:rsid w:val="00C00C5C"/>
    <w:rsid w:val="00C00FDA"/>
    <w:rsid w:val="00C02D58"/>
    <w:rsid w:val="00C03197"/>
    <w:rsid w:val="00C034CB"/>
    <w:rsid w:val="00C03EC8"/>
    <w:rsid w:val="00C043D1"/>
    <w:rsid w:val="00C04581"/>
    <w:rsid w:val="00C04854"/>
    <w:rsid w:val="00C051A8"/>
    <w:rsid w:val="00C05495"/>
    <w:rsid w:val="00C054BC"/>
    <w:rsid w:val="00C06184"/>
    <w:rsid w:val="00C06254"/>
    <w:rsid w:val="00C06414"/>
    <w:rsid w:val="00C06E2A"/>
    <w:rsid w:val="00C07899"/>
    <w:rsid w:val="00C103DF"/>
    <w:rsid w:val="00C10DD5"/>
    <w:rsid w:val="00C1467D"/>
    <w:rsid w:val="00C1613F"/>
    <w:rsid w:val="00C17129"/>
    <w:rsid w:val="00C1740E"/>
    <w:rsid w:val="00C17897"/>
    <w:rsid w:val="00C17901"/>
    <w:rsid w:val="00C21800"/>
    <w:rsid w:val="00C2314E"/>
    <w:rsid w:val="00C2350C"/>
    <w:rsid w:val="00C23FE1"/>
    <w:rsid w:val="00C24302"/>
    <w:rsid w:val="00C243F1"/>
    <w:rsid w:val="00C248D1"/>
    <w:rsid w:val="00C261E0"/>
    <w:rsid w:val="00C26770"/>
    <w:rsid w:val="00C27D36"/>
    <w:rsid w:val="00C30CFB"/>
    <w:rsid w:val="00C313C6"/>
    <w:rsid w:val="00C31EBC"/>
    <w:rsid w:val="00C3376C"/>
    <w:rsid w:val="00C34CC0"/>
    <w:rsid w:val="00C3513F"/>
    <w:rsid w:val="00C35D2A"/>
    <w:rsid w:val="00C35E7A"/>
    <w:rsid w:val="00C360B9"/>
    <w:rsid w:val="00C36939"/>
    <w:rsid w:val="00C373C8"/>
    <w:rsid w:val="00C37A78"/>
    <w:rsid w:val="00C402E3"/>
    <w:rsid w:val="00C409D5"/>
    <w:rsid w:val="00C40A42"/>
    <w:rsid w:val="00C41343"/>
    <w:rsid w:val="00C42740"/>
    <w:rsid w:val="00C42CFC"/>
    <w:rsid w:val="00C42D39"/>
    <w:rsid w:val="00C42D79"/>
    <w:rsid w:val="00C43597"/>
    <w:rsid w:val="00C435C3"/>
    <w:rsid w:val="00C4498B"/>
    <w:rsid w:val="00C44E5F"/>
    <w:rsid w:val="00C45E09"/>
    <w:rsid w:val="00C47FA1"/>
    <w:rsid w:val="00C50C22"/>
    <w:rsid w:val="00C51667"/>
    <w:rsid w:val="00C51AAB"/>
    <w:rsid w:val="00C51B7C"/>
    <w:rsid w:val="00C5283F"/>
    <w:rsid w:val="00C53415"/>
    <w:rsid w:val="00C54ADA"/>
    <w:rsid w:val="00C54BB4"/>
    <w:rsid w:val="00C5560A"/>
    <w:rsid w:val="00C55B92"/>
    <w:rsid w:val="00C55F46"/>
    <w:rsid w:val="00C56754"/>
    <w:rsid w:val="00C56867"/>
    <w:rsid w:val="00C603EE"/>
    <w:rsid w:val="00C60B4F"/>
    <w:rsid w:val="00C60D01"/>
    <w:rsid w:val="00C61106"/>
    <w:rsid w:val="00C6234B"/>
    <w:rsid w:val="00C6313B"/>
    <w:rsid w:val="00C631F5"/>
    <w:rsid w:val="00C63B5A"/>
    <w:rsid w:val="00C63EAE"/>
    <w:rsid w:val="00C64221"/>
    <w:rsid w:val="00C64A32"/>
    <w:rsid w:val="00C656E6"/>
    <w:rsid w:val="00C66416"/>
    <w:rsid w:val="00C66476"/>
    <w:rsid w:val="00C67205"/>
    <w:rsid w:val="00C70ABE"/>
    <w:rsid w:val="00C712DE"/>
    <w:rsid w:val="00C71DEF"/>
    <w:rsid w:val="00C71E39"/>
    <w:rsid w:val="00C72766"/>
    <w:rsid w:val="00C72EA5"/>
    <w:rsid w:val="00C73226"/>
    <w:rsid w:val="00C73260"/>
    <w:rsid w:val="00C741D0"/>
    <w:rsid w:val="00C74602"/>
    <w:rsid w:val="00C7471F"/>
    <w:rsid w:val="00C75155"/>
    <w:rsid w:val="00C75AB4"/>
    <w:rsid w:val="00C75ED3"/>
    <w:rsid w:val="00C7629F"/>
    <w:rsid w:val="00C77614"/>
    <w:rsid w:val="00C777B5"/>
    <w:rsid w:val="00C8169A"/>
    <w:rsid w:val="00C81AF1"/>
    <w:rsid w:val="00C82533"/>
    <w:rsid w:val="00C8269F"/>
    <w:rsid w:val="00C83120"/>
    <w:rsid w:val="00C84430"/>
    <w:rsid w:val="00C85CB0"/>
    <w:rsid w:val="00C8612F"/>
    <w:rsid w:val="00C8661B"/>
    <w:rsid w:val="00C86782"/>
    <w:rsid w:val="00C878FA"/>
    <w:rsid w:val="00C90681"/>
    <w:rsid w:val="00C91BC0"/>
    <w:rsid w:val="00C92455"/>
    <w:rsid w:val="00C933EF"/>
    <w:rsid w:val="00C93F34"/>
    <w:rsid w:val="00C941FE"/>
    <w:rsid w:val="00C94CD8"/>
    <w:rsid w:val="00C96861"/>
    <w:rsid w:val="00CA03C8"/>
    <w:rsid w:val="00CA12CB"/>
    <w:rsid w:val="00CA139A"/>
    <w:rsid w:val="00CA2899"/>
    <w:rsid w:val="00CA3A3D"/>
    <w:rsid w:val="00CA3AA6"/>
    <w:rsid w:val="00CA422F"/>
    <w:rsid w:val="00CA4685"/>
    <w:rsid w:val="00CA56FF"/>
    <w:rsid w:val="00CA5AC2"/>
    <w:rsid w:val="00CA6637"/>
    <w:rsid w:val="00CA77C4"/>
    <w:rsid w:val="00CA77FB"/>
    <w:rsid w:val="00CB2856"/>
    <w:rsid w:val="00CB2FA1"/>
    <w:rsid w:val="00CB3532"/>
    <w:rsid w:val="00CB379B"/>
    <w:rsid w:val="00CB3BBA"/>
    <w:rsid w:val="00CB4765"/>
    <w:rsid w:val="00CB4B28"/>
    <w:rsid w:val="00CB5DD0"/>
    <w:rsid w:val="00CB5DE4"/>
    <w:rsid w:val="00CB5F68"/>
    <w:rsid w:val="00CB658C"/>
    <w:rsid w:val="00CB6732"/>
    <w:rsid w:val="00CB696E"/>
    <w:rsid w:val="00CB768E"/>
    <w:rsid w:val="00CB7711"/>
    <w:rsid w:val="00CC05BF"/>
    <w:rsid w:val="00CC0E45"/>
    <w:rsid w:val="00CC1087"/>
    <w:rsid w:val="00CC1447"/>
    <w:rsid w:val="00CC23A3"/>
    <w:rsid w:val="00CC45CA"/>
    <w:rsid w:val="00CC51D4"/>
    <w:rsid w:val="00CC5F32"/>
    <w:rsid w:val="00CC65DA"/>
    <w:rsid w:val="00CC6917"/>
    <w:rsid w:val="00CC6E41"/>
    <w:rsid w:val="00CD00AD"/>
    <w:rsid w:val="00CD06CB"/>
    <w:rsid w:val="00CD0DE2"/>
    <w:rsid w:val="00CD36FC"/>
    <w:rsid w:val="00CD37CF"/>
    <w:rsid w:val="00CD3846"/>
    <w:rsid w:val="00CD3B46"/>
    <w:rsid w:val="00CD41B9"/>
    <w:rsid w:val="00CD49EA"/>
    <w:rsid w:val="00CD5C25"/>
    <w:rsid w:val="00CD7ADF"/>
    <w:rsid w:val="00CD7D81"/>
    <w:rsid w:val="00CE12F7"/>
    <w:rsid w:val="00CE1FFF"/>
    <w:rsid w:val="00CE24B9"/>
    <w:rsid w:val="00CE39EC"/>
    <w:rsid w:val="00CE426D"/>
    <w:rsid w:val="00CE5CD4"/>
    <w:rsid w:val="00CE5F7C"/>
    <w:rsid w:val="00CE60D1"/>
    <w:rsid w:val="00CE6471"/>
    <w:rsid w:val="00CE70EC"/>
    <w:rsid w:val="00CE7292"/>
    <w:rsid w:val="00CE791D"/>
    <w:rsid w:val="00CE7B91"/>
    <w:rsid w:val="00CF02BC"/>
    <w:rsid w:val="00CF0321"/>
    <w:rsid w:val="00CF1894"/>
    <w:rsid w:val="00CF21B9"/>
    <w:rsid w:val="00CF241A"/>
    <w:rsid w:val="00CF339C"/>
    <w:rsid w:val="00CF40DA"/>
    <w:rsid w:val="00CF6BF9"/>
    <w:rsid w:val="00D00225"/>
    <w:rsid w:val="00D01380"/>
    <w:rsid w:val="00D02B16"/>
    <w:rsid w:val="00D03800"/>
    <w:rsid w:val="00D04009"/>
    <w:rsid w:val="00D046A6"/>
    <w:rsid w:val="00D05A65"/>
    <w:rsid w:val="00D065D3"/>
    <w:rsid w:val="00D0682C"/>
    <w:rsid w:val="00D103A1"/>
    <w:rsid w:val="00D10D31"/>
    <w:rsid w:val="00D11513"/>
    <w:rsid w:val="00D117C6"/>
    <w:rsid w:val="00D122D1"/>
    <w:rsid w:val="00D12B3D"/>
    <w:rsid w:val="00D14B7D"/>
    <w:rsid w:val="00D14C94"/>
    <w:rsid w:val="00D14D2B"/>
    <w:rsid w:val="00D15634"/>
    <w:rsid w:val="00D15D77"/>
    <w:rsid w:val="00D16592"/>
    <w:rsid w:val="00D16A1E"/>
    <w:rsid w:val="00D17A7F"/>
    <w:rsid w:val="00D203D0"/>
    <w:rsid w:val="00D211BF"/>
    <w:rsid w:val="00D21B7B"/>
    <w:rsid w:val="00D24471"/>
    <w:rsid w:val="00D25386"/>
    <w:rsid w:val="00D261A2"/>
    <w:rsid w:val="00D26339"/>
    <w:rsid w:val="00D2645D"/>
    <w:rsid w:val="00D27586"/>
    <w:rsid w:val="00D27933"/>
    <w:rsid w:val="00D304DE"/>
    <w:rsid w:val="00D30D5D"/>
    <w:rsid w:val="00D315CB"/>
    <w:rsid w:val="00D315E9"/>
    <w:rsid w:val="00D32370"/>
    <w:rsid w:val="00D326F2"/>
    <w:rsid w:val="00D330AA"/>
    <w:rsid w:val="00D3390C"/>
    <w:rsid w:val="00D33C36"/>
    <w:rsid w:val="00D342A6"/>
    <w:rsid w:val="00D350D8"/>
    <w:rsid w:val="00D351BE"/>
    <w:rsid w:val="00D3603E"/>
    <w:rsid w:val="00D361CB"/>
    <w:rsid w:val="00D40879"/>
    <w:rsid w:val="00D414D2"/>
    <w:rsid w:val="00D4523C"/>
    <w:rsid w:val="00D45CA6"/>
    <w:rsid w:val="00D464BF"/>
    <w:rsid w:val="00D47066"/>
    <w:rsid w:val="00D47303"/>
    <w:rsid w:val="00D47F59"/>
    <w:rsid w:val="00D505B5"/>
    <w:rsid w:val="00D51591"/>
    <w:rsid w:val="00D51CE2"/>
    <w:rsid w:val="00D51FA8"/>
    <w:rsid w:val="00D5338C"/>
    <w:rsid w:val="00D53E26"/>
    <w:rsid w:val="00D54671"/>
    <w:rsid w:val="00D54E02"/>
    <w:rsid w:val="00D55BF1"/>
    <w:rsid w:val="00D57A16"/>
    <w:rsid w:val="00D6085D"/>
    <w:rsid w:val="00D61613"/>
    <w:rsid w:val="00D623E0"/>
    <w:rsid w:val="00D626BD"/>
    <w:rsid w:val="00D62D50"/>
    <w:rsid w:val="00D66628"/>
    <w:rsid w:val="00D66E1B"/>
    <w:rsid w:val="00D67634"/>
    <w:rsid w:val="00D70F56"/>
    <w:rsid w:val="00D71ECF"/>
    <w:rsid w:val="00D72280"/>
    <w:rsid w:val="00D727B8"/>
    <w:rsid w:val="00D72CE7"/>
    <w:rsid w:val="00D72F80"/>
    <w:rsid w:val="00D73641"/>
    <w:rsid w:val="00D74E2C"/>
    <w:rsid w:val="00D75DD7"/>
    <w:rsid w:val="00D765B1"/>
    <w:rsid w:val="00D76986"/>
    <w:rsid w:val="00D76C48"/>
    <w:rsid w:val="00D77380"/>
    <w:rsid w:val="00D77576"/>
    <w:rsid w:val="00D779B7"/>
    <w:rsid w:val="00D77A77"/>
    <w:rsid w:val="00D802EB"/>
    <w:rsid w:val="00D80604"/>
    <w:rsid w:val="00D80A06"/>
    <w:rsid w:val="00D80F28"/>
    <w:rsid w:val="00D81FA5"/>
    <w:rsid w:val="00D84D43"/>
    <w:rsid w:val="00D8528B"/>
    <w:rsid w:val="00D85F75"/>
    <w:rsid w:val="00D87346"/>
    <w:rsid w:val="00D875B7"/>
    <w:rsid w:val="00D877F2"/>
    <w:rsid w:val="00D9070E"/>
    <w:rsid w:val="00D910CC"/>
    <w:rsid w:val="00D93333"/>
    <w:rsid w:val="00D94729"/>
    <w:rsid w:val="00D9567C"/>
    <w:rsid w:val="00D95898"/>
    <w:rsid w:val="00D96B6F"/>
    <w:rsid w:val="00D97514"/>
    <w:rsid w:val="00DA0DB6"/>
    <w:rsid w:val="00DA0F18"/>
    <w:rsid w:val="00DA2532"/>
    <w:rsid w:val="00DA3358"/>
    <w:rsid w:val="00DA36B1"/>
    <w:rsid w:val="00DA3734"/>
    <w:rsid w:val="00DA58AE"/>
    <w:rsid w:val="00DA64E7"/>
    <w:rsid w:val="00DA6A35"/>
    <w:rsid w:val="00DA7345"/>
    <w:rsid w:val="00DB136C"/>
    <w:rsid w:val="00DB1524"/>
    <w:rsid w:val="00DB182C"/>
    <w:rsid w:val="00DB21D7"/>
    <w:rsid w:val="00DB22AC"/>
    <w:rsid w:val="00DB3539"/>
    <w:rsid w:val="00DB40ED"/>
    <w:rsid w:val="00DB5E52"/>
    <w:rsid w:val="00DB6666"/>
    <w:rsid w:val="00DB7094"/>
    <w:rsid w:val="00DB7253"/>
    <w:rsid w:val="00DC044C"/>
    <w:rsid w:val="00DC2D7A"/>
    <w:rsid w:val="00DC3366"/>
    <w:rsid w:val="00DC3B63"/>
    <w:rsid w:val="00DC4670"/>
    <w:rsid w:val="00DC47AC"/>
    <w:rsid w:val="00DC56AC"/>
    <w:rsid w:val="00DC5BFF"/>
    <w:rsid w:val="00DC6E4B"/>
    <w:rsid w:val="00DC6EBA"/>
    <w:rsid w:val="00DD1074"/>
    <w:rsid w:val="00DD1E1A"/>
    <w:rsid w:val="00DD2753"/>
    <w:rsid w:val="00DD3999"/>
    <w:rsid w:val="00DD4200"/>
    <w:rsid w:val="00DD45B8"/>
    <w:rsid w:val="00DD4F0E"/>
    <w:rsid w:val="00DD4FB1"/>
    <w:rsid w:val="00DD52B5"/>
    <w:rsid w:val="00DD67C6"/>
    <w:rsid w:val="00DD7089"/>
    <w:rsid w:val="00DD799E"/>
    <w:rsid w:val="00DE024A"/>
    <w:rsid w:val="00DE08AE"/>
    <w:rsid w:val="00DE2598"/>
    <w:rsid w:val="00DE2EF7"/>
    <w:rsid w:val="00DE47D9"/>
    <w:rsid w:val="00DE497E"/>
    <w:rsid w:val="00DE4985"/>
    <w:rsid w:val="00DE77C7"/>
    <w:rsid w:val="00DF0BF0"/>
    <w:rsid w:val="00DF0C37"/>
    <w:rsid w:val="00DF1B31"/>
    <w:rsid w:val="00DF2114"/>
    <w:rsid w:val="00DF2C75"/>
    <w:rsid w:val="00DF3CA2"/>
    <w:rsid w:val="00DF3E00"/>
    <w:rsid w:val="00DF4C9D"/>
    <w:rsid w:val="00DF5572"/>
    <w:rsid w:val="00DF5D9C"/>
    <w:rsid w:val="00DF5F41"/>
    <w:rsid w:val="00DF753C"/>
    <w:rsid w:val="00E00861"/>
    <w:rsid w:val="00E00B90"/>
    <w:rsid w:val="00E01463"/>
    <w:rsid w:val="00E01A27"/>
    <w:rsid w:val="00E033F2"/>
    <w:rsid w:val="00E036D8"/>
    <w:rsid w:val="00E03B3B"/>
    <w:rsid w:val="00E040C9"/>
    <w:rsid w:val="00E05265"/>
    <w:rsid w:val="00E05316"/>
    <w:rsid w:val="00E05E0A"/>
    <w:rsid w:val="00E060BE"/>
    <w:rsid w:val="00E070DF"/>
    <w:rsid w:val="00E106CE"/>
    <w:rsid w:val="00E10E80"/>
    <w:rsid w:val="00E11330"/>
    <w:rsid w:val="00E11612"/>
    <w:rsid w:val="00E1416A"/>
    <w:rsid w:val="00E14502"/>
    <w:rsid w:val="00E14C01"/>
    <w:rsid w:val="00E16216"/>
    <w:rsid w:val="00E162A5"/>
    <w:rsid w:val="00E1656E"/>
    <w:rsid w:val="00E17761"/>
    <w:rsid w:val="00E17A32"/>
    <w:rsid w:val="00E216E2"/>
    <w:rsid w:val="00E22319"/>
    <w:rsid w:val="00E240A6"/>
    <w:rsid w:val="00E244B8"/>
    <w:rsid w:val="00E24C1C"/>
    <w:rsid w:val="00E24D9A"/>
    <w:rsid w:val="00E2564A"/>
    <w:rsid w:val="00E257C3"/>
    <w:rsid w:val="00E2661A"/>
    <w:rsid w:val="00E2694A"/>
    <w:rsid w:val="00E272D2"/>
    <w:rsid w:val="00E27469"/>
    <w:rsid w:val="00E27937"/>
    <w:rsid w:val="00E27D16"/>
    <w:rsid w:val="00E30194"/>
    <w:rsid w:val="00E3059A"/>
    <w:rsid w:val="00E3068D"/>
    <w:rsid w:val="00E30ED3"/>
    <w:rsid w:val="00E31691"/>
    <w:rsid w:val="00E3261D"/>
    <w:rsid w:val="00E3266E"/>
    <w:rsid w:val="00E34268"/>
    <w:rsid w:val="00E34546"/>
    <w:rsid w:val="00E34AAA"/>
    <w:rsid w:val="00E36CE6"/>
    <w:rsid w:val="00E40414"/>
    <w:rsid w:val="00E41842"/>
    <w:rsid w:val="00E41A4A"/>
    <w:rsid w:val="00E41B40"/>
    <w:rsid w:val="00E42885"/>
    <w:rsid w:val="00E43926"/>
    <w:rsid w:val="00E43ABA"/>
    <w:rsid w:val="00E44A35"/>
    <w:rsid w:val="00E4553D"/>
    <w:rsid w:val="00E46127"/>
    <w:rsid w:val="00E46849"/>
    <w:rsid w:val="00E47001"/>
    <w:rsid w:val="00E47C0E"/>
    <w:rsid w:val="00E50A35"/>
    <w:rsid w:val="00E50FD1"/>
    <w:rsid w:val="00E517E5"/>
    <w:rsid w:val="00E51B24"/>
    <w:rsid w:val="00E534CF"/>
    <w:rsid w:val="00E53AB4"/>
    <w:rsid w:val="00E55702"/>
    <w:rsid w:val="00E55FDB"/>
    <w:rsid w:val="00E562A9"/>
    <w:rsid w:val="00E56772"/>
    <w:rsid w:val="00E56FB7"/>
    <w:rsid w:val="00E61C6A"/>
    <w:rsid w:val="00E6316A"/>
    <w:rsid w:val="00E65056"/>
    <w:rsid w:val="00E6525A"/>
    <w:rsid w:val="00E65CE7"/>
    <w:rsid w:val="00E65F4C"/>
    <w:rsid w:val="00E67DAD"/>
    <w:rsid w:val="00E70A62"/>
    <w:rsid w:val="00E70E48"/>
    <w:rsid w:val="00E71158"/>
    <w:rsid w:val="00E71FA9"/>
    <w:rsid w:val="00E72BDD"/>
    <w:rsid w:val="00E7342A"/>
    <w:rsid w:val="00E736D3"/>
    <w:rsid w:val="00E73904"/>
    <w:rsid w:val="00E73EDC"/>
    <w:rsid w:val="00E74547"/>
    <w:rsid w:val="00E750D2"/>
    <w:rsid w:val="00E77C5F"/>
    <w:rsid w:val="00E80099"/>
    <w:rsid w:val="00E8025F"/>
    <w:rsid w:val="00E80462"/>
    <w:rsid w:val="00E80BA6"/>
    <w:rsid w:val="00E80FB0"/>
    <w:rsid w:val="00E81416"/>
    <w:rsid w:val="00E81CB4"/>
    <w:rsid w:val="00E827F0"/>
    <w:rsid w:val="00E827F1"/>
    <w:rsid w:val="00E833A4"/>
    <w:rsid w:val="00E84F2E"/>
    <w:rsid w:val="00E8585B"/>
    <w:rsid w:val="00E85973"/>
    <w:rsid w:val="00E87E3A"/>
    <w:rsid w:val="00E87F41"/>
    <w:rsid w:val="00E90BFA"/>
    <w:rsid w:val="00E91E5F"/>
    <w:rsid w:val="00E91FD9"/>
    <w:rsid w:val="00E92705"/>
    <w:rsid w:val="00E94152"/>
    <w:rsid w:val="00E94688"/>
    <w:rsid w:val="00E95772"/>
    <w:rsid w:val="00EA0374"/>
    <w:rsid w:val="00EA0C7F"/>
    <w:rsid w:val="00EA1165"/>
    <w:rsid w:val="00EA1CFC"/>
    <w:rsid w:val="00EA2660"/>
    <w:rsid w:val="00EA2F8D"/>
    <w:rsid w:val="00EA33C5"/>
    <w:rsid w:val="00EA3F15"/>
    <w:rsid w:val="00EA4583"/>
    <w:rsid w:val="00EA4AD8"/>
    <w:rsid w:val="00EA4B9B"/>
    <w:rsid w:val="00EA6CD0"/>
    <w:rsid w:val="00EA7847"/>
    <w:rsid w:val="00EA7DC9"/>
    <w:rsid w:val="00EB06AE"/>
    <w:rsid w:val="00EB1FE6"/>
    <w:rsid w:val="00EB29EB"/>
    <w:rsid w:val="00EB2CF8"/>
    <w:rsid w:val="00EB3254"/>
    <w:rsid w:val="00EB3D01"/>
    <w:rsid w:val="00EB4C2F"/>
    <w:rsid w:val="00EB550E"/>
    <w:rsid w:val="00EB5AB8"/>
    <w:rsid w:val="00EB5C61"/>
    <w:rsid w:val="00EB7014"/>
    <w:rsid w:val="00EB7AD7"/>
    <w:rsid w:val="00EC127C"/>
    <w:rsid w:val="00EC12D6"/>
    <w:rsid w:val="00EC13BC"/>
    <w:rsid w:val="00EC2227"/>
    <w:rsid w:val="00EC2D35"/>
    <w:rsid w:val="00EC3F9F"/>
    <w:rsid w:val="00EC4832"/>
    <w:rsid w:val="00EC796D"/>
    <w:rsid w:val="00EC7B7C"/>
    <w:rsid w:val="00ED1C58"/>
    <w:rsid w:val="00ED2BCA"/>
    <w:rsid w:val="00ED3009"/>
    <w:rsid w:val="00ED4CAB"/>
    <w:rsid w:val="00ED51CE"/>
    <w:rsid w:val="00ED6618"/>
    <w:rsid w:val="00ED6E68"/>
    <w:rsid w:val="00ED72E3"/>
    <w:rsid w:val="00EE1233"/>
    <w:rsid w:val="00EE2CB5"/>
    <w:rsid w:val="00EE2E6E"/>
    <w:rsid w:val="00EE4A99"/>
    <w:rsid w:val="00EE4FFA"/>
    <w:rsid w:val="00EE63BB"/>
    <w:rsid w:val="00EE6A92"/>
    <w:rsid w:val="00EE75F0"/>
    <w:rsid w:val="00EE7641"/>
    <w:rsid w:val="00EF0D82"/>
    <w:rsid w:val="00EF30FB"/>
    <w:rsid w:val="00EF3E9C"/>
    <w:rsid w:val="00EF4206"/>
    <w:rsid w:val="00EF58B8"/>
    <w:rsid w:val="00EF5975"/>
    <w:rsid w:val="00EF6CC2"/>
    <w:rsid w:val="00EF7634"/>
    <w:rsid w:val="00EF7916"/>
    <w:rsid w:val="00F01455"/>
    <w:rsid w:val="00F016C5"/>
    <w:rsid w:val="00F02241"/>
    <w:rsid w:val="00F0367E"/>
    <w:rsid w:val="00F04D9A"/>
    <w:rsid w:val="00F055AF"/>
    <w:rsid w:val="00F05638"/>
    <w:rsid w:val="00F06933"/>
    <w:rsid w:val="00F0759E"/>
    <w:rsid w:val="00F10044"/>
    <w:rsid w:val="00F112D2"/>
    <w:rsid w:val="00F11A3A"/>
    <w:rsid w:val="00F11D75"/>
    <w:rsid w:val="00F11E68"/>
    <w:rsid w:val="00F132A2"/>
    <w:rsid w:val="00F16251"/>
    <w:rsid w:val="00F16370"/>
    <w:rsid w:val="00F16A43"/>
    <w:rsid w:val="00F20509"/>
    <w:rsid w:val="00F20972"/>
    <w:rsid w:val="00F21A47"/>
    <w:rsid w:val="00F21D52"/>
    <w:rsid w:val="00F2495F"/>
    <w:rsid w:val="00F2567F"/>
    <w:rsid w:val="00F256B6"/>
    <w:rsid w:val="00F25A5B"/>
    <w:rsid w:val="00F25BCC"/>
    <w:rsid w:val="00F3023D"/>
    <w:rsid w:val="00F31080"/>
    <w:rsid w:val="00F311C4"/>
    <w:rsid w:val="00F31F96"/>
    <w:rsid w:val="00F321D2"/>
    <w:rsid w:val="00F32803"/>
    <w:rsid w:val="00F363CF"/>
    <w:rsid w:val="00F40B6B"/>
    <w:rsid w:val="00F40E27"/>
    <w:rsid w:val="00F41376"/>
    <w:rsid w:val="00F414D3"/>
    <w:rsid w:val="00F41AC6"/>
    <w:rsid w:val="00F43275"/>
    <w:rsid w:val="00F432B8"/>
    <w:rsid w:val="00F436C7"/>
    <w:rsid w:val="00F44580"/>
    <w:rsid w:val="00F44E78"/>
    <w:rsid w:val="00F451B2"/>
    <w:rsid w:val="00F46150"/>
    <w:rsid w:val="00F46780"/>
    <w:rsid w:val="00F473BD"/>
    <w:rsid w:val="00F47EF8"/>
    <w:rsid w:val="00F52415"/>
    <w:rsid w:val="00F526B2"/>
    <w:rsid w:val="00F5275B"/>
    <w:rsid w:val="00F53197"/>
    <w:rsid w:val="00F54CEC"/>
    <w:rsid w:val="00F55E8B"/>
    <w:rsid w:val="00F564D5"/>
    <w:rsid w:val="00F60327"/>
    <w:rsid w:val="00F63448"/>
    <w:rsid w:val="00F63CDA"/>
    <w:rsid w:val="00F640CB"/>
    <w:rsid w:val="00F65EAE"/>
    <w:rsid w:val="00F6619D"/>
    <w:rsid w:val="00F675F4"/>
    <w:rsid w:val="00F70BFD"/>
    <w:rsid w:val="00F72CB8"/>
    <w:rsid w:val="00F72D53"/>
    <w:rsid w:val="00F7338E"/>
    <w:rsid w:val="00F73B93"/>
    <w:rsid w:val="00F74163"/>
    <w:rsid w:val="00F7538B"/>
    <w:rsid w:val="00F763AF"/>
    <w:rsid w:val="00F77159"/>
    <w:rsid w:val="00F778BC"/>
    <w:rsid w:val="00F779D2"/>
    <w:rsid w:val="00F77D2D"/>
    <w:rsid w:val="00F80A48"/>
    <w:rsid w:val="00F80E38"/>
    <w:rsid w:val="00F81289"/>
    <w:rsid w:val="00F81605"/>
    <w:rsid w:val="00F821A3"/>
    <w:rsid w:val="00F8231B"/>
    <w:rsid w:val="00F82E00"/>
    <w:rsid w:val="00F83849"/>
    <w:rsid w:val="00F871A0"/>
    <w:rsid w:val="00F8760A"/>
    <w:rsid w:val="00F901BE"/>
    <w:rsid w:val="00F90CDD"/>
    <w:rsid w:val="00F90FB1"/>
    <w:rsid w:val="00F92096"/>
    <w:rsid w:val="00F92853"/>
    <w:rsid w:val="00F92C42"/>
    <w:rsid w:val="00F92F07"/>
    <w:rsid w:val="00F9314A"/>
    <w:rsid w:val="00F940AC"/>
    <w:rsid w:val="00F940B2"/>
    <w:rsid w:val="00F945C7"/>
    <w:rsid w:val="00F958F4"/>
    <w:rsid w:val="00F95D6D"/>
    <w:rsid w:val="00F95DA5"/>
    <w:rsid w:val="00F967B9"/>
    <w:rsid w:val="00F96BF0"/>
    <w:rsid w:val="00FA0494"/>
    <w:rsid w:val="00FA0E95"/>
    <w:rsid w:val="00FA2209"/>
    <w:rsid w:val="00FA27E6"/>
    <w:rsid w:val="00FA4280"/>
    <w:rsid w:val="00FA58AB"/>
    <w:rsid w:val="00FA61B6"/>
    <w:rsid w:val="00FA62AF"/>
    <w:rsid w:val="00FA7627"/>
    <w:rsid w:val="00FA77EB"/>
    <w:rsid w:val="00FB0E42"/>
    <w:rsid w:val="00FB0E5B"/>
    <w:rsid w:val="00FB1728"/>
    <w:rsid w:val="00FB2561"/>
    <w:rsid w:val="00FB300F"/>
    <w:rsid w:val="00FB557A"/>
    <w:rsid w:val="00FB5BD1"/>
    <w:rsid w:val="00FB6640"/>
    <w:rsid w:val="00FB66B2"/>
    <w:rsid w:val="00FC1875"/>
    <w:rsid w:val="00FC4CA7"/>
    <w:rsid w:val="00FC4E9F"/>
    <w:rsid w:val="00FC513C"/>
    <w:rsid w:val="00FC58EF"/>
    <w:rsid w:val="00FC6EE1"/>
    <w:rsid w:val="00FD08B3"/>
    <w:rsid w:val="00FD1938"/>
    <w:rsid w:val="00FD231B"/>
    <w:rsid w:val="00FD2855"/>
    <w:rsid w:val="00FD31A7"/>
    <w:rsid w:val="00FD33DF"/>
    <w:rsid w:val="00FD485A"/>
    <w:rsid w:val="00FD554F"/>
    <w:rsid w:val="00FD5683"/>
    <w:rsid w:val="00FD596B"/>
    <w:rsid w:val="00FD5999"/>
    <w:rsid w:val="00FE151B"/>
    <w:rsid w:val="00FE2697"/>
    <w:rsid w:val="00FE26F8"/>
    <w:rsid w:val="00FE3535"/>
    <w:rsid w:val="00FE35D1"/>
    <w:rsid w:val="00FE39D7"/>
    <w:rsid w:val="00FE5A21"/>
    <w:rsid w:val="00FE6A26"/>
    <w:rsid w:val="00FE6D9C"/>
    <w:rsid w:val="00FE765D"/>
    <w:rsid w:val="00FE7EEC"/>
    <w:rsid w:val="00FF3401"/>
    <w:rsid w:val="00FF3FA1"/>
    <w:rsid w:val="00FF42C9"/>
    <w:rsid w:val="00FF5A0C"/>
    <w:rsid w:val="00FF5B5D"/>
    <w:rsid w:val="00FF620C"/>
    <w:rsid w:val="00FF640C"/>
    <w:rsid w:val="00FF6515"/>
    <w:rsid w:val="04A1967F"/>
    <w:rsid w:val="09C9A5D1"/>
    <w:rsid w:val="09E64CE1"/>
    <w:rsid w:val="0BD4E000"/>
    <w:rsid w:val="0DEAA7F0"/>
    <w:rsid w:val="0E1681AD"/>
    <w:rsid w:val="0FDAECAF"/>
    <w:rsid w:val="100C7EC1"/>
    <w:rsid w:val="110DDF6E"/>
    <w:rsid w:val="116DB550"/>
    <w:rsid w:val="1221D530"/>
    <w:rsid w:val="125382DC"/>
    <w:rsid w:val="1266EAA6"/>
    <w:rsid w:val="126CB0D4"/>
    <w:rsid w:val="13E2C013"/>
    <w:rsid w:val="140E8C33"/>
    <w:rsid w:val="14BEC395"/>
    <w:rsid w:val="157C1F20"/>
    <w:rsid w:val="1818C21B"/>
    <w:rsid w:val="1884CDDD"/>
    <w:rsid w:val="1A02BA05"/>
    <w:rsid w:val="1B9DC482"/>
    <w:rsid w:val="1C22D2B6"/>
    <w:rsid w:val="1CD91B10"/>
    <w:rsid w:val="1DD74A54"/>
    <w:rsid w:val="1E6B2914"/>
    <w:rsid w:val="2022638F"/>
    <w:rsid w:val="20AF6525"/>
    <w:rsid w:val="2114E69C"/>
    <w:rsid w:val="21D462D3"/>
    <w:rsid w:val="220349EF"/>
    <w:rsid w:val="2675AAC5"/>
    <w:rsid w:val="268A71B6"/>
    <w:rsid w:val="2D0AEF7C"/>
    <w:rsid w:val="2E802A04"/>
    <w:rsid w:val="2F083E92"/>
    <w:rsid w:val="308AD45B"/>
    <w:rsid w:val="30D37BBC"/>
    <w:rsid w:val="32FEF9D1"/>
    <w:rsid w:val="34C8E655"/>
    <w:rsid w:val="3539B796"/>
    <w:rsid w:val="35858962"/>
    <w:rsid w:val="36A88EA3"/>
    <w:rsid w:val="3C827B5D"/>
    <w:rsid w:val="3D45AB62"/>
    <w:rsid w:val="3DF85640"/>
    <w:rsid w:val="3E66BDEA"/>
    <w:rsid w:val="3EE5681F"/>
    <w:rsid w:val="403DE14A"/>
    <w:rsid w:val="40B98626"/>
    <w:rsid w:val="4196FF0A"/>
    <w:rsid w:val="429AD30A"/>
    <w:rsid w:val="43204FB9"/>
    <w:rsid w:val="441F13BD"/>
    <w:rsid w:val="4529BD0A"/>
    <w:rsid w:val="454D73DA"/>
    <w:rsid w:val="4583AED9"/>
    <w:rsid w:val="4591DFF5"/>
    <w:rsid w:val="473C8EE2"/>
    <w:rsid w:val="4769A178"/>
    <w:rsid w:val="48093852"/>
    <w:rsid w:val="4B39014C"/>
    <w:rsid w:val="4B6B51DF"/>
    <w:rsid w:val="4CF71E02"/>
    <w:rsid w:val="4F8B1B32"/>
    <w:rsid w:val="4FEE65B4"/>
    <w:rsid w:val="54C237FD"/>
    <w:rsid w:val="56534CE5"/>
    <w:rsid w:val="59A52D3F"/>
    <w:rsid w:val="5A08441D"/>
    <w:rsid w:val="5B4BA895"/>
    <w:rsid w:val="5BA39C07"/>
    <w:rsid w:val="5CBDA881"/>
    <w:rsid w:val="5D882196"/>
    <w:rsid w:val="5EECA893"/>
    <w:rsid w:val="5F49BDFF"/>
    <w:rsid w:val="5F770A59"/>
    <w:rsid w:val="602E727C"/>
    <w:rsid w:val="6043461E"/>
    <w:rsid w:val="64283168"/>
    <w:rsid w:val="64C10438"/>
    <w:rsid w:val="64FCE8F7"/>
    <w:rsid w:val="66DAD61C"/>
    <w:rsid w:val="6781D796"/>
    <w:rsid w:val="67C21F1C"/>
    <w:rsid w:val="6C013AE3"/>
    <w:rsid w:val="6C61BEB7"/>
    <w:rsid w:val="6D0BD1CB"/>
    <w:rsid w:val="6D3757BD"/>
    <w:rsid w:val="6ED8956C"/>
    <w:rsid w:val="6EE12630"/>
    <w:rsid w:val="6F9DE6AE"/>
    <w:rsid w:val="6FAE2E75"/>
    <w:rsid w:val="6FB0AD7D"/>
    <w:rsid w:val="70BA2F3F"/>
    <w:rsid w:val="73C55A47"/>
    <w:rsid w:val="791AADCE"/>
    <w:rsid w:val="7923AC06"/>
    <w:rsid w:val="7AF43DFF"/>
    <w:rsid w:val="7B2B2B5A"/>
    <w:rsid w:val="7BDD06D5"/>
    <w:rsid w:val="7BF0278C"/>
    <w:rsid w:val="7DF0050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2831A9"/>
  <w15:docId w15:val="{481D04A5-15D4-4288-A371-8B3746DE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customStyle="1" w:styleId="normaltextrun">
    <w:name w:val="normaltextrun"/>
    <w:basedOn w:val="Fuentedeprrafopredeter"/>
    <w:rsid w:val="00182FC7"/>
  </w:style>
  <w:style w:type="character" w:customStyle="1" w:styleId="eop">
    <w:name w:val="eop"/>
    <w:basedOn w:val="Fuentedeprrafopredeter"/>
    <w:rsid w:val="00182FC7"/>
  </w:style>
  <w:style w:type="paragraph" w:customStyle="1" w:styleId="paragraph">
    <w:name w:val="paragraph"/>
    <w:basedOn w:val="Normal"/>
    <w:rsid w:val="0073164A"/>
    <w:pPr>
      <w:spacing w:before="100" w:beforeAutospacing="1" w:after="100" w:afterAutospacing="1"/>
      <w:ind w:left="0"/>
    </w:pPr>
    <w:rPr>
      <w:lang w:val="es-CO" w:eastAsia="es-CO"/>
    </w:rPr>
  </w:style>
  <w:style w:type="character" w:customStyle="1" w:styleId="contextualspellingandgrammarerror">
    <w:name w:val="contextualspellingandgrammarerror"/>
    <w:basedOn w:val="Fuentedeprrafopredeter"/>
    <w:rsid w:val="0073164A"/>
  </w:style>
  <w:style w:type="character" w:customStyle="1" w:styleId="mi">
    <w:name w:val="mi"/>
    <w:basedOn w:val="Fuentedeprrafopredeter"/>
    <w:rsid w:val="0073164A"/>
  </w:style>
  <w:style w:type="character" w:customStyle="1" w:styleId="mo">
    <w:name w:val="mo"/>
    <w:basedOn w:val="Fuentedeprrafopredeter"/>
    <w:rsid w:val="0073164A"/>
  </w:style>
  <w:style w:type="character" w:customStyle="1" w:styleId="mn">
    <w:name w:val="mn"/>
    <w:basedOn w:val="Fuentedeprrafopredeter"/>
    <w:rsid w:val="0073164A"/>
  </w:style>
  <w:style w:type="paragraph" w:styleId="NormalWeb">
    <w:name w:val="Normal (Web)"/>
    <w:basedOn w:val="Normal"/>
    <w:uiPriority w:val="99"/>
    <w:semiHidden/>
    <w:unhideWhenUsed/>
    <w:rsid w:val="004A4CB8"/>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2192">
      <w:bodyDiv w:val="1"/>
      <w:marLeft w:val="0"/>
      <w:marRight w:val="0"/>
      <w:marTop w:val="0"/>
      <w:marBottom w:val="0"/>
      <w:divBdr>
        <w:top w:val="none" w:sz="0" w:space="0" w:color="auto"/>
        <w:left w:val="none" w:sz="0" w:space="0" w:color="auto"/>
        <w:bottom w:val="none" w:sz="0" w:space="0" w:color="auto"/>
        <w:right w:val="none" w:sz="0" w:space="0" w:color="auto"/>
      </w:divBdr>
    </w:div>
    <w:div w:id="243564048">
      <w:bodyDiv w:val="1"/>
      <w:marLeft w:val="0"/>
      <w:marRight w:val="0"/>
      <w:marTop w:val="0"/>
      <w:marBottom w:val="0"/>
      <w:divBdr>
        <w:top w:val="none" w:sz="0" w:space="0" w:color="auto"/>
        <w:left w:val="none" w:sz="0" w:space="0" w:color="auto"/>
        <w:bottom w:val="none" w:sz="0" w:space="0" w:color="auto"/>
        <w:right w:val="none" w:sz="0" w:space="0" w:color="auto"/>
      </w:divBdr>
      <w:divsChild>
        <w:div w:id="350690763">
          <w:marLeft w:val="547"/>
          <w:marRight w:val="0"/>
          <w:marTop w:val="240"/>
          <w:marBottom w:val="0"/>
          <w:divBdr>
            <w:top w:val="none" w:sz="0" w:space="0" w:color="auto"/>
            <w:left w:val="none" w:sz="0" w:space="0" w:color="auto"/>
            <w:bottom w:val="none" w:sz="0" w:space="0" w:color="auto"/>
            <w:right w:val="none" w:sz="0" w:space="0" w:color="auto"/>
          </w:divBdr>
        </w:div>
      </w:divsChild>
    </w:div>
    <w:div w:id="267273321">
      <w:bodyDiv w:val="1"/>
      <w:marLeft w:val="0"/>
      <w:marRight w:val="0"/>
      <w:marTop w:val="0"/>
      <w:marBottom w:val="0"/>
      <w:divBdr>
        <w:top w:val="none" w:sz="0" w:space="0" w:color="auto"/>
        <w:left w:val="none" w:sz="0" w:space="0" w:color="auto"/>
        <w:bottom w:val="none" w:sz="0" w:space="0" w:color="auto"/>
        <w:right w:val="none" w:sz="0" w:space="0" w:color="auto"/>
      </w:divBdr>
    </w:div>
    <w:div w:id="314920282">
      <w:bodyDiv w:val="1"/>
      <w:marLeft w:val="0"/>
      <w:marRight w:val="0"/>
      <w:marTop w:val="0"/>
      <w:marBottom w:val="0"/>
      <w:divBdr>
        <w:top w:val="none" w:sz="0" w:space="0" w:color="auto"/>
        <w:left w:val="none" w:sz="0" w:space="0" w:color="auto"/>
        <w:bottom w:val="none" w:sz="0" w:space="0" w:color="auto"/>
        <w:right w:val="none" w:sz="0" w:space="0" w:color="auto"/>
      </w:divBdr>
      <w:divsChild>
        <w:div w:id="934155">
          <w:marLeft w:val="0"/>
          <w:marRight w:val="0"/>
          <w:marTop w:val="0"/>
          <w:marBottom w:val="0"/>
          <w:divBdr>
            <w:top w:val="none" w:sz="0" w:space="0" w:color="auto"/>
            <w:left w:val="none" w:sz="0" w:space="0" w:color="auto"/>
            <w:bottom w:val="none" w:sz="0" w:space="0" w:color="auto"/>
            <w:right w:val="none" w:sz="0" w:space="0" w:color="auto"/>
          </w:divBdr>
        </w:div>
        <w:div w:id="273678545">
          <w:marLeft w:val="0"/>
          <w:marRight w:val="0"/>
          <w:marTop w:val="0"/>
          <w:marBottom w:val="0"/>
          <w:divBdr>
            <w:top w:val="none" w:sz="0" w:space="0" w:color="auto"/>
            <w:left w:val="none" w:sz="0" w:space="0" w:color="auto"/>
            <w:bottom w:val="none" w:sz="0" w:space="0" w:color="auto"/>
            <w:right w:val="none" w:sz="0" w:space="0" w:color="auto"/>
          </w:divBdr>
        </w:div>
        <w:div w:id="1094132642">
          <w:marLeft w:val="0"/>
          <w:marRight w:val="0"/>
          <w:marTop w:val="0"/>
          <w:marBottom w:val="0"/>
          <w:divBdr>
            <w:top w:val="none" w:sz="0" w:space="0" w:color="auto"/>
            <w:left w:val="none" w:sz="0" w:space="0" w:color="auto"/>
            <w:bottom w:val="none" w:sz="0" w:space="0" w:color="auto"/>
            <w:right w:val="none" w:sz="0" w:space="0" w:color="auto"/>
          </w:divBdr>
        </w:div>
        <w:div w:id="1381980860">
          <w:marLeft w:val="0"/>
          <w:marRight w:val="0"/>
          <w:marTop w:val="0"/>
          <w:marBottom w:val="0"/>
          <w:divBdr>
            <w:top w:val="none" w:sz="0" w:space="0" w:color="auto"/>
            <w:left w:val="none" w:sz="0" w:space="0" w:color="auto"/>
            <w:bottom w:val="none" w:sz="0" w:space="0" w:color="auto"/>
            <w:right w:val="none" w:sz="0" w:space="0" w:color="auto"/>
          </w:divBdr>
        </w:div>
        <w:div w:id="1513645607">
          <w:marLeft w:val="0"/>
          <w:marRight w:val="0"/>
          <w:marTop w:val="0"/>
          <w:marBottom w:val="0"/>
          <w:divBdr>
            <w:top w:val="none" w:sz="0" w:space="0" w:color="auto"/>
            <w:left w:val="none" w:sz="0" w:space="0" w:color="auto"/>
            <w:bottom w:val="none" w:sz="0" w:space="0" w:color="auto"/>
            <w:right w:val="none" w:sz="0" w:space="0" w:color="auto"/>
          </w:divBdr>
          <w:divsChild>
            <w:div w:id="30498835">
              <w:marLeft w:val="0"/>
              <w:marRight w:val="0"/>
              <w:marTop w:val="30"/>
              <w:marBottom w:val="30"/>
              <w:divBdr>
                <w:top w:val="none" w:sz="0" w:space="0" w:color="auto"/>
                <w:left w:val="none" w:sz="0" w:space="0" w:color="auto"/>
                <w:bottom w:val="none" w:sz="0" w:space="0" w:color="auto"/>
                <w:right w:val="none" w:sz="0" w:space="0" w:color="auto"/>
              </w:divBdr>
              <w:divsChild>
                <w:div w:id="302778172">
                  <w:marLeft w:val="0"/>
                  <w:marRight w:val="0"/>
                  <w:marTop w:val="0"/>
                  <w:marBottom w:val="0"/>
                  <w:divBdr>
                    <w:top w:val="none" w:sz="0" w:space="0" w:color="auto"/>
                    <w:left w:val="none" w:sz="0" w:space="0" w:color="auto"/>
                    <w:bottom w:val="none" w:sz="0" w:space="0" w:color="auto"/>
                    <w:right w:val="none" w:sz="0" w:space="0" w:color="auto"/>
                  </w:divBdr>
                  <w:divsChild>
                    <w:div w:id="1718777404">
                      <w:marLeft w:val="0"/>
                      <w:marRight w:val="0"/>
                      <w:marTop w:val="0"/>
                      <w:marBottom w:val="0"/>
                      <w:divBdr>
                        <w:top w:val="none" w:sz="0" w:space="0" w:color="auto"/>
                        <w:left w:val="none" w:sz="0" w:space="0" w:color="auto"/>
                        <w:bottom w:val="none" w:sz="0" w:space="0" w:color="auto"/>
                        <w:right w:val="none" w:sz="0" w:space="0" w:color="auto"/>
                      </w:divBdr>
                    </w:div>
                  </w:divsChild>
                </w:div>
                <w:div w:id="312878826">
                  <w:marLeft w:val="0"/>
                  <w:marRight w:val="0"/>
                  <w:marTop w:val="0"/>
                  <w:marBottom w:val="0"/>
                  <w:divBdr>
                    <w:top w:val="none" w:sz="0" w:space="0" w:color="auto"/>
                    <w:left w:val="none" w:sz="0" w:space="0" w:color="auto"/>
                    <w:bottom w:val="none" w:sz="0" w:space="0" w:color="auto"/>
                    <w:right w:val="none" w:sz="0" w:space="0" w:color="auto"/>
                  </w:divBdr>
                  <w:divsChild>
                    <w:div w:id="142553652">
                      <w:marLeft w:val="0"/>
                      <w:marRight w:val="0"/>
                      <w:marTop w:val="0"/>
                      <w:marBottom w:val="0"/>
                      <w:divBdr>
                        <w:top w:val="none" w:sz="0" w:space="0" w:color="auto"/>
                        <w:left w:val="none" w:sz="0" w:space="0" w:color="auto"/>
                        <w:bottom w:val="none" w:sz="0" w:space="0" w:color="auto"/>
                        <w:right w:val="none" w:sz="0" w:space="0" w:color="auto"/>
                      </w:divBdr>
                    </w:div>
                    <w:div w:id="1994794847">
                      <w:marLeft w:val="0"/>
                      <w:marRight w:val="0"/>
                      <w:marTop w:val="0"/>
                      <w:marBottom w:val="0"/>
                      <w:divBdr>
                        <w:top w:val="none" w:sz="0" w:space="0" w:color="auto"/>
                        <w:left w:val="none" w:sz="0" w:space="0" w:color="auto"/>
                        <w:bottom w:val="none" w:sz="0" w:space="0" w:color="auto"/>
                        <w:right w:val="none" w:sz="0" w:space="0" w:color="auto"/>
                      </w:divBdr>
                    </w:div>
                  </w:divsChild>
                </w:div>
                <w:div w:id="342708534">
                  <w:marLeft w:val="0"/>
                  <w:marRight w:val="0"/>
                  <w:marTop w:val="0"/>
                  <w:marBottom w:val="0"/>
                  <w:divBdr>
                    <w:top w:val="none" w:sz="0" w:space="0" w:color="auto"/>
                    <w:left w:val="none" w:sz="0" w:space="0" w:color="auto"/>
                    <w:bottom w:val="none" w:sz="0" w:space="0" w:color="auto"/>
                    <w:right w:val="none" w:sz="0" w:space="0" w:color="auto"/>
                  </w:divBdr>
                  <w:divsChild>
                    <w:div w:id="215702586">
                      <w:marLeft w:val="0"/>
                      <w:marRight w:val="0"/>
                      <w:marTop w:val="0"/>
                      <w:marBottom w:val="0"/>
                      <w:divBdr>
                        <w:top w:val="none" w:sz="0" w:space="0" w:color="auto"/>
                        <w:left w:val="none" w:sz="0" w:space="0" w:color="auto"/>
                        <w:bottom w:val="none" w:sz="0" w:space="0" w:color="auto"/>
                        <w:right w:val="none" w:sz="0" w:space="0" w:color="auto"/>
                      </w:divBdr>
                    </w:div>
                    <w:div w:id="1304239620">
                      <w:marLeft w:val="0"/>
                      <w:marRight w:val="0"/>
                      <w:marTop w:val="0"/>
                      <w:marBottom w:val="0"/>
                      <w:divBdr>
                        <w:top w:val="none" w:sz="0" w:space="0" w:color="auto"/>
                        <w:left w:val="none" w:sz="0" w:space="0" w:color="auto"/>
                        <w:bottom w:val="none" w:sz="0" w:space="0" w:color="auto"/>
                        <w:right w:val="none" w:sz="0" w:space="0" w:color="auto"/>
                      </w:divBdr>
                    </w:div>
                  </w:divsChild>
                </w:div>
                <w:div w:id="864516149">
                  <w:marLeft w:val="0"/>
                  <w:marRight w:val="0"/>
                  <w:marTop w:val="0"/>
                  <w:marBottom w:val="0"/>
                  <w:divBdr>
                    <w:top w:val="none" w:sz="0" w:space="0" w:color="auto"/>
                    <w:left w:val="none" w:sz="0" w:space="0" w:color="auto"/>
                    <w:bottom w:val="none" w:sz="0" w:space="0" w:color="auto"/>
                    <w:right w:val="none" w:sz="0" w:space="0" w:color="auto"/>
                  </w:divBdr>
                  <w:divsChild>
                    <w:div w:id="107431859">
                      <w:marLeft w:val="0"/>
                      <w:marRight w:val="0"/>
                      <w:marTop w:val="0"/>
                      <w:marBottom w:val="0"/>
                      <w:divBdr>
                        <w:top w:val="none" w:sz="0" w:space="0" w:color="auto"/>
                        <w:left w:val="none" w:sz="0" w:space="0" w:color="auto"/>
                        <w:bottom w:val="none" w:sz="0" w:space="0" w:color="auto"/>
                        <w:right w:val="none" w:sz="0" w:space="0" w:color="auto"/>
                      </w:divBdr>
                    </w:div>
                  </w:divsChild>
                </w:div>
                <w:div w:id="997070830">
                  <w:marLeft w:val="0"/>
                  <w:marRight w:val="0"/>
                  <w:marTop w:val="0"/>
                  <w:marBottom w:val="0"/>
                  <w:divBdr>
                    <w:top w:val="none" w:sz="0" w:space="0" w:color="auto"/>
                    <w:left w:val="none" w:sz="0" w:space="0" w:color="auto"/>
                    <w:bottom w:val="none" w:sz="0" w:space="0" w:color="auto"/>
                    <w:right w:val="none" w:sz="0" w:space="0" w:color="auto"/>
                  </w:divBdr>
                  <w:divsChild>
                    <w:div w:id="1053961474">
                      <w:marLeft w:val="0"/>
                      <w:marRight w:val="0"/>
                      <w:marTop w:val="0"/>
                      <w:marBottom w:val="0"/>
                      <w:divBdr>
                        <w:top w:val="none" w:sz="0" w:space="0" w:color="auto"/>
                        <w:left w:val="none" w:sz="0" w:space="0" w:color="auto"/>
                        <w:bottom w:val="none" w:sz="0" w:space="0" w:color="auto"/>
                        <w:right w:val="none" w:sz="0" w:space="0" w:color="auto"/>
                      </w:divBdr>
                    </w:div>
                  </w:divsChild>
                </w:div>
                <w:div w:id="1015110715">
                  <w:marLeft w:val="0"/>
                  <w:marRight w:val="0"/>
                  <w:marTop w:val="0"/>
                  <w:marBottom w:val="0"/>
                  <w:divBdr>
                    <w:top w:val="none" w:sz="0" w:space="0" w:color="auto"/>
                    <w:left w:val="none" w:sz="0" w:space="0" w:color="auto"/>
                    <w:bottom w:val="none" w:sz="0" w:space="0" w:color="auto"/>
                    <w:right w:val="none" w:sz="0" w:space="0" w:color="auto"/>
                  </w:divBdr>
                  <w:divsChild>
                    <w:div w:id="424032158">
                      <w:marLeft w:val="0"/>
                      <w:marRight w:val="0"/>
                      <w:marTop w:val="0"/>
                      <w:marBottom w:val="0"/>
                      <w:divBdr>
                        <w:top w:val="none" w:sz="0" w:space="0" w:color="auto"/>
                        <w:left w:val="none" w:sz="0" w:space="0" w:color="auto"/>
                        <w:bottom w:val="none" w:sz="0" w:space="0" w:color="auto"/>
                        <w:right w:val="none" w:sz="0" w:space="0" w:color="auto"/>
                      </w:divBdr>
                    </w:div>
                  </w:divsChild>
                </w:div>
                <w:div w:id="1026635820">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
                  </w:divsChild>
                </w:div>
                <w:div w:id="1111431761">
                  <w:marLeft w:val="0"/>
                  <w:marRight w:val="0"/>
                  <w:marTop w:val="0"/>
                  <w:marBottom w:val="0"/>
                  <w:divBdr>
                    <w:top w:val="none" w:sz="0" w:space="0" w:color="auto"/>
                    <w:left w:val="none" w:sz="0" w:space="0" w:color="auto"/>
                    <w:bottom w:val="none" w:sz="0" w:space="0" w:color="auto"/>
                    <w:right w:val="none" w:sz="0" w:space="0" w:color="auto"/>
                  </w:divBdr>
                  <w:divsChild>
                    <w:div w:id="1918440514">
                      <w:marLeft w:val="0"/>
                      <w:marRight w:val="0"/>
                      <w:marTop w:val="0"/>
                      <w:marBottom w:val="0"/>
                      <w:divBdr>
                        <w:top w:val="none" w:sz="0" w:space="0" w:color="auto"/>
                        <w:left w:val="none" w:sz="0" w:space="0" w:color="auto"/>
                        <w:bottom w:val="none" w:sz="0" w:space="0" w:color="auto"/>
                        <w:right w:val="none" w:sz="0" w:space="0" w:color="auto"/>
                      </w:divBdr>
                    </w:div>
                  </w:divsChild>
                </w:div>
                <w:div w:id="1473518705">
                  <w:marLeft w:val="0"/>
                  <w:marRight w:val="0"/>
                  <w:marTop w:val="0"/>
                  <w:marBottom w:val="0"/>
                  <w:divBdr>
                    <w:top w:val="none" w:sz="0" w:space="0" w:color="auto"/>
                    <w:left w:val="none" w:sz="0" w:space="0" w:color="auto"/>
                    <w:bottom w:val="none" w:sz="0" w:space="0" w:color="auto"/>
                    <w:right w:val="none" w:sz="0" w:space="0" w:color="auto"/>
                  </w:divBdr>
                  <w:divsChild>
                    <w:div w:id="1571381821">
                      <w:marLeft w:val="0"/>
                      <w:marRight w:val="0"/>
                      <w:marTop w:val="0"/>
                      <w:marBottom w:val="0"/>
                      <w:divBdr>
                        <w:top w:val="none" w:sz="0" w:space="0" w:color="auto"/>
                        <w:left w:val="none" w:sz="0" w:space="0" w:color="auto"/>
                        <w:bottom w:val="none" w:sz="0" w:space="0" w:color="auto"/>
                        <w:right w:val="none" w:sz="0" w:space="0" w:color="auto"/>
                      </w:divBdr>
                    </w:div>
                    <w:div w:id="1897280194">
                      <w:marLeft w:val="0"/>
                      <w:marRight w:val="0"/>
                      <w:marTop w:val="0"/>
                      <w:marBottom w:val="0"/>
                      <w:divBdr>
                        <w:top w:val="none" w:sz="0" w:space="0" w:color="auto"/>
                        <w:left w:val="none" w:sz="0" w:space="0" w:color="auto"/>
                        <w:bottom w:val="none" w:sz="0" w:space="0" w:color="auto"/>
                        <w:right w:val="none" w:sz="0" w:space="0" w:color="auto"/>
                      </w:divBdr>
                    </w:div>
                  </w:divsChild>
                </w:div>
                <w:div w:id="1602296531">
                  <w:marLeft w:val="0"/>
                  <w:marRight w:val="0"/>
                  <w:marTop w:val="0"/>
                  <w:marBottom w:val="0"/>
                  <w:divBdr>
                    <w:top w:val="none" w:sz="0" w:space="0" w:color="auto"/>
                    <w:left w:val="none" w:sz="0" w:space="0" w:color="auto"/>
                    <w:bottom w:val="none" w:sz="0" w:space="0" w:color="auto"/>
                    <w:right w:val="none" w:sz="0" w:space="0" w:color="auto"/>
                  </w:divBdr>
                  <w:divsChild>
                    <w:div w:id="154541384">
                      <w:marLeft w:val="0"/>
                      <w:marRight w:val="0"/>
                      <w:marTop w:val="0"/>
                      <w:marBottom w:val="0"/>
                      <w:divBdr>
                        <w:top w:val="none" w:sz="0" w:space="0" w:color="auto"/>
                        <w:left w:val="none" w:sz="0" w:space="0" w:color="auto"/>
                        <w:bottom w:val="none" w:sz="0" w:space="0" w:color="auto"/>
                        <w:right w:val="none" w:sz="0" w:space="0" w:color="auto"/>
                      </w:divBdr>
                    </w:div>
                  </w:divsChild>
                </w:div>
                <w:div w:id="1738748685">
                  <w:marLeft w:val="0"/>
                  <w:marRight w:val="0"/>
                  <w:marTop w:val="0"/>
                  <w:marBottom w:val="0"/>
                  <w:divBdr>
                    <w:top w:val="none" w:sz="0" w:space="0" w:color="auto"/>
                    <w:left w:val="none" w:sz="0" w:space="0" w:color="auto"/>
                    <w:bottom w:val="none" w:sz="0" w:space="0" w:color="auto"/>
                    <w:right w:val="none" w:sz="0" w:space="0" w:color="auto"/>
                  </w:divBdr>
                  <w:divsChild>
                    <w:div w:id="1879317181">
                      <w:marLeft w:val="0"/>
                      <w:marRight w:val="0"/>
                      <w:marTop w:val="0"/>
                      <w:marBottom w:val="0"/>
                      <w:divBdr>
                        <w:top w:val="none" w:sz="0" w:space="0" w:color="auto"/>
                        <w:left w:val="none" w:sz="0" w:space="0" w:color="auto"/>
                        <w:bottom w:val="none" w:sz="0" w:space="0" w:color="auto"/>
                        <w:right w:val="none" w:sz="0" w:space="0" w:color="auto"/>
                      </w:divBdr>
                    </w:div>
                  </w:divsChild>
                </w:div>
                <w:div w:id="1840344503">
                  <w:marLeft w:val="0"/>
                  <w:marRight w:val="0"/>
                  <w:marTop w:val="0"/>
                  <w:marBottom w:val="0"/>
                  <w:divBdr>
                    <w:top w:val="none" w:sz="0" w:space="0" w:color="auto"/>
                    <w:left w:val="none" w:sz="0" w:space="0" w:color="auto"/>
                    <w:bottom w:val="none" w:sz="0" w:space="0" w:color="auto"/>
                    <w:right w:val="none" w:sz="0" w:space="0" w:color="auto"/>
                  </w:divBdr>
                  <w:divsChild>
                    <w:div w:id="709771138">
                      <w:marLeft w:val="0"/>
                      <w:marRight w:val="0"/>
                      <w:marTop w:val="0"/>
                      <w:marBottom w:val="0"/>
                      <w:divBdr>
                        <w:top w:val="none" w:sz="0" w:space="0" w:color="auto"/>
                        <w:left w:val="none" w:sz="0" w:space="0" w:color="auto"/>
                        <w:bottom w:val="none" w:sz="0" w:space="0" w:color="auto"/>
                        <w:right w:val="none" w:sz="0" w:space="0" w:color="auto"/>
                      </w:divBdr>
                    </w:div>
                    <w:div w:id="1722050066">
                      <w:marLeft w:val="0"/>
                      <w:marRight w:val="0"/>
                      <w:marTop w:val="0"/>
                      <w:marBottom w:val="0"/>
                      <w:divBdr>
                        <w:top w:val="none" w:sz="0" w:space="0" w:color="auto"/>
                        <w:left w:val="none" w:sz="0" w:space="0" w:color="auto"/>
                        <w:bottom w:val="none" w:sz="0" w:space="0" w:color="auto"/>
                        <w:right w:val="none" w:sz="0" w:space="0" w:color="auto"/>
                      </w:divBdr>
                    </w:div>
                  </w:divsChild>
                </w:div>
                <w:div w:id="2003658115">
                  <w:marLeft w:val="0"/>
                  <w:marRight w:val="0"/>
                  <w:marTop w:val="0"/>
                  <w:marBottom w:val="0"/>
                  <w:divBdr>
                    <w:top w:val="none" w:sz="0" w:space="0" w:color="auto"/>
                    <w:left w:val="none" w:sz="0" w:space="0" w:color="auto"/>
                    <w:bottom w:val="none" w:sz="0" w:space="0" w:color="auto"/>
                    <w:right w:val="none" w:sz="0" w:space="0" w:color="auto"/>
                  </w:divBdr>
                  <w:divsChild>
                    <w:div w:id="414978476">
                      <w:marLeft w:val="0"/>
                      <w:marRight w:val="0"/>
                      <w:marTop w:val="0"/>
                      <w:marBottom w:val="0"/>
                      <w:divBdr>
                        <w:top w:val="none" w:sz="0" w:space="0" w:color="auto"/>
                        <w:left w:val="none" w:sz="0" w:space="0" w:color="auto"/>
                        <w:bottom w:val="none" w:sz="0" w:space="0" w:color="auto"/>
                        <w:right w:val="none" w:sz="0" w:space="0" w:color="auto"/>
                      </w:divBdr>
                    </w:div>
                    <w:div w:id="710375480">
                      <w:marLeft w:val="0"/>
                      <w:marRight w:val="0"/>
                      <w:marTop w:val="0"/>
                      <w:marBottom w:val="0"/>
                      <w:divBdr>
                        <w:top w:val="none" w:sz="0" w:space="0" w:color="auto"/>
                        <w:left w:val="none" w:sz="0" w:space="0" w:color="auto"/>
                        <w:bottom w:val="none" w:sz="0" w:space="0" w:color="auto"/>
                        <w:right w:val="none" w:sz="0" w:space="0" w:color="auto"/>
                      </w:divBdr>
                    </w:div>
                  </w:divsChild>
                </w:div>
                <w:div w:id="2060518219">
                  <w:marLeft w:val="0"/>
                  <w:marRight w:val="0"/>
                  <w:marTop w:val="0"/>
                  <w:marBottom w:val="0"/>
                  <w:divBdr>
                    <w:top w:val="none" w:sz="0" w:space="0" w:color="auto"/>
                    <w:left w:val="none" w:sz="0" w:space="0" w:color="auto"/>
                    <w:bottom w:val="none" w:sz="0" w:space="0" w:color="auto"/>
                    <w:right w:val="none" w:sz="0" w:space="0" w:color="auto"/>
                  </w:divBdr>
                  <w:divsChild>
                    <w:div w:id="1634676726">
                      <w:marLeft w:val="0"/>
                      <w:marRight w:val="0"/>
                      <w:marTop w:val="0"/>
                      <w:marBottom w:val="0"/>
                      <w:divBdr>
                        <w:top w:val="none" w:sz="0" w:space="0" w:color="auto"/>
                        <w:left w:val="none" w:sz="0" w:space="0" w:color="auto"/>
                        <w:bottom w:val="none" w:sz="0" w:space="0" w:color="auto"/>
                        <w:right w:val="none" w:sz="0" w:space="0" w:color="auto"/>
                      </w:divBdr>
                    </w:div>
                  </w:divsChild>
                </w:div>
                <w:div w:id="2137066628">
                  <w:marLeft w:val="0"/>
                  <w:marRight w:val="0"/>
                  <w:marTop w:val="0"/>
                  <w:marBottom w:val="0"/>
                  <w:divBdr>
                    <w:top w:val="none" w:sz="0" w:space="0" w:color="auto"/>
                    <w:left w:val="none" w:sz="0" w:space="0" w:color="auto"/>
                    <w:bottom w:val="none" w:sz="0" w:space="0" w:color="auto"/>
                    <w:right w:val="none" w:sz="0" w:space="0" w:color="auto"/>
                  </w:divBdr>
                  <w:divsChild>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7850">
          <w:marLeft w:val="0"/>
          <w:marRight w:val="0"/>
          <w:marTop w:val="0"/>
          <w:marBottom w:val="0"/>
          <w:divBdr>
            <w:top w:val="none" w:sz="0" w:space="0" w:color="auto"/>
            <w:left w:val="none" w:sz="0" w:space="0" w:color="auto"/>
            <w:bottom w:val="none" w:sz="0" w:space="0" w:color="auto"/>
            <w:right w:val="none" w:sz="0" w:space="0" w:color="auto"/>
          </w:divBdr>
        </w:div>
        <w:div w:id="1903783730">
          <w:marLeft w:val="0"/>
          <w:marRight w:val="0"/>
          <w:marTop w:val="0"/>
          <w:marBottom w:val="0"/>
          <w:divBdr>
            <w:top w:val="none" w:sz="0" w:space="0" w:color="auto"/>
            <w:left w:val="none" w:sz="0" w:space="0" w:color="auto"/>
            <w:bottom w:val="none" w:sz="0" w:space="0" w:color="auto"/>
            <w:right w:val="none" w:sz="0" w:space="0" w:color="auto"/>
          </w:divBdr>
        </w:div>
        <w:div w:id="1925724873">
          <w:marLeft w:val="0"/>
          <w:marRight w:val="0"/>
          <w:marTop w:val="0"/>
          <w:marBottom w:val="0"/>
          <w:divBdr>
            <w:top w:val="none" w:sz="0" w:space="0" w:color="auto"/>
            <w:left w:val="none" w:sz="0" w:space="0" w:color="auto"/>
            <w:bottom w:val="none" w:sz="0" w:space="0" w:color="auto"/>
            <w:right w:val="none" w:sz="0" w:space="0" w:color="auto"/>
          </w:divBdr>
        </w:div>
      </w:divsChild>
    </w:div>
    <w:div w:id="327178307">
      <w:bodyDiv w:val="1"/>
      <w:marLeft w:val="0"/>
      <w:marRight w:val="0"/>
      <w:marTop w:val="0"/>
      <w:marBottom w:val="0"/>
      <w:divBdr>
        <w:top w:val="none" w:sz="0" w:space="0" w:color="auto"/>
        <w:left w:val="none" w:sz="0" w:space="0" w:color="auto"/>
        <w:bottom w:val="none" w:sz="0" w:space="0" w:color="auto"/>
        <w:right w:val="none" w:sz="0" w:space="0" w:color="auto"/>
      </w:divBdr>
    </w:div>
    <w:div w:id="770124890">
      <w:bodyDiv w:val="1"/>
      <w:marLeft w:val="0"/>
      <w:marRight w:val="0"/>
      <w:marTop w:val="0"/>
      <w:marBottom w:val="0"/>
      <w:divBdr>
        <w:top w:val="none" w:sz="0" w:space="0" w:color="auto"/>
        <w:left w:val="none" w:sz="0" w:space="0" w:color="auto"/>
        <w:bottom w:val="none" w:sz="0" w:space="0" w:color="auto"/>
        <w:right w:val="none" w:sz="0" w:space="0" w:color="auto"/>
      </w:divBdr>
      <w:divsChild>
        <w:div w:id="1918705057">
          <w:marLeft w:val="547"/>
          <w:marRight w:val="0"/>
          <w:marTop w:val="240"/>
          <w:marBottom w:val="0"/>
          <w:divBdr>
            <w:top w:val="none" w:sz="0" w:space="0" w:color="auto"/>
            <w:left w:val="none" w:sz="0" w:space="0" w:color="auto"/>
            <w:bottom w:val="none" w:sz="0" w:space="0" w:color="auto"/>
            <w:right w:val="none" w:sz="0" w:space="0" w:color="auto"/>
          </w:divBdr>
        </w:div>
      </w:divsChild>
    </w:div>
    <w:div w:id="1010840482">
      <w:bodyDiv w:val="1"/>
      <w:marLeft w:val="0"/>
      <w:marRight w:val="0"/>
      <w:marTop w:val="0"/>
      <w:marBottom w:val="0"/>
      <w:divBdr>
        <w:top w:val="none" w:sz="0" w:space="0" w:color="auto"/>
        <w:left w:val="none" w:sz="0" w:space="0" w:color="auto"/>
        <w:bottom w:val="none" w:sz="0" w:space="0" w:color="auto"/>
        <w:right w:val="none" w:sz="0" w:space="0" w:color="auto"/>
      </w:divBdr>
    </w:div>
    <w:div w:id="1020929547">
      <w:bodyDiv w:val="1"/>
      <w:marLeft w:val="0"/>
      <w:marRight w:val="0"/>
      <w:marTop w:val="0"/>
      <w:marBottom w:val="0"/>
      <w:divBdr>
        <w:top w:val="none" w:sz="0" w:space="0" w:color="auto"/>
        <w:left w:val="none" w:sz="0" w:space="0" w:color="auto"/>
        <w:bottom w:val="none" w:sz="0" w:space="0" w:color="auto"/>
        <w:right w:val="none" w:sz="0" w:space="0" w:color="auto"/>
      </w:divBdr>
    </w:div>
    <w:div w:id="1080443023">
      <w:bodyDiv w:val="1"/>
      <w:marLeft w:val="0"/>
      <w:marRight w:val="0"/>
      <w:marTop w:val="0"/>
      <w:marBottom w:val="0"/>
      <w:divBdr>
        <w:top w:val="none" w:sz="0" w:space="0" w:color="auto"/>
        <w:left w:val="none" w:sz="0" w:space="0" w:color="auto"/>
        <w:bottom w:val="none" w:sz="0" w:space="0" w:color="auto"/>
        <w:right w:val="none" w:sz="0" w:space="0" w:color="auto"/>
      </w:divBdr>
      <w:divsChild>
        <w:div w:id="1825705516">
          <w:marLeft w:val="547"/>
          <w:marRight w:val="0"/>
          <w:marTop w:val="240"/>
          <w:marBottom w:val="0"/>
          <w:divBdr>
            <w:top w:val="none" w:sz="0" w:space="0" w:color="auto"/>
            <w:left w:val="none" w:sz="0" w:space="0" w:color="auto"/>
            <w:bottom w:val="none" w:sz="0" w:space="0" w:color="auto"/>
            <w:right w:val="none" w:sz="0" w:space="0" w:color="auto"/>
          </w:divBdr>
        </w:div>
      </w:divsChild>
    </w:div>
    <w:div w:id="1253397928">
      <w:bodyDiv w:val="1"/>
      <w:marLeft w:val="0"/>
      <w:marRight w:val="0"/>
      <w:marTop w:val="0"/>
      <w:marBottom w:val="0"/>
      <w:divBdr>
        <w:top w:val="none" w:sz="0" w:space="0" w:color="auto"/>
        <w:left w:val="none" w:sz="0" w:space="0" w:color="auto"/>
        <w:bottom w:val="none" w:sz="0" w:space="0" w:color="auto"/>
        <w:right w:val="none" w:sz="0" w:space="0" w:color="auto"/>
      </w:divBdr>
    </w:div>
    <w:div w:id="1257060767">
      <w:bodyDiv w:val="1"/>
      <w:marLeft w:val="0"/>
      <w:marRight w:val="0"/>
      <w:marTop w:val="0"/>
      <w:marBottom w:val="0"/>
      <w:divBdr>
        <w:top w:val="none" w:sz="0" w:space="0" w:color="auto"/>
        <w:left w:val="none" w:sz="0" w:space="0" w:color="auto"/>
        <w:bottom w:val="none" w:sz="0" w:space="0" w:color="auto"/>
        <w:right w:val="none" w:sz="0" w:space="0" w:color="auto"/>
      </w:divBdr>
    </w:div>
    <w:div w:id="1492024402">
      <w:bodyDiv w:val="1"/>
      <w:marLeft w:val="0"/>
      <w:marRight w:val="0"/>
      <w:marTop w:val="0"/>
      <w:marBottom w:val="0"/>
      <w:divBdr>
        <w:top w:val="none" w:sz="0" w:space="0" w:color="auto"/>
        <w:left w:val="none" w:sz="0" w:space="0" w:color="auto"/>
        <w:bottom w:val="none" w:sz="0" w:space="0" w:color="auto"/>
        <w:right w:val="none" w:sz="0" w:space="0" w:color="auto"/>
      </w:divBdr>
    </w:div>
    <w:div w:id="1543130878">
      <w:bodyDiv w:val="1"/>
      <w:marLeft w:val="0"/>
      <w:marRight w:val="0"/>
      <w:marTop w:val="0"/>
      <w:marBottom w:val="0"/>
      <w:divBdr>
        <w:top w:val="none" w:sz="0" w:space="0" w:color="auto"/>
        <w:left w:val="none" w:sz="0" w:space="0" w:color="auto"/>
        <w:bottom w:val="none" w:sz="0" w:space="0" w:color="auto"/>
        <w:right w:val="none" w:sz="0" w:space="0" w:color="auto"/>
      </w:divBdr>
    </w:div>
    <w:div w:id="1588033434">
      <w:bodyDiv w:val="1"/>
      <w:marLeft w:val="0"/>
      <w:marRight w:val="0"/>
      <w:marTop w:val="0"/>
      <w:marBottom w:val="0"/>
      <w:divBdr>
        <w:top w:val="none" w:sz="0" w:space="0" w:color="auto"/>
        <w:left w:val="none" w:sz="0" w:space="0" w:color="auto"/>
        <w:bottom w:val="none" w:sz="0" w:space="0" w:color="auto"/>
        <w:right w:val="none" w:sz="0" w:space="0" w:color="auto"/>
      </w:divBdr>
    </w:div>
    <w:div w:id="1675105162">
      <w:bodyDiv w:val="1"/>
      <w:marLeft w:val="0"/>
      <w:marRight w:val="0"/>
      <w:marTop w:val="0"/>
      <w:marBottom w:val="0"/>
      <w:divBdr>
        <w:top w:val="none" w:sz="0" w:space="0" w:color="auto"/>
        <w:left w:val="none" w:sz="0" w:space="0" w:color="auto"/>
        <w:bottom w:val="none" w:sz="0" w:space="0" w:color="auto"/>
        <w:right w:val="none" w:sz="0" w:space="0" w:color="auto"/>
      </w:divBdr>
    </w:div>
    <w:div w:id="1825733908">
      <w:bodyDiv w:val="1"/>
      <w:marLeft w:val="0"/>
      <w:marRight w:val="0"/>
      <w:marTop w:val="0"/>
      <w:marBottom w:val="0"/>
      <w:divBdr>
        <w:top w:val="none" w:sz="0" w:space="0" w:color="auto"/>
        <w:left w:val="none" w:sz="0" w:space="0" w:color="auto"/>
        <w:bottom w:val="none" w:sz="0" w:space="0" w:color="auto"/>
        <w:right w:val="none" w:sz="0" w:space="0" w:color="auto"/>
      </w:divBdr>
      <w:divsChild>
        <w:div w:id="185410804">
          <w:marLeft w:val="547"/>
          <w:marRight w:val="0"/>
          <w:marTop w:val="0"/>
          <w:marBottom w:val="240"/>
          <w:divBdr>
            <w:top w:val="none" w:sz="0" w:space="0" w:color="auto"/>
            <w:left w:val="none" w:sz="0" w:space="0" w:color="auto"/>
            <w:bottom w:val="none" w:sz="0" w:space="0" w:color="auto"/>
            <w:right w:val="none" w:sz="0" w:space="0" w:color="auto"/>
          </w:divBdr>
        </w:div>
        <w:div w:id="218514162">
          <w:marLeft w:val="547"/>
          <w:marRight w:val="0"/>
          <w:marTop w:val="0"/>
          <w:marBottom w:val="240"/>
          <w:divBdr>
            <w:top w:val="none" w:sz="0" w:space="0" w:color="auto"/>
            <w:left w:val="none" w:sz="0" w:space="0" w:color="auto"/>
            <w:bottom w:val="none" w:sz="0" w:space="0" w:color="auto"/>
            <w:right w:val="none" w:sz="0" w:space="0" w:color="auto"/>
          </w:divBdr>
        </w:div>
        <w:div w:id="1677659349">
          <w:marLeft w:val="547"/>
          <w:marRight w:val="0"/>
          <w:marTop w:val="0"/>
          <w:marBottom w:val="240"/>
          <w:divBdr>
            <w:top w:val="none" w:sz="0" w:space="0" w:color="auto"/>
            <w:left w:val="none" w:sz="0" w:space="0" w:color="auto"/>
            <w:bottom w:val="none" w:sz="0" w:space="0" w:color="auto"/>
            <w:right w:val="none" w:sz="0" w:space="0" w:color="auto"/>
          </w:divBdr>
        </w:div>
        <w:div w:id="1904245351">
          <w:marLeft w:val="547"/>
          <w:marRight w:val="0"/>
          <w:marTop w:val="0"/>
          <w:marBottom w:val="240"/>
          <w:divBdr>
            <w:top w:val="none" w:sz="0" w:space="0" w:color="auto"/>
            <w:left w:val="none" w:sz="0" w:space="0" w:color="auto"/>
            <w:bottom w:val="none" w:sz="0" w:space="0" w:color="auto"/>
            <w:right w:val="none" w:sz="0" w:space="0" w:color="auto"/>
          </w:divBdr>
        </w:div>
      </w:divsChild>
    </w:div>
    <w:div w:id="1986816815">
      <w:bodyDiv w:val="1"/>
      <w:marLeft w:val="0"/>
      <w:marRight w:val="0"/>
      <w:marTop w:val="0"/>
      <w:marBottom w:val="0"/>
      <w:divBdr>
        <w:top w:val="none" w:sz="0" w:space="0" w:color="auto"/>
        <w:left w:val="none" w:sz="0" w:space="0" w:color="auto"/>
        <w:bottom w:val="none" w:sz="0" w:space="0" w:color="auto"/>
        <w:right w:val="none" w:sz="0" w:space="0" w:color="auto"/>
      </w:divBdr>
    </w:div>
    <w:div w:id="2050254687">
      <w:bodyDiv w:val="1"/>
      <w:marLeft w:val="0"/>
      <w:marRight w:val="0"/>
      <w:marTop w:val="0"/>
      <w:marBottom w:val="0"/>
      <w:divBdr>
        <w:top w:val="none" w:sz="0" w:space="0" w:color="auto"/>
        <w:left w:val="none" w:sz="0" w:space="0" w:color="auto"/>
        <w:bottom w:val="none" w:sz="0" w:space="0" w:color="auto"/>
        <w:right w:val="none" w:sz="0" w:space="0" w:color="auto"/>
      </w:divBdr>
    </w:div>
    <w:div w:id="2071076810">
      <w:bodyDiv w:val="1"/>
      <w:marLeft w:val="0"/>
      <w:marRight w:val="0"/>
      <w:marTop w:val="0"/>
      <w:marBottom w:val="0"/>
      <w:divBdr>
        <w:top w:val="none" w:sz="0" w:space="0" w:color="auto"/>
        <w:left w:val="none" w:sz="0" w:space="0" w:color="auto"/>
        <w:bottom w:val="none" w:sz="0" w:space="0" w:color="auto"/>
        <w:right w:val="none" w:sz="0" w:space="0" w:color="auto"/>
      </w:divBdr>
      <w:divsChild>
        <w:div w:id="306279378">
          <w:marLeft w:val="547"/>
          <w:marRight w:val="0"/>
          <w:marTop w:val="0"/>
          <w:marBottom w:val="240"/>
          <w:divBdr>
            <w:top w:val="none" w:sz="0" w:space="0" w:color="auto"/>
            <w:left w:val="none" w:sz="0" w:space="0" w:color="auto"/>
            <w:bottom w:val="none" w:sz="0" w:space="0" w:color="auto"/>
            <w:right w:val="none" w:sz="0" w:space="0" w:color="auto"/>
          </w:divBdr>
        </w:div>
      </w:divsChild>
    </w:div>
    <w:div w:id="2102142960">
      <w:bodyDiv w:val="1"/>
      <w:marLeft w:val="0"/>
      <w:marRight w:val="0"/>
      <w:marTop w:val="0"/>
      <w:marBottom w:val="0"/>
      <w:divBdr>
        <w:top w:val="none" w:sz="0" w:space="0" w:color="auto"/>
        <w:left w:val="none" w:sz="0" w:space="0" w:color="auto"/>
        <w:bottom w:val="none" w:sz="0" w:space="0" w:color="auto"/>
        <w:right w:val="none" w:sz="0" w:space="0" w:color="auto"/>
      </w:divBdr>
    </w:div>
    <w:div w:id="2104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hart" Target="charts/chart2.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435284224072461E-2"/>
          <c:y val="5.05243296200878E-2"/>
          <c:w val="0.89043074054995464"/>
          <c:h val="0.66040891791701273"/>
        </c:manualLayout>
      </c:layout>
      <c:areaChart>
        <c:grouping val="stacked"/>
        <c:varyColors val="0"/>
        <c:ser>
          <c:idx val="0"/>
          <c:order val="0"/>
          <c:tx>
            <c:strRef>
              <c:f>Hoja1!$B$1</c:f>
              <c:strCache>
                <c:ptCount val="1"/>
                <c:pt idx="0">
                  <c:v>Regulada</c:v>
                </c:pt>
              </c:strCache>
            </c:strRef>
          </c:tx>
          <c:spPr>
            <a:solidFill>
              <a:schemeClr val="accent1">
                <a:lumMod val="50000"/>
                <a:alpha val="85000"/>
              </a:schemeClr>
            </a:solidFill>
            <a:ln>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Hoja1!$B$2:$B$55</c:f>
              <c:numCache>
                <c:formatCode>#,##0</c:formatCode>
                <c:ptCount val="54"/>
                <c:pt idx="0">
                  <c:v>43376.296000000002</c:v>
                </c:pt>
                <c:pt idx="1">
                  <c:v>43404.727999999996</c:v>
                </c:pt>
                <c:pt idx="2">
                  <c:v>52357.478999999999</c:v>
                </c:pt>
                <c:pt idx="3">
                  <c:v>54407.102999999996</c:v>
                </c:pt>
                <c:pt idx="4">
                  <c:v>54026.646999999997</c:v>
                </c:pt>
                <c:pt idx="5">
                  <c:v>53941.545000000006</c:v>
                </c:pt>
                <c:pt idx="6">
                  <c:v>55906.549000000006</c:v>
                </c:pt>
                <c:pt idx="7">
                  <c:v>56229.427000000003</c:v>
                </c:pt>
                <c:pt idx="8">
                  <c:v>57366.12200000001</c:v>
                </c:pt>
                <c:pt idx="9">
                  <c:v>55211.582999999999</c:v>
                </c:pt>
                <c:pt idx="10">
                  <c:v>56778.533000000003</c:v>
                </c:pt>
                <c:pt idx="11">
                  <c:v>54331.894</c:v>
                </c:pt>
                <c:pt idx="12">
                  <c:v>55907.946000000004</c:v>
                </c:pt>
                <c:pt idx="13">
                  <c:v>55901.662000000011</c:v>
                </c:pt>
                <c:pt idx="14">
                  <c:v>52827.228999999999</c:v>
                </c:pt>
                <c:pt idx="15">
                  <c:v>56107.278999999995</c:v>
                </c:pt>
                <c:pt idx="16">
                  <c:v>56649.675999999999</c:v>
                </c:pt>
                <c:pt idx="17">
                  <c:v>55964.993000000002</c:v>
                </c:pt>
                <c:pt idx="18">
                  <c:v>56676.722000000009</c:v>
                </c:pt>
                <c:pt idx="19">
                  <c:v>51196.608</c:v>
                </c:pt>
                <c:pt idx="20">
                  <c:v>56082.139000000003</c:v>
                </c:pt>
                <c:pt idx="21">
                  <c:v>54902.546000000002</c:v>
                </c:pt>
                <c:pt idx="22">
                  <c:v>52801.569000000003</c:v>
                </c:pt>
                <c:pt idx="23">
                  <c:v>54885.375</c:v>
                </c:pt>
                <c:pt idx="24">
                  <c:v>56458.035000000011</c:v>
                </c:pt>
                <c:pt idx="25">
                  <c:v>56444.635000000009</c:v>
                </c:pt>
                <c:pt idx="26">
                  <c:v>54605.576000000001</c:v>
                </c:pt>
                <c:pt idx="27">
                  <c:v>55640.994000000006</c:v>
                </c:pt>
                <c:pt idx="28">
                  <c:v>54546.43</c:v>
                </c:pt>
                <c:pt idx="29">
                  <c:v>56329.939000000013</c:v>
                </c:pt>
                <c:pt idx="30">
                  <c:v>55686.237999999998</c:v>
                </c:pt>
                <c:pt idx="31">
                  <c:v>50287.592000000004</c:v>
                </c:pt>
                <c:pt idx="32">
                  <c:v>55664.869000000006</c:v>
                </c:pt>
                <c:pt idx="33">
                  <c:v>53858.903999999995</c:v>
                </c:pt>
                <c:pt idx="34">
                  <c:v>55643.543000000005</c:v>
                </c:pt>
                <c:pt idx="35">
                  <c:v>53838.286</c:v>
                </c:pt>
                <c:pt idx="36">
                  <c:v>55358.345000000001</c:v>
                </c:pt>
                <c:pt idx="37">
                  <c:v>55350.560000000005</c:v>
                </c:pt>
                <c:pt idx="38">
                  <c:v>52583.324000000001</c:v>
                </c:pt>
                <c:pt idx="39">
                  <c:v>54576.457999999999</c:v>
                </c:pt>
                <c:pt idx="40">
                  <c:v>53537.017</c:v>
                </c:pt>
                <c:pt idx="41">
                  <c:v>55311.000999999997</c:v>
                </c:pt>
                <c:pt idx="42">
                  <c:v>54667.034</c:v>
                </c:pt>
                <c:pt idx="43">
                  <c:v>48463.004000000001</c:v>
                </c:pt>
                <c:pt idx="44">
                  <c:v>54651.599000000002</c:v>
                </c:pt>
                <c:pt idx="45">
                  <c:v>52878.44</c:v>
                </c:pt>
                <c:pt idx="46">
                  <c:v>54633.363000000005</c:v>
                </c:pt>
                <c:pt idx="47">
                  <c:v>52863.561999999998</c:v>
                </c:pt>
                <c:pt idx="48">
                  <c:v>54354.093000000001</c:v>
                </c:pt>
                <c:pt idx="49">
                  <c:v>54346.432000000001</c:v>
                </c:pt>
                <c:pt idx="50">
                  <c:v>52585.914000000004</c:v>
                </c:pt>
                <c:pt idx="51">
                  <c:v>53578.256000000008</c:v>
                </c:pt>
                <c:pt idx="52">
                  <c:v>52571.132000000005</c:v>
                </c:pt>
                <c:pt idx="53">
                  <c:v>54315.881000000008</c:v>
                </c:pt>
              </c:numCache>
            </c:numRef>
          </c:val>
          <c:extLst>
            <c:ext xmlns:c16="http://schemas.microsoft.com/office/drawing/2014/chart" uri="{C3380CC4-5D6E-409C-BE32-E72D297353CC}">
              <c16:uniqueId val="{00000000-8C8E-4A28-AA38-75CB5F87FAB3}"/>
            </c:ext>
          </c:extLst>
        </c:ser>
        <c:ser>
          <c:idx val="1"/>
          <c:order val="1"/>
          <c:tx>
            <c:strRef>
              <c:f>Hoja1!$C$1</c:f>
              <c:strCache>
                <c:ptCount val="1"/>
                <c:pt idx="0">
                  <c:v>Floreña</c:v>
                </c:pt>
              </c:strCache>
            </c:strRef>
          </c:tx>
          <c:spPr>
            <a:solidFill>
              <a:schemeClr val="accent2">
                <a:alpha val="85000"/>
              </a:schemeClr>
            </a:solidFill>
            <a:ln w="25400">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Hoja1!$C$2:$C$55</c:f>
              <c:numCache>
                <c:formatCode>#,##0</c:formatCode>
                <c:ptCount val="54"/>
                <c:pt idx="0">
                  <c:v>4989</c:v>
                </c:pt>
                <c:pt idx="1">
                  <c:v>4851</c:v>
                </c:pt>
                <c:pt idx="2">
                  <c:v>4194</c:v>
                </c:pt>
                <c:pt idx="3">
                  <c:v>4854</c:v>
                </c:pt>
                <c:pt idx="4">
                  <c:v>4404</c:v>
                </c:pt>
                <c:pt idx="5">
                  <c:v>4305</c:v>
                </c:pt>
                <c:pt idx="6">
                  <c:v>5127</c:v>
                </c:pt>
                <c:pt idx="7">
                  <c:v>5127</c:v>
                </c:pt>
                <c:pt idx="8">
                  <c:v>4945.7749999999996</c:v>
                </c:pt>
                <c:pt idx="9">
                  <c:v>4786.2330000000002</c:v>
                </c:pt>
                <c:pt idx="10">
                  <c:v>4945.7749999999996</c:v>
                </c:pt>
                <c:pt idx="11">
                  <c:v>4786.2330000000002</c:v>
                </c:pt>
                <c:pt idx="12">
                  <c:v>4945.7749999999996</c:v>
                </c:pt>
                <c:pt idx="13">
                  <c:v>4945.7749999999996</c:v>
                </c:pt>
                <c:pt idx="14">
                  <c:v>4786.2330000000002</c:v>
                </c:pt>
                <c:pt idx="15">
                  <c:v>4945.7749999999996</c:v>
                </c:pt>
                <c:pt idx="16">
                  <c:v>4786.2330000000002</c:v>
                </c:pt>
                <c:pt idx="17">
                  <c:v>4945.7749999999996</c:v>
                </c:pt>
                <c:pt idx="18">
                  <c:v>4945.7749999999996</c:v>
                </c:pt>
                <c:pt idx="19">
                  <c:v>4467.1509999999998</c:v>
                </c:pt>
                <c:pt idx="20">
                  <c:v>4945.7749999999996</c:v>
                </c:pt>
                <c:pt idx="21">
                  <c:v>4786.2330000000002</c:v>
                </c:pt>
                <c:pt idx="22">
                  <c:v>4945.7749999999996</c:v>
                </c:pt>
                <c:pt idx="23">
                  <c:v>4786.2330000000002</c:v>
                </c:pt>
                <c:pt idx="24">
                  <c:v>4945.7749999999996</c:v>
                </c:pt>
                <c:pt idx="25">
                  <c:v>4945.7749999999996</c:v>
                </c:pt>
                <c:pt idx="26">
                  <c:v>4786.2330000000002</c:v>
                </c:pt>
                <c:pt idx="27">
                  <c:v>4945.7749999999996</c:v>
                </c:pt>
                <c:pt idx="28">
                  <c:v>4786.2330000000002</c:v>
                </c:pt>
                <c:pt idx="29">
                  <c:v>4945.7749999999996</c:v>
                </c:pt>
                <c:pt idx="30">
                  <c:v>4945.7749999999996</c:v>
                </c:pt>
                <c:pt idx="31">
                  <c:v>4467.1509999999998</c:v>
                </c:pt>
                <c:pt idx="32">
                  <c:v>4945.7749999999996</c:v>
                </c:pt>
                <c:pt idx="33">
                  <c:v>4786.2330000000002</c:v>
                </c:pt>
                <c:pt idx="34">
                  <c:v>4945.7749999999996</c:v>
                </c:pt>
                <c:pt idx="35">
                  <c:v>4786.2330000000002</c:v>
                </c:pt>
                <c:pt idx="36">
                  <c:v>4945.7749999999996</c:v>
                </c:pt>
                <c:pt idx="37">
                  <c:v>4945.7749999999996</c:v>
                </c:pt>
                <c:pt idx="38">
                  <c:v>4786.2330000000002</c:v>
                </c:pt>
                <c:pt idx="39">
                  <c:v>4945.7749999999996</c:v>
                </c:pt>
                <c:pt idx="40">
                  <c:v>4786.2330000000002</c:v>
                </c:pt>
                <c:pt idx="41">
                  <c:v>4945.7749999999996</c:v>
                </c:pt>
                <c:pt idx="42">
                  <c:v>4945.7749999999996</c:v>
                </c:pt>
                <c:pt idx="43">
                  <c:v>4467.1509999999998</c:v>
                </c:pt>
                <c:pt idx="44">
                  <c:v>4945.7749999999996</c:v>
                </c:pt>
                <c:pt idx="45">
                  <c:v>4786.2330000000002</c:v>
                </c:pt>
                <c:pt idx="46">
                  <c:v>4945.7749999999996</c:v>
                </c:pt>
                <c:pt idx="47">
                  <c:v>4786.2330000000002</c:v>
                </c:pt>
                <c:pt idx="48">
                  <c:v>4945.7749999999996</c:v>
                </c:pt>
                <c:pt idx="49">
                  <c:v>4945.7749999999996</c:v>
                </c:pt>
                <c:pt idx="50">
                  <c:v>4786.2330000000002</c:v>
                </c:pt>
                <c:pt idx="51">
                  <c:v>4945.7749999999996</c:v>
                </c:pt>
                <c:pt idx="52">
                  <c:v>4786.2330000000002</c:v>
                </c:pt>
                <c:pt idx="53">
                  <c:v>4945.7749999999996</c:v>
                </c:pt>
              </c:numCache>
            </c:numRef>
          </c:val>
          <c:extLst>
            <c:ext xmlns:c16="http://schemas.microsoft.com/office/drawing/2014/chart" uri="{C3380CC4-5D6E-409C-BE32-E72D297353CC}">
              <c16:uniqueId val="{00000001-8C8E-4A28-AA38-75CB5F87FAB3}"/>
            </c:ext>
          </c:extLst>
        </c:ser>
        <c:ser>
          <c:idx val="2"/>
          <c:order val="2"/>
          <c:tx>
            <c:strRef>
              <c:f>Hoja1!$D$1</c:f>
              <c:strCache>
                <c:ptCount val="1"/>
                <c:pt idx="0">
                  <c:v>Otra</c:v>
                </c:pt>
              </c:strCache>
            </c:strRef>
          </c:tx>
          <c:spPr>
            <a:solidFill>
              <a:schemeClr val="accent3">
                <a:alpha val="85000"/>
              </a:schemeClr>
            </a:solidFill>
            <a:ln>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Hoja1!$D$2:$D$55</c:f>
              <c:numCache>
                <c:formatCode>#,##0</c:formatCode>
                <c:ptCount val="54"/>
                <c:pt idx="0">
                  <c:v>2894.8702035062383</c:v>
                </c:pt>
                <c:pt idx="1">
                  <c:v>2889.2592035062385</c:v>
                </c:pt>
                <c:pt idx="2">
                  <c:v>2863.4502035062383</c:v>
                </c:pt>
                <c:pt idx="3">
                  <c:v>2877.9260184984382</c:v>
                </c:pt>
                <c:pt idx="4">
                  <c:v>2852.847018498438</c:v>
                </c:pt>
                <c:pt idx="5">
                  <c:v>2868.1920184984383</c:v>
                </c:pt>
                <c:pt idx="6">
                  <c:v>1401.1479999999999</c:v>
                </c:pt>
                <c:pt idx="7">
                  <c:v>1355.0650000000001</c:v>
                </c:pt>
                <c:pt idx="8">
                  <c:v>1392.4680000000001</c:v>
                </c:pt>
                <c:pt idx="9">
                  <c:v>1372.3506398600002</c:v>
                </c:pt>
                <c:pt idx="10">
                  <c:v>1387.8176398600001</c:v>
                </c:pt>
                <c:pt idx="11">
                  <c:v>1364.7906398600001</c:v>
                </c:pt>
                <c:pt idx="12">
                  <c:v>1381.4820000000002</c:v>
                </c:pt>
                <c:pt idx="13">
                  <c:v>1377.8860000000002</c:v>
                </c:pt>
                <c:pt idx="14">
                  <c:v>1355.5800000000002</c:v>
                </c:pt>
                <c:pt idx="15">
                  <c:v>1370.1488149922</c:v>
                </c:pt>
                <c:pt idx="16">
                  <c:v>1348.2768149922001</c:v>
                </c:pt>
                <c:pt idx="17">
                  <c:v>1363.6698149922001</c:v>
                </c:pt>
                <c:pt idx="18">
                  <c:v>1217.635</c:v>
                </c:pt>
                <c:pt idx="19">
                  <c:v>1159.7730000000001</c:v>
                </c:pt>
                <c:pt idx="20">
                  <c:v>1211.6519999999998</c:v>
                </c:pt>
                <c:pt idx="21">
                  <c:v>1190.673</c:v>
                </c:pt>
                <c:pt idx="22">
                  <c:v>1205.979</c:v>
                </c:pt>
                <c:pt idx="23">
                  <c:v>1185.3029999999999</c:v>
                </c:pt>
                <c:pt idx="24">
                  <c:v>1200.585</c:v>
                </c:pt>
                <c:pt idx="25">
                  <c:v>1197.981</c:v>
                </c:pt>
                <c:pt idx="26">
                  <c:v>1177.7730000000001</c:v>
                </c:pt>
                <c:pt idx="27">
                  <c:v>1192.9590000000001</c:v>
                </c:pt>
                <c:pt idx="28">
                  <c:v>1173.0029999999999</c:v>
                </c:pt>
                <c:pt idx="29">
                  <c:v>1188.154</c:v>
                </c:pt>
                <c:pt idx="30">
                  <c:v>1077.203</c:v>
                </c:pt>
                <c:pt idx="31">
                  <c:v>1023.091</c:v>
                </c:pt>
                <c:pt idx="32">
                  <c:v>1072.7080000000001</c:v>
                </c:pt>
                <c:pt idx="33">
                  <c:v>1053.3969999999999</c:v>
                </c:pt>
                <c:pt idx="34">
                  <c:v>1068.3990000000001</c:v>
                </c:pt>
                <c:pt idx="35">
                  <c:v>1049.317</c:v>
                </c:pt>
                <c:pt idx="36">
                  <c:v>1064.2760000000001</c:v>
                </c:pt>
                <c:pt idx="37">
                  <c:v>1062.261</c:v>
                </c:pt>
                <c:pt idx="38">
                  <c:v>1043.4970000000001</c:v>
                </c:pt>
                <c:pt idx="39">
                  <c:v>1058.386</c:v>
                </c:pt>
                <c:pt idx="40">
                  <c:v>1039.777</c:v>
                </c:pt>
                <c:pt idx="41">
                  <c:v>1054.604</c:v>
                </c:pt>
                <c:pt idx="42">
                  <c:v>958.65999999999985</c:v>
                </c:pt>
                <c:pt idx="43">
                  <c:v>907.32899999999995</c:v>
                </c:pt>
                <c:pt idx="44">
                  <c:v>955.12599999999998</c:v>
                </c:pt>
                <c:pt idx="45">
                  <c:v>936.99099999999999</c:v>
                </c:pt>
                <c:pt idx="46">
                  <c:v>951.68499999999995</c:v>
                </c:pt>
                <c:pt idx="47">
                  <c:v>933.721</c:v>
                </c:pt>
                <c:pt idx="48">
                  <c:v>948.39899999999989</c:v>
                </c:pt>
                <c:pt idx="49">
                  <c:v>944.4559999999999</c:v>
                </c:pt>
                <c:pt idx="50">
                  <c:v>931.34099999999989</c:v>
                </c:pt>
                <c:pt idx="51">
                  <c:v>943.625</c:v>
                </c:pt>
                <c:pt idx="52">
                  <c:v>921.44099999999992</c:v>
                </c:pt>
                <c:pt idx="53">
                  <c:v>869.25599999999986</c:v>
                </c:pt>
              </c:numCache>
            </c:numRef>
          </c:val>
          <c:extLst>
            <c:ext xmlns:c16="http://schemas.microsoft.com/office/drawing/2014/chart" uri="{C3380CC4-5D6E-409C-BE32-E72D297353CC}">
              <c16:uniqueId val="{00000002-8C8E-4A28-AA38-75CB5F87FAB3}"/>
            </c:ext>
          </c:extLst>
        </c:ser>
        <c:dLbls>
          <c:showLegendKey val="0"/>
          <c:showVal val="0"/>
          <c:showCatName val="0"/>
          <c:showSerName val="0"/>
          <c:showPercent val="0"/>
          <c:showBubbleSize val="0"/>
        </c:dLbls>
        <c:axId val="1966450399"/>
        <c:axId val="1966452063"/>
      </c:areaChart>
      <c:lineChart>
        <c:grouping val="standard"/>
        <c:varyColors val="0"/>
        <c:ser>
          <c:idx val="3"/>
          <c:order val="3"/>
          <c:tx>
            <c:strRef>
              <c:f>Hoja1!$E$1</c:f>
              <c:strCache>
                <c:ptCount val="1"/>
                <c:pt idx="0">
                  <c:v>Demanda</c:v>
                </c:pt>
              </c:strCache>
            </c:strRef>
          </c:tx>
          <c:spPr>
            <a:ln w="31750" cap="rnd">
              <a:solidFill>
                <a:srgbClr val="FF0000"/>
              </a:solidFill>
              <a:round/>
            </a:ln>
            <a:effectLst/>
          </c:spPr>
          <c:marker>
            <c:symbol val="none"/>
          </c:marke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Hoja1!$E$2:$E$55</c:f>
              <c:numCache>
                <c:formatCode>#,##0</c:formatCode>
                <c:ptCount val="54"/>
                <c:pt idx="0">
                  <c:v>52000</c:v>
                </c:pt>
                <c:pt idx="1">
                  <c:v>52130</c:v>
                </c:pt>
                <c:pt idx="2">
                  <c:v>52260.324999999997</c:v>
                </c:pt>
                <c:pt idx="3">
                  <c:v>52390.975812499993</c:v>
                </c:pt>
                <c:pt idx="4">
                  <c:v>52521.953252031242</c:v>
                </c:pt>
                <c:pt idx="5">
                  <c:v>52653.258135161319</c:v>
                </c:pt>
                <c:pt idx="6">
                  <c:v>52784.891280499221</c:v>
                </c:pt>
                <c:pt idx="7">
                  <c:v>52916.853508700464</c:v>
                </c:pt>
                <c:pt idx="8">
                  <c:v>53049.145642472213</c:v>
                </c:pt>
                <c:pt idx="9">
                  <c:v>53181.768506578388</c:v>
                </c:pt>
                <c:pt idx="10">
                  <c:v>53314.722927844829</c:v>
                </c:pt>
                <c:pt idx="11">
                  <c:v>53448.009735164436</c:v>
                </c:pt>
                <c:pt idx="12">
                  <c:v>53581.629759502342</c:v>
                </c:pt>
                <c:pt idx="13">
                  <c:v>53715.583833901095</c:v>
                </c:pt>
                <c:pt idx="14">
                  <c:v>53849.872793485847</c:v>
                </c:pt>
                <c:pt idx="15">
                  <c:v>53984.497475469558</c:v>
                </c:pt>
                <c:pt idx="16">
                  <c:v>54119.458719158232</c:v>
                </c:pt>
                <c:pt idx="17">
                  <c:v>54254.757365956124</c:v>
                </c:pt>
                <c:pt idx="18">
                  <c:v>54390.394259371009</c:v>
                </c:pt>
                <c:pt idx="19">
                  <c:v>54526.370245019432</c:v>
                </c:pt>
                <c:pt idx="20">
                  <c:v>54662.686170631976</c:v>
                </c:pt>
                <c:pt idx="21">
                  <c:v>54799.342886058555</c:v>
                </c:pt>
                <c:pt idx="22">
                  <c:v>54936.341243273702</c:v>
                </c:pt>
                <c:pt idx="23">
                  <c:v>55073.682096381883</c:v>
                </c:pt>
                <c:pt idx="24">
                  <c:v>55211.366301622831</c:v>
                </c:pt>
                <c:pt idx="25">
                  <c:v>55349.394717376883</c:v>
                </c:pt>
                <c:pt idx="26">
                  <c:v>55487.768204170323</c:v>
                </c:pt>
                <c:pt idx="27">
                  <c:v>55626.487624680747</c:v>
                </c:pt>
                <c:pt idx="28">
                  <c:v>55765.553843742447</c:v>
                </c:pt>
                <c:pt idx="29">
                  <c:v>55904.967728351803</c:v>
                </c:pt>
                <c:pt idx="30">
                  <c:v>56044.730147672679</c:v>
                </c:pt>
                <c:pt idx="31">
                  <c:v>56184.841973041861</c:v>
                </c:pt>
                <c:pt idx="32">
                  <c:v>56325.304077974462</c:v>
                </c:pt>
                <c:pt idx="33">
                  <c:v>56466.117338169395</c:v>
                </c:pt>
                <c:pt idx="34">
                  <c:v>56607.282631514812</c:v>
                </c:pt>
                <c:pt idx="35">
                  <c:v>56748.800838093593</c:v>
                </c:pt>
                <c:pt idx="36">
                  <c:v>56890.672840188825</c:v>
                </c:pt>
                <c:pt idx="37">
                  <c:v>57032.899522289292</c:v>
                </c:pt>
                <c:pt idx="38">
                  <c:v>57175.481771095016</c:v>
                </c:pt>
                <c:pt idx="39">
                  <c:v>57318.420475522747</c:v>
                </c:pt>
                <c:pt idx="40">
                  <c:v>57461.716526711549</c:v>
                </c:pt>
                <c:pt idx="41">
                  <c:v>57605.370818028321</c:v>
                </c:pt>
                <c:pt idx="42">
                  <c:v>57749.384245073386</c:v>
                </c:pt>
                <c:pt idx="43">
                  <c:v>57893.757705686068</c:v>
                </c:pt>
                <c:pt idx="44">
                  <c:v>58038.492099950279</c:v>
                </c:pt>
                <c:pt idx="45">
                  <c:v>58183.588330200153</c:v>
                </c:pt>
                <c:pt idx="46">
                  <c:v>58329.047301025654</c:v>
                </c:pt>
                <c:pt idx="47">
                  <c:v>58474.869919278215</c:v>
                </c:pt>
                <c:pt idx="48">
                  <c:v>58621.057094076408</c:v>
                </c:pt>
                <c:pt idx="49">
                  <c:v>58767.609736811595</c:v>
                </c:pt>
                <c:pt idx="50">
                  <c:v>58914.528761153619</c:v>
                </c:pt>
                <c:pt idx="51">
                  <c:v>59061.815083056499</c:v>
                </c:pt>
                <c:pt idx="52">
                  <c:v>59209.469620764139</c:v>
                </c:pt>
                <c:pt idx="53">
                  <c:v>59357.493294816049</c:v>
                </c:pt>
              </c:numCache>
            </c:numRef>
          </c:val>
          <c:smooth val="0"/>
          <c:extLst>
            <c:ext xmlns:c16="http://schemas.microsoft.com/office/drawing/2014/chart" uri="{C3380CC4-5D6E-409C-BE32-E72D297353CC}">
              <c16:uniqueId val="{00000003-8C8E-4A28-AA38-75CB5F87FAB3}"/>
            </c:ext>
          </c:extLst>
        </c:ser>
        <c:dLbls>
          <c:showLegendKey val="0"/>
          <c:showVal val="0"/>
          <c:showCatName val="0"/>
          <c:showSerName val="0"/>
          <c:showPercent val="0"/>
          <c:showBubbleSize val="0"/>
        </c:dLbls>
        <c:marker val="1"/>
        <c:smooth val="0"/>
        <c:axId val="1966450399"/>
        <c:axId val="1966452063"/>
      </c:lineChart>
      <c:dateAx>
        <c:axId val="1966450399"/>
        <c:scaling>
          <c:orientation val="minMax"/>
          <c:min val="43709"/>
        </c:scaling>
        <c:delete val="0"/>
        <c:axPos val="b"/>
        <c:numFmt formatCode="mmm\-yy" sourceLinked="0"/>
        <c:majorTickMark val="out"/>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7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crossAx val="1966452063"/>
        <c:crosses val="autoZero"/>
        <c:auto val="1"/>
        <c:lblOffset val="100"/>
        <c:baseTimeUnit val="months"/>
        <c:majorUnit val="3"/>
        <c:majorTimeUnit val="months"/>
      </c:dateAx>
      <c:valAx>
        <c:axId val="1966452063"/>
        <c:scaling>
          <c:orientation val="minMax"/>
          <c:max val="65000"/>
          <c:min val="0"/>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CO" sz="800"/>
                  <a:t>Millones de kilogramos</a:t>
                </a:r>
              </a:p>
            </c:rich>
          </c:tx>
          <c:layout>
            <c:manualLayout>
              <c:xMode val="edge"/>
              <c:yMode val="edge"/>
              <c:x val="1.1735806963382996E-2"/>
              <c:y val="0.3189850302395249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crossAx val="1966450399"/>
        <c:crossesAt val="43647"/>
        <c:crossBetween val="midCat"/>
      </c:valAx>
      <c:spPr>
        <a:noFill/>
        <a:ln>
          <a:noFill/>
        </a:ln>
        <a:effectLst/>
      </c:spPr>
    </c:plotArea>
    <c:legend>
      <c:legendPos val="b"/>
      <c:overlay val="0"/>
      <c:spPr>
        <a:solidFill>
          <a:sysClr val="window" lastClr="FFFFFF">
            <a:lumMod val="85000"/>
          </a:sys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311351706036747E-2"/>
          <c:y val="4.3650793650793648E-2"/>
          <c:w val="0.87246299941673955"/>
          <c:h val="0.57548967865503298"/>
        </c:manualLayout>
      </c:layout>
      <c:lineChart>
        <c:grouping val="standard"/>
        <c:varyColors val="0"/>
        <c:ser>
          <c:idx val="0"/>
          <c:order val="0"/>
          <c:tx>
            <c:strRef>
              <c:f>Hoja1!$B$1</c:f>
              <c:strCache>
                <c:ptCount val="1"/>
                <c:pt idx="0">
                  <c:v>C4 - Butano</c:v>
                </c:pt>
              </c:strCache>
            </c:strRef>
          </c:tx>
          <c:spPr>
            <a:ln w="28575" cap="rnd">
              <a:solidFill>
                <a:schemeClr val="accent6">
                  <a:lumMod val="75000"/>
                </a:schemeClr>
              </a:solidFill>
              <a:round/>
            </a:ln>
            <a:effectLst/>
          </c:spPr>
          <c:marker>
            <c:symbol val="none"/>
          </c:marker>
          <c:cat>
            <c:numRef>
              <c:f>Hoja1!$A$2:$A$2674</c:f>
              <c:numCache>
                <c:formatCode>dd\-mmm\-yyyy</c:formatCode>
                <c:ptCount val="2673"/>
                <c:pt idx="0">
                  <c:v>40179</c:v>
                </c:pt>
                <c:pt idx="1">
                  <c:v>40182</c:v>
                </c:pt>
                <c:pt idx="2">
                  <c:v>40183</c:v>
                </c:pt>
                <c:pt idx="3">
                  <c:v>40184</c:v>
                </c:pt>
                <c:pt idx="4">
                  <c:v>40185</c:v>
                </c:pt>
                <c:pt idx="5">
                  <c:v>40186</c:v>
                </c:pt>
                <c:pt idx="6">
                  <c:v>40189</c:v>
                </c:pt>
                <c:pt idx="7">
                  <c:v>40190</c:v>
                </c:pt>
                <c:pt idx="8">
                  <c:v>40191</c:v>
                </c:pt>
                <c:pt idx="9">
                  <c:v>40192</c:v>
                </c:pt>
                <c:pt idx="10">
                  <c:v>40193</c:v>
                </c:pt>
                <c:pt idx="11">
                  <c:v>40196</c:v>
                </c:pt>
                <c:pt idx="12">
                  <c:v>40197</c:v>
                </c:pt>
                <c:pt idx="13">
                  <c:v>40198</c:v>
                </c:pt>
                <c:pt idx="14">
                  <c:v>40199</c:v>
                </c:pt>
                <c:pt idx="15">
                  <c:v>40200</c:v>
                </c:pt>
                <c:pt idx="16">
                  <c:v>40203</c:v>
                </c:pt>
                <c:pt idx="17">
                  <c:v>40204</c:v>
                </c:pt>
                <c:pt idx="18">
                  <c:v>40205</c:v>
                </c:pt>
                <c:pt idx="19">
                  <c:v>40206</c:v>
                </c:pt>
                <c:pt idx="20">
                  <c:v>40207</c:v>
                </c:pt>
                <c:pt idx="21">
                  <c:v>40210</c:v>
                </c:pt>
                <c:pt idx="22">
                  <c:v>40211</c:v>
                </c:pt>
                <c:pt idx="23">
                  <c:v>40212</c:v>
                </c:pt>
                <c:pt idx="24">
                  <c:v>40213</c:v>
                </c:pt>
                <c:pt idx="25">
                  <c:v>40214</c:v>
                </c:pt>
                <c:pt idx="26">
                  <c:v>40217</c:v>
                </c:pt>
                <c:pt idx="27">
                  <c:v>40218</c:v>
                </c:pt>
                <c:pt idx="28">
                  <c:v>40219</c:v>
                </c:pt>
                <c:pt idx="29">
                  <c:v>40220</c:v>
                </c:pt>
                <c:pt idx="30">
                  <c:v>40221</c:v>
                </c:pt>
                <c:pt idx="31">
                  <c:v>40224</c:v>
                </c:pt>
                <c:pt idx="32">
                  <c:v>40225</c:v>
                </c:pt>
                <c:pt idx="33">
                  <c:v>40226</c:v>
                </c:pt>
                <c:pt idx="34">
                  <c:v>40227</c:v>
                </c:pt>
                <c:pt idx="35">
                  <c:v>40228</c:v>
                </c:pt>
                <c:pt idx="36">
                  <c:v>40231</c:v>
                </c:pt>
                <c:pt idx="37">
                  <c:v>40232</c:v>
                </c:pt>
                <c:pt idx="38">
                  <c:v>40233</c:v>
                </c:pt>
                <c:pt idx="39">
                  <c:v>40234</c:v>
                </c:pt>
                <c:pt idx="40">
                  <c:v>40235</c:v>
                </c:pt>
                <c:pt idx="41">
                  <c:v>40238</c:v>
                </c:pt>
                <c:pt idx="42">
                  <c:v>40239</c:v>
                </c:pt>
                <c:pt idx="43">
                  <c:v>40240</c:v>
                </c:pt>
                <c:pt idx="44">
                  <c:v>40241</c:v>
                </c:pt>
                <c:pt idx="45">
                  <c:v>40242</c:v>
                </c:pt>
                <c:pt idx="46">
                  <c:v>40245</c:v>
                </c:pt>
                <c:pt idx="47">
                  <c:v>40246</c:v>
                </c:pt>
                <c:pt idx="48">
                  <c:v>40247</c:v>
                </c:pt>
                <c:pt idx="49">
                  <c:v>40248</c:v>
                </c:pt>
                <c:pt idx="50">
                  <c:v>40249</c:v>
                </c:pt>
                <c:pt idx="51">
                  <c:v>40252</c:v>
                </c:pt>
                <c:pt idx="52">
                  <c:v>40253</c:v>
                </c:pt>
                <c:pt idx="53">
                  <c:v>40254</c:v>
                </c:pt>
                <c:pt idx="54">
                  <c:v>40255</c:v>
                </c:pt>
                <c:pt idx="55">
                  <c:v>40256</c:v>
                </c:pt>
                <c:pt idx="56">
                  <c:v>40259</c:v>
                </c:pt>
                <c:pt idx="57">
                  <c:v>40260</c:v>
                </c:pt>
                <c:pt idx="58">
                  <c:v>40261</c:v>
                </c:pt>
                <c:pt idx="59">
                  <c:v>40262</c:v>
                </c:pt>
                <c:pt idx="60">
                  <c:v>40263</c:v>
                </c:pt>
                <c:pt idx="61">
                  <c:v>40266</c:v>
                </c:pt>
                <c:pt idx="62">
                  <c:v>40267</c:v>
                </c:pt>
                <c:pt idx="63">
                  <c:v>40268</c:v>
                </c:pt>
                <c:pt idx="64">
                  <c:v>40269</c:v>
                </c:pt>
                <c:pt idx="65">
                  <c:v>40270</c:v>
                </c:pt>
                <c:pt idx="66">
                  <c:v>40273</c:v>
                </c:pt>
                <c:pt idx="67">
                  <c:v>40274</c:v>
                </c:pt>
                <c:pt idx="68">
                  <c:v>40275</c:v>
                </c:pt>
                <c:pt idx="69">
                  <c:v>40276</c:v>
                </c:pt>
                <c:pt idx="70">
                  <c:v>40277</c:v>
                </c:pt>
                <c:pt idx="71">
                  <c:v>40280</c:v>
                </c:pt>
                <c:pt idx="72">
                  <c:v>40281</c:v>
                </c:pt>
                <c:pt idx="73">
                  <c:v>40282</c:v>
                </c:pt>
                <c:pt idx="74">
                  <c:v>40283</c:v>
                </c:pt>
                <c:pt idx="75">
                  <c:v>40284</c:v>
                </c:pt>
                <c:pt idx="76">
                  <c:v>40287</c:v>
                </c:pt>
                <c:pt idx="77">
                  <c:v>40288</c:v>
                </c:pt>
                <c:pt idx="78">
                  <c:v>40289</c:v>
                </c:pt>
                <c:pt idx="79">
                  <c:v>40290</c:v>
                </c:pt>
                <c:pt idx="80">
                  <c:v>40291</c:v>
                </c:pt>
                <c:pt idx="81">
                  <c:v>40294</c:v>
                </c:pt>
                <c:pt idx="82">
                  <c:v>40295</c:v>
                </c:pt>
                <c:pt idx="83">
                  <c:v>40296</c:v>
                </c:pt>
                <c:pt idx="84">
                  <c:v>40297</c:v>
                </c:pt>
                <c:pt idx="85">
                  <c:v>40298</c:v>
                </c:pt>
                <c:pt idx="86">
                  <c:v>40301</c:v>
                </c:pt>
                <c:pt idx="87">
                  <c:v>40302</c:v>
                </c:pt>
                <c:pt idx="88">
                  <c:v>40303</c:v>
                </c:pt>
                <c:pt idx="89">
                  <c:v>40304</c:v>
                </c:pt>
                <c:pt idx="90">
                  <c:v>40305</c:v>
                </c:pt>
                <c:pt idx="91">
                  <c:v>40308</c:v>
                </c:pt>
                <c:pt idx="92">
                  <c:v>40309</c:v>
                </c:pt>
                <c:pt idx="93">
                  <c:v>40310</c:v>
                </c:pt>
                <c:pt idx="94">
                  <c:v>40311</c:v>
                </c:pt>
                <c:pt idx="95">
                  <c:v>40312</c:v>
                </c:pt>
                <c:pt idx="96">
                  <c:v>40315</c:v>
                </c:pt>
                <c:pt idx="97">
                  <c:v>40316</c:v>
                </c:pt>
                <c:pt idx="98">
                  <c:v>40317</c:v>
                </c:pt>
                <c:pt idx="99">
                  <c:v>40318</c:v>
                </c:pt>
                <c:pt idx="100">
                  <c:v>40319</c:v>
                </c:pt>
                <c:pt idx="101">
                  <c:v>40322</c:v>
                </c:pt>
                <c:pt idx="102">
                  <c:v>40323</c:v>
                </c:pt>
                <c:pt idx="103">
                  <c:v>40324</c:v>
                </c:pt>
                <c:pt idx="104">
                  <c:v>40325</c:v>
                </c:pt>
                <c:pt idx="105">
                  <c:v>40326</c:v>
                </c:pt>
                <c:pt idx="106">
                  <c:v>40329</c:v>
                </c:pt>
                <c:pt idx="107">
                  <c:v>40330</c:v>
                </c:pt>
                <c:pt idx="108">
                  <c:v>40331</c:v>
                </c:pt>
                <c:pt idx="109">
                  <c:v>40332</c:v>
                </c:pt>
                <c:pt idx="110">
                  <c:v>40333</c:v>
                </c:pt>
                <c:pt idx="111">
                  <c:v>40336</c:v>
                </c:pt>
                <c:pt idx="112">
                  <c:v>40337</c:v>
                </c:pt>
                <c:pt idx="113">
                  <c:v>40338</c:v>
                </c:pt>
                <c:pt idx="114">
                  <c:v>40339</c:v>
                </c:pt>
                <c:pt idx="115">
                  <c:v>40340</c:v>
                </c:pt>
                <c:pt idx="116">
                  <c:v>40343</c:v>
                </c:pt>
                <c:pt idx="117">
                  <c:v>40344</c:v>
                </c:pt>
                <c:pt idx="118">
                  <c:v>40345</c:v>
                </c:pt>
                <c:pt idx="119">
                  <c:v>40346</c:v>
                </c:pt>
                <c:pt idx="120">
                  <c:v>40347</c:v>
                </c:pt>
                <c:pt idx="121">
                  <c:v>40350</c:v>
                </c:pt>
                <c:pt idx="122">
                  <c:v>40351</c:v>
                </c:pt>
                <c:pt idx="123">
                  <c:v>40352</c:v>
                </c:pt>
                <c:pt idx="124">
                  <c:v>40353</c:v>
                </c:pt>
                <c:pt idx="125">
                  <c:v>40354</c:v>
                </c:pt>
                <c:pt idx="126">
                  <c:v>40357</c:v>
                </c:pt>
                <c:pt idx="127">
                  <c:v>40358</c:v>
                </c:pt>
                <c:pt idx="128">
                  <c:v>40359</c:v>
                </c:pt>
                <c:pt idx="129">
                  <c:v>40360</c:v>
                </c:pt>
                <c:pt idx="130">
                  <c:v>40361</c:v>
                </c:pt>
                <c:pt idx="131">
                  <c:v>40364</c:v>
                </c:pt>
                <c:pt idx="132">
                  <c:v>40365</c:v>
                </c:pt>
                <c:pt idx="133">
                  <c:v>40366</c:v>
                </c:pt>
                <c:pt idx="134">
                  <c:v>40367</c:v>
                </c:pt>
                <c:pt idx="135">
                  <c:v>40368</c:v>
                </c:pt>
                <c:pt idx="136">
                  <c:v>40371</c:v>
                </c:pt>
                <c:pt idx="137">
                  <c:v>40372</c:v>
                </c:pt>
                <c:pt idx="138">
                  <c:v>40373</c:v>
                </c:pt>
                <c:pt idx="139">
                  <c:v>40374</c:v>
                </c:pt>
                <c:pt idx="140">
                  <c:v>40375</c:v>
                </c:pt>
                <c:pt idx="141">
                  <c:v>40378</c:v>
                </c:pt>
                <c:pt idx="142">
                  <c:v>40379</c:v>
                </c:pt>
                <c:pt idx="143">
                  <c:v>40380</c:v>
                </c:pt>
                <c:pt idx="144">
                  <c:v>40381</c:v>
                </c:pt>
                <c:pt idx="145">
                  <c:v>40382</c:v>
                </c:pt>
                <c:pt idx="146">
                  <c:v>40385</c:v>
                </c:pt>
                <c:pt idx="147">
                  <c:v>40386</c:v>
                </c:pt>
                <c:pt idx="148">
                  <c:v>40387</c:v>
                </c:pt>
                <c:pt idx="149">
                  <c:v>40388</c:v>
                </c:pt>
                <c:pt idx="150">
                  <c:v>40389</c:v>
                </c:pt>
                <c:pt idx="151">
                  <c:v>40392</c:v>
                </c:pt>
                <c:pt idx="152">
                  <c:v>40393</c:v>
                </c:pt>
                <c:pt idx="153">
                  <c:v>40394</c:v>
                </c:pt>
                <c:pt idx="154">
                  <c:v>40395</c:v>
                </c:pt>
                <c:pt idx="155">
                  <c:v>40396</c:v>
                </c:pt>
                <c:pt idx="156">
                  <c:v>40399</c:v>
                </c:pt>
                <c:pt idx="157">
                  <c:v>40400</c:v>
                </c:pt>
                <c:pt idx="158">
                  <c:v>40401</c:v>
                </c:pt>
                <c:pt idx="159">
                  <c:v>40402</c:v>
                </c:pt>
                <c:pt idx="160">
                  <c:v>40403</c:v>
                </c:pt>
                <c:pt idx="161">
                  <c:v>40406</c:v>
                </c:pt>
                <c:pt idx="162">
                  <c:v>40407</c:v>
                </c:pt>
                <c:pt idx="163">
                  <c:v>40408</c:v>
                </c:pt>
                <c:pt idx="164">
                  <c:v>40409</c:v>
                </c:pt>
                <c:pt idx="165">
                  <c:v>40410</c:v>
                </c:pt>
                <c:pt idx="166">
                  <c:v>40413</c:v>
                </c:pt>
                <c:pt idx="167">
                  <c:v>40414</c:v>
                </c:pt>
                <c:pt idx="168">
                  <c:v>40415</c:v>
                </c:pt>
                <c:pt idx="169">
                  <c:v>40416</c:v>
                </c:pt>
                <c:pt idx="170">
                  <c:v>40417</c:v>
                </c:pt>
                <c:pt idx="171">
                  <c:v>40420</c:v>
                </c:pt>
                <c:pt idx="172">
                  <c:v>40421</c:v>
                </c:pt>
                <c:pt idx="173">
                  <c:v>40422</c:v>
                </c:pt>
                <c:pt idx="174">
                  <c:v>40423</c:v>
                </c:pt>
                <c:pt idx="175">
                  <c:v>40424</c:v>
                </c:pt>
                <c:pt idx="176">
                  <c:v>40427</c:v>
                </c:pt>
                <c:pt idx="177">
                  <c:v>40428</c:v>
                </c:pt>
                <c:pt idx="178">
                  <c:v>40429</c:v>
                </c:pt>
                <c:pt idx="179">
                  <c:v>40430</c:v>
                </c:pt>
                <c:pt idx="180">
                  <c:v>40431</c:v>
                </c:pt>
                <c:pt idx="181">
                  <c:v>40434</c:v>
                </c:pt>
                <c:pt idx="182">
                  <c:v>40435</c:v>
                </c:pt>
                <c:pt idx="183">
                  <c:v>40436</c:v>
                </c:pt>
                <c:pt idx="184">
                  <c:v>40437</c:v>
                </c:pt>
                <c:pt idx="185">
                  <c:v>40438</c:v>
                </c:pt>
                <c:pt idx="186">
                  <c:v>40441</c:v>
                </c:pt>
                <c:pt idx="187">
                  <c:v>40442</c:v>
                </c:pt>
                <c:pt idx="188">
                  <c:v>40443</c:v>
                </c:pt>
                <c:pt idx="189">
                  <c:v>40444</c:v>
                </c:pt>
                <c:pt idx="190">
                  <c:v>40445</c:v>
                </c:pt>
                <c:pt idx="191">
                  <c:v>40448</c:v>
                </c:pt>
                <c:pt idx="192">
                  <c:v>40449</c:v>
                </c:pt>
                <c:pt idx="193">
                  <c:v>40450</c:v>
                </c:pt>
                <c:pt idx="194">
                  <c:v>40451</c:v>
                </c:pt>
                <c:pt idx="195">
                  <c:v>40452</c:v>
                </c:pt>
                <c:pt idx="196">
                  <c:v>40455</c:v>
                </c:pt>
                <c:pt idx="197">
                  <c:v>40456</c:v>
                </c:pt>
                <c:pt idx="198">
                  <c:v>40457</c:v>
                </c:pt>
                <c:pt idx="199">
                  <c:v>40458</c:v>
                </c:pt>
                <c:pt idx="200">
                  <c:v>40459</c:v>
                </c:pt>
                <c:pt idx="201">
                  <c:v>40462</c:v>
                </c:pt>
                <c:pt idx="202">
                  <c:v>40463</c:v>
                </c:pt>
                <c:pt idx="203">
                  <c:v>40464</c:v>
                </c:pt>
                <c:pt idx="204">
                  <c:v>40465</c:v>
                </c:pt>
                <c:pt idx="205">
                  <c:v>40466</c:v>
                </c:pt>
                <c:pt idx="206">
                  <c:v>40469</c:v>
                </c:pt>
                <c:pt idx="207">
                  <c:v>40470</c:v>
                </c:pt>
                <c:pt idx="208">
                  <c:v>40471</c:v>
                </c:pt>
                <c:pt idx="209">
                  <c:v>40472</c:v>
                </c:pt>
                <c:pt idx="210">
                  <c:v>40473</c:v>
                </c:pt>
                <c:pt idx="211">
                  <c:v>40476</c:v>
                </c:pt>
                <c:pt idx="212">
                  <c:v>40477</c:v>
                </c:pt>
                <c:pt idx="213">
                  <c:v>40478</c:v>
                </c:pt>
                <c:pt idx="214">
                  <c:v>40479</c:v>
                </c:pt>
                <c:pt idx="215">
                  <c:v>40480</c:v>
                </c:pt>
                <c:pt idx="216">
                  <c:v>40483</c:v>
                </c:pt>
                <c:pt idx="217">
                  <c:v>40484</c:v>
                </c:pt>
                <c:pt idx="218">
                  <c:v>40485</c:v>
                </c:pt>
                <c:pt idx="219">
                  <c:v>40486</c:v>
                </c:pt>
                <c:pt idx="220">
                  <c:v>40487</c:v>
                </c:pt>
                <c:pt idx="221">
                  <c:v>40490</c:v>
                </c:pt>
                <c:pt idx="222">
                  <c:v>40491</c:v>
                </c:pt>
                <c:pt idx="223">
                  <c:v>40492</c:v>
                </c:pt>
                <c:pt idx="224">
                  <c:v>40493</c:v>
                </c:pt>
                <c:pt idx="225">
                  <c:v>40494</c:v>
                </c:pt>
                <c:pt idx="226">
                  <c:v>40497</c:v>
                </c:pt>
                <c:pt idx="227">
                  <c:v>40498</c:v>
                </c:pt>
                <c:pt idx="228">
                  <c:v>40499</c:v>
                </c:pt>
                <c:pt idx="229">
                  <c:v>40500</c:v>
                </c:pt>
                <c:pt idx="230">
                  <c:v>40501</c:v>
                </c:pt>
                <c:pt idx="231">
                  <c:v>40504</c:v>
                </c:pt>
                <c:pt idx="232">
                  <c:v>40505</c:v>
                </c:pt>
                <c:pt idx="233">
                  <c:v>40506</c:v>
                </c:pt>
                <c:pt idx="234">
                  <c:v>40507</c:v>
                </c:pt>
                <c:pt idx="235">
                  <c:v>40508</c:v>
                </c:pt>
                <c:pt idx="236">
                  <c:v>40511</c:v>
                </c:pt>
                <c:pt idx="237">
                  <c:v>40512</c:v>
                </c:pt>
                <c:pt idx="238">
                  <c:v>40513</c:v>
                </c:pt>
                <c:pt idx="239">
                  <c:v>40514</c:v>
                </c:pt>
                <c:pt idx="240">
                  <c:v>40515</c:v>
                </c:pt>
                <c:pt idx="241">
                  <c:v>40518</c:v>
                </c:pt>
                <c:pt idx="242">
                  <c:v>40519</c:v>
                </c:pt>
                <c:pt idx="243">
                  <c:v>40520</c:v>
                </c:pt>
                <c:pt idx="244">
                  <c:v>40521</c:v>
                </c:pt>
                <c:pt idx="245">
                  <c:v>40522</c:v>
                </c:pt>
                <c:pt idx="246">
                  <c:v>40525</c:v>
                </c:pt>
                <c:pt idx="247">
                  <c:v>40526</c:v>
                </c:pt>
                <c:pt idx="248">
                  <c:v>40527</c:v>
                </c:pt>
                <c:pt idx="249">
                  <c:v>40528</c:v>
                </c:pt>
                <c:pt idx="250">
                  <c:v>40529</c:v>
                </c:pt>
                <c:pt idx="251">
                  <c:v>40532</c:v>
                </c:pt>
                <c:pt idx="252">
                  <c:v>40533</c:v>
                </c:pt>
                <c:pt idx="253">
                  <c:v>40534</c:v>
                </c:pt>
                <c:pt idx="254">
                  <c:v>40535</c:v>
                </c:pt>
                <c:pt idx="255">
                  <c:v>40536</c:v>
                </c:pt>
                <c:pt idx="256">
                  <c:v>40539</c:v>
                </c:pt>
                <c:pt idx="257">
                  <c:v>40540</c:v>
                </c:pt>
                <c:pt idx="258">
                  <c:v>40541</c:v>
                </c:pt>
                <c:pt idx="259">
                  <c:v>40542</c:v>
                </c:pt>
                <c:pt idx="260">
                  <c:v>40543</c:v>
                </c:pt>
                <c:pt idx="261">
                  <c:v>40546</c:v>
                </c:pt>
                <c:pt idx="262">
                  <c:v>40547</c:v>
                </c:pt>
                <c:pt idx="263">
                  <c:v>40548</c:v>
                </c:pt>
                <c:pt idx="264">
                  <c:v>40549</c:v>
                </c:pt>
                <c:pt idx="265">
                  <c:v>40550</c:v>
                </c:pt>
                <c:pt idx="266">
                  <c:v>40553</c:v>
                </c:pt>
                <c:pt idx="267">
                  <c:v>40554</c:v>
                </c:pt>
                <c:pt idx="268">
                  <c:v>40555</c:v>
                </c:pt>
                <c:pt idx="269">
                  <c:v>40556</c:v>
                </c:pt>
                <c:pt idx="270">
                  <c:v>40557</c:v>
                </c:pt>
                <c:pt idx="271">
                  <c:v>40560</c:v>
                </c:pt>
                <c:pt idx="272">
                  <c:v>40561</c:v>
                </c:pt>
                <c:pt idx="273">
                  <c:v>40562</c:v>
                </c:pt>
                <c:pt idx="274">
                  <c:v>40563</c:v>
                </c:pt>
                <c:pt idx="275">
                  <c:v>40564</c:v>
                </c:pt>
                <c:pt idx="276">
                  <c:v>40567</c:v>
                </c:pt>
                <c:pt idx="277">
                  <c:v>40568</c:v>
                </c:pt>
                <c:pt idx="278">
                  <c:v>40569</c:v>
                </c:pt>
                <c:pt idx="279">
                  <c:v>40570</c:v>
                </c:pt>
                <c:pt idx="280">
                  <c:v>40571</c:v>
                </c:pt>
                <c:pt idx="281">
                  <c:v>40574</c:v>
                </c:pt>
                <c:pt idx="282">
                  <c:v>40575</c:v>
                </c:pt>
                <c:pt idx="283">
                  <c:v>40576</c:v>
                </c:pt>
                <c:pt idx="284">
                  <c:v>40577</c:v>
                </c:pt>
                <c:pt idx="285">
                  <c:v>40578</c:v>
                </c:pt>
                <c:pt idx="286">
                  <c:v>40581</c:v>
                </c:pt>
                <c:pt idx="287">
                  <c:v>40582</c:v>
                </c:pt>
                <c:pt idx="288">
                  <c:v>40583</c:v>
                </c:pt>
                <c:pt idx="289">
                  <c:v>40584</c:v>
                </c:pt>
                <c:pt idx="290">
                  <c:v>40585</c:v>
                </c:pt>
                <c:pt idx="291">
                  <c:v>40588</c:v>
                </c:pt>
                <c:pt idx="292">
                  <c:v>40589</c:v>
                </c:pt>
                <c:pt idx="293">
                  <c:v>40590</c:v>
                </c:pt>
                <c:pt idx="294">
                  <c:v>40591</c:v>
                </c:pt>
                <c:pt idx="295">
                  <c:v>40592</c:v>
                </c:pt>
                <c:pt idx="296">
                  <c:v>40595</c:v>
                </c:pt>
                <c:pt idx="297">
                  <c:v>40596</c:v>
                </c:pt>
                <c:pt idx="298">
                  <c:v>40597</c:v>
                </c:pt>
                <c:pt idx="299">
                  <c:v>40598</c:v>
                </c:pt>
                <c:pt idx="300">
                  <c:v>40599</c:v>
                </c:pt>
                <c:pt idx="301">
                  <c:v>40602</c:v>
                </c:pt>
                <c:pt idx="302">
                  <c:v>40603</c:v>
                </c:pt>
                <c:pt idx="303">
                  <c:v>40604</c:v>
                </c:pt>
                <c:pt idx="304">
                  <c:v>40605</c:v>
                </c:pt>
                <c:pt idx="305">
                  <c:v>40606</c:v>
                </c:pt>
                <c:pt idx="306">
                  <c:v>40609</c:v>
                </c:pt>
                <c:pt idx="307">
                  <c:v>40610</c:v>
                </c:pt>
                <c:pt idx="308">
                  <c:v>40611</c:v>
                </c:pt>
                <c:pt idx="309">
                  <c:v>40612</c:v>
                </c:pt>
                <c:pt idx="310">
                  <c:v>40613</c:v>
                </c:pt>
                <c:pt idx="311">
                  <c:v>40616</c:v>
                </c:pt>
                <c:pt idx="312">
                  <c:v>40617</c:v>
                </c:pt>
                <c:pt idx="313">
                  <c:v>40618</c:v>
                </c:pt>
                <c:pt idx="314">
                  <c:v>40619</c:v>
                </c:pt>
                <c:pt idx="315">
                  <c:v>40620</c:v>
                </c:pt>
                <c:pt idx="316">
                  <c:v>40623</c:v>
                </c:pt>
                <c:pt idx="317">
                  <c:v>40624</c:v>
                </c:pt>
                <c:pt idx="318">
                  <c:v>40625</c:v>
                </c:pt>
                <c:pt idx="319">
                  <c:v>40626</c:v>
                </c:pt>
                <c:pt idx="320">
                  <c:v>40627</c:v>
                </c:pt>
                <c:pt idx="321">
                  <c:v>40630</c:v>
                </c:pt>
                <c:pt idx="322">
                  <c:v>40631</c:v>
                </c:pt>
                <c:pt idx="323">
                  <c:v>40632</c:v>
                </c:pt>
                <c:pt idx="324">
                  <c:v>40633</c:v>
                </c:pt>
                <c:pt idx="325">
                  <c:v>40634</c:v>
                </c:pt>
                <c:pt idx="326">
                  <c:v>40637</c:v>
                </c:pt>
                <c:pt idx="327">
                  <c:v>40638</c:v>
                </c:pt>
                <c:pt idx="328">
                  <c:v>40639</c:v>
                </c:pt>
                <c:pt idx="329">
                  <c:v>40640</c:v>
                </c:pt>
                <c:pt idx="330">
                  <c:v>40641</c:v>
                </c:pt>
                <c:pt idx="331">
                  <c:v>40644</c:v>
                </c:pt>
                <c:pt idx="332">
                  <c:v>40645</c:v>
                </c:pt>
                <c:pt idx="333">
                  <c:v>40646</c:v>
                </c:pt>
                <c:pt idx="334">
                  <c:v>40647</c:v>
                </c:pt>
                <c:pt idx="335">
                  <c:v>40648</c:v>
                </c:pt>
                <c:pt idx="336">
                  <c:v>40651</c:v>
                </c:pt>
                <c:pt idx="337">
                  <c:v>40652</c:v>
                </c:pt>
                <c:pt idx="338">
                  <c:v>40653</c:v>
                </c:pt>
                <c:pt idx="339">
                  <c:v>40654</c:v>
                </c:pt>
                <c:pt idx="340">
                  <c:v>40655</c:v>
                </c:pt>
                <c:pt idx="341">
                  <c:v>40658</c:v>
                </c:pt>
                <c:pt idx="342">
                  <c:v>40659</c:v>
                </c:pt>
                <c:pt idx="343">
                  <c:v>40660</c:v>
                </c:pt>
                <c:pt idx="344">
                  <c:v>40661</c:v>
                </c:pt>
                <c:pt idx="345">
                  <c:v>40662</c:v>
                </c:pt>
                <c:pt idx="346">
                  <c:v>40665</c:v>
                </c:pt>
                <c:pt idx="347">
                  <c:v>40666</c:v>
                </c:pt>
                <c:pt idx="348">
                  <c:v>40667</c:v>
                </c:pt>
                <c:pt idx="349">
                  <c:v>40668</c:v>
                </c:pt>
                <c:pt idx="350">
                  <c:v>40669</c:v>
                </c:pt>
                <c:pt idx="351">
                  <c:v>40672</c:v>
                </c:pt>
                <c:pt idx="352">
                  <c:v>40673</c:v>
                </c:pt>
                <c:pt idx="353">
                  <c:v>40674</c:v>
                </c:pt>
                <c:pt idx="354">
                  <c:v>40675</c:v>
                </c:pt>
                <c:pt idx="355">
                  <c:v>40676</c:v>
                </c:pt>
                <c:pt idx="356">
                  <c:v>40679</c:v>
                </c:pt>
                <c:pt idx="357">
                  <c:v>40680</c:v>
                </c:pt>
                <c:pt idx="358">
                  <c:v>40681</c:v>
                </c:pt>
                <c:pt idx="359">
                  <c:v>40682</c:v>
                </c:pt>
                <c:pt idx="360">
                  <c:v>40683</c:v>
                </c:pt>
                <c:pt idx="361">
                  <c:v>40686</c:v>
                </c:pt>
                <c:pt idx="362">
                  <c:v>40687</c:v>
                </c:pt>
                <c:pt idx="363">
                  <c:v>40688</c:v>
                </c:pt>
                <c:pt idx="364">
                  <c:v>40689</c:v>
                </c:pt>
                <c:pt idx="365">
                  <c:v>40690</c:v>
                </c:pt>
                <c:pt idx="366">
                  <c:v>40693</c:v>
                </c:pt>
                <c:pt idx="367">
                  <c:v>40694</c:v>
                </c:pt>
                <c:pt idx="368">
                  <c:v>40695</c:v>
                </c:pt>
                <c:pt idx="369">
                  <c:v>40696</c:v>
                </c:pt>
                <c:pt idx="370">
                  <c:v>40697</c:v>
                </c:pt>
                <c:pt idx="371">
                  <c:v>40700</c:v>
                </c:pt>
                <c:pt idx="372">
                  <c:v>40701</c:v>
                </c:pt>
                <c:pt idx="373">
                  <c:v>40702</c:v>
                </c:pt>
                <c:pt idx="374">
                  <c:v>40703</c:v>
                </c:pt>
                <c:pt idx="375">
                  <c:v>40704</c:v>
                </c:pt>
                <c:pt idx="376">
                  <c:v>40707</c:v>
                </c:pt>
                <c:pt idx="377">
                  <c:v>40708</c:v>
                </c:pt>
                <c:pt idx="378">
                  <c:v>40709</c:v>
                </c:pt>
                <c:pt idx="379">
                  <c:v>40710</c:v>
                </c:pt>
                <c:pt idx="380">
                  <c:v>40711</c:v>
                </c:pt>
                <c:pt idx="381">
                  <c:v>40714</c:v>
                </c:pt>
                <c:pt idx="382">
                  <c:v>40715</c:v>
                </c:pt>
                <c:pt idx="383">
                  <c:v>40716</c:v>
                </c:pt>
                <c:pt idx="384">
                  <c:v>40717</c:v>
                </c:pt>
                <c:pt idx="385">
                  <c:v>40718</c:v>
                </c:pt>
                <c:pt idx="386">
                  <c:v>40721</c:v>
                </c:pt>
                <c:pt idx="387">
                  <c:v>40722</c:v>
                </c:pt>
                <c:pt idx="388">
                  <c:v>40723</c:v>
                </c:pt>
                <c:pt idx="389">
                  <c:v>40724</c:v>
                </c:pt>
                <c:pt idx="390">
                  <c:v>40725</c:v>
                </c:pt>
                <c:pt idx="391">
                  <c:v>40728</c:v>
                </c:pt>
                <c:pt idx="392">
                  <c:v>40729</c:v>
                </c:pt>
                <c:pt idx="393">
                  <c:v>40730</c:v>
                </c:pt>
                <c:pt idx="394">
                  <c:v>40731</c:v>
                </c:pt>
                <c:pt idx="395">
                  <c:v>40732</c:v>
                </c:pt>
                <c:pt idx="396">
                  <c:v>40735</c:v>
                </c:pt>
                <c:pt idx="397">
                  <c:v>40736</c:v>
                </c:pt>
                <c:pt idx="398">
                  <c:v>40737</c:v>
                </c:pt>
                <c:pt idx="399">
                  <c:v>40738</c:v>
                </c:pt>
                <c:pt idx="400">
                  <c:v>40739</c:v>
                </c:pt>
                <c:pt idx="401">
                  <c:v>40742</c:v>
                </c:pt>
                <c:pt idx="402">
                  <c:v>40743</c:v>
                </c:pt>
                <c:pt idx="403">
                  <c:v>40744</c:v>
                </c:pt>
                <c:pt idx="404">
                  <c:v>40745</c:v>
                </c:pt>
                <c:pt idx="405">
                  <c:v>40746</c:v>
                </c:pt>
                <c:pt idx="406">
                  <c:v>40749</c:v>
                </c:pt>
                <c:pt idx="407">
                  <c:v>40750</c:v>
                </c:pt>
                <c:pt idx="408">
                  <c:v>40751</c:v>
                </c:pt>
                <c:pt idx="409">
                  <c:v>40752</c:v>
                </c:pt>
                <c:pt idx="410">
                  <c:v>40753</c:v>
                </c:pt>
                <c:pt idx="411">
                  <c:v>40756</c:v>
                </c:pt>
                <c:pt idx="412">
                  <c:v>40757</c:v>
                </c:pt>
                <c:pt idx="413">
                  <c:v>40758</c:v>
                </c:pt>
                <c:pt idx="414">
                  <c:v>40759</c:v>
                </c:pt>
                <c:pt idx="415">
                  <c:v>40760</c:v>
                </c:pt>
                <c:pt idx="416">
                  <c:v>40763</c:v>
                </c:pt>
                <c:pt idx="417">
                  <c:v>40764</c:v>
                </c:pt>
                <c:pt idx="418">
                  <c:v>40765</c:v>
                </c:pt>
                <c:pt idx="419">
                  <c:v>40766</c:v>
                </c:pt>
                <c:pt idx="420">
                  <c:v>40767</c:v>
                </c:pt>
                <c:pt idx="421">
                  <c:v>40770</c:v>
                </c:pt>
                <c:pt idx="422">
                  <c:v>40771</c:v>
                </c:pt>
                <c:pt idx="423">
                  <c:v>40772</c:v>
                </c:pt>
                <c:pt idx="424">
                  <c:v>40773</c:v>
                </c:pt>
                <c:pt idx="425">
                  <c:v>40774</c:v>
                </c:pt>
                <c:pt idx="426">
                  <c:v>40777</c:v>
                </c:pt>
                <c:pt idx="427">
                  <c:v>40778</c:v>
                </c:pt>
                <c:pt idx="428">
                  <c:v>40779</c:v>
                </c:pt>
                <c:pt idx="429">
                  <c:v>40780</c:v>
                </c:pt>
                <c:pt idx="430">
                  <c:v>40781</c:v>
                </c:pt>
                <c:pt idx="431">
                  <c:v>40784</c:v>
                </c:pt>
                <c:pt idx="432">
                  <c:v>40785</c:v>
                </c:pt>
                <c:pt idx="433">
                  <c:v>40786</c:v>
                </c:pt>
                <c:pt idx="434">
                  <c:v>40787</c:v>
                </c:pt>
                <c:pt idx="435">
                  <c:v>40788</c:v>
                </c:pt>
                <c:pt idx="436">
                  <c:v>40791</c:v>
                </c:pt>
                <c:pt idx="437">
                  <c:v>40792</c:v>
                </c:pt>
                <c:pt idx="438">
                  <c:v>40793</c:v>
                </c:pt>
                <c:pt idx="439">
                  <c:v>40794</c:v>
                </c:pt>
                <c:pt idx="440">
                  <c:v>40795</c:v>
                </c:pt>
                <c:pt idx="441">
                  <c:v>40798</c:v>
                </c:pt>
                <c:pt idx="442">
                  <c:v>40799</c:v>
                </c:pt>
                <c:pt idx="443">
                  <c:v>40800</c:v>
                </c:pt>
                <c:pt idx="444">
                  <c:v>40801</c:v>
                </c:pt>
                <c:pt idx="445">
                  <c:v>40802</c:v>
                </c:pt>
                <c:pt idx="446">
                  <c:v>40805</c:v>
                </c:pt>
                <c:pt idx="447">
                  <c:v>40806</c:v>
                </c:pt>
                <c:pt idx="448">
                  <c:v>40807</c:v>
                </c:pt>
                <c:pt idx="449">
                  <c:v>40808</c:v>
                </c:pt>
                <c:pt idx="450">
                  <c:v>40809</c:v>
                </c:pt>
                <c:pt idx="451">
                  <c:v>40812</c:v>
                </c:pt>
                <c:pt idx="452">
                  <c:v>40813</c:v>
                </c:pt>
                <c:pt idx="453">
                  <c:v>40814</c:v>
                </c:pt>
                <c:pt idx="454">
                  <c:v>40815</c:v>
                </c:pt>
                <c:pt idx="455">
                  <c:v>40816</c:v>
                </c:pt>
                <c:pt idx="456">
                  <c:v>40819</c:v>
                </c:pt>
                <c:pt idx="457">
                  <c:v>40820</c:v>
                </c:pt>
                <c:pt idx="458">
                  <c:v>40821</c:v>
                </c:pt>
                <c:pt idx="459">
                  <c:v>40822</c:v>
                </c:pt>
                <c:pt idx="460">
                  <c:v>40823</c:v>
                </c:pt>
                <c:pt idx="461">
                  <c:v>40826</c:v>
                </c:pt>
                <c:pt idx="462">
                  <c:v>40827</c:v>
                </c:pt>
                <c:pt idx="463">
                  <c:v>40828</c:v>
                </c:pt>
                <c:pt idx="464">
                  <c:v>40829</c:v>
                </c:pt>
                <c:pt idx="465">
                  <c:v>40830</c:v>
                </c:pt>
                <c:pt idx="466">
                  <c:v>40833</c:v>
                </c:pt>
                <c:pt idx="467">
                  <c:v>40834</c:v>
                </c:pt>
                <c:pt idx="468">
                  <c:v>40835</c:v>
                </c:pt>
                <c:pt idx="469">
                  <c:v>40836</c:v>
                </c:pt>
                <c:pt idx="470">
                  <c:v>40837</c:v>
                </c:pt>
                <c:pt idx="471">
                  <c:v>40840</c:v>
                </c:pt>
                <c:pt idx="472">
                  <c:v>40841</c:v>
                </c:pt>
                <c:pt idx="473">
                  <c:v>40842</c:v>
                </c:pt>
                <c:pt idx="474">
                  <c:v>40843</c:v>
                </c:pt>
                <c:pt idx="475">
                  <c:v>40844</c:v>
                </c:pt>
                <c:pt idx="476">
                  <c:v>40847</c:v>
                </c:pt>
                <c:pt idx="477">
                  <c:v>40848</c:v>
                </c:pt>
                <c:pt idx="478">
                  <c:v>40849</c:v>
                </c:pt>
                <c:pt idx="479">
                  <c:v>40850</c:v>
                </c:pt>
                <c:pt idx="480">
                  <c:v>40851</c:v>
                </c:pt>
                <c:pt idx="481">
                  <c:v>40854</c:v>
                </c:pt>
                <c:pt idx="482">
                  <c:v>40855</c:v>
                </c:pt>
                <c:pt idx="483">
                  <c:v>40856</c:v>
                </c:pt>
                <c:pt idx="484">
                  <c:v>40857</c:v>
                </c:pt>
                <c:pt idx="485">
                  <c:v>40858</c:v>
                </c:pt>
                <c:pt idx="486">
                  <c:v>40861</c:v>
                </c:pt>
                <c:pt idx="487">
                  <c:v>40862</c:v>
                </c:pt>
                <c:pt idx="488">
                  <c:v>40863</c:v>
                </c:pt>
                <c:pt idx="489">
                  <c:v>40864</c:v>
                </c:pt>
                <c:pt idx="490">
                  <c:v>40865</c:v>
                </c:pt>
                <c:pt idx="491">
                  <c:v>40868</c:v>
                </c:pt>
                <c:pt idx="492">
                  <c:v>40869</c:v>
                </c:pt>
                <c:pt idx="493">
                  <c:v>40870</c:v>
                </c:pt>
                <c:pt idx="494">
                  <c:v>40871</c:v>
                </c:pt>
                <c:pt idx="495">
                  <c:v>40872</c:v>
                </c:pt>
                <c:pt idx="496">
                  <c:v>40875</c:v>
                </c:pt>
                <c:pt idx="497">
                  <c:v>40876</c:v>
                </c:pt>
                <c:pt idx="498">
                  <c:v>40877</c:v>
                </c:pt>
                <c:pt idx="499">
                  <c:v>40878</c:v>
                </c:pt>
                <c:pt idx="500">
                  <c:v>40879</c:v>
                </c:pt>
                <c:pt idx="501">
                  <c:v>40882</c:v>
                </c:pt>
                <c:pt idx="502">
                  <c:v>40883</c:v>
                </c:pt>
                <c:pt idx="503">
                  <c:v>40884</c:v>
                </c:pt>
                <c:pt idx="504">
                  <c:v>40885</c:v>
                </c:pt>
                <c:pt idx="505">
                  <c:v>40886</c:v>
                </c:pt>
                <c:pt idx="506">
                  <c:v>40889</c:v>
                </c:pt>
                <c:pt idx="507">
                  <c:v>40890</c:v>
                </c:pt>
                <c:pt idx="508">
                  <c:v>40891</c:v>
                </c:pt>
                <c:pt idx="509">
                  <c:v>40892</c:v>
                </c:pt>
                <c:pt idx="510">
                  <c:v>40893</c:v>
                </c:pt>
                <c:pt idx="511">
                  <c:v>40896</c:v>
                </c:pt>
                <c:pt idx="512">
                  <c:v>40897</c:v>
                </c:pt>
                <c:pt idx="513">
                  <c:v>40898</c:v>
                </c:pt>
                <c:pt idx="514">
                  <c:v>40899</c:v>
                </c:pt>
                <c:pt idx="515">
                  <c:v>40900</c:v>
                </c:pt>
                <c:pt idx="516">
                  <c:v>40903</c:v>
                </c:pt>
                <c:pt idx="517">
                  <c:v>40904</c:v>
                </c:pt>
                <c:pt idx="518">
                  <c:v>40905</c:v>
                </c:pt>
                <c:pt idx="519">
                  <c:v>40906</c:v>
                </c:pt>
                <c:pt idx="520">
                  <c:v>40907</c:v>
                </c:pt>
                <c:pt idx="521">
                  <c:v>40910</c:v>
                </c:pt>
                <c:pt idx="522">
                  <c:v>40911</c:v>
                </c:pt>
                <c:pt idx="523">
                  <c:v>40912</c:v>
                </c:pt>
                <c:pt idx="524">
                  <c:v>40913</c:v>
                </c:pt>
                <c:pt idx="525">
                  <c:v>40914</c:v>
                </c:pt>
                <c:pt idx="526">
                  <c:v>40917</c:v>
                </c:pt>
                <c:pt idx="527">
                  <c:v>40918</c:v>
                </c:pt>
                <c:pt idx="528">
                  <c:v>40919</c:v>
                </c:pt>
                <c:pt idx="529">
                  <c:v>40920</c:v>
                </c:pt>
                <c:pt idx="530">
                  <c:v>40921</c:v>
                </c:pt>
                <c:pt idx="531">
                  <c:v>40924</c:v>
                </c:pt>
                <c:pt idx="532">
                  <c:v>40925</c:v>
                </c:pt>
                <c:pt idx="533">
                  <c:v>40926</c:v>
                </c:pt>
                <c:pt idx="534">
                  <c:v>40927</c:v>
                </c:pt>
                <c:pt idx="535">
                  <c:v>40928</c:v>
                </c:pt>
                <c:pt idx="536">
                  <c:v>40931</c:v>
                </c:pt>
                <c:pt idx="537">
                  <c:v>40932</c:v>
                </c:pt>
                <c:pt idx="538">
                  <c:v>40933</c:v>
                </c:pt>
                <c:pt idx="539">
                  <c:v>40934</c:v>
                </c:pt>
                <c:pt idx="540">
                  <c:v>40935</c:v>
                </c:pt>
                <c:pt idx="541">
                  <c:v>40938</c:v>
                </c:pt>
                <c:pt idx="542">
                  <c:v>40939</c:v>
                </c:pt>
                <c:pt idx="543">
                  <c:v>40940</c:v>
                </c:pt>
                <c:pt idx="544">
                  <c:v>40941</c:v>
                </c:pt>
                <c:pt idx="545">
                  <c:v>40942</c:v>
                </c:pt>
                <c:pt idx="546">
                  <c:v>40945</c:v>
                </c:pt>
                <c:pt idx="547">
                  <c:v>40946</c:v>
                </c:pt>
                <c:pt idx="548">
                  <c:v>40947</c:v>
                </c:pt>
                <c:pt idx="549">
                  <c:v>40948</c:v>
                </c:pt>
                <c:pt idx="550">
                  <c:v>40949</c:v>
                </c:pt>
                <c:pt idx="551">
                  <c:v>40952</c:v>
                </c:pt>
                <c:pt idx="552">
                  <c:v>40953</c:v>
                </c:pt>
                <c:pt idx="553">
                  <c:v>40954</c:v>
                </c:pt>
                <c:pt idx="554">
                  <c:v>40955</c:v>
                </c:pt>
                <c:pt idx="555">
                  <c:v>40956</c:v>
                </c:pt>
                <c:pt idx="556">
                  <c:v>40959</c:v>
                </c:pt>
                <c:pt idx="557">
                  <c:v>40960</c:v>
                </c:pt>
                <c:pt idx="558">
                  <c:v>40961</c:v>
                </c:pt>
                <c:pt idx="559">
                  <c:v>40962</c:v>
                </c:pt>
                <c:pt idx="560">
                  <c:v>40963</c:v>
                </c:pt>
                <c:pt idx="561">
                  <c:v>40966</c:v>
                </c:pt>
                <c:pt idx="562">
                  <c:v>40967</c:v>
                </c:pt>
                <c:pt idx="563">
                  <c:v>40968</c:v>
                </c:pt>
                <c:pt idx="564">
                  <c:v>40969</c:v>
                </c:pt>
                <c:pt idx="565">
                  <c:v>40970</c:v>
                </c:pt>
                <c:pt idx="566">
                  <c:v>40973</c:v>
                </c:pt>
                <c:pt idx="567">
                  <c:v>40974</c:v>
                </c:pt>
                <c:pt idx="568">
                  <c:v>40975</c:v>
                </c:pt>
                <c:pt idx="569">
                  <c:v>40976</c:v>
                </c:pt>
                <c:pt idx="570">
                  <c:v>40977</c:v>
                </c:pt>
                <c:pt idx="571">
                  <c:v>40980</c:v>
                </c:pt>
                <c:pt idx="572">
                  <c:v>40981</c:v>
                </c:pt>
                <c:pt idx="573">
                  <c:v>40982</c:v>
                </c:pt>
                <c:pt idx="574">
                  <c:v>40983</c:v>
                </c:pt>
                <c:pt idx="575">
                  <c:v>40984</c:v>
                </c:pt>
                <c:pt idx="576">
                  <c:v>40987</c:v>
                </c:pt>
                <c:pt idx="577">
                  <c:v>40988</c:v>
                </c:pt>
                <c:pt idx="578">
                  <c:v>40989</c:v>
                </c:pt>
                <c:pt idx="579">
                  <c:v>40990</c:v>
                </c:pt>
                <c:pt idx="580">
                  <c:v>40991</c:v>
                </c:pt>
                <c:pt idx="581">
                  <c:v>40994</c:v>
                </c:pt>
                <c:pt idx="582">
                  <c:v>40995</c:v>
                </c:pt>
                <c:pt idx="583">
                  <c:v>40996</c:v>
                </c:pt>
                <c:pt idx="584">
                  <c:v>40997</c:v>
                </c:pt>
                <c:pt idx="585">
                  <c:v>40998</c:v>
                </c:pt>
                <c:pt idx="586">
                  <c:v>41001</c:v>
                </c:pt>
                <c:pt idx="587">
                  <c:v>41002</c:v>
                </c:pt>
                <c:pt idx="588">
                  <c:v>41003</c:v>
                </c:pt>
                <c:pt idx="589">
                  <c:v>41004</c:v>
                </c:pt>
                <c:pt idx="590">
                  <c:v>41005</c:v>
                </c:pt>
                <c:pt idx="591">
                  <c:v>41008</c:v>
                </c:pt>
                <c:pt idx="592">
                  <c:v>41009</c:v>
                </c:pt>
                <c:pt idx="593">
                  <c:v>41010</c:v>
                </c:pt>
                <c:pt idx="594">
                  <c:v>41011</c:v>
                </c:pt>
                <c:pt idx="595">
                  <c:v>41012</c:v>
                </c:pt>
                <c:pt idx="596">
                  <c:v>41015</c:v>
                </c:pt>
                <c:pt idx="597">
                  <c:v>41016</c:v>
                </c:pt>
                <c:pt idx="598">
                  <c:v>41017</c:v>
                </c:pt>
                <c:pt idx="599">
                  <c:v>41018</c:v>
                </c:pt>
                <c:pt idx="600">
                  <c:v>41019</c:v>
                </c:pt>
                <c:pt idx="601">
                  <c:v>41022</c:v>
                </c:pt>
                <c:pt idx="602">
                  <c:v>41023</c:v>
                </c:pt>
                <c:pt idx="603">
                  <c:v>41024</c:v>
                </c:pt>
                <c:pt idx="604">
                  <c:v>41025</c:v>
                </c:pt>
                <c:pt idx="605">
                  <c:v>41026</c:v>
                </c:pt>
                <c:pt idx="606">
                  <c:v>41029</c:v>
                </c:pt>
                <c:pt idx="607">
                  <c:v>41030</c:v>
                </c:pt>
                <c:pt idx="608">
                  <c:v>41031</c:v>
                </c:pt>
                <c:pt idx="609">
                  <c:v>41032</c:v>
                </c:pt>
                <c:pt idx="610">
                  <c:v>41033</c:v>
                </c:pt>
                <c:pt idx="611">
                  <c:v>41036</c:v>
                </c:pt>
                <c:pt idx="612">
                  <c:v>41037</c:v>
                </c:pt>
                <c:pt idx="613">
                  <c:v>41038</c:v>
                </c:pt>
                <c:pt idx="614">
                  <c:v>41039</c:v>
                </c:pt>
                <c:pt idx="615">
                  <c:v>41040</c:v>
                </c:pt>
                <c:pt idx="616">
                  <c:v>41043</c:v>
                </c:pt>
                <c:pt idx="617">
                  <c:v>41044</c:v>
                </c:pt>
                <c:pt idx="618">
                  <c:v>41045</c:v>
                </c:pt>
                <c:pt idx="619">
                  <c:v>41046</c:v>
                </c:pt>
                <c:pt idx="620">
                  <c:v>41047</c:v>
                </c:pt>
                <c:pt idx="621">
                  <c:v>41050</c:v>
                </c:pt>
                <c:pt idx="622">
                  <c:v>41051</c:v>
                </c:pt>
                <c:pt idx="623">
                  <c:v>41052</c:v>
                </c:pt>
                <c:pt idx="624">
                  <c:v>41053</c:v>
                </c:pt>
                <c:pt idx="625">
                  <c:v>41054</c:v>
                </c:pt>
                <c:pt idx="626">
                  <c:v>41057</c:v>
                </c:pt>
                <c:pt idx="627">
                  <c:v>41058</c:v>
                </c:pt>
                <c:pt idx="628">
                  <c:v>41059</c:v>
                </c:pt>
                <c:pt idx="629">
                  <c:v>41060</c:v>
                </c:pt>
                <c:pt idx="630">
                  <c:v>41061</c:v>
                </c:pt>
                <c:pt idx="631">
                  <c:v>41064</c:v>
                </c:pt>
                <c:pt idx="632">
                  <c:v>41065</c:v>
                </c:pt>
                <c:pt idx="633">
                  <c:v>41066</c:v>
                </c:pt>
                <c:pt idx="634">
                  <c:v>41067</c:v>
                </c:pt>
                <c:pt idx="635">
                  <c:v>41068</c:v>
                </c:pt>
                <c:pt idx="636">
                  <c:v>41071</c:v>
                </c:pt>
                <c:pt idx="637">
                  <c:v>41072</c:v>
                </c:pt>
                <c:pt idx="638">
                  <c:v>41073</c:v>
                </c:pt>
                <c:pt idx="639">
                  <c:v>41074</c:v>
                </c:pt>
                <c:pt idx="640">
                  <c:v>41075</c:v>
                </c:pt>
                <c:pt idx="641">
                  <c:v>41078</c:v>
                </c:pt>
                <c:pt idx="642">
                  <c:v>41079</c:v>
                </c:pt>
                <c:pt idx="643">
                  <c:v>41080</c:v>
                </c:pt>
                <c:pt idx="644">
                  <c:v>41081</c:v>
                </c:pt>
                <c:pt idx="645">
                  <c:v>41082</c:v>
                </c:pt>
                <c:pt idx="646">
                  <c:v>41085</c:v>
                </c:pt>
                <c:pt idx="647">
                  <c:v>41086</c:v>
                </c:pt>
                <c:pt idx="648">
                  <c:v>41087</c:v>
                </c:pt>
                <c:pt idx="649">
                  <c:v>41088</c:v>
                </c:pt>
                <c:pt idx="650">
                  <c:v>41089</c:v>
                </c:pt>
                <c:pt idx="651">
                  <c:v>41092</c:v>
                </c:pt>
                <c:pt idx="652">
                  <c:v>41093</c:v>
                </c:pt>
                <c:pt idx="653">
                  <c:v>41094</c:v>
                </c:pt>
                <c:pt idx="654">
                  <c:v>41095</c:v>
                </c:pt>
                <c:pt idx="655">
                  <c:v>41096</c:v>
                </c:pt>
                <c:pt idx="656">
                  <c:v>41099</c:v>
                </c:pt>
                <c:pt idx="657">
                  <c:v>41100</c:v>
                </c:pt>
                <c:pt idx="658">
                  <c:v>41101</c:v>
                </c:pt>
                <c:pt idx="659">
                  <c:v>41102</c:v>
                </c:pt>
                <c:pt idx="660">
                  <c:v>41103</c:v>
                </c:pt>
                <c:pt idx="661">
                  <c:v>41106</c:v>
                </c:pt>
                <c:pt idx="662">
                  <c:v>41107</c:v>
                </c:pt>
                <c:pt idx="663">
                  <c:v>41108</c:v>
                </c:pt>
                <c:pt idx="664">
                  <c:v>41109</c:v>
                </c:pt>
                <c:pt idx="665">
                  <c:v>41110</c:v>
                </c:pt>
                <c:pt idx="666">
                  <c:v>41113</c:v>
                </c:pt>
                <c:pt idx="667">
                  <c:v>41114</c:v>
                </c:pt>
                <c:pt idx="668">
                  <c:v>41115</c:v>
                </c:pt>
                <c:pt idx="669">
                  <c:v>41116</c:v>
                </c:pt>
                <c:pt idx="670">
                  <c:v>41117</c:v>
                </c:pt>
                <c:pt idx="671">
                  <c:v>41120</c:v>
                </c:pt>
                <c:pt idx="672">
                  <c:v>41121</c:v>
                </c:pt>
                <c:pt idx="673">
                  <c:v>41122</c:v>
                </c:pt>
                <c:pt idx="674">
                  <c:v>41123</c:v>
                </c:pt>
                <c:pt idx="675">
                  <c:v>41124</c:v>
                </c:pt>
                <c:pt idx="676">
                  <c:v>41127</c:v>
                </c:pt>
                <c:pt idx="677">
                  <c:v>41128</c:v>
                </c:pt>
                <c:pt idx="678">
                  <c:v>41129</c:v>
                </c:pt>
                <c:pt idx="679">
                  <c:v>41130</c:v>
                </c:pt>
                <c:pt idx="680">
                  <c:v>41131</c:v>
                </c:pt>
                <c:pt idx="681">
                  <c:v>41134</c:v>
                </c:pt>
                <c:pt idx="682">
                  <c:v>41135</c:v>
                </c:pt>
                <c:pt idx="683">
                  <c:v>41136</c:v>
                </c:pt>
                <c:pt idx="684">
                  <c:v>41137</c:v>
                </c:pt>
                <c:pt idx="685">
                  <c:v>41138</c:v>
                </c:pt>
                <c:pt idx="686">
                  <c:v>41141</c:v>
                </c:pt>
                <c:pt idx="687">
                  <c:v>41142</c:v>
                </c:pt>
                <c:pt idx="688">
                  <c:v>41143</c:v>
                </c:pt>
                <c:pt idx="689">
                  <c:v>41144</c:v>
                </c:pt>
                <c:pt idx="690">
                  <c:v>41145</c:v>
                </c:pt>
                <c:pt idx="691">
                  <c:v>41148</c:v>
                </c:pt>
                <c:pt idx="692">
                  <c:v>41149</c:v>
                </c:pt>
                <c:pt idx="693">
                  <c:v>41150</c:v>
                </c:pt>
                <c:pt idx="694">
                  <c:v>41151</c:v>
                </c:pt>
                <c:pt idx="695">
                  <c:v>41152</c:v>
                </c:pt>
                <c:pt idx="696">
                  <c:v>41155</c:v>
                </c:pt>
                <c:pt idx="697">
                  <c:v>41156</c:v>
                </c:pt>
                <c:pt idx="698">
                  <c:v>41157</c:v>
                </c:pt>
                <c:pt idx="699">
                  <c:v>41158</c:v>
                </c:pt>
                <c:pt idx="700">
                  <c:v>41159</c:v>
                </c:pt>
                <c:pt idx="701">
                  <c:v>41162</c:v>
                </c:pt>
                <c:pt idx="702">
                  <c:v>41163</c:v>
                </c:pt>
                <c:pt idx="703">
                  <c:v>41164</c:v>
                </c:pt>
                <c:pt idx="704">
                  <c:v>41165</c:v>
                </c:pt>
                <c:pt idx="705">
                  <c:v>41166</c:v>
                </c:pt>
                <c:pt idx="706">
                  <c:v>41169</c:v>
                </c:pt>
                <c:pt idx="707">
                  <c:v>41170</c:v>
                </c:pt>
                <c:pt idx="708">
                  <c:v>41171</c:v>
                </c:pt>
                <c:pt idx="709">
                  <c:v>41172</c:v>
                </c:pt>
                <c:pt idx="710">
                  <c:v>41173</c:v>
                </c:pt>
                <c:pt idx="711">
                  <c:v>41176</c:v>
                </c:pt>
                <c:pt idx="712">
                  <c:v>41177</c:v>
                </c:pt>
                <c:pt idx="713">
                  <c:v>41178</c:v>
                </c:pt>
                <c:pt idx="714">
                  <c:v>41179</c:v>
                </c:pt>
                <c:pt idx="715">
                  <c:v>41180</c:v>
                </c:pt>
                <c:pt idx="716">
                  <c:v>41183</c:v>
                </c:pt>
                <c:pt idx="717">
                  <c:v>41184</c:v>
                </c:pt>
                <c:pt idx="718">
                  <c:v>41185</c:v>
                </c:pt>
                <c:pt idx="719">
                  <c:v>41186</c:v>
                </c:pt>
                <c:pt idx="720">
                  <c:v>41187</c:v>
                </c:pt>
                <c:pt idx="721">
                  <c:v>41190</c:v>
                </c:pt>
                <c:pt idx="722">
                  <c:v>41191</c:v>
                </c:pt>
                <c:pt idx="723">
                  <c:v>41192</c:v>
                </c:pt>
                <c:pt idx="724">
                  <c:v>41193</c:v>
                </c:pt>
                <c:pt idx="725">
                  <c:v>41194</c:v>
                </c:pt>
                <c:pt idx="726">
                  <c:v>41197</c:v>
                </c:pt>
                <c:pt idx="727">
                  <c:v>41198</c:v>
                </c:pt>
                <c:pt idx="728">
                  <c:v>41199</c:v>
                </c:pt>
                <c:pt idx="729">
                  <c:v>41200</c:v>
                </c:pt>
                <c:pt idx="730">
                  <c:v>41201</c:v>
                </c:pt>
                <c:pt idx="731">
                  <c:v>41204</c:v>
                </c:pt>
                <c:pt idx="732">
                  <c:v>41205</c:v>
                </c:pt>
                <c:pt idx="733">
                  <c:v>41206</c:v>
                </c:pt>
                <c:pt idx="734">
                  <c:v>41207</c:v>
                </c:pt>
                <c:pt idx="735">
                  <c:v>41208</c:v>
                </c:pt>
                <c:pt idx="736">
                  <c:v>41211</c:v>
                </c:pt>
                <c:pt idx="737">
                  <c:v>41212</c:v>
                </c:pt>
                <c:pt idx="738">
                  <c:v>41213</c:v>
                </c:pt>
                <c:pt idx="739">
                  <c:v>41214</c:v>
                </c:pt>
                <c:pt idx="740">
                  <c:v>41215</c:v>
                </c:pt>
                <c:pt idx="741">
                  <c:v>41218</c:v>
                </c:pt>
                <c:pt idx="742">
                  <c:v>41219</c:v>
                </c:pt>
                <c:pt idx="743">
                  <c:v>41220</c:v>
                </c:pt>
                <c:pt idx="744">
                  <c:v>41221</c:v>
                </c:pt>
                <c:pt idx="745">
                  <c:v>41222</c:v>
                </c:pt>
                <c:pt idx="746">
                  <c:v>41225</c:v>
                </c:pt>
                <c:pt idx="747">
                  <c:v>41226</c:v>
                </c:pt>
                <c:pt idx="748">
                  <c:v>41227</c:v>
                </c:pt>
                <c:pt idx="749">
                  <c:v>41228</c:v>
                </c:pt>
                <c:pt idx="750">
                  <c:v>41229</c:v>
                </c:pt>
                <c:pt idx="751">
                  <c:v>41232</c:v>
                </c:pt>
                <c:pt idx="752">
                  <c:v>41233</c:v>
                </c:pt>
                <c:pt idx="753">
                  <c:v>41234</c:v>
                </c:pt>
                <c:pt idx="754">
                  <c:v>41235</c:v>
                </c:pt>
                <c:pt idx="755">
                  <c:v>41236</c:v>
                </c:pt>
                <c:pt idx="756">
                  <c:v>41239</c:v>
                </c:pt>
                <c:pt idx="757">
                  <c:v>41240</c:v>
                </c:pt>
                <c:pt idx="758">
                  <c:v>41241</c:v>
                </c:pt>
                <c:pt idx="759">
                  <c:v>41242</c:v>
                </c:pt>
                <c:pt idx="760">
                  <c:v>41243</c:v>
                </c:pt>
                <c:pt idx="761">
                  <c:v>41246</c:v>
                </c:pt>
                <c:pt idx="762">
                  <c:v>41247</c:v>
                </c:pt>
                <c:pt idx="763">
                  <c:v>41248</c:v>
                </c:pt>
                <c:pt idx="764">
                  <c:v>41249</c:v>
                </c:pt>
                <c:pt idx="765">
                  <c:v>41250</c:v>
                </c:pt>
                <c:pt idx="766">
                  <c:v>41253</c:v>
                </c:pt>
                <c:pt idx="767">
                  <c:v>41254</c:v>
                </c:pt>
                <c:pt idx="768">
                  <c:v>41255</c:v>
                </c:pt>
                <c:pt idx="769">
                  <c:v>41256</c:v>
                </c:pt>
                <c:pt idx="770">
                  <c:v>41257</c:v>
                </c:pt>
                <c:pt idx="771">
                  <c:v>41260</c:v>
                </c:pt>
                <c:pt idx="772">
                  <c:v>41261</c:v>
                </c:pt>
                <c:pt idx="773">
                  <c:v>41262</c:v>
                </c:pt>
                <c:pt idx="774">
                  <c:v>41263</c:v>
                </c:pt>
                <c:pt idx="775">
                  <c:v>41264</c:v>
                </c:pt>
                <c:pt idx="776">
                  <c:v>41267</c:v>
                </c:pt>
                <c:pt idx="777">
                  <c:v>41268</c:v>
                </c:pt>
                <c:pt idx="778">
                  <c:v>41269</c:v>
                </c:pt>
                <c:pt idx="779">
                  <c:v>41270</c:v>
                </c:pt>
                <c:pt idx="780">
                  <c:v>41271</c:v>
                </c:pt>
                <c:pt idx="781">
                  <c:v>41274</c:v>
                </c:pt>
                <c:pt idx="782">
                  <c:v>41275</c:v>
                </c:pt>
                <c:pt idx="783">
                  <c:v>41276</c:v>
                </c:pt>
                <c:pt idx="784">
                  <c:v>41277</c:v>
                </c:pt>
                <c:pt idx="785">
                  <c:v>41278</c:v>
                </c:pt>
                <c:pt idx="786">
                  <c:v>41281</c:v>
                </c:pt>
                <c:pt idx="787">
                  <c:v>41282</c:v>
                </c:pt>
                <c:pt idx="788">
                  <c:v>41283</c:v>
                </c:pt>
                <c:pt idx="789">
                  <c:v>41284</c:v>
                </c:pt>
                <c:pt idx="790">
                  <c:v>41285</c:v>
                </c:pt>
                <c:pt idx="791">
                  <c:v>41288</c:v>
                </c:pt>
                <c:pt idx="792">
                  <c:v>41289</c:v>
                </c:pt>
                <c:pt idx="793">
                  <c:v>41290</c:v>
                </c:pt>
                <c:pt idx="794">
                  <c:v>41291</c:v>
                </c:pt>
                <c:pt idx="795">
                  <c:v>41292</c:v>
                </c:pt>
                <c:pt idx="796">
                  <c:v>41295</c:v>
                </c:pt>
                <c:pt idx="797">
                  <c:v>41296</c:v>
                </c:pt>
                <c:pt idx="798">
                  <c:v>41297</c:v>
                </c:pt>
                <c:pt idx="799">
                  <c:v>41298</c:v>
                </c:pt>
                <c:pt idx="800">
                  <c:v>41299</c:v>
                </c:pt>
                <c:pt idx="801">
                  <c:v>41302</c:v>
                </c:pt>
                <c:pt idx="802">
                  <c:v>41303</c:v>
                </c:pt>
                <c:pt idx="803">
                  <c:v>41304</c:v>
                </c:pt>
                <c:pt idx="804">
                  <c:v>41305</c:v>
                </c:pt>
                <c:pt idx="805">
                  <c:v>41306</c:v>
                </c:pt>
                <c:pt idx="806">
                  <c:v>41309</c:v>
                </c:pt>
                <c:pt idx="807">
                  <c:v>41310</c:v>
                </c:pt>
                <c:pt idx="808">
                  <c:v>41311</c:v>
                </c:pt>
                <c:pt idx="809">
                  <c:v>41312</c:v>
                </c:pt>
                <c:pt idx="810">
                  <c:v>41313</c:v>
                </c:pt>
                <c:pt idx="811">
                  <c:v>41316</c:v>
                </c:pt>
                <c:pt idx="812">
                  <c:v>41317</c:v>
                </c:pt>
                <c:pt idx="813">
                  <c:v>41318</c:v>
                </c:pt>
                <c:pt idx="814">
                  <c:v>41319</c:v>
                </c:pt>
                <c:pt idx="815">
                  <c:v>41320</c:v>
                </c:pt>
                <c:pt idx="816">
                  <c:v>41323</c:v>
                </c:pt>
                <c:pt idx="817">
                  <c:v>41324</c:v>
                </c:pt>
                <c:pt idx="818">
                  <c:v>41325</c:v>
                </c:pt>
                <c:pt idx="819">
                  <c:v>41326</c:v>
                </c:pt>
                <c:pt idx="820">
                  <c:v>41327</c:v>
                </c:pt>
                <c:pt idx="821">
                  <c:v>41330</c:v>
                </c:pt>
                <c:pt idx="822">
                  <c:v>41331</c:v>
                </c:pt>
                <c:pt idx="823">
                  <c:v>41332</c:v>
                </c:pt>
                <c:pt idx="824">
                  <c:v>41333</c:v>
                </c:pt>
                <c:pt idx="825">
                  <c:v>41334</c:v>
                </c:pt>
                <c:pt idx="826">
                  <c:v>41337</c:v>
                </c:pt>
                <c:pt idx="827">
                  <c:v>41338</c:v>
                </c:pt>
                <c:pt idx="828">
                  <c:v>41339</c:v>
                </c:pt>
                <c:pt idx="829">
                  <c:v>41340</c:v>
                </c:pt>
                <c:pt idx="830">
                  <c:v>41341</c:v>
                </c:pt>
                <c:pt idx="831">
                  <c:v>41344</c:v>
                </c:pt>
                <c:pt idx="832">
                  <c:v>41345</c:v>
                </c:pt>
                <c:pt idx="833">
                  <c:v>41346</c:v>
                </c:pt>
                <c:pt idx="834">
                  <c:v>41347</c:v>
                </c:pt>
                <c:pt idx="835">
                  <c:v>41348</c:v>
                </c:pt>
                <c:pt idx="836">
                  <c:v>41351</c:v>
                </c:pt>
                <c:pt idx="837">
                  <c:v>41352</c:v>
                </c:pt>
                <c:pt idx="838">
                  <c:v>41353</c:v>
                </c:pt>
                <c:pt idx="839">
                  <c:v>41354</c:v>
                </c:pt>
                <c:pt idx="840">
                  <c:v>41355</c:v>
                </c:pt>
                <c:pt idx="841">
                  <c:v>41358</c:v>
                </c:pt>
                <c:pt idx="842">
                  <c:v>41359</c:v>
                </c:pt>
                <c:pt idx="843">
                  <c:v>41360</c:v>
                </c:pt>
                <c:pt idx="844">
                  <c:v>41361</c:v>
                </c:pt>
                <c:pt idx="845">
                  <c:v>41362</c:v>
                </c:pt>
                <c:pt idx="846">
                  <c:v>41365</c:v>
                </c:pt>
                <c:pt idx="847">
                  <c:v>41366</c:v>
                </c:pt>
                <c:pt idx="848">
                  <c:v>41367</c:v>
                </c:pt>
                <c:pt idx="849">
                  <c:v>41368</c:v>
                </c:pt>
                <c:pt idx="850">
                  <c:v>41369</c:v>
                </c:pt>
                <c:pt idx="851">
                  <c:v>41372</c:v>
                </c:pt>
                <c:pt idx="852">
                  <c:v>41373</c:v>
                </c:pt>
                <c:pt idx="853">
                  <c:v>41374</c:v>
                </c:pt>
                <c:pt idx="854">
                  <c:v>41375</c:v>
                </c:pt>
                <c:pt idx="855">
                  <c:v>41376</c:v>
                </c:pt>
                <c:pt idx="856">
                  <c:v>41379</c:v>
                </c:pt>
                <c:pt idx="857">
                  <c:v>41380</c:v>
                </c:pt>
                <c:pt idx="858">
                  <c:v>41381</c:v>
                </c:pt>
                <c:pt idx="859">
                  <c:v>41382</c:v>
                </c:pt>
                <c:pt idx="860">
                  <c:v>41383</c:v>
                </c:pt>
                <c:pt idx="861">
                  <c:v>41386</c:v>
                </c:pt>
                <c:pt idx="862">
                  <c:v>41387</c:v>
                </c:pt>
                <c:pt idx="863">
                  <c:v>41388</c:v>
                </c:pt>
                <c:pt idx="864">
                  <c:v>41389</c:v>
                </c:pt>
                <c:pt idx="865">
                  <c:v>41390</c:v>
                </c:pt>
                <c:pt idx="866">
                  <c:v>41393</c:v>
                </c:pt>
                <c:pt idx="867">
                  <c:v>41394</c:v>
                </c:pt>
                <c:pt idx="868">
                  <c:v>41395</c:v>
                </c:pt>
                <c:pt idx="869">
                  <c:v>41396</c:v>
                </c:pt>
                <c:pt idx="870">
                  <c:v>41397</c:v>
                </c:pt>
                <c:pt idx="871">
                  <c:v>41400</c:v>
                </c:pt>
                <c:pt idx="872">
                  <c:v>41401</c:v>
                </c:pt>
                <c:pt idx="873">
                  <c:v>41402</c:v>
                </c:pt>
                <c:pt idx="874">
                  <c:v>41403</c:v>
                </c:pt>
                <c:pt idx="875">
                  <c:v>41404</c:v>
                </c:pt>
                <c:pt idx="876">
                  <c:v>41407</c:v>
                </c:pt>
                <c:pt idx="877">
                  <c:v>41408</c:v>
                </c:pt>
                <c:pt idx="878">
                  <c:v>41409</c:v>
                </c:pt>
                <c:pt idx="879">
                  <c:v>41410</c:v>
                </c:pt>
                <c:pt idx="880">
                  <c:v>41411</c:v>
                </c:pt>
                <c:pt idx="881">
                  <c:v>41414</c:v>
                </c:pt>
                <c:pt idx="882">
                  <c:v>41415</c:v>
                </c:pt>
                <c:pt idx="883">
                  <c:v>41416</c:v>
                </c:pt>
                <c:pt idx="884">
                  <c:v>41417</c:v>
                </c:pt>
                <c:pt idx="885">
                  <c:v>41418</c:v>
                </c:pt>
                <c:pt idx="886">
                  <c:v>41421</c:v>
                </c:pt>
                <c:pt idx="887">
                  <c:v>41422</c:v>
                </c:pt>
                <c:pt idx="888">
                  <c:v>41423</c:v>
                </c:pt>
                <c:pt idx="889">
                  <c:v>41424</c:v>
                </c:pt>
                <c:pt idx="890">
                  <c:v>41425</c:v>
                </c:pt>
                <c:pt idx="891">
                  <c:v>41428</c:v>
                </c:pt>
                <c:pt idx="892">
                  <c:v>41429</c:v>
                </c:pt>
                <c:pt idx="893">
                  <c:v>41430</c:v>
                </c:pt>
                <c:pt idx="894">
                  <c:v>41431</c:v>
                </c:pt>
                <c:pt idx="895">
                  <c:v>41432</c:v>
                </c:pt>
                <c:pt idx="896">
                  <c:v>41435</c:v>
                </c:pt>
                <c:pt idx="897">
                  <c:v>41436</c:v>
                </c:pt>
                <c:pt idx="898">
                  <c:v>41437</c:v>
                </c:pt>
                <c:pt idx="899">
                  <c:v>41438</c:v>
                </c:pt>
                <c:pt idx="900">
                  <c:v>41439</c:v>
                </c:pt>
                <c:pt idx="901">
                  <c:v>41442</c:v>
                </c:pt>
                <c:pt idx="902">
                  <c:v>41443</c:v>
                </c:pt>
                <c:pt idx="903">
                  <c:v>41444</c:v>
                </c:pt>
                <c:pt idx="904">
                  <c:v>41445</c:v>
                </c:pt>
                <c:pt idx="905">
                  <c:v>41446</c:v>
                </c:pt>
                <c:pt idx="906">
                  <c:v>41449</c:v>
                </c:pt>
                <c:pt idx="907">
                  <c:v>41450</c:v>
                </c:pt>
                <c:pt idx="908">
                  <c:v>41451</c:v>
                </c:pt>
                <c:pt idx="909">
                  <c:v>41452</c:v>
                </c:pt>
                <c:pt idx="910">
                  <c:v>41453</c:v>
                </c:pt>
                <c:pt idx="911">
                  <c:v>41456</c:v>
                </c:pt>
                <c:pt idx="912">
                  <c:v>41457</c:v>
                </c:pt>
                <c:pt idx="913">
                  <c:v>41458</c:v>
                </c:pt>
                <c:pt idx="914">
                  <c:v>41459</c:v>
                </c:pt>
                <c:pt idx="915">
                  <c:v>41460</c:v>
                </c:pt>
                <c:pt idx="916">
                  <c:v>41463</c:v>
                </c:pt>
                <c:pt idx="917">
                  <c:v>41464</c:v>
                </c:pt>
                <c:pt idx="918">
                  <c:v>41465</c:v>
                </c:pt>
                <c:pt idx="919">
                  <c:v>41466</c:v>
                </c:pt>
                <c:pt idx="920">
                  <c:v>41467</c:v>
                </c:pt>
                <c:pt idx="921">
                  <c:v>41470</c:v>
                </c:pt>
                <c:pt idx="922">
                  <c:v>41471</c:v>
                </c:pt>
                <c:pt idx="923">
                  <c:v>41472</c:v>
                </c:pt>
                <c:pt idx="924">
                  <c:v>41473</c:v>
                </c:pt>
                <c:pt idx="925">
                  <c:v>41474</c:v>
                </c:pt>
                <c:pt idx="926">
                  <c:v>41477</c:v>
                </c:pt>
                <c:pt idx="927">
                  <c:v>41478</c:v>
                </c:pt>
                <c:pt idx="928">
                  <c:v>41479</c:v>
                </c:pt>
                <c:pt idx="929">
                  <c:v>41480</c:v>
                </c:pt>
                <c:pt idx="930">
                  <c:v>41481</c:v>
                </c:pt>
                <c:pt idx="931">
                  <c:v>41484</c:v>
                </c:pt>
                <c:pt idx="932">
                  <c:v>41485</c:v>
                </c:pt>
                <c:pt idx="933">
                  <c:v>41486</c:v>
                </c:pt>
                <c:pt idx="934">
                  <c:v>41487</c:v>
                </c:pt>
                <c:pt idx="935">
                  <c:v>41488</c:v>
                </c:pt>
                <c:pt idx="936">
                  <c:v>41491</c:v>
                </c:pt>
                <c:pt idx="937">
                  <c:v>41492</c:v>
                </c:pt>
                <c:pt idx="938">
                  <c:v>41493</c:v>
                </c:pt>
                <c:pt idx="939">
                  <c:v>41494</c:v>
                </c:pt>
                <c:pt idx="940">
                  <c:v>41495</c:v>
                </c:pt>
                <c:pt idx="941">
                  <c:v>41498</c:v>
                </c:pt>
                <c:pt idx="942">
                  <c:v>41499</c:v>
                </c:pt>
                <c:pt idx="943">
                  <c:v>41500</c:v>
                </c:pt>
                <c:pt idx="944">
                  <c:v>41501</c:v>
                </c:pt>
                <c:pt idx="945">
                  <c:v>41502</c:v>
                </c:pt>
                <c:pt idx="946">
                  <c:v>41505</c:v>
                </c:pt>
                <c:pt idx="947">
                  <c:v>41506</c:v>
                </c:pt>
                <c:pt idx="948">
                  <c:v>41507</c:v>
                </c:pt>
                <c:pt idx="949">
                  <c:v>41508</c:v>
                </c:pt>
                <c:pt idx="950">
                  <c:v>41509</c:v>
                </c:pt>
                <c:pt idx="951">
                  <c:v>41512</c:v>
                </c:pt>
                <c:pt idx="952">
                  <c:v>41513</c:v>
                </c:pt>
                <c:pt idx="953">
                  <c:v>41514</c:v>
                </c:pt>
                <c:pt idx="954">
                  <c:v>41515</c:v>
                </c:pt>
                <c:pt idx="955">
                  <c:v>41516</c:v>
                </c:pt>
                <c:pt idx="956">
                  <c:v>41519</c:v>
                </c:pt>
                <c:pt idx="957">
                  <c:v>41520</c:v>
                </c:pt>
                <c:pt idx="958">
                  <c:v>41521</c:v>
                </c:pt>
                <c:pt idx="959">
                  <c:v>41522</c:v>
                </c:pt>
                <c:pt idx="960">
                  <c:v>41523</c:v>
                </c:pt>
                <c:pt idx="961">
                  <c:v>41526</c:v>
                </c:pt>
                <c:pt idx="962">
                  <c:v>41527</c:v>
                </c:pt>
                <c:pt idx="963">
                  <c:v>41528</c:v>
                </c:pt>
                <c:pt idx="964">
                  <c:v>41529</c:v>
                </c:pt>
                <c:pt idx="965">
                  <c:v>41530</c:v>
                </c:pt>
                <c:pt idx="966">
                  <c:v>41533</c:v>
                </c:pt>
                <c:pt idx="967">
                  <c:v>41534</c:v>
                </c:pt>
                <c:pt idx="968">
                  <c:v>41535</c:v>
                </c:pt>
                <c:pt idx="969">
                  <c:v>41536</c:v>
                </c:pt>
                <c:pt idx="970">
                  <c:v>41537</c:v>
                </c:pt>
                <c:pt idx="971">
                  <c:v>41540</c:v>
                </c:pt>
                <c:pt idx="972">
                  <c:v>41541</c:v>
                </c:pt>
                <c:pt idx="973">
                  <c:v>41542</c:v>
                </c:pt>
                <c:pt idx="974">
                  <c:v>41543</c:v>
                </c:pt>
                <c:pt idx="975">
                  <c:v>41544</c:v>
                </c:pt>
                <c:pt idx="976">
                  <c:v>41547</c:v>
                </c:pt>
                <c:pt idx="977">
                  <c:v>41548</c:v>
                </c:pt>
                <c:pt idx="978">
                  <c:v>41549</c:v>
                </c:pt>
                <c:pt idx="979">
                  <c:v>41550</c:v>
                </c:pt>
                <c:pt idx="980">
                  <c:v>41551</c:v>
                </c:pt>
                <c:pt idx="981">
                  <c:v>41554</c:v>
                </c:pt>
                <c:pt idx="982">
                  <c:v>41555</c:v>
                </c:pt>
                <c:pt idx="983">
                  <c:v>41556</c:v>
                </c:pt>
                <c:pt idx="984">
                  <c:v>41557</c:v>
                </c:pt>
                <c:pt idx="985">
                  <c:v>41558</c:v>
                </c:pt>
                <c:pt idx="986">
                  <c:v>41561</c:v>
                </c:pt>
                <c:pt idx="987">
                  <c:v>41562</c:v>
                </c:pt>
                <c:pt idx="988">
                  <c:v>41563</c:v>
                </c:pt>
                <c:pt idx="989">
                  <c:v>41564</c:v>
                </c:pt>
                <c:pt idx="990">
                  <c:v>41565</c:v>
                </c:pt>
                <c:pt idx="991">
                  <c:v>41568</c:v>
                </c:pt>
                <c:pt idx="992">
                  <c:v>41569</c:v>
                </c:pt>
                <c:pt idx="993">
                  <c:v>41570</c:v>
                </c:pt>
                <c:pt idx="994">
                  <c:v>41571</c:v>
                </c:pt>
                <c:pt idx="995">
                  <c:v>41572</c:v>
                </c:pt>
                <c:pt idx="996">
                  <c:v>41575</c:v>
                </c:pt>
                <c:pt idx="997">
                  <c:v>41576</c:v>
                </c:pt>
                <c:pt idx="998">
                  <c:v>41577</c:v>
                </c:pt>
                <c:pt idx="999">
                  <c:v>41578</c:v>
                </c:pt>
                <c:pt idx="1000">
                  <c:v>41579</c:v>
                </c:pt>
                <c:pt idx="1001">
                  <c:v>41582</c:v>
                </c:pt>
                <c:pt idx="1002">
                  <c:v>41583</c:v>
                </c:pt>
                <c:pt idx="1003">
                  <c:v>41584</c:v>
                </c:pt>
                <c:pt idx="1004">
                  <c:v>41585</c:v>
                </c:pt>
                <c:pt idx="1005">
                  <c:v>41586</c:v>
                </c:pt>
                <c:pt idx="1006">
                  <c:v>41589</c:v>
                </c:pt>
                <c:pt idx="1007">
                  <c:v>41590</c:v>
                </c:pt>
                <c:pt idx="1008">
                  <c:v>41591</c:v>
                </c:pt>
                <c:pt idx="1009">
                  <c:v>41592</c:v>
                </c:pt>
                <c:pt idx="1010">
                  <c:v>41593</c:v>
                </c:pt>
                <c:pt idx="1011">
                  <c:v>41596</c:v>
                </c:pt>
                <c:pt idx="1012">
                  <c:v>41597</c:v>
                </c:pt>
                <c:pt idx="1013">
                  <c:v>41598</c:v>
                </c:pt>
                <c:pt idx="1014">
                  <c:v>41599</c:v>
                </c:pt>
                <c:pt idx="1015">
                  <c:v>41600</c:v>
                </c:pt>
                <c:pt idx="1016">
                  <c:v>41603</c:v>
                </c:pt>
                <c:pt idx="1017">
                  <c:v>41604</c:v>
                </c:pt>
                <c:pt idx="1018">
                  <c:v>41605</c:v>
                </c:pt>
                <c:pt idx="1019">
                  <c:v>41606</c:v>
                </c:pt>
                <c:pt idx="1020">
                  <c:v>41607</c:v>
                </c:pt>
                <c:pt idx="1021">
                  <c:v>41610</c:v>
                </c:pt>
                <c:pt idx="1022">
                  <c:v>41611</c:v>
                </c:pt>
                <c:pt idx="1023">
                  <c:v>41612</c:v>
                </c:pt>
                <c:pt idx="1024">
                  <c:v>41613</c:v>
                </c:pt>
                <c:pt idx="1025">
                  <c:v>41614</c:v>
                </c:pt>
                <c:pt idx="1026">
                  <c:v>41617</c:v>
                </c:pt>
                <c:pt idx="1027">
                  <c:v>41618</c:v>
                </c:pt>
                <c:pt idx="1028">
                  <c:v>41619</c:v>
                </c:pt>
                <c:pt idx="1029">
                  <c:v>41620</c:v>
                </c:pt>
                <c:pt idx="1030">
                  <c:v>41621</c:v>
                </c:pt>
                <c:pt idx="1031">
                  <c:v>41624</c:v>
                </c:pt>
                <c:pt idx="1032">
                  <c:v>41625</c:v>
                </c:pt>
                <c:pt idx="1033">
                  <c:v>41626</c:v>
                </c:pt>
                <c:pt idx="1034">
                  <c:v>41627</c:v>
                </c:pt>
                <c:pt idx="1035">
                  <c:v>41628</c:v>
                </c:pt>
                <c:pt idx="1036">
                  <c:v>41631</c:v>
                </c:pt>
                <c:pt idx="1037">
                  <c:v>41632</c:v>
                </c:pt>
                <c:pt idx="1038">
                  <c:v>41633</c:v>
                </c:pt>
                <c:pt idx="1039">
                  <c:v>41634</c:v>
                </c:pt>
                <c:pt idx="1040">
                  <c:v>41635</c:v>
                </c:pt>
                <c:pt idx="1041">
                  <c:v>41638</c:v>
                </c:pt>
                <c:pt idx="1042">
                  <c:v>41639</c:v>
                </c:pt>
                <c:pt idx="1043">
                  <c:v>41640</c:v>
                </c:pt>
                <c:pt idx="1044">
                  <c:v>41641</c:v>
                </c:pt>
                <c:pt idx="1045">
                  <c:v>41642</c:v>
                </c:pt>
                <c:pt idx="1046">
                  <c:v>41645</c:v>
                </c:pt>
                <c:pt idx="1047">
                  <c:v>41646</c:v>
                </c:pt>
                <c:pt idx="1048">
                  <c:v>41647</c:v>
                </c:pt>
                <c:pt idx="1049">
                  <c:v>41648</c:v>
                </c:pt>
                <c:pt idx="1050">
                  <c:v>41649</c:v>
                </c:pt>
                <c:pt idx="1051">
                  <c:v>41652</c:v>
                </c:pt>
                <c:pt idx="1052">
                  <c:v>41653</c:v>
                </c:pt>
                <c:pt idx="1053">
                  <c:v>41654</c:v>
                </c:pt>
                <c:pt idx="1054">
                  <c:v>41655</c:v>
                </c:pt>
                <c:pt idx="1055">
                  <c:v>41656</c:v>
                </c:pt>
                <c:pt idx="1056">
                  <c:v>41659</c:v>
                </c:pt>
                <c:pt idx="1057">
                  <c:v>41660</c:v>
                </c:pt>
                <c:pt idx="1058">
                  <c:v>41661</c:v>
                </c:pt>
                <c:pt idx="1059">
                  <c:v>41662</c:v>
                </c:pt>
                <c:pt idx="1060">
                  <c:v>41663</c:v>
                </c:pt>
                <c:pt idx="1061">
                  <c:v>41666</c:v>
                </c:pt>
                <c:pt idx="1062">
                  <c:v>41667</c:v>
                </c:pt>
                <c:pt idx="1063">
                  <c:v>41668</c:v>
                </c:pt>
                <c:pt idx="1064">
                  <c:v>41669</c:v>
                </c:pt>
                <c:pt idx="1065">
                  <c:v>41670</c:v>
                </c:pt>
                <c:pt idx="1066">
                  <c:v>41673</c:v>
                </c:pt>
                <c:pt idx="1067">
                  <c:v>41674</c:v>
                </c:pt>
                <c:pt idx="1068">
                  <c:v>41675</c:v>
                </c:pt>
                <c:pt idx="1069">
                  <c:v>41676</c:v>
                </c:pt>
                <c:pt idx="1070">
                  <c:v>41677</c:v>
                </c:pt>
                <c:pt idx="1071">
                  <c:v>41680</c:v>
                </c:pt>
                <c:pt idx="1072">
                  <c:v>41681</c:v>
                </c:pt>
                <c:pt idx="1073">
                  <c:v>41682</c:v>
                </c:pt>
                <c:pt idx="1074">
                  <c:v>41683</c:v>
                </c:pt>
                <c:pt idx="1075">
                  <c:v>41684</c:v>
                </c:pt>
                <c:pt idx="1076">
                  <c:v>41687</c:v>
                </c:pt>
                <c:pt idx="1077">
                  <c:v>41688</c:v>
                </c:pt>
                <c:pt idx="1078">
                  <c:v>41689</c:v>
                </c:pt>
                <c:pt idx="1079">
                  <c:v>41690</c:v>
                </c:pt>
                <c:pt idx="1080">
                  <c:v>41691</c:v>
                </c:pt>
                <c:pt idx="1081">
                  <c:v>41694</c:v>
                </c:pt>
                <c:pt idx="1082">
                  <c:v>41695</c:v>
                </c:pt>
                <c:pt idx="1083">
                  <c:v>41696</c:v>
                </c:pt>
                <c:pt idx="1084">
                  <c:v>41697</c:v>
                </c:pt>
                <c:pt idx="1085">
                  <c:v>41698</c:v>
                </c:pt>
                <c:pt idx="1086">
                  <c:v>41701</c:v>
                </c:pt>
                <c:pt idx="1087">
                  <c:v>41702</c:v>
                </c:pt>
                <c:pt idx="1088">
                  <c:v>41703</c:v>
                </c:pt>
                <c:pt idx="1089">
                  <c:v>41704</c:v>
                </c:pt>
                <c:pt idx="1090">
                  <c:v>41705</c:v>
                </c:pt>
                <c:pt idx="1091">
                  <c:v>41708</c:v>
                </c:pt>
                <c:pt idx="1092">
                  <c:v>41709</c:v>
                </c:pt>
                <c:pt idx="1093">
                  <c:v>41710</c:v>
                </c:pt>
                <c:pt idx="1094">
                  <c:v>41711</c:v>
                </c:pt>
                <c:pt idx="1095">
                  <c:v>41712</c:v>
                </c:pt>
                <c:pt idx="1096">
                  <c:v>41715</c:v>
                </c:pt>
                <c:pt idx="1097">
                  <c:v>41716</c:v>
                </c:pt>
                <c:pt idx="1098">
                  <c:v>41717</c:v>
                </c:pt>
                <c:pt idx="1099">
                  <c:v>41718</c:v>
                </c:pt>
                <c:pt idx="1100">
                  <c:v>41719</c:v>
                </c:pt>
                <c:pt idx="1101">
                  <c:v>41722</c:v>
                </c:pt>
                <c:pt idx="1102">
                  <c:v>41723</c:v>
                </c:pt>
                <c:pt idx="1103">
                  <c:v>41724</c:v>
                </c:pt>
                <c:pt idx="1104">
                  <c:v>41725</c:v>
                </c:pt>
                <c:pt idx="1105">
                  <c:v>41726</c:v>
                </c:pt>
                <c:pt idx="1106">
                  <c:v>41729</c:v>
                </c:pt>
                <c:pt idx="1107">
                  <c:v>41730</c:v>
                </c:pt>
                <c:pt idx="1108">
                  <c:v>41731</c:v>
                </c:pt>
                <c:pt idx="1109">
                  <c:v>41732</c:v>
                </c:pt>
                <c:pt idx="1110">
                  <c:v>41733</c:v>
                </c:pt>
                <c:pt idx="1111">
                  <c:v>41736</c:v>
                </c:pt>
                <c:pt idx="1112">
                  <c:v>41737</c:v>
                </c:pt>
                <c:pt idx="1113">
                  <c:v>41738</c:v>
                </c:pt>
                <c:pt idx="1114">
                  <c:v>41739</c:v>
                </c:pt>
                <c:pt idx="1115">
                  <c:v>41740</c:v>
                </c:pt>
                <c:pt idx="1116">
                  <c:v>41743</c:v>
                </c:pt>
                <c:pt idx="1117">
                  <c:v>41744</c:v>
                </c:pt>
                <c:pt idx="1118">
                  <c:v>41745</c:v>
                </c:pt>
                <c:pt idx="1119">
                  <c:v>41746</c:v>
                </c:pt>
                <c:pt idx="1120">
                  <c:v>41747</c:v>
                </c:pt>
                <c:pt idx="1121">
                  <c:v>41750</c:v>
                </c:pt>
                <c:pt idx="1122">
                  <c:v>41751</c:v>
                </c:pt>
                <c:pt idx="1123">
                  <c:v>41752</c:v>
                </c:pt>
                <c:pt idx="1124">
                  <c:v>41753</c:v>
                </c:pt>
                <c:pt idx="1125">
                  <c:v>41754</c:v>
                </c:pt>
                <c:pt idx="1126">
                  <c:v>41757</c:v>
                </c:pt>
                <c:pt idx="1127">
                  <c:v>41758</c:v>
                </c:pt>
                <c:pt idx="1128">
                  <c:v>41759</c:v>
                </c:pt>
                <c:pt idx="1129">
                  <c:v>41760</c:v>
                </c:pt>
                <c:pt idx="1130">
                  <c:v>41761</c:v>
                </c:pt>
                <c:pt idx="1131">
                  <c:v>41764</c:v>
                </c:pt>
                <c:pt idx="1132">
                  <c:v>41765</c:v>
                </c:pt>
                <c:pt idx="1133">
                  <c:v>41766</c:v>
                </c:pt>
                <c:pt idx="1134">
                  <c:v>41767</c:v>
                </c:pt>
                <c:pt idx="1135">
                  <c:v>41768</c:v>
                </c:pt>
                <c:pt idx="1136">
                  <c:v>41771</c:v>
                </c:pt>
                <c:pt idx="1137">
                  <c:v>41772</c:v>
                </c:pt>
                <c:pt idx="1138">
                  <c:v>41773</c:v>
                </c:pt>
                <c:pt idx="1139">
                  <c:v>41774</c:v>
                </c:pt>
                <c:pt idx="1140">
                  <c:v>41775</c:v>
                </c:pt>
                <c:pt idx="1141">
                  <c:v>41778</c:v>
                </c:pt>
                <c:pt idx="1142">
                  <c:v>41779</c:v>
                </c:pt>
                <c:pt idx="1143">
                  <c:v>41780</c:v>
                </c:pt>
                <c:pt idx="1144">
                  <c:v>41781</c:v>
                </c:pt>
                <c:pt idx="1145">
                  <c:v>41782</c:v>
                </c:pt>
                <c:pt idx="1146">
                  <c:v>41785</c:v>
                </c:pt>
                <c:pt idx="1147">
                  <c:v>41786</c:v>
                </c:pt>
                <c:pt idx="1148">
                  <c:v>41787</c:v>
                </c:pt>
                <c:pt idx="1149">
                  <c:v>41788</c:v>
                </c:pt>
                <c:pt idx="1150">
                  <c:v>41789</c:v>
                </c:pt>
                <c:pt idx="1151">
                  <c:v>41792</c:v>
                </c:pt>
                <c:pt idx="1152">
                  <c:v>41793</c:v>
                </c:pt>
                <c:pt idx="1153">
                  <c:v>41794</c:v>
                </c:pt>
                <c:pt idx="1154">
                  <c:v>41795</c:v>
                </c:pt>
                <c:pt idx="1155">
                  <c:v>41796</c:v>
                </c:pt>
                <c:pt idx="1156">
                  <c:v>41799</c:v>
                </c:pt>
                <c:pt idx="1157">
                  <c:v>41800</c:v>
                </c:pt>
                <c:pt idx="1158">
                  <c:v>41801</c:v>
                </c:pt>
                <c:pt idx="1159">
                  <c:v>41802</c:v>
                </c:pt>
                <c:pt idx="1160">
                  <c:v>41803</c:v>
                </c:pt>
                <c:pt idx="1161">
                  <c:v>41806</c:v>
                </c:pt>
                <c:pt idx="1162">
                  <c:v>41807</c:v>
                </c:pt>
                <c:pt idx="1163">
                  <c:v>41808</c:v>
                </c:pt>
                <c:pt idx="1164">
                  <c:v>41809</c:v>
                </c:pt>
                <c:pt idx="1165">
                  <c:v>41810</c:v>
                </c:pt>
                <c:pt idx="1166">
                  <c:v>41813</c:v>
                </c:pt>
                <c:pt idx="1167">
                  <c:v>41814</c:v>
                </c:pt>
                <c:pt idx="1168">
                  <c:v>41815</c:v>
                </c:pt>
                <c:pt idx="1169">
                  <c:v>41816</c:v>
                </c:pt>
                <c:pt idx="1170">
                  <c:v>41817</c:v>
                </c:pt>
                <c:pt idx="1171">
                  <c:v>41820</c:v>
                </c:pt>
                <c:pt idx="1172">
                  <c:v>41821</c:v>
                </c:pt>
                <c:pt idx="1173">
                  <c:v>41822</c:v>
                </c:pt>
                <c:pt idx="1174">
                  <c:v>41823</c:v>
                </c:pt>
                <c:pt idx="1175">
                  <c:v>41824</c:v>
                </c:pt>
                <c:pt idx="1176">
                  <c:v>41827</c:v>
                </c:pt>
                <c:pt idx="1177">
                  <c:v>41828</c:v>
                </c:pt>
                <c:pt idx="1178">
                  <c:v>41829</c:v>
                </c:pt>
                <c:pt idx="1179">
                  <c:v>41830</c:v>
                </c:pt>
                <c:pt idx="1180">
                  <c:v>41831</c:v>
                </c:pt>
                <c:pt idx="1181">
                  <c:v>41834</c:v>
                </c:pt>
                <c:pt idx="1182">
                  <c:v>41835</c:v>
                </c:pt>
                <c:pt idx="1183">
                  <c:v>41836</c:v>
                </c:pt>
                <c:pt idx="1184">
                  <c:v>41837</c:v>
                </c:pt>
                <c:pt idx="1185">
                  <c:v>41838</c:v>
                </c:pt>
                <c:pt idx="1186">
                  <c:v>41841</c:v>
                </c:pt>
                <c:pt idx="1187">
                  <c:v>41842</c:v>
                </c:pt>
                <c:pt idx="1188">
                  <c:v>41843</c:v>
                </c:pt>
                <c:pt idx="1189">
                  <c:v>41844</c:v>
                </c:pt>
                <c:pt idx="1190">
                  <c:v>41845</c:v>
                </c:pt>
                <c:pt idx="1191">
                  <c:v>41848</c:v>
                </c:pt>
                <c:pt idx="1192">
                  <c:v>41849</c:v>
                </c:pt>
                <c:pt idx="1193">
                  <c:v>41850</c:v>
                </c:pt>
                <c:pt idx="1194">
                  <c:v>41851</c:v>
                </c:pt>
                <c:pt idx="1195">
                  <c:v>41852</c:v>
                </c:pt>
                <c:pt idx="1196">
                  <c:v>41855</c:v>
                </c:pt>
                <c:pt idx="1197">
                  <c:v>41856</c:v>
                </c:pt>
                <c:pt idx="1198">
                  <c:v>41857</c:v>
                </c:pt>
                <c:pt idx="1199">
                  <c:v>41858</c:v>
                </c:pt>
                <c:pt idx="1200">
                  <c:v>41859</c:v>
                </c:pt>
                <c:pt idx="1201">
                  <c:v>41862</c:v>
                </c:pt>
                <c:pt idx="1202">
                  <c:v>41863</c:v>
                </c:pt>
                <c:pt idx="1203">
                  <c:v>41864</c:v>
                </c:pt>
                <c:pt idx="1204">
                  <c:v>41865</c:v>
                </c:pt>
                <c:pt idx="1205">
                  <c:v>41866</c:v>
                </c:pt>
                <c:pt idx="1206">
                  <c:v>41869</c:v>
                </c:pt>
                <c:pt idx="1207">
                  <c:v>41870</c:v>
                </c:pt>
                <c:pt idx="1208">
                  <c:v>41871</c:v>
                </c:pt>
                <c:pt idx="1209">
                  <c:v>41872</c:v>
                </c:pt>
                <c:pt idx="1210">
                  <c:v>41873</c:v>
                </c:pt>
                <c:pt idx="1211">
                  <c:v>41876</c:v>
                </c:pt>
                <c:pt idx="1212">
                  <c:v>41877</c:v>
                </c:pt>
                <c:pt idx="1213">
                  <c:v>41878</c:v>
                </c:pt>
                <c:pt idx="1214">
                  <c:v>41879</c:v>
                </c:pt>
                <c:pt idx="1215">
                  <c:v>41880</c:v>
                </c:pt>
                <c:pt idx="1216">
                  <c:v>41883</c:v>
                </c:pt>
                <c:pt idx="1217">
                  <c:v>41884</c:v>
                </c:pt>
                <c:pt idx="1218">
                  <c:v>41885</c:v>
                </c:pt>
                <c:pt idx="1219">
                  <c:v>41886</c:v>
                </c:pt>
                <c:pt idx="1220">
                  <c:v>41887</c:v>
                </c:pt>
                <c:pt idx="1221">
                  <c:v>41890</c:v>
                </c:pt>
                <c:pt idx="1222">
                  <c:v>41891</c:v>
                </c:pt>
                <c:pt idx="1223">
                  <c:v>41892</c:v>
                </c:pt>
                <c:pt idx="1224">
                  <c:v>41893</c:v>
                </c:pt>
                <c:pt idx="1225">
                  <c:v>41894</c:v>
                </c:pt>
                <c:pt idx="1226">
                  <c:v>41897</c:v>
                </c:pt>
                <c:pt idx="1227">
                  <c:v>41898</c:v>
                </c:pt>
                <c:pt idx="1228">
                  <c:v>41899</c:v>
                </c:pt>
                <c:pt idx="1229">
                  <c:v>41900</c:v>
                </c:pt>
                <c:pt idx="1230">
                  <c:v>41901</c:v>
                </c:pt>
                <c:pt idx="1231">
                  <c:v>41904</c:v>
                </c:pt>
                <c:pt idx="1232">
                  <c:v>41905</c:v>
                </c:pt>
                <c:pt idx="1233">
                  <c:v>41906</c:v>
                </c:pt>
                <c:pt idx="1234">
                  <c:v>41907</c:v>
                </c:pt>
                <c:pt idx="1235">
                  <c:v>41908</c:v>
                </c:pt>
                <c:pt idx="1236">
                  <c:v>41911</c:v>
                </c:pt>
                <c:pt idx="1237">
                  <c:v>41912</c:v>
                </c:pt>
                <c:pt idx="1238">
                  <c:v>41913</c:v>
                </c:pt>
                <c:pt idx="1239">
                  <c:v>41914</c:v>
                </c:pt>
                <c:pt idx="1240">
                  <c:v>41915</c:v>
                </c:pt>
                <c:pt idx="1241">
                  <c:v>41918</c:v>
                </c:pt>
                <c:pt idx="1242">
                  <c:v>41919</c:v>
                </c:pt>
                <c:pt idx="1243">
                  <c:v>41920</c:v>
                </c:pt>
                <c:pt idx="1244">
                  <c:v>41921</c:v>
                </c:pt>
                <c:pt idx="1245">
                  <c:v>41922</c:v>
                </c:pt>
                <c:pt idx="1246">
                  <c:v>41925</c:v>
                </c:pt>
                <c:pt idx="1247">
                  <c:v>41926</c:v>
                </c:pt>
                <c:pt idx="1248">
                  <c:v>41927</c:v>
                </c:pt>
                <c:pt idx="1249">
                  <c:v>41928</c:v>
                </c:pt>
                <c:pt idx="1250">
                  <c:v>41929</c:v>
                </c:pt>
                <c:pt idx="1251">
                  <c:v>41932</c:v>
                </c:pt>
                <c:pt idx="1252">
                  <c:v>41933</c:v>
                </c:pt>
                <c:pt idx="1253">
                  <c:v>41934</c:v>
                </c:pt>
                <c:pt idx="1254">
                  <c:v>41935</c:v>
                </c:pt>
                <c:pt idx="1255">
                  <c:v>41936</c:v>
                </c:pt>
                <c:pt idx="1256">
                  <c:v>41939</c:v>
                </c:pt>
                <c:pt idx="1257">
                  <c:v>41940</c:v>
                </c:pt>
                <c:pt idx="1258">
                  <c:v>41941</c:v>
                </c:pt>
                <c:pt idx="1259">
                  <c:v>41942</c:v>
                </c:pt>
                <c:pt idx="1260">
                  <c:v>41943</c:v>
                </c:pt>
                <c:pt idx="1261">
                  <c:v>41946</c:v>
                </c:pt>
                <c:pt idx="1262">
                  <c:v>41947</c:v>
                </c:pt>
                <c:pt idx="1263">
                  <c:v>41948</c:v>
                </c:pt>
                <c:pt idx="1264">
                  <c:v>41949</c:v>
                </c:pt>
                <c:pt idx="1265">
                  <c:v>41950</c:v>
                </c:pt>
                <c:pt idx="1266">
                  <c:v>41953</c:v>
                </c:pt>
                <c:pt idx="1267">
                  <c:v>41954</c:v>
                </c:pt>
                <c:pt idx="1268">
                  <c:v>41955</c:v>
                </c:pt>
                <c:pt idx="1269">
                  <c:v>41956</c:v>
                </c:pt>
                <c:pt idx="1270">
                  <c:v>41957</c:v>
                </c:pt>
                <c:pt idx="1271">
                  <c:v>41960</c:v>
                </c:pt>
                <c:pt idx="1272">
                  <c:v>41961</c:v>
                </c:pt>
                <c:pt idx="1273">
                  <c:v>41962</c:v>
                </c:pt>
                <c:pt idx="1274">
                  <c:v>41963</c:v>
                </c:pt>
                <c:pt idx="1275">
                  <c:v>41964</c:v>
                </c:pt>
                <c:pt idx="1276">
                  <c:v>41967</c:v>
                </c:pt>
                <c:pt idx="1277">
                  <c:v>41968</c:v>
                </c:pt>
                <c:pt idx="1278">
                  <c:v>41969</c:v>
                </c:pt>
                <c:pt idx="1279">
                  <c:v>41970</c:v>
                </c:pt>
                <c:pt idx="1280">
                  <c:v>41971</c:v>
                </c:pt>
                <c:pt idx="1281">
                  <c:v>41974</c:v>
                </c:pt>
                <c:pt idx="1282">
                  <c:v>41975</c:v>
                </c:pt>
                <c:pt idx="1283">
                  <c:v>41976</c:v>
                </c:pt>
                <c:pt idx="1284">
                  <c:v>41977</c:v>
                </c:pt>
                <c:pt idx="1285">
                  <c:v>41978</c:v>
                </c:pt>
                <c:pt idx="1286">
                  <c:v>41981</c:v>
                </c:pt>
                <c:pt idx="1287">
                  <c:v>41982</c:v>
                </c:pt>
                <c:pt idx="1288">
                  <c:v>41983</c:v>
                </c:pt>
                <c:pt idx="1289">
                  <c:v>41984</c:v>
                </c:pt>
                <c:pt idx="1290">
                  <c:v>41985</c:v>
                </c:pt>
                <c:pt idx="1291">
                  <c:v>41988</c:v>
                </c:pt>
                <c:pt idx="1292">
                  <c:v>41989</c:v>
                </c:pt>
                <c:pt idx="1293">
                  <c:v>41990</c:v>
                </c:pt>
                <c:pt idx="1294">
                  <c:v>41991</c:v>
                </c:pt>
                <c:pt idx="1295">
                  <c:v>41992</c:v>
                </c:pt>
                <c:pt idx="1296">
                  <c:v>41995</c:v>
                </c:pt>
                <c:pt idx="1297">
                  <c:v>41996</c:v>
                </c:pt>
                <c:pt idx="1298">
                  <c:v>41997</c:v>
                </c:pt>
                <c:pt idx="1299">
                  <c:v>41998</c:v>
                </c:pt>
                <c:pt idx="1300">
                  <c:v>41999</c:v>
                </c:pt>
                <c:pt idx="1301">
                  <c:v>42002</c:v>
                </c:pt>
                <c:pt idx="1302">
                  <c:v>42003</c:v>
                </c:pt>
                <c:pt idx="1303">
                  <c:v>42004</c:v>
                </c:pt>
                <c:pt idx="1304">
                  <c:v>42005</c:v>
                </c:pt>
                <c:pt idx="1305">
                  <c:v>42006</c:v>
                </c:pt>
                <c:pt idx="1306">
                  <c:v>42009</c:v>
                </c:pt>
                <c:pt idx="1307">
                  <c:v>42010</c:v>
                </c:pt>
                <c:pt idx="1308">
                  <c:v>42011</c:v>
                </c:pt>
                <c:pt idx="1309">
                  <c:v>42012</c:v>
                </c:pt>
                <c:pt idx="1310">
                  <c:v>42013</c:v>
                </c:pt>
                <c:pt idx="1311">
                  <c:v>42016</c:v>
                </c:pt>
                <c:pt idx="1312">
                  <c:v>42017</c:v>
                </c:pt>
                <c:pt idx="1313">
                  <c:v>42018</c:v>
                </c:pt>
                <c:pt idx="1314">
                  <c:v>42019</c:v>
                </c:pt>
                <c:pt idx="1315">
                  <c:v>42020</c:v>
                </c:pt>
                <c:pt idx="1316">
                  <c:v>42023</c:v>
                </c:pt>
                <c:pt idx="1317">
                  <c:v>42024</c:v>
                </c:pt>
                <c:pt idx="1318">
                  <c:v>42025</c:v>
                </c:pt>
                <c:pt idx="1319">
                  <c:v>42026</c:v>
                </c:pt>
                <c:pt idx="1320">
                  <c:v>42027</c:v>
                </c:pt>
                <c:pt idx="1321">
                  <c:v>42030</c:v>
                </c:pt>
                <c:pt idx="1322">
                  <c:v>42031</c:v>
                </c:pt>
                <c:pt idx="1323">
                  <c:v>42032</c:v>
                </c:pt>
                <c:pt idx="1324">
                  <c:v>42033</c:v>
                </c:pt>
                <c:pt idx="1325">
                  <c:v>42034</c:v>
                </c:pt>
                <c:pt idx="1326">
                  <c:v>42037</c:v>
                </c:pt>
                <c:pt idx="1327">
                  <c:v>42038</c:v>
                </c:pt>
                <c:pt idx="1328">
                  <c:v>42039</c:v>
                </c:pt>
                <c:pt idx="1329">
                  <c:v>42040</c:v>
                </c:pt>
                <c:pt idx="1330">
                  <c:v>42041</c:v>
                </c:pt>
                <c:pt idx="1331">
                  <c:v>42044</c:v>
                </c:pt>
                <c:pt idx="1332">
                  <c:v>42045</c:v>
                </c:pt>
                <c:pt idx="1333">
                  <c:v>42046</c:v>
                </c:pt>
                <c:pt idx="1334">
                  <c:v>42047</c:v>
                </c:pt>
                <c:pt idx="1335">
                  <c:v>42048</c:v>
                </c:pt>
                <c:pt idx="1336">
                  <c:v>42051</c:v>
                </c:pt>
                <c:pt idx="1337">
                  <c:v>42052</c:v>
                </c:pt>
                <c:pt idx="1338">
                  <c:v>42053</c:v>
                </c:pt>
                <c:pt idx="1339">
                  <c:v>42054</c:v>
                </c:pt>
                <c:pt idx="1340">
                  <c:v>42055</c:v>
                </c:pt>
                <c:pt idx="1341">
                  <c:v>42058</c:v>
                </c:pt>
                <c:pt idx="1342">
                  <c:v>42059</c:v>
                </c:pt>
                <c:pt idx="1343">
                  <c:v>42060</c:v>
                </c:pt>
                <c:pt idx="1344">
                  <c:v>42061</c:v>
                </c:pt>
                <c:pt idx="1345">
                  <c:v>42062</c:v>
                </c:pt>
                <c:pt idx="1346">
                  <c:v>42065</c:v>
                </c:pt>
                <c:pt idx="1347">
                  <c:v>42066</c:v>
                </c:pt>
                <c:pt idx="1348">
                  <c:v>42067</c:v>
                </c:pt>
                <c:pt idx="1349">
                  <c:v>42068</c:v>
                </c:pt>
                <c:pt idx="1350">
                  <c:v>42069</c:v>
                </c:pt>
                <c:pt idx="1351">
                  <c:v>42072</c:v>
                </c:pt>
                <c:pt idx="1352">
                  <c:v>42073</c:v>
                </c:pt>
                <c:pt idx="1353">
                  <c:v>42074</c:v>
                </c:pt>
                <c:pt idx="1354">
                  <c:v>42075</c:v>
                </c:pt>
                <c:pt idx="1355">
                  <c:v>42076</c:v>
                </c:pt>
                <c:pt idx="1356">
                  <c:v>42079</c:v>
                </c:pt>
                <c:pt idx="1357">
                  <c:v>42080</c:v>
                </c:pt>
                <c:pt idx="1358">
                  <c:v>42081</c:v>
                </c:pt>
                <c:pt idx="1359">
                  <c:v>42082</c:v>
                </c:pt>
                <c:pt idx="1360">
                  <c:v>42083</c:v>
                </c:pt>
                <c:pt idx="1361">
                  <c:v>42086</c:v>
                </c:pt>
                <c:pt idx="1362">
                  <c:v>42087</c:v>
                </c:pt>
                <c:pt idx="1363">
                  <c:v>42088</c:v>
                </c:pt>
                <c:pt idx="1364">
                  <c:v>42089</c:v>
                </c:pt>
                <c:pt idx="1365">
                  <c:v>42090</c:v>
                </c:pt>
                <c:pt idx="1366">
                  <c:v>42093</c:v>
                </c:pt>
                <c:pt idx="1367">
                  <c:v>42094</c:v>
                </c:pt>
                <c:pt idx="1368">
                  <c:v>42095</c:v>
                </c:pt>
                <c:pt idx="1369">
                  <c:v>42096</c:v>
                </c:pt>
                <c:pt idx="1370">
                  <c:v>42097</c:v>
                </c:pt>
                <c:pt idx="1371">
                  <c:v>42100</c:v>
                </c:pt>
                <c:pt idx="1372">
                  <c:v>42101</c:v>
                </c:pt>
                <c:pt idx="1373">
                  <c:v>42102</c:v>
                </c:pt>
                <c:pt idx="1374">
                  <c:v>42103</c:v>
                </c:pt>
                <c:pt idx="1375">
                  <c:v>42104</c:v>
                </c:pt>
                <c:pt idx="1376">
                  <c:v>42107</c:v>
                </c:pt>
                <c:pt idx="1377">
                  <c:v>42108</c:v>
                </c:pt>
                <c:pt idx="1378">
                  <c:v>42109</c:v>
                </c:pt>
                <c:pt idx="1379">
                  <c:v>42110</c:v>
                </c:pt>
                <c:pt idx="1380">
                  <c:v>42111</c:v>
                </c:pt>
                <c:pt idx="1381">
                  <c:v>42114</c:v>
                </c:pt>
                <c:pt idx="1382">
                  <c:v>42115</c:v>
                </c:pt>
                <c:pt idx="1383">
                  <c:v>42116</c:v>
                </c:pt>
                <c:pt idx="1384">
                  <c:v>42117</c:v>
                </c:pt>
                <c:pt idx="1385">
                  <c:v>42118</c:v>
                </c:pt>
                <c:pt idx="1386">
                  <c:v>42121</c:v>
                </c:pt>
                <c:pt idx="1387">
                  <c:v>42122</c:v>
                </c:pt>
                <c:pt idx="1388">
                  <c:v>42123</c:v>
                </c:pt>
                <c:pt idx="1389">
                  <c:v>42124</c:v>
                </c:pt>
                <c:pt idx="1390">
                  <c:v>42125</c:v>
                </c:pt>
                <c:pt idx="1391">
                  <c:v>42128</c:v>
                </c:pt>
                <c:pt idx="1392">
                  <c:v>42129</c:v>
                </c:pt>
                <c:pt idx="1393">
                  <c:v>42130</c:v>
                </c:pt>
                <c:pt idx="1394">
                  <c:v>42131</c:v>
                </c:pt>
                <c:pt idx="1395">
                  <c:v>42132</c:v>
                </c:pt>
                <c:pt idx="1396">
                  <c:v>42135</c:v>
                </c:pt>
                <c:pt idx="1397">
                  <c:v>42136</c:v>
                </c:pt>
                <c:pt idx="1398">
                  <c:v>42137</c:v>
                </c:pt>
                <c:pt idx="1399">
                  <c:v>42138</c:v>
                </c:pt>
                <c:pt idx="1400">
                  <c:v>42139</c:v>
                </c:pt>
                <c:pt idx="1401">
                  <c:v>42142</c:v>
                </c:pt>
                <c:pt idx="1402">
                  <c:v>42143</c:v>
                </c:pt>
                <c:pt idx="1403">
                  <c:v>42144</c:v>
                </c:pt>
                <c:pt idx="1404">
                  <c:v>42145</c:v>
                </c:pt>
                <c:pt idx="1405">
                  <c:v>42146</c:v>
                </c:pt>
                <c:pt idx="1406">
                  <c:v>42149</c:v>
                </c:pt>
                <c:pt idx="1407">
                  <c:v>42150</c:v>
                </c:pt>
                <c:pt idx="1408">
                  <c:v>42151</c:v>
                </c:pt>
                <c:pt idx="1409">
                  <c:v>42152</c:v>
                </c:pt>
                <c:pt idx="1410">
                  <c:v>42153</c:v>
                </c:pt>
                <c:pt idx="1411">
                  <c:v>42156</c:v>
                </c:pt>
                <c:pt idx="1412">
                  <c:v>42157</c:v>
                </c:pt>
                <c:pt idx="1413">
                  <c:v>42158</c:v>
                </c:pt>
                <c:pt idx="1414">
                  <c:v>42159</c:v>
                </c:pt>
                <c:pt idx="1415">
                  <c:v>42160</c:v>
                </c:pt>
                <c:pt idx="1416">
                  <c:v>42163</c:v>
                </c:pt>
                <c:pt idx="1417">
                  <c:v>42164</c:v>
                </c:pt>
                <c:pt idx="1418">
                  <c:v>42165</c:v>
                </c:pt>
                <c:pt idx="1419">
                  <c:v>42166</c:v>
                </c:pt>
                <c:pt idx="1420">
                  <c:v>42167</c:v>
                </c:pt>
                <c:pt idx="1421">
                  <c:v>42170</c:v>
                </c:pt>
                <c:pt idx="1422">
                  <c:v>42171</c:v>
                </c:pt>
                <c:pt idx="1423">
                  <c:v>42172</c:v>
                </c:pt>
                <c:pt idx="1424">
                  <c:v>42173</c:v>
                </c:pt>
                <c:pt idx="1425">
                  <c:v>42174</c:v>
                </c:pt>
                <c:pt idx="1426">
                  <c:v>42177</c:v>
                </c:pt>
                <c:pt idx="1427">
                  <c:v>42178</c:v>
                </c:pt>
                <c:pt idx="1428">
                  <c:v>42179</c:v>
                </c:pt>
                <c:pt idx="1429">
                  <c:v>42180</c:v>
                </c:pt>
                <c:pt idx="1430">
                  <c:v>42181</c:v>
                </c:pt>
                <c:pt idx="1431">
                  <c:v>42184</c:v>
                </c:pt>
                <c:pt idx="1432">
                  <c:v>42185</c:v>
                </c:pt>
                <c:pt idx="1433">
                  <c:v>42186</c:v>
                </c:pt>
                <c:pt idx="1434">
                  <c:v>42187</c:v>
                </c:pt>
                <c:pt idx="1435">
                  <c:v>42188</c:v>
                </c:pt>
                <c:pt idx="1436">
                  <c:v>42191</c:v>
                </c:pt>
                <c:pt idx="1437">
                  <c:v>42192</c:v>
                </c:pt>
                <c:pt idx="1438">
                  <c:v>42193</c:v>
                </c:pt>
                <c:pt idx="1439">
                  <c:v>42194</c:v>
                </c:pt>
                <c:pt idx="1440">
                  <c:v>42195</c:v>
                </c:pt>
                <c:pt idx="1441">
                  <c:v>42198</c:v>
                </c:pt>
                <c:pt idx="1442">
                  <c:v>42199</c:v>
                </c:pt>
                <c:pt idx="1443">
                  <c:v>42200</c:v>
                </c:pt>
                <c:pt idx="1444">
                  <c:v>42201</c:v>
                </c:pt>
                <c:pt idx="1445">
                  <c:v>42202</c:v>
                </c:pt>
                <c:pt idx="1446">
                  <c:v>42205</c:v>
                </c:pt>
                <c:pt idx="1447">
                  <c:v>42206</c:v>
                </c:pt>
                <c:pt idx="1448">
                  <c:v>42207</c:v>
                </c:pt>
                <c:pt idx="1449">
                  <c:v>42208</c:v>
                </c:pt>
                <c:pt idx="1450">
                  <c:v>42209</c:v>
                </c:pt>
                <c:pt idx="1451">
                  <c:v>42212</c:v>
                </c:pt>
                <c:pt idx="1452">
                  <c:v>42213</c:v>
                </c:pt>
                <c:pt idx="1453">
                  <c:v>42214</c:v>
                </c:pt>
                <c:pt idx="1454">
                  <c:v>42215</c:v>
                </c:pt>
                <c:pt idx="1455">
                  <c:v>42216</c:v>
                </c:pt>
                <c:pt idx="1456">
                  <c:v>42219</c:v>
                </c:pt>
                <c:pt idx="1457">
                  <c:v>42220</c:v>
                </c:pt>
                <c:pt idx="1458">
                  <c:v>42221</c:v>
                </c:pt>
                <c:pt idx="1459">
                  <c:v>42222</c:v>
                </c:pt>
                <c:pt idx="1460">
                  <c:v>42223</c:v>
                </c:pt>
                <c:pt idx="1461">
                  <c:v>42226</c:v>
                </c:pt>
                <c:pt idx="1462">
                  <c:v>42227</c:v>
                </c:pt>
                <c:pt idx="1463">
                  <c:v>42228</c:v>
                </c:pt>
                <c:pt idx="1464">
                  <c:v>42229</c:v>
                </c:pt>
                <c:pt idx="1465">
                  <c:v>42230</c:v>
                </c:pt>
                <c:pt idx="1466">
                  <c:v>42233</c:v>
                </c:pt>
                <c:pt idx="1467">
                  <c:v>42234</c:v>
                </c:pt>
                <c:pt idx="1468">
                  <c:v>42235</c:v>
                </c:pt>
                <c:pt idx="1469">
                  <c:v>42236</c:v>
                </c:pt>
                <c:pt idx="1470">
                  <c:v>42237</c:v>
                </c:pt>
                <c:pt idx="1471">
                  <c:v>42240</c:v>
                </c:pt>
                <c:pt idx="1472">
                  <c:v>42241</c:v>
                </c:pt>
                <c:pt idx="1473">
                  <c:v>42242</c:v>
                </c:pt>
                <c:pt idx="1474">
                  <c:v>42243</c:v>
                </c:pt>
                <c:pt idx="1475">
                  <c:v>42244</c:v>
                </c:pt>
                <c:pt idx="1476">
                  <c:v>42247</c:v>
                </c:pt>
                <c:pt idx="1477">
                  <c:v>42248</c:v>
                </c:pt>
                <c:pt idx="1478">
                  <c:v>42249</c:v>
                </c:pt>
                <c:pt idx="1479">
                  <c:v>42250</c:v>
                </c:pt>
                <c:pt idx="1480">
                  <c:v>42251</c:v>
                </c:pt>
                <c:pt idx="1481">
                  <c:v>42254</c:v>
                </c:pt>
                <c:pt idx="1482">
                  <c:v>42255</c:v>
                </c:pt>
                <c:pt idx="1483">
                  <c:v>42256</c:v>
                </c:pt>
                <c:pt idx="1484">
                  <c:v>42257</c:v>
                </c:pt>
                <c:pt idx="1485">
                  <c:v>42258</c:v>
                </c:pt>
                <c:pt idx="1486">
                  <c:v>42261</c:v>
                </c:pt>
                <c:pt idx="1487">
                  <c:v>42262</c:v>
                </c:pt>
                <c:pt idx="1488">
                  <c:v>42263</c:v>
                </c:pt>
                <c:pt idx="1489">
                  <c:v>42264</c:v>
                </c:pt>
                <c:pt idx="1490">
                  <c:v>42265</c:v>
                </c:pt>
                <c:pt idx="1491">
                  <c:v>42268</c:v>
                </c:pt>
                <c:pt idx="1492">
                  <c:v>42269</c:v>
                </c:pt>
                <c:pt idx="1493">
                  <c:v>42270</c:v>
                </c:pt>
                <c:pt idx="1494">
                  <c:v>42271</c:v>
                </c:pt>
                <c:pt idx="1495">
                  <c:v>42272</c:v>
                </c:pt>
                <c:pt idx="1496">
                  <c:v>42275</c:v>
                </c:pt>
                <c:pt idx="1497">
                  <c:v>42276</c:v>
                </c:pt>
                <c:pt idx="1498">
                  <c:v>42277</c:v>
                </c:pt>
                <c:pt idx="1499">
                  <c:v>42278</c:v>
                </c:pt>
                <c:pt idx="1500">
                  <c:v>42279</c:v>
                </c:pt>
                <c:pt idx="1501">
                  <c:v>42282</c:v>
                </c:pt>
                <c:pt idx="1502">
                  <c:v>42283</c:v>
                </c:pt>
                <c:pt idx="1503">
                  <c:v>42284</c:v>
                </c:pt>
                <c:pt idx="1504">
                  <c:v>42285</c:v>
                </c:pt>
                <c:pt idx="1505">
                  <c:v>42286</c:v>
                </c:pt>
                <c:pt idx="1506">
                  <c:v>42289</c:v>
                </c:pt>
                <c:pt idx="1507">
                  <c:v>42290</c:v>
                </c:pt>
                <c:pt idx="1508">
                  <c:v>42291</c:v>
                </c:pt>
                <c:pt idx="1509">
                  <c:v>42292</c:v>
                </c:pt>
                <c:pt idx="1510">
                  <c:v>42293</c:v>
                </c:pt>
                <c:pt idx="1511">
                  <c:v>42296</c:v>
                </c:pt>
                <c:pt idx="1512">
                  <c:v>42297</c:v>
                </c:pt>
                <c:pt idx="1513">
                  <c:v>42298</c:v>
                </c:pt>
                <c:pt idx="1514">
                  <c:v>42299</c:v>
                </c:pt>
                <c:pt idx="1515">
                  <c:v>42300</c:v>
                </c:pt>
                <c:pt idx="1516">
                  <c:v>42303</c:v>
                </c:pt>
                <c:pt idx="1517">
                  <c:v>42304</c:v>
                </c:pt>
                <c:pt idx="1518">
                  <c:v>42305</c:v>
                </c:pt>
                <c:pt idx="1519">
                  <c:v>42306</c:v>
                </c:pt>
                <c:pt idx="1520">
                  <c:v>42307</c:v>
                </c:pt>
                <c:pt idx="1521">
                  <c:v>42310</c:v>
                </c:pt>
                <c:pt idx="1522">
                  <c:v>42311</c:v>
                </c:pt>
                <c:pt idx="1523">
                  <c:v>42312</c:v>
                </c:pt>
                <c:pt idx="1524">
                  <c:v>42313</c:v>
                </c:pt>
                <c:pt idx="1525">
                  <c:v>42314</c:v>
                </c:pt>
                <c:pt idx="1526">
                  <c:v>42317</c:v>
                </c:pt>
                <c:pt idx="1527">
                  <c:v>42318</c:v>
                </c:pt>
                <c:pt idx="1528">
                  <c:v>42319</c:v>
                </c:pt>
                <c:pt idx="1529">
                  <c:v>42320</c:v>
                </c:pt>
                <c:pt idx="1530">
                  <c:v>42321</c:v>
                </c:pt>
                <c:pt idx="1531">
                  <c:v>42324</c:v>
                </c:pt>
                <c:pt idx="1532">
                  <c:v>42325</c:v>
                </c:pt>
                <c:pt idx="1533">
                  <c:v>42326</c:v>
                </c:pt>
                <c:pt idx="1534">
                  <c:v>42327</c:v>
                </c:pt>
                <c:pt idx="1535">
                  <c:v>42328</c:v>
                </c:pt>
                <c:pt idx="1536">
                  <c:v>42331</c:v>
                </c:pt>
                <c:pt idx="1537">
                  <c:v>42332</c:v>
                </c:pt>
                <c:pt idx="1538">
                  <c:v>42333</c:v>
                </c:pt>
                <c:pt idx="1539">
                  <c:v>42334</c:v>
                </c:pt>
                <c:pt idx="1540">
                  <c:v>42335</c:v>
                </c:pt>
                <c:pt idx="1541">
                  <c:v>42338</c:v>
                </c:pt>
                <c:pt idx="1542">
                  <c:v>42339</c:v>
                </c:pt>
                <c:pt idx="1543">
                  <c:v>42340</c:v>
                </c:pt>
                <c:pt idx="1544">
                  <c:v>42341</c:v>
                </c:pt>
                <c:pt idx="1545">
                  <c:v>42342</c:v>
                </c:pt>
                <c:pt idx="1546">
                  <c:v>42345</c:v>
                </c:pt>
                <c:pt idx="1547">
                  <c:v>42346</c:v>
                </c:pt>
                <c:pt idx="1548">
                  <c:v>42347</c:v>
                </c:pt>
                <c:pt idx="1549">
                  <c:v>42348</c:v>
                </c:pt>
                <c:pt idx="1550">
                  <c:v>42349</c:v>
                </c:pt>
                <c:pt idx="1551">
                  <c:v>42352</c:v>
                </c:pt>
                <c:pt idx="1552">
                  <c:v>42353</c:v>
                </c:pt>
                <c:pt idx="1553">
                  <c:v>42354</c:v>
                </c:pt>
                <c:pt idx="1554">
                  <c:v>42355</c:v>
                </c:pt>
                <c:pt idx="1555">
                  <c:v>42356</c:v>
                </c:pt>
                <c:pt idx="1556">
                  <c:v>42359</c:v>
                </c:pt>
                <c:pt idx="1557">
                  <c:v>42360</c:v>
                </c:pt>
                <c:pt idx="1558">
                  <c:v>42361</c:v>
                </c:pt>
                <c:pt idx="1559">
                  <c:v>42362</c:v>
                </c:pt>
                <c:pt idx="1560">
                  <c:v>42363</c:v>
                </c:pt>
                <c:pt idx="1561">
                  <c:v>42366</c:v>
                </c:pt>
                <c:pt idx="1562">
                  <c:v>42367</c:v>
                </c:pt>
                <c:pt idx="1563">
                  <c:v>42368</c:v>
                </c:pt>
                <c:pt idx="1564">
                  <c:v>42369</c:v>
                </c:pt>
                <c:pt idx="1565">
                  <c:v>42370</c:v>
                </c:pt>
                <c:pt idx="1566">
                  <c:v>42373</c:v>
                </c:pt>
                <c:pt idx="1567">
                  <c:v>42374</c:v>
                </c:pt>
                <c:pt idx="1568">
                  <c:v>42375</c:v>
                </c:pt>
                <c:pt idx="1569">
                  <c:v>42376</c:v>
                </c:pt>
                <c:pt idx="1570">
                  <c:v>42377</c:v>
                </c:pt>
                <c:pt idx="1571">
                  <c:v>42380</c:v>
                </c:pt>
                <c:pt idx="1572">
                  <c:v>42381</c:v>
                </c:pt>
                <c:pt idx="1573">
                  <c:v>42382</c:v>
                </c:pt>
                <c:pt idx="1574">
                  <c:v>42383</c:v>
                </c:pt>
                <c:pt idx="1575">
                  <c:v>42384</c:v>
                </c:pt>
                <c:pt idx="1576">
                  <c:v>42387</c:v>
                </c:pt>
                <c:pt idx="1577">
                  <c:v>42388</c:v>
                </c:pt>
                <c:pt idx="1578">
                  <c:v>42389</c:v>
                </c:pt>
                <c:pt idx="1579">
                  <c:v>42390</c:v>
                </c:pt>
                <c:pt idx="1580">
                  <c:v>42391</c:v>
                </c:pt>
                <c:pt idx="1581">
                  <c:v>42394</c:v>
                </c:pt>
                <c:pt idx="1582">
                  <c:v>42395</c:v>
                </c:pt>
                <c:pt idx="1583">
                  <c:v>42396</c:v>
                </c:pt>
                <c:pt idx="1584">
                  <c:v>42397</c:v>
                </c:pt>
                <c:pt idx="1585">
                  <c:v>42398</c:v>
                </c:pt>
                <c:pt idx="1586">
                  <c:v>42401</c:v>
                </c:pt>
                <c:pt idx="1587">
                  <c:v>42402</c:v>
                </c:pt>
                <c:pt idx="1588">
                  <c:v>42403</c:v>
                </c:pt>
                <c:pt idx="1589">
                  <c:v>42404</c:v>
                </c:pt>
                <c:pt idx="1590">
                  <c:v>42405</c:v>
                </c:pt>
                <c:pt idx="1591">
                  <c:v>42408</c:v>
                </c:pt>
                <c:pt idx="1592">
                  <c:v>42409</c:v>
                </c:pt>
                <c:pt idx="1593">
                  <c:v>42410</c:v>
                </c:pt>
                <c:pt idx="1594">
                  <c:v>42411</c:v>
                </c:pt>
                <c:pt idx="1595">
                  <c:v>42412</c:v>
                </c:pt>
                <c:pt idx="1596">
                  <c:v>42415</c:v>
                </c:pt>
                <c:pt idx="1597">
                  <c:v>42416</c:v>
                </c:pt>
                <c:pt idx="1598">
                  <c:v>42417</c:v>
                </c:pt>
                <c:pt idx="1599">
                  <c:v>42418</c:v>
                </c:pt>
                <c:pt idx="1600">
                  <c:v>42419</c:v>
                </c:pt>
                <c:pt idx="1601">
                  <c:v>42422</c:v>
                </c:pt>
                <c:pt idx="1602">
                  <c:v>42423</c:v>
                </c:pt>
                <c:pt idx="1603">
                  <c:v>42424</c:v>
                </c:pt>
                <c:pt idx="1604">
                  <c:v>42425</c:v>
                </c:pt>
                <c:pt idx="1605">
                  <c:v>42426</c:v>
                </c:pt>
                <c:pt idx="1606">
                  <c:v>42429</c:v>
                </c:pt>
                <c:pt idx="1607">
                  <c:v>42430</c:v>
                </c:pt>
                <c:pt idx="1608">
                  <c:v>42431</c:v>
                </c:pt>
                <c:pt idx="1609">
                  <c:v>42432</c:v>
                </c:pt>
                <c:pt idx="1610">
                  <c:v>42433</c:v>
                </c:pt>
                <c:pt idx="1611">
                  <c:v>42436</c:v>
                </c:pt>
                <c:pt idx="1612">
                  <c:v>42437</c:v>
                </c:pt>
                <c:pt idx="1613">
                  <c:v>42438</c:v>
                </c:pt>
                <c:pt idx="1614">
                  <c:v>42439</c:v>
                </c:pt>
                <c:pt idx="1615">
                  <c:v>42440</c:v>
                </c:pt>
                <c:pt idx="1616">
                  <c:v>42443</c:v>
                </c:pt>
                <c:pt idx="1617">
                  <c:v>42444</c:v>
                </c:pt>
                <c:pt idx="1618">
                  <c:v>42445</c:v>
                </c:pt>
                <c:pt idx="1619">
                  <c:v>42446</c:v>
                </c:pt>
                <c:pt idx="1620">
                  <c:v>42447</c:v>
                </c:pt>
                <c:pt idx="1621">
                  <c:v>42450</c:v>
                </c:pt>
                <c:pt idx="1622">
                  <c:v>42451</c:v>
                </c:pt>
                <c:pt idx="1623">
                  <c:v>42452</c:v>
                </c:pt>
                <c:pt idx="1624">
                  <c:v>42453</c:v>
                </c:pt>
                <c:pt idx="1625">
                  <c:v>42454</c:v>
                </c:pt>
                <c:pt idx="1626">
                  <c:v>42457</c:v>
                </c:pt>
                <c:pt idx="1627">
                  <c:v>42458</c:v>
                </c:pt>
                <c:pt idx="1628">
                  <c:v>42459</c:v>
                </c:pt>
                <c:pt idx="1629">
                  <c:v>42460</c:v>
                </c:pt>
                <c:pt idx="1630">
                  <c:v>42461</c:v>
                </c:pt>
                <c:pt idx="1631">
                  <c:v>42464</c:v>
                </c:pt>
                <c:pt idx="1632">
                  <c:v>42465</c:v>
                </c:pt>
                <c:pt idx="1633">
                  <c:v>42466</c:v>
                </c:pt>
                <c:pt idx="1634">
                  <c:v>42467</c:v>
                </c:pt>
                <c:pt idx="1635">
                  <c:v>42468</c:v>
                </c:pt>
                <c:pt idx="1636">
                  <c:v>42471</c:v>
                </c:pt>
                <c:pt idx="1637">
                  <c:v>42472</c:v>
                </c:pt>
                <c:pt idx="1638">
                  <c:v>42473</c:v>
                </c:pt>
                <c:pt idx="1639">
                  <c:v>42474</c:v>
                </c:pt>
                <c:pt idx="1640">
                  <c:v>42475</c:v>
                </c:pt>
                <c:pt idx="1641">
                  <c:v>42478</c:v>
                </c:pt>
                <c:pt idx="1642">
                  <c:v>42479</c:v>
                </c:pt>
                <c:pt idx="1643">
                  <c:v>42480</c:v>
                </c:pt>
                <c:pt idx="1644">
                  <c:v>42481</c:v>
                </c:pt>
                <c:pt idx="1645">
                  <c:v>42482</c:v>
                </c:pt>
                <c:pt idx="1646">
                  <c:v>42485</c:v>
                </c:pt>
                <c:pt idx="1647">
                  <c:v>42486</c:v>
                </c:pt>
                <c:pt idx="1648">
                  <c:v>42487</c:v>
                </c:pt>
                <c:pt idx="1649">
                  <c:v>42488</c:v>
                </c:pt>
                <c:pt idx="1650">
                  <c:v>42489</c:v>
                </c:pt>
                <c:pt idx="1651">
                  <c:v>42492</c:v>
                </c:pt>
                <c:pt idx="1652">
                  <c:v>42493</c:v>
                </c:pt>
                <c:pt idx="1653">
                  <c:v>42494</c:v>
                </c:pt>
                <c:pt idx="1654">
                  <c:v>42495</c:v>
                </c:pt>
                <c:pt idx="1655">
                  <c:v>42496</c:v>
                </c:pt>
                <c:pt idx="1656">
                  <c:v>42499</c:v>
                </c:pt>
                <c:pt idx="1657">
                  <c:v>42500</c:v>
                </c:pt>
                <c:pt idx="1658">
                  <c:v>42501</c:v>
                </c:pt>
                <c:pt idx="1659">
                  <c:v>42502</c:v>
                </c:pt>
                <c:pt idx="1660">
                  <c:v>42503</c:v>
                </c:pt>
                <c:pt idx="1661">
                  <c:v>42506</c:v>
                </c:pt>
                <c:pt idx="1662">
                  <c:v>42507</c:v>
                </c:pt>
                <c:pt idx="1663">
                  <c:v>42508</c:v>
                </c:pt>
                <c:pt idx="1664">
                  <c:v>42509</c:v>
                </c:pt>
                <c:pt idx="1665">
                  <c:v>42510</c:v>
                </c:pt>
                <c:pt idx="1666">
                  <c:v>42513</c:v>
                </c:pt>
                <c:pt idx="1667">
                  <c:v>42514</c:v>
                </c:pt>
                <c:pt idx="1668">
                  <c:v>42515</c:v>
                </c:pt>
                <c:pt idx="1669">
                  <c:v>42516</c:v>
                </c:pt>
                <c:pt idx="1670">
                  <c:v>42517</c:v>
                </c:pt>
                <c:pt idx="1671">
                  <c:v>42520</c:v>
                </c:pt>
                <c:pt idx="1672">
                  <c:v>42521</c:v>
                </c:pt>
                <c:pt idx="1673">
                  <c:v>42522</c:v>
                </c:pt>
                <c:pt idx="1674">
                  <c:v>42523</c:v>
                </c:pt>
                <c:pt idx="1675">
                  <c:v>42524</c:v>
                </c:pt>
                <c:pt idx="1676">
                  <c:v>42527</c:v>
                </c:pt>
                <c:pt idx="1677">
                  <c:v>42528</c:v>
                </c:pt>
                <c:pt idx="1678">
                  <c:v>42529</c:v>
                </c:pt>
                <c:pt idx="1679">
                  <c:v>42530</c:v>
                </c:pt>
                <c:pt idx="1680">
                  <c:v>42531</c:v>
                </c:pt>
                <c:pt idx="1681">
                  <c:v>42534</c:v>
                </c:pt>
                <c:pt idx="1682">
                  <c:v>42535</c:v>
                </c:pt>
                <c:pt idx="1683">
                  <c:v>42536</c:v>
                </c:pt>
                <c:pt idx="1684">
                  <c:v>42537</c:v>
                </c:pt>
                <c:pt idx="1685">
                  <c:v>42538</c:v>
                </c:pt>
                <c:pt idx="1686">
                  <c:v>42541</c:v>
                </c:pt>
                <c:pt idx="1687">
                  <c:v>42542</c:v>
                </c:pt>
                <c:pt idx="1688">
                  <c:v>42543</c:v>
                </c:pt>
                <c:pt idx="1689">
                  <c:v>42544</c:v>
                </c:pt>
                <c:pt idx="1690">
                  <c:v>42545</c:v>
                </c:pt>
                <c:pt idx="1691">
                  <c:v>42548</c:v>
                </c:pt>
                <c:pt idx="1692">
                  <c:v>42549</c:v>
                </c:pt>
                <c:pt idx="1693">
                  <c:v>42550</c:v>
                </c:pt>
                <c:pt idx="1694">
                  <c:v>42551</c:v>
                </c:pt>
                <c:pt idx="1695">
                  <c:v>42552</c:v>
                </c:pt>
                <c:pt idx="1696">
                  <c:v>42555</c:v>
                </c:pt>
                <c:pt idx="1697">
                  <c:v>42556</c:v>
                </c:pt>
                <c:pt idx="1698">
                  <c:v>42557</c:v>
                </c:pt>
                <c:pt idx="1699">
                  <c:v>42558</c:v>
                </c:pt>
                <c:pt idx="1700">
                  <c:v>42559</c:v>
                </c:pt>
                <c:pt idx="1701">
                  <c:v>42562</c:v>
                </c:pt>
                <c:pt idx="1702">
                  <c:v>42563</c:v>
                </c:pt>
                <c:pt idx="1703">
                  <c:v>42564</c:v>
                </c:pt>
                <c:pt idx="1704">
                  <c:v>42565</c:v>
                </c:pt>
                <c:pt idx="1705">
                  <c:v>42566</c:v>
                </c:pt>
                <c:pt idx="1706">
                  <c:v>42569</c:v>
                </c:pt>
                <c:pt idx="1707">
                  <c:v>42570</c:v>
                </c:pt>
                <c:pt idx="1708">
                  <c:v>42571</c:v>
                </c:pt>
                <c:pt idx="1709">
                  <c:v>42572</c:v>
                </c:pt>
                <c:pt idx="1710">
                  <c:v>42573</c:v>
                </c:pt>
                <c:pt idx="1711">
                  <c:v>42576</c:v>
                </c:pt>
                <c:pt idx="1712">
                  <c:v>42577</c:v>
                </c:pt>
                <c:pt idx="1713">
                  <c:v>42578</c:v>
                </c:pt>
                <c:pt idx="1714">
                  <c:v>42579</c:v>
                </c:pt>
                <c:pt idx="1715">
                  <c:v>42580</c:v>
                </c:pt>
                <c:pt idx="1716">
                  <c:v>42583</c:v>
                </c:pt>
                <c:pt idx="1717">
                  <c:v>42584</c:v>
                </c:pt>
                <c:pt idx="1718">
                  <c:v>42585</c:v>
                </c:pt>
                <c:pt idx="1719">
                  <c:v>42586</c:v>
                </c:pt>
                <c:pt idx="1720">
                  <c:v>42587</c:v>
                </c:pt>
                <c:pt idx="1721">
                  <c:v>42590</c:v>
                </c:pt>
                <c:pt idx="1722">
                  <c:v>42591</c:v>
                </c:pt>
                <c:pt idx="1723">
                  <c:v>42592</c:v>
                </c:pt>
                <c:pt idx="1724">
                  <c:v>42593</c:v>
                </c:pt>
                <c:pt idx="1725">
                  <c:v>42594</c:v>
                </c:pt>
                <c:pt idx="1726">
                  <c:v>42597</c:v>
                </c:pt>
                <c:pt idx="1727">
                  <c:v>42598</c:v>
                </c:pt>
                <c:pt idx="1728">
                  <c:v>42599</c:v>
                </c:pt>
                <c:pt idx="1729">
                  <c:v>42600</c:v>
                </c:pt>
                <c:pt idx="1730">
                  <c:v>42601</c:v>
                </c:pt>
                <c:pt idx="1731">
                  <c:v>42604</c:v>
                </c:pt>
                <c:pt idx="1732">
                  <c:v>42605</c:v>
                </c:pt>
                <c:pt idx="1733">
                  <c:v>42606</c:v>
                </c:pt>
                <c:pt idx="1734">
                  <c:v>42607</c:v>
                </c:pt>
                <c:pt idx="1735">
                  <c:v>42608</c:v>
                </c:pt>
                <c:pt idx="1736">
                  <c:v>42611</c:v>
                </c:pt>
                <c:pt idx="1737">
                  <c:v>42612</c:v>
                </c:pt>
                <c:pt idx="1738">
                  <c:v>42613</c:v>
                </c:pt>
                <c:pt idx="1739">
                  <c:v>42614</c:v>
                </c:pt>
                <c:pt idx="1740">
                  <c:v>42615</c:v>
                </c:pt>
                <c:pt idx="1741">
                  <c:v>42618</c:v>
                </c:pt>
                <c:pt idx="1742">
                  <c:v>42619</c:v>
                </c:pt>
                <c:pt idx="1743">
                  <c:v>42620</c:v>
                </c:pt>
                <c:pt idx="1744">
                  <c:v>42621</c:v>
                </c:pt>
                <c:pt idx="1745">
                  <c:v>42622</c:v>
                </c:pt>
                <c:pt idx="1746">
                  <c:v>42625</c:v>
                </c:pt>
                <c:pt idx="1747">
                  <c:v>42626</c:v>
                </c:pt>
                <c:pt idx="1748">
                  <c:v>42627</c:v>
                </c:pt>
                <c:pt idx="1749">
                  <c:v>42628</c:v>
                </c:pt>
                <c:pt idx="1750">
                  <c:v>42629</c:v>
                </c:pt>
                <c:pt idx="1751">
                  <c:v>42632</c:v>
                </c:pt>
                <c:pt idx="1752">
                  <c:v>42633</c:v>
                </c:pt>
                <c:pt idx="1753">
                  <c:v>42634</c:v>
                </c:pt>
                <c:pt idx="1754">
                  <c:v>42635</c:v>
                </c:pt>
                <c:pt idx="1755">
                  <c:v>42636</c:v>
                </c:pt>
                <c:pt idx="1756">
                  <c:v>42639</c:v>
                </c:pt>
                <c:pt idx="1757">
                  <c:v>42640</c:v>
                </c:pt>
                <c:pt idx="1758">
                  <c:v>42641</c:v>
                </c:pt>
                <c:pt idx="1759">
                  <c:v>42642</c:v>
                </c:pt>
                <c:pt idx="1760">
                  <c:v>42643</c:v>
                </c:pt>
                <c:pt idx="1761">
                  <c:v>42646</c:v>
                </c:pt>
                <c:pt idx="1762">
                  <c:v>42647</c:v>
                </c:pt>
                <c:pt idx="1763">
                  <c:v>42648</c:v>
                </c:pt>
                <c:pt idx="1764">
                  <c:v>42649</c:v>
                </c:pt>
                <c:pt idx="1765">
                  <c:v>42650</c:v>
                </c:pt>
                <c:pt idx="1766">
                  <c:v>42653</c:v>
                </c:pt>
                <c:pt idx="1767">
                  <c:v>42654</c:v>
                </c:pt>
                <c:pt idx="1768">
                  <c:v>42655</c:v>
                </c:pt>
                <c:pt idx="1769">
                  <c:v>42656</c:v>
                </c:pt>
                <c:pt idx="1770">
                  <c:v>42657</c:v>
                </c:pt>
                <c:pt idx="1771">
                  <c:v>42660</c:v>
                </c:pt>
                <c:pt idx="1772">
                  <c:v>42661</c:v>
                </c:pt>
                <c:pt idx="1773">
                  <c:v>42662</c:v>
                </c:pt>
                <c:pt idx="1774">
                  <c:v>42663</c:v>
                </c:pt>
                <c:pt idx="1775">
                  <c:v>42664</c:v>
                </c:pt>
                <c:pt idx="1776">
                  <c:v>42667</c:v>
                </c:pt>
                <c:pt idx="1777">
                  <c:v>42668</c:v>
                </c:pt>
                <c:pt idx="1778">
                  <c:v>42669</c:v>
                </c:pt>
                <c:pt idx="1779">
                  <c:v>42670</c:v>
                </c:pt>
                <c:pt idx="1780">
                  <c:v>42671</c:v>
                </c:pt>
                <c:pt idx="1781">
                  <c:v>42674</c:v>
                </c:pt>
                <c:pt idx="1782">
                  <c:v>42675</c:v>
                </c:pt>
                <c:pt idx="1783">
                  <c:v>42676</c:v>
                </c:pt>
                <c:pt idx="1784">
                  <c:v>42677</c:v>
                </c:pt>
                <c:pt idx="1785">
                  <c:v>42678</c:v>
                </c:pt>
                <c:pt idx="1786">
                  <c:v>42681</c:v>
                </c:pt>
                <c:pt idx="1787">
                  <c:v>42682</c:v>
                </c:pt>
                <c:pt idx="1788">
                  <c:v>42683</c:v>
                </c:pt>
                <c:pt idx="1789">
                  <c:v>42684</c:v>
                </c:pt>
                <c:pt idx="1790">
                  <c:v>42685</c:v>
                </c:pt>
                <c:pt idx="1791">
                  <c:v>42688</c:v>
                </c:pt>
                <c:pt idx="1792">
                  <c:v>42689</c:v>
                </c:pt>
                <c:pt idx="1793">
                  <c:v>42690</c:v>
                </c:pt>
                <c:pt idx="1794">
                  <c:v>42691</c:v>
                </c:pt>
                <c:pt idx="1795">
                  <c:v>42692</c:v>
                </c:pt>
                <c:pt idx="1796">
                  <c:v>42695</c:v>
                </c:pt>
                <c:pt idx="1797">
                  <c:v>42696</c:v>
                </c:pt>
                <c:pt idx="1798">
                  <c:v>42697</c:v>
                </c:pt>
                <c:pt idx="1799">
                  <c:v>42698</c:v>
                </c:pt>
                <c:pt idx="1800">
                  <c:v>42699</c:v>
                </c:pt>
                <c:pt idx="1801">
                  <c:v>42702</c:v>
                </c:pt>
                <c:pt idx="1802">
                  <c:v>42703</c:v>
                </c:pt>
                <c:pt idx="1803">
                  <c:v>42704</c:v>
                </c:pt>
                <c:pt idx="1804">
                  <c:v>42705</c:v>
                </c:pt>
                <c:pt idx="1805">
                  <c:v>42706</c:v>
                </c:pt>
                <c:pt idx="1806">
                  <c:v>42709</c:v>
                </c:pt>
                <c:pt idx="1807">
                  <c:v>42710</c:v>
                </c:pt>
                <c:pt idx="1808">
                  <c:v>42711</c:v>
                </c:pt>
                <c:pt idx="1809">
                  <c:v>42712</c:v>
                </c:pt>
                <c:pt idx="1810">
                  <c:v>42713</c:v>
                </c:pt>
                <c:pt idx="1811">
                  <c:v>42716</c:v>
                </c:pt>
                <c:pt idx="1812">
                  <c:v>42717</c:v>
                </c:pt>
                <c:pt idx="1813">
                  <c:v>42718</c:v>
                </c:pt>
                <c:pt idx="1814">
                  <c:v>42719</c:v>
                </c:pt>
                <c:pt idx="1815">
                  <c:v>42720</c:v>
                </c:pt>
                <c:pt idx="1816">
                  <c:v>42723</c:v>
                </c:pt>
                <c:pt idx="1817">
                  <c:v>42724</c:v>
                </c:pt>
                <c:pt idx="1818">
                  <c:v>42725</c:v>
                </c:pt>
                <c:pt idx="1819">
                  <c:v>42726</c:v>
                </c:pt>
                <c:pt idx="1820">
                  <c:v>42727</c:v>
                </c:pt>
                <c:pt idx="1821">
                  <c:v>42730</c:v>
                </c:pt>
                <c:pt idx="1822">
                  <c:v>42731</c:v>
                </c:pt>
                <c:pt idx="1823">
                  <c:v>42732</c:v>
                </c:pt>
                <c:pt idx="1824">
                  <c:v>42733</c:v>
                </c:pt>
                <c:pt idx="1825">
                  <c:v>42734</c:v>
                </c:pt>
                <c:pt idx="1826">
                  <c:v>42737</c:v>
                </c:pt>
                <c:pt idx="1827">
                  <c:v>42738</c:v>
                </c:pt>
                <c:pt idx="1828">
                  <c:v>42739</c:v>
                </c:pt>
                <c:pt idx="1829">
                  <c:v>42740</c:v>
                </c:pt>
                <c:pt idx="1830">
                  <c:v>42741</c:v>
                </c:pt>
                <c:pt idx="1831">
                  <c:v>42744</c:v>
                </c:pt>
                <c:pt idx="1832">
                  <c:v>42745</c:v>
                </c:pt>
                <c:pt idx="1833">
                  <c:v>42746</c:v>
                </c:pt>
                <c:pt idx="1834">
                  <c:v>42747</c:v>
                </c:pt>
                <c:pt idx="1835">
                  <c:v>42748</c:v>
                </c:pt>
                <c:pt idx="1836">
                  <c:v>42751</c:v>
                </c:pt>
                <c:pt idx="1837">
                  <c:v>42752</c:v>
                </c:pt>
                <c:pt idx="1838">
                  <c:v>42753</c:v>
                </c:pt>
                <c:pt idx="1839">
                  <c:v>42754</c:v>
                </c:pt>
                <c:pt idx="1840">
                  <c:v>42755</c:v>
                </c:pt>
                <c:pt idx="1841">
                  <c:v>42758</c:v>
                </c:pt>
                <c:pt idx="1842">
                  <c:v>42759</c:v>
                </c:pt>
                <c:pt idx="1843">
                  <c:v>42760</c:v>
                </c:pt>
                <c:pt idx="1844">
                  <c:v>42761</c:v>
                </c:pt>
                <c:pt idx="1845">
                  <c:v>42762</c:v>
                </c:pt>
                <c:pt idx="1846">
                  <c:v>42765</c:v>
                </c:pt>
                <c:pt idx="1847">
                  <c:v>42766</c:v>
                </c:pt>
                <c:pt idx="1848">
                  <c:v>42767</c:v>
                </c:pt>
                <c:pt idx="1849">
                  <c:v>42768</c:v>
                </c:pt>
                <c:pt idx="1850">
                  <c:v>42769</c:v>
                </c:pt>
                <c:pt idx="1851">
                  <c:v>42772</c:v>
                </c:pt>
                <c:pt idx="1852">
                  <c:v>42773</c:v>
                </c:pt>
                <c:pt idx="1853">
                  <c:v>42774</c:v>
                </c:pt>
                <c:pt idx="1854">
                  <c:v>42775</c:v>
                </c:pt>
                <c:pt idx="1855">
                  <c:v>42776</c:v>
                </c:pt>
                <c:pt idx="1856">
                  <c:v>42779</c:v>
                </c:pt>
                <c:pt idx="1857">
                  <c:v>42780</c:v>
                </c:pt>
                <c:pt idx="1858">
                  <c:v>42781</c:v>
                </c:pt>
                <c:pt idx="1859">
                  <c:v>42782</c:v>
                </c:pt>
                <c:pt idx="1860">
                  <c:v>42783</c:v>
                </c:pt>
                <c:pt idx="1861">
                  <c:v>42786</c:v>
                </c:pt>
                <c:pt idx="1862">
                  <c:v>42787</c:v>
                </c:pt>
                <c:pt idx="1863">
                  <c:v>42788</c:v>
                </c:pt>
                <c:pt idx="1864">
                  <c:v>42789</c:v>
                </c:pt>
                <c:pt idx="1865">
                  <c:v>42790</c:v>
                </c:pt>
                <c:pt idx="1866">
                  <c:v>42793</c:v>
                </c:pt>
                <c:pt idx="1867">
                  <c:v>42794</c:v>
                </c:pt>
                <c:pt idx="1868">
                  <c:v>42795</c:v>
                </c:pt>
                <c:pt idx="1869">
                  <c:v>42796</c:v>
                </c:pt>
                <c:pt idx="1870">
                  <c:v>42797</c:v>
                </c:pt>
                <c:pt idx="1871">
                  <c:v>42800</c:v>
                </c:pt>
                <c:pt idx="1872">
                  <c:v>42801</c:v>
                </c:pt>
                <c:pt idx="1873">
                  <c:v>42802</c:v>
                </c:pt>
                <c:pt idx="1874">
                  <c:v>42803</c:v>
                </c:pt>
                <c:pt idx="1875">
                  <c:v>42804</c:v>
                </c:pt>
                <c:pt idx="1876">
                  <c:v>42807</c:v>
                </c:pt>
                <c:pt idx="1877">
                  <c:v>42808</c:v>
                </c:pt>
                <c:pt idx="1878">
                  <c:v>42809</c:v>
                </c:pt>
                <c:pt idx="1879">
                  <c:v>42810</c:v>
                </c:pt>
                <c:pt idx="1880">
                  <c:v>42811</c:v>
                </c:pt>
                <c:pt idx="1881">
                  <c:v>42814</c:v>
                </c:pt>
                <c:pt idx="1882">
                  <c:v>42815</c:v>
                </c:pt>
                <c:pt idx="1883">
                  <c:v>42816</c:v>
                </c:pt>
                <c:pt idx="1884">
                  <c:v>42817</c:v>
                </c:pt>
                <c:pt idx="1885">
                  <c:v>42818</c:v>
                </c:pt>
                <c:pt idx="1886">
                  <c:v>42821</c:v>
                </c:pt>
                <c:pt idx="1887">
                  <c:v>42822</c:v>
                </c:pt>
                <c:pt idx="1888">
                  <c:v>42823</c:v>
                </c:pt>
                <c:pt idx="1889">
                  <c:v>42824</c:v>
                </c:pt>
                <c:pt idx="1890">
                  <c:v>42825</c:v>
                </c:pt>
                <c:pt idx="1891">
                  <c:v>42828</c:v>
                </c:pt>
                <c:pt idx="1892">
                  <c:v>42829</c:v>
                </c:pt>
                <c:pt idx="1893">
                  <c:v>42830</c:v>
                </c:pt>
                <c:pt idx="1894">
                  <c:v>42831</c:v>
                </c:pt>
                <c:pt idx="1895">
                  <c:v>42832</c:v>
                </c:pt>
                <c:pt idx="1896">
                  <c:v>42835</c:v>
                </c:pt>
                <c:pt idx="1897">
                  <c:v>42836</c:v>
                </c:pt>
                <c:pt idx="1898">
                  <c:v>42837</c:v>
                </c:pt>
                <c:pt idx="1899">
                  <c:v>42838</c:v>
                </c:pt>
                <c:pt idx="1900">
                  <c:v>42839</c:v>
                </c:pt>
                <c:pt idx="1901">
                  <c:v>42842</c:v>
                </c:pt>
                <c:pt idx="1902">
                  <c:v>42843</c:v>
                </c:pt>
                <c:pt idx="1903">
                  <c:v>42844</c:v>
                </c:pt>
                <c:pt idx="1904">
                  <c:v>42845</c:v>
                </c:pt>
                <c:pt idx="1905">
                  <c:v>42846</c:v>
                </c:pt>
                <c:pt idx="1906">
                  <c:v>42849</c:v>
                </c:pt>
                <c:pt idx="1907">
                  <c:v>42850</c:v>
                </c:pt>
                <c:pt idx="1908">
                  <c:v>42851</c:v>
                </c:pt>
                <c:pt idx="1909">
                  <c:v>42852</c:v>
                </c:pt>
                <c:pt idx="1910">
                  <c:v>42853</c:v>
                </c:pt>
                <c:pt idx="1911">
                  <c:v>42856</c:v>
                </c:pt>
                <c:pt idx="1912">
                  <c:v>42857</c:v>
                </c:pt>
                <c:pt idx="1913">
                  <c:v>42858</c:v>
                </c:pt>
                <c:pt idx="1914">
                  <c:v>42859</c:v>
                </c:pt>
                <c:pt idx="1915">
                  <c:v>42860</c:v>
                </c:pt>
                <c:pt idx="1916">
                  <c:v>42863</c:v>
                </c:pt>
                <c:pt idx="1917">
                  <c:v>42864</c:v>
                </c:pt>
                <c:pt idx="1918">
                  <c:v>42865</c:v>
                </c:pt>
                <c:pt idx="1919">
                  <c:v>42866</c:v>
                </c:pt>
                <c:pt idx="1920">
                  <c:v>42867</c:v>
                </c:pt>
                <c:pt idx="1921">
                  <c:v>42870</c:v>
                </c:pt>
                <c:pt idx="1922">
                  <c:v>42871</c:v>
                </c:pt>
                <c:pt idx="1923">
                  <c:v>42872</c:v>
                </c:pt>
                <c:pt idx="1924">
                  <c:v>42873</c:v>
                </c:pt>
                <c:pt idx="1925">
                  <c:v>42874</c:v>
                </c:pt>
                <c:pt idx="1926">
                  <c:v>42877</c:v>
                </c:pt>
                <c:pt idx="1927">
                  <c:v>42878</c:v>
                </c:pt>
                <c:pt idx="1928">
                  <c:v>42879</c:v>
                </c:pt>
                <c:pt idx="1929">
                  <c:v>42880</c:v>
                </c:pt>
                <c:pt idx="1930">
                  <c:v>42881</c:v>
                </c:pt>
                <c:pt idx="1931">
                  <c:v>42884</c:v>
                </c:pt>
                <c:pt idx="1932">
                  <c:v>42885</c:v>
                </c:pt>
                <c:pt idx="1933">
                  <c:v>42886</c:v>
                </c:pt>
                <c:pt idx="1934">
                  <c:v>42887</c:v>
                </c:pt>
                <c:pt idx="1935">
                  <c:v>42888</c:v>
                </c:pt>
                <c:pt idx="1936">
                  <c:v>42891</c:v>
                </c:pt>
                <c:pt idx="1937">
                  <c:v>42892</c:v>
                </c:pt>
                <c:pt idx="1938">
                  <c:v>42893</c:v>
                </c:pt>
                <c:pt idx="1939">
                  <c:v>42894</c:v>
                </c:pt>
                <c:pt idx="1940">
                  <c:v>42895</c:v>
                </c:pt>
                <c:pt idx="1941">
                  <c:v>42898</c:v>
                </c:pt>
                <c:pt idx="1942">
                  <c:v>42899</c:v>
                </c:pt>
                <c:pt idx="1943">
                  <c:v>42900</c:v>
                </c:pt>
                <c:pt idx="1944">
                  <c:v>42901</c:v>
                </c:pt>
                <c:pt idx="1945">
                  <c:v>42902</c:v>
                </c:pt>
                <c:pt idx="1946">
                  <c:v>42905</c:v>
                </c:pt>
                <c:pt idx="1947">
                  <c:v>42906</c:v>
                </c:pt>
                <c:pt idx="1948">
                  <c:v>42907</c:v>
                </c:pt>
                <c:pt idx="1949">
                  <c:v>42908</c:v>
                </c:pt>
                <c:pt idx="1950">
                  <c:v>42909</c:v>
                </c:pt>
                <c:pt idx="1951">
                  <c:v>42912</c:v>
                </c:pt>
                <c:pt idx="1952">
                  <c:v>42913</c:v>
                </c:pt>
                <c:pt idx="1953">
                  <c:v>42914</c:v>
                </c:pt>
                <c:pt idx="1954">
                  <c:v>42915</c:v>
                </c:pt>
                <c:pt idx="1955">
                  <c:v>42916</c:v>
                </c:pt>
                <c:pt idx="1956">
                  <c:v>42919</c:v>
                </c:pt>
                <c:pt idx="1957">
                  <c:v>42920</c:v>
                </c:pt>
                <c:pt idx="1958">
                  <c:v>42921</c:v>
                </c:pt>
                <c:pt idx="1959">
                  <c:v>42922</c:v>
                </c:pt>
                <c:pt idx="1960">
                  <c:v>42923</c:v>
                </c:pt>
                <c:pt idx="1961">
                  <c:v>42926</c:v>
                </c:pt>
                <c:pt idx="1962">
                  <c:v>42927</c:v>
                </c:pt>
                <c:pt idx="1963">
                  <c:v>42928</c:v>
                </c:pt>
                <c:pt idx="1964">
                  <c:v>42929</c:v>
                </c:pt>
                <c:pt idx="1965">
                  <c:v>42930</c:v>
                </c:pt>
                <c:pt idx="1966">
                  <c:v>42933</c:v>
                </c:pt>
                <c:pt idx="1967">
                  <c:v>42934</c:v>
                </c:pt>
                <c:pt idx="1968">
                  <c:v>42935</c:v>
                </c:pt>
                <c:pt idx="1969">
                  <c:v>42936</c:v>
                </c:pt>
                <c:pt idx="1970">
                  <c:v>42937</c:v>
                </c:pt>
                <c:pt idx="1971">
                  <c:v>42940</c:v>
                </c:pt>
                <c:pt idx="1972">
                  <c:v>42941</c:v>
                </c:pt>
                <c:pt idx="1973">
                  <c:v>42942</c:v>
                </c:pt>
                <c:pt idx="1974">
                  <c:v>42943</c:v>
                </c:pt>
                <c:pt idx="1975">
                  <c:v>42944</c:v>
                </c:pt>
                <c:pt idx="1976">
                  <c:v>42947</c:v>
                </c:pt>
                <c:pt idx="1977">
                  <c:v>42948</c:v>
                </c:pt>
                <c:pt idx="1978">
                  <c:v>42949</c:v>
                </c:pt>
                <c:pt idx="1979">
                  <c:v>42950</c:v>
                </c:pt>
                <c:pt idx="1980">
                  <c:v>42951</c:v>
                </c:pt>
                <c:pt idx="1981">
                  <c:v>42954</c:v>
                </c:pt>
                <c:pt idx="1982">
                  <c:v>42955</c:v>
                </c:pt>
                <c:pt idx="1983">
                  <c:v>42956</c:v>
                </c:pt>
                <c:pt idx="1984">
                  <c:v>42957</c:v>
                </c:pt>
                <c:pt idx="1985">
                  <c:v>42958</c:v>
                </c:pt>
                <c:pt idx="1986">
                  <c:v>42961</c:v>
                </c:pt>
                <c:pt idx="1987">
                  <c:v>42962</c:v>
                </c:pt>
                <c:pt idx="1988">
                  <c:v>42963</c:v>
                </c:pt>
                <c:pt idx="1989">
                  <c:v>42964</c:v>
                </c:pt>
                <c:pt idx="1990">
                  <c:v>42965</c:v>
                </c:pt>
                <c:pt idx="1991">
                  <c:v>42968</c:v>
                </c:pt>
                <c:pt idx="1992">
                  <c:v>42969</c:v>
                </c:pt>
                <c:pt idx="1993">
                  <c:v>42970</c:v>
                </c:pt>
                <c:pt idx="1994">
                  <c:v>42971</c:v>
                </c:pt>
                <c:pt idx="1995">
                  <c:v>42972</c:v>
                </c:pt>
                <c:pt idx="1996">
                  <c:v>42975</c:v>
                </c:pt>
                <c:pt idx="1997">
                  <c:v>42976</c:v>
                </c:pt>
                <c:pt idx="1998">
                  <c:v>42977</c:v>
                </c:pt>
                <c:pt idx="1999">
                  <c:v>42978</c:v>
                </c:pt>
                <c:pt idx="2000">
                  <c:v>42979</c:v>
                </c:pt>
                <c:pt idx="2001">
                  <c:v>42982</c:v>
                </c:pt>
                <c:pt idx="2002">
                  <c:v>42983</c:v>
                </c:pt>
                <c:pt idx="2003">
                  <c:v>42984</c:v>
                </c:pt>
                <c:pt idx="2004">
                  <c:v>42985</c:v>
                </c:pt>
                <c:pt idx="2005">
                  <c:v>42986</c:v>
                </c:pt>
                <c:pt idx="2006">
                  <c:v>42989</c:v>
                </c:pt>
                <c:pt idx="2007">
                  <c:v>42990</c:v>
                </c:pt>
                <c:pt idx="2008">
                  <c:v>42991</c:v>
                </c:pt>
                <c:pt idx="2009">
                  <c:v>42992</c:v>
                </c:pt>
                <c:pt idx="2010">
                  <c:v>42993</c:v>
                </c:pt>
                <c:pt idx="2011">
                  <c:v>42996</c:v>
                </c:pt>
                <c:pt idx="2012">
                  <c:v>42997</c:v>
                </c:pt>
                <c:pt idx="2013">
                  <c:v>42998</c:v>
                </c:pt>
                <c:pt idx="2014">
                  <c:v>42999</c:v>
                </c:pt>
                <c:pt idx="2015">
                  <c:v>43000</c:v>
                </c:pt>
                <c:pt idx="2016">
                  <c:v>43003</c:v>
                </c:pt>
                <c:pt idx="2017">
                  <c:v>43004</c:v>
                </c:pt>
                <c:pt idx="2018">
                  <c:v>43005</c:v>
                </c:pt>
                <c:pt idx="2019">
                  <c:v>43006</c:v>
                </c:pt>
                <c:pt idx="2020">
                  <c:v>43007</c:v>
                </c:pt>
                <c:pt idx="2021">
                  <c:v>43010</c:v>
                </c:pt>
                <c:pt idx="2022">
                  <c:v>43011</c:v>
                </c:pt>
                <c:pt idx="2023">
                  <c:v>43012</c:v>
                </c:pt>
                <c:pt idx="2024">
                  <c:v>43013</c:v>
                </c:pt>
                <c:pt idx="2025">
                  <c:v>43014</c:v>
                </c:pt>
                <c:pt idx="2026">
                  <c:v>43017</c:v>
                </c:pt>
                <c:pt idx="2027">
                  <c:v>43018</c:v>
                </c:pt>
                <c:pt idx="2028">
                  <c:v>43019</c:v>
                </c:pt>
                <c:pt idx="2029">
                  <c:v>43020</c:v>
                </c:pt>
                <c:pt idx="2030">
                  <c:v>43021</c:v>
                </c:pt>
                <c:pt idx="2031">
                  <c:v>43024</c:v>
                </c:pt>
                <c:pt idx="2032">
                  <c:v>43025</c:v>
                </c:pt>
                <c:pt idx="2033">
                  <c:v>43026</c:v>
                </c:pt>
                <c:pt idx="2034">
                  <c:v>43027</c:v>
                </c:pt>
                <c:pt idx="2035">
                  <c:v>43028</c:v>
                </c:pt>
                <c:pt idx="2036">
                  <c:v>43031</c:v>
                </c:pt>
                <c:pt idx="2037">
                  <c:v>43032</c:v>
                </c:pt>
                <c:pt idx="2038">
                  <c:v>43033</c:v>
                </c:pt>
                <c:pt idx="2039">
                  <c:v>43034</c:v>
                </c:pt>
                <c:pt idx="2040">
                  <c:v>43035</c:v>
                </c:pt>
                <c:pt idx="2041">
                  <c:v>43038</c:v>
                </c:pt>
                <c:pt idx="2042">
                  <c:v>43039</c:v>
                </c:pt>
                <c:pt idx="2043">
                  <c:v>43040</c:v>
                </c:pt>
                <c:pt idx="2044">
                  <c:v>43041</c:v>
                </c:pt>
                <c:pt idx="2045">
                  <c:v>43042</c:v>
                </c:pt>
                <c:pt idx="2046">
                  <c:v>43045</c:v>
                </c:pt>
                <c:pt idx="2047">
                  <c:v>43046</c:v>
                </c:pt>
                <c:pt idx="2048">
                  <c:v>43047</c:v>
                </c:pt>
                <c:pt idx="2049">
                  <c:v>43048</c:v>
                </c:pt>
                <c:pt idx="2050">
                  <c:v>43049</c:v>
                </c:pt>
                <c:pt idx="2051">
                  <c:v>43052</c:v>
                </c:pt>
                <c:pt idx="2052">
                  <c:v>43053</c:v>
                </c:pt>
                <c:pt idx="2053">
                  <c:v>43054</c:v>
                </c:pt>
                <c:pt idx="2054">
                  <c:v>43055</c:v>
                </c:pt>
                <c:pt idx="2055">
                  <c:v>43056</c:v>
                </c:pt>
                <c:pt idx="2056">
                  <c:v>43059</c:v>
                </c:pt>
                <c:pt idx="2057">
                  <c:v>43060</c:v>
                </c:pt>
                <c:pt idx="2058">
                  <c:v>43061</c:v>
                </c:pt>
                <c:pt idx="2059">
                  <c:v>43062</c:v>
                </c:pt>
                <c:pt idx="2060">
                  <c:v>43063</c:v>
                </c:pt>
                <c:pt idx="2061">
                  <c:v>43066</c:v>
                </c:pt>
                <c:pt idx="2062">
                  <c:v>43067</c:v>
                </c:pt>
                <c:pt idx="2063">
                  <c:v>43068</c:v>
                </c:pt>
                <c:pt idx="2064">
                  <c:v>43069</c:v>
                </c:pt>
                <c:pt idx="2065">
                  <c:v>43070</c:v>
                </c:pt>
                <c:pt idx="2066">
                  <c:v>43073</c:v>
                </c:pt>
                <c:pt idx="2067">
                  <c:v>43074</c:v>
                </c:pt>
                <c:pt idx="2068">
                  <c:v>43075</c:v>
                </c:pt>
                <c:pt idx="2069">
                  <c:v>43076</c:v>
                </c:pt>
                <c:pt idx="2070">
                  <c:v>43077</c:v>
                </c:pt>
                <c:pt idx="2071">
                  <c:v>43080</c:v>
                </c:pt>
                <c:pt idx="2072">
                  <c:v>43081</c:v>
                </c:pt>
                <c:pt idx="2073">
                  <c:v>43082</c:v>
                </c:pt>
                <c:pt idx="2074">
                  <c:v>43083</c:v>
                </c:pt>
                <c:pt idx="2075">
                  <c:v>43084</c:v>
                </c:pt>
                <c:pt idx="2076">
                  <c:v>43087</c:v>
                </c:pt>
                <c:pt idx="2077">
                  <c:v>43088</c:v>
                </c:pt>
                <c:pt idx="2078">
                  <c:v>43089</c:v>
                </c:pt>
                <c:pt idx="2079">
                  <c:v>43090</c:v>
                </c:pt>
                <c:pt idx="2080">
                  <c:v>43091</c:v>
                </c:pt>
                <c:pt idx="2081">
                  <c:v>43094</c:v>
                </c:pt>
                <c:pt idx="2082">
                  <c:v>43095</c:v>
                </c:pt>
                <c:pt idx="2083">
                  <c:v>43096</c:v>
                </c:pt>
                <c:pt idx="2084">
                  <c:v>43097</c:v>
                </c:pt>
                <c:pt idx="2085">
                  <c:v>43098</c:v>
                </c:pt>
                <c:pt idx="2086">
                  <c:v>43101</c:v>
                </c:pt>
                <c:pt idx="2087">
                  <c:v>43102</c:v>
                </c:pt>
                <c:pt idx="2088">
                  <c:v>43103</c:v>
                </c:pt>
                <c:pt idx="2089">
                  <c:v>43104</c:v>
                </c:pt>
                <c:pt idx="2090">
                  <c:v>43105</c:v>
                </c:pt>
                <c:pt idx="2091">
                  <c:v>43108</c:v>
                </c:pt>
                <c:pt idx="2092">
                  <c:v>43109</c:v>
                </c:pt>
                <c:pt idx="2093">
                  <c:v>43110</c:v>
                </c:pt>
                <c:pt idx="2094">
                  <c:v>43111</c:v>
                </c:pt>
                <c:pt idx="2095">
                  <c:v>43112</c:v>
                </c:pt>
                <c:pt idx="2096">
                  <c:v>43115</c:v>
                </c:pt>
                <c:pt idx="2097">
                  <c:v>43116</c:v>
                </c:pt>
                <c:pt idx="2098">
                  <c:v>43117</c:v>
                </c:pt>
                <c:pt idx="2099">
                  <c:v>43118</c:v>
                </c:pt>
                <c:pt idx="2100">
                  <c:v>43119</c:v>
                </c:pt>
                <c:pt idx="2101">
                  <c:v>43122</c:v>
                </c:pt>
                <c:pt idx="2102">
                  <c:v>43123</c:v>
                </c:pt>
                <c:pt idx="2103">
                  <c:v>43124</c:v>
                </c:pt>
                <c:pt idx="2104">
                  <c:v>43125</c:v>
                </c:pt>
                <c:pt idx="2105">
                  <c:v>43126</c:v>
                </c:pt>
                <c:pt idx="2106">
                  <c:v>43129</c:v>
                </c:pt>
                <c:pt idx="2107">
                  <c:v>43130</c:v>
                </c:pt>
                <c:pt idx="2108">
                  <c:v>43131</c:v>
                </c:pt>
                <c:pt idx="2109">
                  <c:v>43132</c:v>
                </c:pt>
                <c:pt idx="2110">
                  <c:v>43133</c:v>
                </c:pt>
                <c:pt idx="2111">
                  <c:v>43136</c:v>
                </c:pt>
                <c:pt idx="2112">
                  <c:v>43137</c:v>
                </c:pt>
                <c:pt idx="2113">
                  <c:v>43138</c:v>
                </c:pt>
                <c:pt idx="2114">
                  <c:v>43139</c:v>
                </c:pt>
                <c:pt idx="2115">
                  <c:v>43140</c:v>
                </c:pt>
                <c:pt idx="2116">
                  <c:v>43143</c:v>
                </c:pt>
                <c:pt idx="2117">
                  <c:v>43144</c:v>
                </c:pt>
                <c:pt idx="2118">
                  <c:v>43145</c:v>
                </c:pt>
                <c:pt idx="2119">
                  <c:v>43146</c:v>
                </c:pt>
                <c:pt idx="2120">
                  <c:v>43147</c:v>
                </c:pt>
                <c:pt idx="2121">
                  <c:v>43150</c:v>
                </c:pt>
                <c:pt idx="2122">
                  <c:v>43151</c:v>
                </c:pt>
                <c:pt idx="2123">
                  <c:v>43152</c:v>
                </c:pt>
                <c:pt idx="2124">
                  <c:v>43153</c:v>
                </c:pt>
                <c:pt idx="2125">
                  <c:v>43154</c:v>
                </c:pt>
                <c:pt idx="2126">
                  <c:v>43157</c:v>
                </c:pt>
                <c:pt idx="2127">
                  <c:v>43158</c:v>
                </c:pt>
                <c:pt idx="2128">
                  <c:v>43159</c:v>
                </c:pt>
                <c:pt idx="2129">
                  <c:v>43160</c:v>
                </c:pt>
                <c:pt idx="2130">
                  <c:v>43161</c:v>
                </c:pt>
                <c:pt idx="2131">
                  <c:v>43164</c:v>
                </c:pt>
                <c:pt idx="2132">
                  <c:v>43165</c:v>
                </c:pt>
                <c:pt idx="2133">
                  <c:v>43166</c:v>
                </c:pt>
                <c:pt idx="2134">
                  <c:v>43167</c:v>
                </c:pt>
                <c:pt idx="2135">
                  <c:v>43168</c:v>
                </c:pt>
                <c:pt idx="2136">
                  <c:v>43171</c:v>
                </c:pt>
                <c:pt idx="2137">
                  <c:v>43172</c:v>
                </c:pt>
                <c:pt idx="2138">
                  <c:v>43173</c:v>
                </c:pt>
                <c:pt idx="2139">
                  <c:v>43174</c:v>
                </c:pt>
                <c:pt idx="2140">
                  <c:v>43175</c:v>
                </c:pt>
                <c:pt idx="2141">
                  <c:v>43178</c:v>
                </c:pt>
                <c:pt idx="2142">
                  <c:v>43179</c:v>
                </c:pt>
                <c:pt idx="2143">
                  <c:v>43180</c:v>
                </c:pt>
                <c:pt idx="2144">
                  <c:v>43181</c:v>
                </c:pt>
                <c:pt idx="2145">
                  <c:v>43182</c:v>
                </c:pt>
                <c:pt idx="2146">
                  <c:v>43185</c:v>
                </c:pt>
                <c:pt idx="2147">
                  <c:v>43186</c:v>
                </c:pt>
                <c:pt idx="2148">
                  <c:v>43187</c:v>
                </c:pt>
                <c:pt idx="2149">
                  <c:v>43188</c:v>
                </c:pt>
                <c:pt idx="2150">
                  <c:v>43189</c:v>
                </c:pt>
                <c:pt idx="2151">
                  <c:v>43192</c:v>
                </c:pt>
                <c:pt idx="2152">
                  <c:v>43193</c:v>
                </c:pt>
                <c:pt idx="2153">
                  <c:v>43194</c:v>
                </c:pt>
                <c:pt idx="2154">
                  <c:v>43195</c:v>
                </c:pt>
                <c:pt idx="2155">
                  <c:v>43196</c:v>
                </c:pt>
                <c:pt idx="2156">
                  <c:v>43199</c:v>
                </c:pt>
                <c:pt idx="2157">
                  <c:v>43200</c:v>
                </c:pt>
                <c:pt idx="2158">
                  <c:v>43201</c:v>
                </c:pt>
                <c:pt idx="2159">
                  <c:v>43202</c:v>
                </c:pt>
                <c:pt idx="2160">
                  <c:v>43203</c:v>
                </c:pt>
                <c:pt idx="2161">
                  <c:v>43206</c:v>
                </c:pt>
                <c:pt idx="2162">
                  <c:v>43207</c:v>
                </c:pt>
                <c:pt idx="2163">
                  <c:v>43208</c:v>
                </c:pt>
                <c:pt idx="2164">
                  <c:v>43209</c:v>
                </c:pt>
                <c:pt idx="2165">
                  <c:v>43210</c:v>
                </c:pt>
                <c:pt idx="2166">
                  <c:v>43213</c:v>
                </c:pt>
                <c:pt idx="2167">
                  <c:v>43214</c:v>
                </c:pt>
                <c:pt idx="2168">
                  <c:v>43215</c:v>
                </c:pt>
                <c:pt idx="2169">
                  <c:v>43216</c:v>
                </c:pt>
                <c:pt idx="2170">
                  <c:v>43217</c:v>
                </c:pt>
                <c:pt idx="2171">
                  <c:v>43220</c:v>
                </c:pt>
                <c:pt idx="2172">
                  <c:v>43221</c:v>
                </c:pt>
                <c:pt idx="2173">
                  <c:v>43222</c:v>
                </c:pt>
                <c:pt idx="2174">
                  <c:v>43223</c:v>
                </c:pt>
                <c:pt idx="2175">
                  <c:v>43224</c:v>
                </c:pt>
                <c:pt idx="2176">
                  <c:v>43227</c:v>
                </c:pt>
                <c:pt idx="2177">
                  <c:v>43228</c:v>
                </c:pt>
                <c:pt idx="2178">
                  <c:v>43229</c:v>
                </c:pt>
                <c:pt idx="2179">
                  <c:v>43230</c:v>
                </c:pt>
                <c:pt idx="2180">
                  <c:v>43231</c:v>
                </c:pt>
                <c:pt idx="2181">
                  <c:v>43234</c:v>
                </c:pt>
                <c:pt idx="2182">
                  <c:v>43235</c:v>
                </c:pt>
                <c:pt idx="2183">
                  <c:v>43236</c:v>
                </c:pt>
                <c:pt idx="2184">
                  <c:v>43237</c:v>
                </c:pt>
                <c:pt idx="2185">
                  <c:v>43238</c:v>
                </c:pt>
                <c:pt idx="2186">
                  <c:v>43241</c:v>
                </c:pt>
                <c:pt idx="2187">
                  <c:v>43242</c:v>
                </c:pt>
                <c:pt idx="2188">
                  <c:v>43243</c:v>
                </c:pt>
                <c:pt idx="2189">
                  <c:v>43244</c:v>
                </c:pt>
                <c:pt idx="2190">
                  <c:v>43245</c:v>
                </c:pt>
                <c:pt idx="2191">
                  <c:v>43248</c:v>
                </c:pt>
                <c:pt idx="2192">
                  <c:v>43249</c:v>
                </c:pt>
                <c:pt idx="2193">
                  <c:v>43250</c:v>
                </c:pt>
                <c:pt idx="2194">
                  <c:v>43251</c:v>
                </c:pt>
                <c:pt idx="2195">
                  <c:v>43252</c:v>
                </c:pt>
                <c:pt idx="2196">
                  <c:v>43255</c:v>
                </c:pt>
                <c:pt idx="2197">
                  <c:v>43256</c:v>
                </c:pt>
                <c:pt idx="2198">
                  <c:v>43257</c:v>
                </c:pt>
                <c:pt idx="2199">
                  <c:v>43258</c:v>
                </c:pt>
                <c:pt idx="2200">
                  <c:v>43259</c:v>
                </c:pt>
                <c:pt idx="2201">
                  <c:v>43262</c:v>
                </c:pt>
                <c:pt idx="2202">
                  <c:v>43263</c:v>
                </c:pt>
                <c:pt idx="2203">
                  <c:v>43264</c:v>
                </c:pt>
                <c:pt idx="2204">
                  <c:v>43265</c:v>
                </c:pt>
                <c:pt idx="2205">
                  <c:v>43266</c:v>
                </c:pt>
                <c:pt idx="2206">
                  <c:v>43269</c:v>
                </c:pt>
                <c:pt idx="2207">
                  <c:v>43270</c:v>
                </c:pt>
                <c:pt idx="2208">
                  <c:v>43271</c:v>
                </c:pt>
                <c:pt idx="2209">
                  <c:v>43272</c:v>
                </c:pt>
                <c:pt idx="2210">
                  <c:v>43273</c:v>
                </c:pt>
                <c:pt idx="2211">
                  <c:v>43276</c:v>
                </c:pt>
                <c:pt idx="2212">
                  <c:v>43277</c:v>
                </c:pt>
                <c:pt idx="2213">
                  <c:v>43278</c:v>
                </c:pt>
                <c:pt idx="2214">
                  <c:v>43279</c:v>
                </c:pt>
                <c:pt idx="2215">
                  <c:v>43280</c:v>
                </c:pt>
                <c:pt idx="2216">
                  <c:v>43283</c:v>
                </c:pt>
                <c:pt idx="2217">
                  <c:v>43284</c:v>
                </c:pt>
                <c:pt idx="2218">
                  <c:v>43285</c:v>
                </c:pt>
                <c:pt idx="2219">
                  <c:v>43286</c:v>
                </c:pt>
                <c:pt idx="2220">
                  <c:v>43287</c:v>
                </c:pt>
                <c:pt idx="2221">
                  <c:v>43290</c:v>
                </c:pt>
                <c:pt idx="2222">
                  <c:v>43291</c:v>
                </c:pt>
                <c:pt idx="2223">
                  <c:v>43292</c:v>
                </c:pt>
                <c:pt idx="2224">
                  <c:v>43293</c:v>
                </c:pt>
                <c:pt idx="2225">
                  <c:v>43294</c:v>
                </c:pt>
                <c:pt idx="2226">
                  <c:v>43297</c:v>
                </c:pt>
                <c:pt idx="2227">
                  <c:v>43298</c:v>
                </c:pt>
                <c:pt idx="2228">
                  <c:v>43299</c:v>
                </c:pt>
                <c:pt idx="2229">
                  <c:v>43300</c:v>
                </c:pt>
                <c:pt idx="2230">
                  <c:v>43301</c:v>
                </c:pt>
                <c:pt idx="2231">
                  <c:v>43304</c:v>
                </c:pt>
                <c:pt idx="2232">
                  <c:v>43305</c:v>
                </c:pt>
                <c:pt idx="2233">
                  <c:v>43306</c:v>
                </c:pt>
                <c:pt idx="2234">
                  <c:v>43307</c:v>
                </c:pt>
                <c:pt idx="2235">
                  <c:v>43308</c:v>
                </c:pt>
                <c:pt idx="2236">
                  <c:v>43311</c:v>
                </c:pt>
                <c:pt idx="2237">
                  <c:v>43312</c:v>
                </c:pt>
                <c:pt idx="2238">
                  <c:v>43313</c:v>
                </c:pt>
                <c:pt idx="2239">
                  <c:v>43314</c:v>
                </c:pt>
                <c:pt idx="2240">
                  <c:v>43315</c:v>
                </c:pt>
                <c:pt idx="2241">
                  <c:v>43318</c:v>
                </c:pt>
                <c:pt idx="2242">
                  <c:v>43319</c:v>
                </c:pt>
                <c:pt idx="2243">
                  <c:v>43320</c:v>
                </c:pt>
                <c:pt idx="2244">
                  <c:v>43321</c:v>
                </c:pt>
                <c:pt idx="2245">
                  <c:v>43322</c:v>
                </c:pt>
                <c:pt idx="2246">
                  <c:v>43325</c:v>
                </c:pt>
                <c:pt idx="2247">
                  <c:v>43326</c:v>
                </c:pt>
                <c:pt idx="2248">
                  <c:v>43327</c:v>
                </c:pt>
                <c:pt idx="2249">
                  <c:v>43328</c:v>
                </c:pt>
                <c:pt idx="2250">
                  <c:v>43329</c:v>
                </c:pt>
                <c:pt idx="2251">
                  <c:v>43332</c:v>
                </c:pt>
                <c:pt idx="2252">
                  <c:v>43333</c:v>
                </c:pt>
                <c:pt idx="2253">
                  <c:v>43334</c:v>
                </c:pt>
                <c:pt idx="2254">
                  <c:v>43335</c:v>
                </c:pt>
                <c:pt idx="2255">
                  <c:v>43336</c:v>
                </c:pt>
                <c:pt idx="2256">
                  <c:v>43339</c:v>
                </c:pt>
                <c:pt idx="2257">
                  <c:v>43340</c:v>
                </c:pt>
                <c:pt idx="2258">
                  <c:v>43341</c:v>
                </c:pt>
                <c:pt idx="2259">
                  <c:v>43342</c:v>
                </c:pt>
                <c:pt idx="2260">
                  <c:v>43343</c:v>
                </c:pt>
                <c:pt idx="2261">
                  <c:v>43346</c:v>
                </c:pt>
                <c:pt idx="2262">
                  <c:v>43347</c:v>
                </c:pt>
                <c:pt idx="2263">
                  <c:v>43348</c:v>
                </c:pt>
                <c:pt idx="2264">
                  <c:v>43349</c:v>
                </c:pt>
                <c:pt idx="2265">
                  <c:v>43350</c:v>
                </c:pt>
                <c:pt idx="2266">
                  <c:v>43353</c:v>
                </c:pt>
                <c:pt idx="2267">
                  <c:v>43354</c:v>
                </c:pt>
                <c:pt idx="2268">
                  <c:v>43355</c:v>
                </c:pt>
                <c:pt idx="2269">
                  <c:v>43356</c:v>
                </c:pt>
                <c:pt idx="2270">
                  <c:v>43357</c:v>
                </c:pt>
                <c:pt idx="2271">
                  <c:v>43360</c:v>
                </c:pt>
                <c:pt idx="2272">
                  <c:v>43361</c:v>
                </c:pt>
                <c:pt idx="2273">
                  <c:v>43362</c:v>
                </c:pt>
                <c:pt idx="2274">
                  <c:v>43363</c:v>
                </c:pt>
                <c:pt idx="2275">
                  <c:v>43364</c:v>
                </c:pt>
                <c:pt idx="2276">
                  <c:v>43367</c:v>
                </c:pt>
                <c:pt idx="2277">
                  <c:v>43368</c:v>
                </c:pt>
                <c:pt idx="2278">
                  <c:v>43369</c:v>
                </c:pt>
                <c:pt idx="2279">
                  <c:v>43370</c:v>
                </c:pt>
                <c:pt idx="2280">
                  <c:v>43371</c:v>
                </c:pt>
                <c:pt idx="2281">
                  <c:v>43374</c:v>
                </c:pt>
                <c:pt idx="2282">
                  <c:v>43375</c:v>
                </c:pt>
                <c:pt idx="2283">
                  <c:v>43376</c:v>
                </c:pt>
                <c:pt idx="2284">
                  <c:v>43377</c:v>
                </c:pt>
                <c:pt idx="2285">
                  <c:v>43378</c:v>
                </c:pt>
                <c:pt idx="2286">
                  <c:v>43381</c:v>
                </c:pt>
                <c:pt idx="2287">
                  <c:v>43382</c:v>
                </c:pt>
                <c:pt idx="2288">
                  <c:v>43383</c:v>
                </c:pt>
                <c:pt idx="2289">
                  <c:v>43384</c:v>
                </c:pt>
                <c:pt idx="2290">
                  <c:v>43385</c:v>
                </c:pt>
                <c:pt idx="2291">
                  <c:v>43388</c:v>
                </c:pt>
                <c:pt idx="2292">
                  <c:v>43389</c:v>
                </c:pt>
                <c:pt idx="2293">
                  <c:v>43390</c:v>
                </c:pt>
                <c:pt idx="2294">
                  <c:v>43391</c:v>
                </c:pt>
                <c:pt idx="2295">
                  <c:v>43392</c:v>
                </c:pt>
                <c:pt idx="2296">
                  <c:v>43395</c:v>
                </c:pt>
                <c:pt idx="2297">
                  <c:v>43396</c:v>
                </c:pt>
                <c:pt idx="2298">
                  <c:v>43397</c:v>
                </c:pt>
                <c:pt idx="2299">
                  <c:v>43398</c:v>
                </c:pt>
                <c:pt idx="2300">
                  <c:v>43399</c:v>
                </c:pt>
                <c:pt idx="2301">
                  <c:v>43402</c:v>
                </c:pt>
                <c:pt idx="2302">
                  <c:v>43403</c:v>
                </c:pt>
                <c:pt idx="2303">
                  <c:v>43404</c:v>
                </c:pt>
                <c:pt idx="2304">
                  <c:v>43405</c:v>
                </c:pt>
                <c:pt idx="2305">
                  <c:v>43406</c:v>
                </c:pt>
                <c:pt idx="2306">
                  <c:v>43409</c:v>
                </c:pt>
                <c:pt idx="2307">
                  <c:v>43410</c:v>
                </c:pt>
                <c:pt idx="2308">
                  <c:v>43411</c:v>
                </c:pt>
                <c:pt idx="2309">
                  <c:v>43412</c:v>
                </c:pt>
                <c:pt idx="2310">
                  <c:v>43413</c:v>
                </c:pt>
                <c:pt idx="2311">
                  <c:v>43416</c:v>
                </c:pt>
                <c:pt idx="2312">
                  <c:v>43417</c:v>
                </c:pt>
                <c:pt idx="2313">
                  <c:v>43418</c:v>
                </c:pt>
                <c:pt idx="2314">
                  <c:v>43419</c:v>
                </c:pt>
                <c:pt idx="2315">
                  <c:v>43420</c:v>
                </c:pt>
                <c:pt idx="2316">
                  <c:v>43423</c:v>
                </c:pt>
                <c:pt idx="2317">
                  <c:v>43424</c:v>
                </c:pt>
                <c:pt idx="2318">
                  <c:v>43425</c:v>
                </c:pt>
                <c:pt idx="2319">
                  <c:v>43426</c:v>
                </c:pt>
                <c:pt idx="2320">
                  <c:v>43427</c:v>
                </c:pt>
                <c:pt idx="2321">
                  <c:v>43430</c:v>
                </c:pt>
                <c:pt idx="2322">
                  <c:v>43431</c:v>
                </c:pt>
                <c:pt idx="2323">
                  <c:v>43432</c:v>
                </c:pt>
                <c:pt idx="2324">
                  <c:v>43433</c:v>
                </c:pt>
                <c:pt idx="2325">
                  <c:v>43434</c:v>
                </c:pt>
                <c:pt idx="2326">
                  <c:v>43437</c:v>
                </c:pt>
                <c:pt idx="2327">
                  <c:v>43438</c:v>
                </c:pt>
                <c:pt idx="2328">
                  <c:v>43439</c:v>
                </c:pt>
                <c:pt idx="2329">
                  <c:v>43440</c:v>
                </c:pt>
                <c:pt idx="2330">
                  <c:v>43441</c:v>
                </c:pt>
                <c:pt idx="2331">
                  <c:v>43444</c:v>
                </c:pt>
                <c:pt idx="2332">
                  <c:v>43445</c:v>
                </c:pt>
                <c:pt idx="2333">
                  <c:v>43446</c:v>
                </c:pt>
                <c:pt idx="2334">
                  <c:v>43447</c:v>
                </c:pt>
                <c:pt idx="2335">
                  <c:v>43448</c:v>
                </c:pt>
                <c:pt idx="2336">
                  <c:v>43451</c:v>
                </c:pt>
                <c:pt idx="2337">
                  <c:v>43452</c:v>
                </c:pt>
                <c:pt idx="2338">
                  <c:v>43453</c:v>
                </c:pt>
                <c:pt idx="2339">
                  <c:v>43454</c:v>
                </c:pt>
                <c:pt idx="2340">
                  <c:v>43455</c:v>
                </c:pt>
                <c:pt idx="2341">
                  <c:v>43458</c:v>
                </c:pt>
                <c:pt idx="2342">
                  <c:v>43459</c:v>
                </c:pt>
                <c:pt idx="2343">
                  <c:v>43460</c:v>
                </c:pt>
                <c:pt idx="2344">
                  <c:v>43461</c:v>
                </c:pt>
                <c:pt idx="2345">
                  <c:v>43462</c:v>
                </c:pt>
                <c:pt idx="2346">
                  <c:v>43465</c:v>
                </c:pt>
                <c:pt idx="2347">
                  <c:v>43466</c:v>
                </c:pt>
                <c:pt idx="2348">
                  <c:v>43467</c:v>
                </c:pt>
                <c:pt idx="2349">
                  <c:v>43468</c:v>
                </c:pt>
                <c:pt idx="2350">
                  <c:v>43469</c:v>
                </c:pt>
                <c:pt idx="2351">
                  <c:v>43472</c:v>
                </c:pt>
                <c:pt idx="2352">
                  <c:v>43473</c:v>
                </c:pt>
                <c:pt idx="2353">
                  <c:v>43474</c:v>
                </c:pt>
                <c:pt idx="2354">
                  <c:v>43475</c:v>
                </c:pt>
                <c:pt idx="2355">
                  <c:v>43476</c:v>
                </c:pt>
                <c:pt idx="2356">
                  <c:v>43479</c:v>
                </c:pt>
                <c:pt idx="2357">
                  <c:v>43480</c:v>
                </c:pt>
                <c:pt idx="2358">
                  <c:v>43481</c:v>
                </c:pt>
                <c:pt idx="2359">
                  <c:v>43482</c:v>
                </c:pt>
                <c:pt idx="2360">
                  <c:v>43483</c:v>
                </c:pt>
                <c:pt idx="2361">
                  <c:v>43486</c:v>
                </c:pt>
                <c:pt idx="2362">
                  <c:v>43487</c:v>
                </c:pt>
                <c:pt idx="2363">
                  <c:v>43488</c:v>
                </c:pt>
                <c:pt idx="2364">
                  <c:v>43489</c:v>
                </c:pt>
                <c:pt idx="2365">
                  <c:v>43490</c:v>
                </c:pt>
                <c:pt idx="2366">
                  <c:v>43493</c:v>
                </c:pt>
                <c:pt idx="2367">
                  <c:v>43494</c:v>
                </c:pt>
                <c:pt idx="2368">
                  <c:v>43495</c:v>
                </c:pt>
                <c:pt idx="2369">
                  <c:v>43496</c:v>
                </c:pt>
                <c:pt idx="2370">
                  <c:v>43497</c:v>
                </c:pt>
                <c:pt idx="2371">
                  <c:v>43500</c:v>
                </c:pt>
                <c:pt idx="2372">
                  <c:v>43501</c:v>
                </c:pt>
                <c:pt idx="2373">
                  <c:v>43502</c:v>
                </c:pt>
                <c:pt idx="2374">
                  <c:v>43503</c:v>
                </c:pt>
                <c:pt idx="2375">
                  <c:v>43504</c:v>
                </c:pt>
                <c:pt idx="2376">
                  <c:v>43507</c:v>
                </c:pt>
                <c:pt idx="2377">
                  <c:v>43508</c:v>
                </c:pt>
                <c:pt idx="2378">
                  <c:v>43509</c:v>
                </c:pt>
                <c:pt idx="2379">
                  <c:v>43510</c:v>
                </c:pt>
                <c:pt idx="2380">
                  <c:v>43511</c:v>
                </c:pt>
                <c:pt idx="2381">
                  <c:v>43514</c:v>
                </c:pt>
                <c:pt idx="2382">
                  <c:v>43515</c:v>
                </c:pt>
                <c:pt idx="2383">
                  <c:v>43516</c:v>
                </c:pt>
                <c:pt idx="2384">
                  <c:v>43517</c:v>
                </c:pt>
                <c:pt idx="2385">
                  <c:v>43518</c:v>
                </c:pt>
                <c:pt idx="2386">
                  <c:v>43521</c:v>
                </c:pt>
                <c:pt idx="2387">
                  <c:v>43522</c:v>
                </c:pt>
                <c:pt idx="2388">
                  <c:v>43523</c:v>
                </c:pt>
                <c:pt idx="2389">
                  <c:v>43524</c:v>
                </c:pt>
                <c:pt idx="2390">
                  <c:v>43525</c:v>
                </c:pt>
                <c:pt idx="2391">
                  <c:v>43528</c:v>
                </c:pt>
                <c:pt idx="2392">
                  <c:v>43529</c:v>
                </c:pt>
                <c:pt idx="2393">
                  <c:v>43530</c:v>
                </c:pt>
                <c:pt idx="2394">
                  <c:v>43531</c:v>
                </c:pt>
                <c:pt idx="2395">
                  <c:v>43532</c:v>
                </c:pt>
                <c:pt idx="2396">
                  <c:v>43535</c:v>
                </c:pt>
                <c:pt idx="2397">
                  <c:v>43536</c:v>
                </c:pt>
                <c:pt idx="2398">
                  <c:v>43537</c:v>
                </c:pt>
                <c:pt idx="2399">
                  <c:v>43538</c:v>
                </c:pt>
                <c:pt idx="2400">
                  <c:v>43539</c:v>
                </c:pt>
                <c:pt idx="2401">
                  <c:v>43542</c:v>
                </c:pt>
                <c:pt idx="2402">
                  <c:v>43543</c:v>
                </c:pt>
                <c:pt idx="2403">
                  <c:v>43544</c:v>
                </c:pt>
                <c:pt idx="2404">
                  <c:v>43545</c:v>
                </c:pt>
                <c:pt idx="2405">
                  <c:v>43546</c:v>
                </c:pt>
                <c:pt idx="2406">
                  <c:v>43549</c:v>
                </c:pt>
                <c:pt idx="2407">
                  <c:v>43550</c:v>
                </c:pt>
                <c:pt idx="2408">
                  <c:v>43551</c:v>
                </c:pt>
                <c:pt idx="2409">
                  <c:v>43552</c:v>
                </c:pt>
                <c:pt idx="2410">
                  <c:v>43553</c:v>
                </c:pt>
                <c:pt idx="2411">
                  <c:v>43556</c:v>
                </c:pt>
                <c:pt idx="2412">
                  <c:v>43557</c:v>
                </c:pt>
                <c:pt idx="2413">
                  <c:v>43558</c:v>
                </c:pt>
                <c:pt idx="2414">
                  <c:v>43559</c:v>
                </c:pt>
                <c:pt idx="2415">
                  <c:v>43560</c:v>
                </c:pt>
                <c:pt idx="2416">
                  <c:v>43563</c:v>
                </c:pt>
                <c:pt idx="2417">
                  <c:v>43564</c:v>
                </c:pt>
                <c:pt idx="2418">
                  <c:v>43565</c:v>
                </c:pt>
                <c:pt idx="2419">
                  <c:v>43566</c:v>
                </c:pt>
                <c:pt idx="2420">
                  <c:v>43567</c:v>
                </c:pt>
                <c:pt idx="2421">
                  <c:v>43570</c:v>
                </c:pt>
                <c:pt idx="2422">
                  <c:v>43571</c:v>
                </c:pt>
                <c:pt idx="2423">
                  <c:v>43572</c:v>
                </c:pt>
                <c:pt idx="2424">
                  <c:v>43573</c:v>
                </c:pt>
                <c:pt idx="2425">
                  <c:v>43574</c:v>
                </c:pt>
                <c:pt idx="2426">
                  <c:v>43577</c:v>
                </c:pt>
                <c:pt idx="2427">
                  <c:v>43578</c:v>
                </c:pt>
                <c:pt idx="2428">
                  <c:v>43579</c:v>
                </c:pt>
                <c:pt idx="2429">
                  <c:v>43580</c:v>
                </c:pt>
                <c:pt idx="2430">
                  <c:v>43581</c:v>
                </c:pt>
                <c:pt idx="2431">
                  <c:v>43584</c:v>
                </c:pt>
                <c:pt idx="2432">
                  <c:v>43585</c:v>
                </c:pt>
                <c:pt idx="2433">
                  <c:v>43586</c:v>
                </c:pt>
                <c:pt idx="2434">
                  <c:v>43587</c:v>
                </c:pt>
                <c:pt idx="2435">
                  <c:v>43588</c:v>
                </c:pt>
                <c:pt idx="2436">
                  <c:v>43591</c:v>
                </c:pt>
                <c:pt idx="2437">
                  <c:v>43592</c:v>
                </c:pt>
                <c:pt idx="2438">
                  <c:v>43593</c:v>
                </c:pt>
                <c:pt idx="2439">
                  <c:v>43594</c:v>
                </c:pt>
                <c:pt idx="2440">
                  <c:v>43595</c:v>
                </c:pt>
                <c:pt idx="2441">
                  <c:v>43598</c:v>
                </c:pt>
                <c:pt idx="2442">
                  <c:v>43599</c:v>
                </c:pt>
                <c:pt idx="2443">
                  <c:v>43600</c:v>
                </c:pt>
                <c:pt idx="2444">
                  <c:v>43601</c:v>
                </c:pt>
                <c:pt idx="2445">
                  <c:v>43602</c:v>
                </c:pt>
                <c:pt idx="2446">
                  <c:v>43605</c:v>
                </c:pt>
                <c:pt idx="2447">
                  <c:v>43606</c:v>
                </c:pt>
                <c:pt idx="2448">
                  <c:v>43607</c:v>
                </c:pt>
                <c:pt idx="2449">
                  <c:v>43608</c:v>
                </c:pt>
                <c:pt idx="2450">
                  <c:v>43609</c:v>
                </c:pt>
                <c:pt idx="2451">
                  <c:v>43612</c:v>
                </c:pt>
                <c:pt idx="2452">
                  <c:v>43613</c:v>
                </c:pt>
                <c:pt idx="2453">
                  <c:v>43614</c:v>
                </c:pt>
                <c:pt idx="2454">
                  <c:v>43615</c:v>
                </c:pt>
                <c:pt idx="2455">
                  <c:v>43616</c:v>
                </c:pt>
                <c:pt idx="2456">
                  <c:v>43619</c:v>
                </c:pt>
                <c:pt idx="2457">
                  <c:v>43620</c:v>
                </c:pt>
                <c:pt idx="2458">
                  <c:v>43621</c:v>
                </c:pt>
                <c:pt idx="2459">
                  <c:v>43622</c:v>
                </c:pt>
                <c:pt idx="2460">
                  <c:v>43623</c:v>
                </c:pt>
                <c:pt idx="2461">
                  <c:v>43626</c:v>
                </c:pt>
                <c:pt idx="2462">
                  <c:v>43627</c:v>
                </c:pt>
                <c:pt idx="2463">
                  <c:v>43628</c:v>
                </c:pt>
                <c:pt idx="2464">
                  <c:v>43629</c:v>
                </c:pt>
                <c:pt idx="2465">
                  <c:v>43630</c:v>
                </c:pt>
                <c:pt idx="2466">
                  <c:v>43633</c:v>
                </c:pt>
                <c:pt idx="2467">
                  <c:v>43634</c:v>
                </c:pt>
                <c:pt idx="2468">
                  <c:v>43635</c:v>
                </c:pt>
                <c:pt idx="2469">
                  <c:v>43636</c:v>
                </c:pt>
                <c:pt idx="2470">
                  <c:v>43637</c:v>
                </c:pt>
                <c:pt idx="2471">
                  <c:v>43640</c:v>
                </c:pt>
                <c:pt idx="2472">
                  <c:v>43641</c:v>
                </c:pt>
                <c:pt idx="2473">
                  <c:v>43642</c:v>
                </c:pt>
                <c:pt idx="2474">
                  <c:v>43643</c:v>
                </c:pt>
                <c:pt idx="2475">
                  <c:v>43644</c:v>
                </c:pt>
                <c:pt idx="2476">
                  <c:v>43647</c:v>
                </c:pt>
                <c:pt idx="2477">
                  <c:v>43648</c:v>
                </c:pt>
                <c:pt idx="2478">
                  <c:v>43649</c:v>
                </c:pt>
                <c:pt idx="2479">
                  <c:v>43650</c:v>
                </c:pt>
                <c:pt idx="2480">
                  <c:v>43651</c:v>
                </c:pt>
                <c:pt idx="2481">
                  <c:v>43654</c:v>
                </c:pt>
                <c:pt idx="2482">
                  <c:v>43655</c:v>
                </c:pt>
                <c:pt idx="2483">
                  <c:v>43656</c:v>
                </c:pt>
                <c:pt idx="2484">
                  <c:v>43657</c:v>
                </c:pt>
                <c:pt idx="2485">
                  <c:v>43658</c:v>
                </c:pt>
                <c:pt idx="2486">
                  <c:v>43661</c:v>
                </c:pt>
                <c:pt idx="2487">
                  <c:v>43662</c:v>
                </c:pt>
                <c:pt idx="2488">
                  <c:v>43663</c:v>
                </c:pt>
                <c:pt idx="2489">
                  <c:v>43664</c:v>
                </c:pt>
                <c:pt idx="2490">
                  <c:v>43665</c:v>
                </c:pt>
                <c:pt idx="2491">
                  <c:v>43668</c:v>
                </c:pt>
                <c:pt idx="2492">
                  <c:v>43669</c:v>
                </c:pt>
                <c:pt idx="2493">
                  <c:v>43670</c:v>
                </c:pt>
                <c:pt idx="2494">
                  <c:v>43671</c:v>
                </c:pt>
                <c:pt idx="2495">
                  <c:v>43672</c:v>
                </c:pt>
                <c:pt idx="2496">
                  <c:v>43675</c:v>
                </c:pt>
                <c:pt idx="2497">
                  <c:v>43676</c:v>
                </c:pt>
                <c:pt idx="2498">
                  <c:v>43677</c:v>
                </c:pt>
                <c:pt idx="2499">
                  <c:v>43678</c:v>
                </c:pt>
                <c:pt idx="2500">
                  <c:v>43679</c:v>
                </c:pt>
                <c:pt idx="2501">
                  <c:v>43682</c:v>
                </c:pt>
                <c:pt idx="2502">
                  <c:v>43683</c:v>
                </c:pt>
                <c:pt idx="2503">
                  <c:v>43684</c:v>
                </c:pt>
                <c:pt idx="2504">
                  <c:v>43685</c:v>
                </c:pt>
                <c:pt idx="2505">
                  <c:v>43686</c:v>
                </c:pt>
                <c:pt idx="2506">
                  <c:v>43689</c:v>
                </c:pt>
                <c:pt idx="2507">
                  <c:v>43690</c:v>
                </c:pt>
                <c:pt idx="2508">
                  <c:v>43691</c:v>
                </c:pt>
                <c:pt idx="2509">
                  <c:v>43692</c:v>
                </c:pt>
                <c:pt idx="2510">
                  <c:v>43693</c:v>
                </c:pt>
                <c:pt idx="2511">
                  <c:v>43696</c:v>
                </c:pt>
                <c:pt idx="2512">
                  <c:v>43697</c:v>
                </c:pt>
                <c:pt idx="2513">
                  <c:v>43698</c:v>
                </c:pt>
                <c:pt idx="2514">
                  <c:v>43699</c:v>
                </c:pt>
                <c:pt idx="2515">
                  <c:v>43700</c:v>
                </c:pt>
                <c:pt idx="2516">
                  <c:v>43703</c:v>
                </c:pt>
                <c:pt idx="2517">
                  <c:v>43704</c:v>
                </c:pt>
                <c:pt idx="2518">
                  <c:v>43705</c:v>
                </c:pt>
                <c:pt idx="2519">
                  <c:v>43706</c:v>
                </c:pt>
                <c:pt idx="2520">
                  <c:v>43707</c:v>
                </c:pt>
                <c:pt idx="2521">
                  <c:v>43710</c:v>
                </c:pt>
                <c:pt idx="2522">
                  <c:v>43711</c:v>
                </c:pt>
                <c:pt idx="2523">
                  <c:v>43712</c:v>
                </c:pt>
                <c:pt idx="2524">
                  <c:v>43713</c:v>
                </c:pt>
                <c:pt idx="2525">
                  <c:v>43714</c:v>
                </c:pt>
                <c:pt idx="2526">
                  <c:v>43717</c:v>
                </c:pt>
                <c:pt idx="2527">
                  <c:v>43718</c:v>
                </c:pt>
                <c:pt idx="2528">
                  <c:v>43719</c:v>
                </c:pt>
                <c:pt idx="2529">
                  <c:v>43720</c:v>
                </c:pt>
                <c:pt idx="2530">
                  <c:v>43721</c:v>
                </c:pt>
                <c:pt idx="2531">
                  <c:v>43724</c:v>
                </c:pt>
                <c:pt idx="2532">
                  <c:v>43725</c:v>
                </c:pt>
                <c:pt idx="2533">
                  <c:v>43726</c:v>
                </c:pt>
                <c:pt idx="2534">
                  <c:v>43727</c:v>
                </c:pt>
                <c:pt idx="2535">
                  <c:v>43728</c:v>
                </c:pt>
                <c:pt idx="2536">
                  <c:v>43731</c:v>
                </c:pt>
                <c:pt idx="2537">
                  <c:v>43732</c:v>
                </c:pt>
                <c:pt idx="2538">
                  <c:v>43733</c:v>
                </c:pt>
                <c:pt idx="2539">
                  <c:v>43734</c:v>
                </c:pt>
                <c:pt idx="2540">
                  <c:v>43735</c:v>
                </c:pt>
                <c:pt idx="2541">
                  <c:v>43738</c:v>
                </c:pt>
                <c:pt idx="2542">
                  <c:v>43739</c:v>
                </c:pt>
                <c:pt idx="2543">
                  <c:v>43740</c:v>
                </c:pt>
                <c:pt idx="2544">
                  <c:v>43741</c:v>
                </c:pt>
                <c:pt idx="2545">
                  <c:v>43742</c:v>
                </c:pt>
                <c:pt idx="2546">
                  <c:v>43745</c:v>
                </c:pt>
                <c:pt idx="2547">
                  <c:v>43746</c:v>
                </c:pt>
                <c:pt idx="2548">
                  <c:v>43747</c:v>
                </c:pt>
                <c:pt idx="2549">
                  <c:v>43748</c:v>
                </c:pt>
                <c:pt idx="2550">
                  <c:v>43749</c:v>
                </c:pt>
                <c:pt idx="2551">
                  <c:v>43752</c:v>
                </c:pt>
                <c:pt idx="2552">
                  <c:v>43753</c:v>
                </c:pt>
                <c:pt idx="2553">
                  <c:v>43754</c:v>
                </c:pt>
                <c:pt idx="2554">
                  <c:v>43755</c:v>
                </c:pt>
                <c:pt idx="2555">
                  <c:v>43756</c:v>
                </c:pt>
                <c:pt idx="2556">
                  <c:v>43759</c:v>
                </c:pt>
                <c:pt idx="2557">
                  <c:v>43760</c:v>
                </c:pt>
                <c:pt idx="2558">
                  <c:v>43761</c:v>
                </c:pt>
                <c:pt idx="2559">
                  <c:v>43762</c:v>
                </c:pt>
                <c:pt idx="2560">
                  <c:v>43763</c:v>
                </c:pt>
                <c:pt idx="2561">
                  <c:v>43766</c:v>
                </c:pt>
                <c:pt idx="2562">
                  <c:v>43767</c:v>
                </c:pt>
                <c:pt idx="2563">
                  <c:v>43768</c:v>
                </c:pt>
                <c:pt idx="2564">
                  <c:v>43769</c:v>
                </c:pt>
                <c:pt idx="2565">
                  <c:v>43770</c:v>
                </c:pt>
                <c:pt idx="2566">
                  <c:v>43773</c:v>
                </c:pt>
                <c:pt idx="2567">
                  <c:v>43774</c:v>
                </c:pt>
                <c:pt idx="2568">
                  <c:v>43775</c:v>
                </c:pt>
                <c:pt idx="2569">
                  <c:v>43776</c:v>
                </c:pt>
                <c:pt idx="2570">
                  <c:v>43777</c:v>
                </c:pt>
                <c:pt idx="2571">
                  <c:v>43780</c:v>
                </c:pt>
                <c:pt idx="2572">
                  <c:v>43781</c:v>
                </c:pt>
                <c:pt idx="2573">
                  <c:v>43782</c:v>
                </c:pt>
                <c:pt idx="2574">
                  <c:v>43783</c:v>
                </c:pt>
                <c:pt idx="2575">
                  <c:v>43784</c:v>
                </c:pt>
                <c:pt idx="2576">
                  <c:v>43787</c:v>
                </c:pt>
                <c:pt idx="2577">
                  <c:v>43788</c:v>
                </c:pt>
                <c:pt idx="2578">
                  <c:v>43789</c:v>
                </c:pt>
                <c:pt idx="2579">
                  <c:v>43790</c:v>
                </c:pt>
                <c:pt idx="2580">
                  <c:v>43791</c:v>
                </c:pt>
                <c:pt idx="2581">
                  <c:v>43794</c:v>
                </c:pt>
                <c:pt idx="2582">
                  <c:v>43795</c:v>
                </c:pt>
                <c:pt idx="2583">
                  <c:v>43796</c:v>
                </c:pt>
                <c:pt idx="2584">
                  <c:v>43797</c:v>
                </c:pt>
                <c:pt idx="2585">
                  <c:v>43798</c:v>
                </c:pt>
                <c:pt idx="2586">
                  <c:v>43801</c:v>
                </c:pt>
                <c:pt idx="2587">
                  <c:v>43802</c:v>
                </c:pt>
                <c:pt idx="2588">
                  <c:v>43803</c:v>
                </c:pt>
                <c:pt idx="2589">
                  <c:v>43804</c:v>
                </c:pt>
                <c:pt idx="2590">
                  <c:v>43805</c:v>
                </c:pt>
                <c:pt idx="2591">
                  <c:v>43808</c:v>
                </c:pt>
                <c:pt idx="2592">
                  <c:v>43809</c:v>
                </c:pt>
                <c:pt idx="2593">
                  <c:v>43810</c:v>
                </c:pt>
                <c:pt idx="2594">
                  <c:v>43811</c:v>
                </c:pt>
                <c:pt idx="2595">
                  <c:v>43812</c:v>
                </c:pt>
                <c:pt idx="2596">
                  <c:v>43815</c:v>
                </c:pt>
                <c:pt idx="2597">
                  <c:v>43816</c:v>
                </c:pt>
                <c:pt idx="2598">
                  <c:v>43817</c:v>
                </c:pt>
                <c:pt idx="2599">
                  <c:v>43818</c:v>
                </c:pt>
                <c:pt idx="2600">
                  <c:v>43819</c:v>
                </c:pt>
                <c:pt idx="2601">
                  <c:v>43822</c:v>
                </c:pt>
                <c:pt idx="2602">
                  <c:v>43823</c:v>
                </c:pt>
                <c:pt idx="2603">
                  <c:v>43824</c:v>
                </c:pt>
                <c:pt idx="2604">
                  <c:v>43825</c:v>
                </c:pt>
                <c:pt idx="2605">
                  <c:v>43826</c:v>
                </c:pt>
                <c:pt idx="2606">
                  <c:v>43829</c:v>
                </c:pt>
                <c:pt idx="2607">
                  <c:v>43830</c:v>
                </c:pt>
                <c:pt idx="2608">
                  <c:v>43831</c:v>
                </c:pt>
                <c:pt idx="2609">
                  <c:v>43832</c:v>
                </c:pt>
                <c:pt idx="2610">
                  <c:v>43833</c:v>
                </c:pt>
                <c:pt idx="2611">
                  <c:v>43836</c:v>
                </c:pt>
                <c:pt idx="2612">
                  <c:v>43837</c:v>
                </c:pt>
                <c:pt idx="2613">
                  <c:v>43838</c:v>
                </c:pt>
                <c:pt idx="2614">
                  <c:v>43839</c:v>
                </c:pt>
                <c:pt idx="2615">
                  <c:v>43840</c:v>
                </c:pt>
                <c:pt idx="2616">
                  <c:v>43843</c:v>
                </c:pt>
                <c:pt idx="2617">
                  <c:v>43844</c:v>
                </c:pt>
                <c:pt idx="2618">
                  <c:v>43845</c:v>
                </c:pt>
                <c:pt idx="2619">
                  <c:v>43846</c:v>
                </c:pt>
                <c:pt idx="2620">
                  <c:v>43847</c:v>
                </c:pt>
                <c:pt idx="2621">
                  <c:v>43850</c:v>
                </c:pt>
                <c:pt idx="2622">
                  <c:v>43851</c:v>
                </c:pt>
                <c:pt idx="2623">
                  <c:v>43852</c:v>
                </c:pt>
                <c:pt idx="2624">
                  <c:v>43853</c:v>
                </c:pt>
                <c:pt idx="2625">
                  <c:v>43854</c:v>
                </c:pt>
                <c:pt idx="2626">
                  <c:v>43857</c:v>
                </c:pt>
                <c:pt idx="2627">
                  <c:v>43858</c:v>
                </c:pt>
                <c:pt idx="2628">
                  <c:v>43859</c:v>
                </c:pt>
                <c:pt idx="2629">
                  <c:v>43860</c:v>
                </c:pt>
                <c:pt idx="2630">
                  <c:v>43861</c:v>
                </c:pt>
                <c:pt idx="2631">
                  <c:v>43864</c:v>
                </c:pt>
                <c:pt idx="2632">
                  <c:v>43865</c:v>
                </c:pt>
                <c:pt idx="2633">
                  <c:v>43866</c:v>
                </c:pt>
                <c:pt idx="2634">
                  <c:v>43867</c:v>
                </c:pt>
                <c:pt idx="2635">
                  <c:v>43868</c:v>
                </c:pt>
                <c:pt idx="2636">
                  <c:v>43871</c:v>
                </c:pt>
                <c:pt idx="2637">
                  <c:v>43872</c:v>
                </c:pt>
                <c:pt idx="2638">
                  <c:v>43873</c:v>
                </c:pt>
                <c:pt idx="2639">
                  <c:v>43874</c:v>
                </c:pt>
                <c:pt idx="2640">
                  <c:v>43875</c:v>
                </c:pt>
                <c:pt idx="2641">
                  <c:v>43878</c:v>
                </c:pt>
                <c:pt idx="2642">
                  <c:v>43879</c:v>
                </c:pt>
                <c:pt idx="2643">
                  <c:v>43880</c:v>
                </c:pt>
                <c:pt idx="2644">
                  <c:v>43881</c:v>
                </c:pt>
                <c:pt idx="2645">
                  <c:v>43882</c:v>
                </c:pt>
                <c:pt idx="2646">
                  <c:v>43885</c:v>
                </c:pt>
                <c:pt idx="2647">
                  <c:v>43886</c:v>
                </c:pt>
                <c:pt idx="2648">
                  <c:v>43887</c:v>
                </c:pt>
                <c:pt idx="2649">
                  <c:v>43888</c:v>
                </c:pt>
                <c:pt idx="2650">
                  <c:v>43889</c:v>
                </c:pt>
                <c:pt idx="2651">
                  <c:v>43892</c:v>
                </c:pt>
                <c:pt idx="2652">
                  <c:v>43893</c:v>
                </c:pt>
                <c:pt idx="2653">
                  <c:v>43894</c:v>
                </c:pt>
                <c:pt idx="2654">
                  <c:v>43895</c:v>
                </c:pt>
                <c:pt idx="2655">
                  <c:v>43896</c:v>
                </c:pt>
                <c:pt idx="2656">
                  <c:v>43899</c:v>
                </c:pt>
                <c:pt idx="2657">
                  <c:v>43900</c:v>
                </c:pt>
                <c:pt idx="2658">
                  <c:v>43901</c:v>
                </c:pt>
                <c:pt idx="2659">
                  <c:v>43902</c:v>
                </c:pt>
                <c:pt idx="2660">
                  <c:v>43903</c:v>
                </c:pt>
                <c:pt idx="2661">
                  <c:v>43906</c:v>
                </c:pt>
                <c:pt idx="2662">
                  <c:v>43907</c:v>
                </c:pt>
                <c:pt idx="2663">
                  <c:v>43908</c:v>
                </c:pt>
                <c:pt idx="2664">
                  <c:v>43909</c:v>
                </c:pt>
                <c:pt idx="2665">
                  <c:v>43910</c:v>
                </c:pt>
                <c:pt idx="2666">
                  <c:v>43913</c:v>
                </c:pt>
                <c:pt idx="2667">
                  <c:v>43914</c:v>
                </c:pt>
                <c:pt idx="2668">
                  <c:v>43915</c:v>
                </c:pt>
                <c:pt idx="2669">
                  <c:v>43916</c:v>
                </c:pt>
                <c:pt idx="2670">
                  <c:v>43917</c:v>
                </c:pt>
                <c:pt idx="2671">
                  <c:v>43920</c:v>
                </c:pt>
                <c:pt idx="2672">
                  <c:v>43921</c:v>
                </c:pt>
              </c:numCache>
            </c:numRef>
          </c:cat>
          <c:val>
            <c:numRef>
              <c:f>Hoja1!$B$2:$B$2674</c:f>
              <c:numCache>
                <c:formatCode>#,##0.00</c:formatCode>
                <c:ptCount val="2673"/>
                <c:pt idx="0">
                  <c:v>66.149999999999991</c:v>
                </c:pt>
                <c:pt idx="1">
                  <c:v>67.83</c:v>
                </c:pt>
                <c:pt idx="2">
                  <c:v>67.83</c:v>
                </c:pt>
                <c:pt idx="3">
                  <c:v>68.144999999999996</c:v>
                </c:pt>
                <c:pt idx="4">
                  <c:v>69.09</c:v>
                </c:pt>
                <c:pt idx="5">
                  <c:v>69.510000000000005</c:v>
                </c:pt>
                <c:pt idx="6">
                  <c:v>70.034999999999997</c:v>
                </c:pt>
                <c:pt idx="7">
                  <c:v>66.36</c:v>
                </c:pt>
                <c:pt idx="8">
                  <c:v>64.680000000000007</c:v>
                </c:pt>
                <c:pt idx="9">
                  <c:v>63</c:v>
                </c:pt>
                <c:pt idx="10">
                  <c:v>62.58</c:v>
                </c:pt>
                <c:pt idx="11">
                  <c:v>62.58</c:v>
                </c:pt>
                <c:pt idx="12">
                  <c:v>65.31</c:v>
                </c:pt>
                <c:pt idx="13">
                  <c:v>68.040000000000006</c:v>
                </c:pt>
                <c:pt idx="14">
                  <c:v>68.040000000000006</c:v>
                </c:pt>
                <c:pt idx="15">
                  <c:v>68.25</c:v>
                </c:pt>
                <c:pt idx="16">
                  <c:v>67.41</c:v>
                </c:pt>
                <c:pt idx="17">
                  <c:v>66.465000000000003</c:v>
                </c:pt>
                <c:pt idx="18">
                  <c:v>66.569999999999993</c:v>
                </c:pt>
                <c:pt idx="19">
                  <c:v>65.100000000000009</c:v>
                </c:pt>
                <c:pt idx="20">
                  <c:v>63.84</c:v>
                </c:pt>
                <c:pt idx="21">
                  <c:v>64.155000000000001</c:v>
                </c:pt>
                <c:pt idx="22">
                  <c:v>64.575000000000003</c:v>
                </c:pt>
                <c:pt idx="23">
                  <c:v>64.47</c:v>
                </c:pt>
                <c:pt idx="24">
                  <c:v>60.795000000000002</c:v>
                </c:pt>
                <c:pt idx="25">
                  <c:v>60.795000000000002</c:v>
                </c:pt>
                <c:pt idx="26">
                  <c:v>61.844999999999999</c:v>
                </c:pt>
                <c:pt idx="27">
                  <c:v>62.790000000000006</c:v>
                </c:pt>
                <c:pt idx="28">
                  <c:v>63.315000000000005</c:v>
                </c:pt>
                <c:pt idx="29">
                  <c:v>62.475000000000001</c:v>
                </c:pt>
                <c:pt idx="30">
                  <c:v>61.11</c:v>
                </c:pt>
                <c:pt idx="31">
                  <c:v>61.11</c:v>
                </c:pt>
                <c:pt idx="32">
                  <c:v>61.11</c:v>
                </c:pt>
                <c:pt idx="33">
                  <c:v>60.9</c:v>
                </c:pt>
                <c:pt idx="34">
                  <c:v>61.004999999999995</c:v>
                </c:pt>
                <c:pt idx="35">
                  <c:v>62.265000000000001</c:v>
                </c:pt>
                <c:pt idx="36">
                  <c:v>62.475000000000001</c:v>
                </c:pt>
                <c:pt idx="37">
                  <c:v>63</c:v>
                </c:pt>
                <c:pt idx="38">
                  <c:v>63.209999999999994</c:v>
                </c:pt>
                <c:pt idx="39">
                  <c:v>66.254999999999995</c:v>
                </c:pt>
                <c:pt idx="40">
                  <c:v>66.254999999999995</c:v>
                </c:pt>
                <c:pt idx="41">
                  <c:v>66.254999999999995</c:v>
                </c:pt>
                <c:pt idx="42">
                  <c:v>62.475000000000001</c:v>
                </c:pt>
                <c:pt idx="43">
                  <c:v>62.265000000000001</c:v>
                </c:pt>
                <c:pt idx="44">
                  <c:v>62.265000000000001</c:v>
                </c:pt>
                <c:pt idx="45">
                  <c:v>62.370000000000005</c:v>
                </c:pt>
                <c:pt idx="46">
                  <c:v>62.475000000000001</c:v>
                </c:pt>
                <c:pt idx="47">
                  <c:v>62.16</c:v>
                </c:pt>
                <c:pt idx="48">
                  <c:v>62.055</c:v>
                </c:pt>
                <c:pt idx="49">
                  <c:v>61.215000000000003</c:v>
                </c:pt>
                <c:pt idx="50">
                  <c:v>60.690000000000005</c:v>
                </c:pt>
                <c:pt idx="51">
                  <c:v>58.905000000000001</c:v>
                </c:pt>
                <c:pt idx="52">
                  <c:v>59.115000000000002</c:v>
                </c:pt>
                <c:pt idx="53">
                  <c:v>61.11</c:v>
                </c:pt>
                <c:pt idx="54">
                  <c:v>61.11</c:v>
                </c:pt>
                <c:pt idx="55">
                  <c:v>61.95</c:v>
                </c:pt>
                <c:pt idx="56">
                  <c:v>62.370000000000005</c:v>
                </c:pt>
                <c:pt idx="57">
                  <c:v>62.370000000000005</c:v>
                </c:pt>
                <c:pt idx="58">
                  <c:v>61.74</c:v>
                </c:pt>
                <c:pt idx="59">
                  <c:v>61.53</c:v>
                </c:pt>
                <c:pt idx="60">
                  <c:v>61.11</c:v>
                </c:pt>
                <c:pt idx="61">
                  <c:v>61.004999999999995</c:v>
                </c:pt>
                <c:pt idx="62">
                  <c:v>60.795000000000002</c:v>
                </c:pt>
                <c:pt idx="63">
                  <c:v>60.9</c:v>
                </c:pt>
                <c:pt idx="64">
                  <c:v>61.74</c:v>
                </c:pt>
                <c:pt idx="65">
                  <c:v>61.74</c:v>
                </c:pt>
                <c:pt idx="66">
                  <c:v>62.684999999999995</c:v>
                </c:pt>
                <c:pt idx="67">
                  <c:v>62.790000000000006</c:v>
                </c:pt>
                <c:pt idx="68">
                  <c:v>62.58</c:v>
                </c:pt>
                <c:pt idx="69">
                  <c:v>61.634999999999998</c:v>
                </c:pt>
                <c:pt idx="70">
                  <c:v>61.74</c:v>
                </c:pt>
                <c:pt idx="71">
                  <c:v>62.16</c:v>
                </c:pt>
                <c:pt idx="72">
                  <c:v>62.370000000000005</c:v>
                </c:pt>
                <c:pt idx="73">
                  <c:v>64.05</c:v>
                </c:pt>
                <c:pt idx="74">
                  <c:v>63.84</c:v>
                </c:pt>
                <c:pt idx="75">
                  <c:v>63.84</c:v>
                </c:pt>
                <c:pt idx="76">
                  <c:v>64.995000000000005</c:v>
                </c:pt>
                <c:pt idx="77">
                  <c:v>66.989999999999995</c:v>
                </c:pt>
                <c:pt idx="78">
                  <c:v>68.355000000000004</c:v>
                </c:pt>
                <c:pt idx="79">
                  <c:v>68.355000000000004</c:v>
                </c:pt>
                <c:pt idx="80">
                  <c:v>68.355000000000004</c:v>
                </c:pt>
                <c:pt idx="81">
                  <c:v>67.725000000000009</c:v>
                </c:pt>
                <c:pt idx="82">
                  <c:v>68.67</c:v>
                </c:pt>
                <c:pt idx="83">
                  <c:v>68.25</c:v>
                </c:pt>
                <c:pt idx="84">
                  <c:v>68.459999999999994</c:v>
                </c:pt>
                <c:pt idx="85">
                  <c:v>65.94</c:v>
                </c:pt>
                <c:pt idx="86">
                  <c:v>66.78</c:v>
                </c:pt>
                <c:pt idx="87">
                  <c:v>65.52</c:v>
                </c:pt>
                <c:pt idx="88">
                  <c:v>63.84</c:v>
                </c:pt>
                <c:pt idx="89">
                  <c:v>60.9</c:v>
                </c:pt>
                <c:pt idx="90">
                  <c:v>59.64</c:v>
                </c:pt>
                <c:pt idx="91">
                  <c:v>60.9</c:v>
                </c:pt>
                <c:pt idx="92">
                  <c:v>60.690000000000005</c:v>
                </c:pt>
                <c:pt idx="93">
                  <c:v>60.690000000000005</c:v>
                </c:pt>
                <c:pt idx="94">
                  <c:v>60.48</c:v>
                </c:pt>
                <c:pt idx="95">
                  <c:v>58.8</c:v>
                </c:pt>
                <c:pt idx="96">
                  <c:v>58.8</c:v>
                </c:pt>
                <c:pt idx="97">
                  <c:v>58.17</c:v>
                </c:pt>
                <c:pt idx="98">
                  <c:v>56.174999999999997</c:v>
                </c:pt>
                <c:pt idx="99">
                  <c:v>54.39</c:v>
                </c:pt>
                <c:pt idx="100">
                  <c:v>54.39</c:v>
                </c:pt>
                <c:pt idx="101">
                  <c:v>55.86</c:v>
                </c:pt>
                <c:pt idx="102">
                  <c:v>56.07</c:v>
                </c:pt>
                <c:pt idx="103">
                  <c:v>60.48</c:v>
                </c:pt>
                <c:pt idx="104">
                  <c:v>63.734999999999999</c:v>
                </c:pt>
                <c:pt idx="105">
                  <c:v>62.370000000000005</c:v>
                </c:pt>
                <c:pt idx="106">
                  <c:v>62.370000000000005</c:v>
                </c:pt>
                <c:pt idx="107">
                  <c:v>60.584999999999994</c:v>
                </c:pt>
                <c:pt idx="108">
                  <c:v>61.53</c:v>
                </c:pt>
                <c:pt idx="109">
                  <c:v>62.370000000000005</c:v>
                </c:pt>
                <c:pt idx="110">
                  <c:v>61.424999999999997</c:v>
                </c:pt>
                <c:pt idx="111">
                  <c:v>61.215000000000003</c:v>
                </c:pt>
                <c:pt idx="112">
                  <c:v>61.215000000000003</c:v>
                </c:pt>
                <c:pt idx="113">
                  <c:v>61.11</c:v>
                </c:pt>
                <c:pt idx="114">
                  <c:v>60.690000000000005</c:v>
                </c:pt>
                <c:pt idx="115">
                  <c:v>59.954999999999998</c:v>
                </c:pt>
                <c:pt idx="116">
                  <c:v>60.059999999999995</c:v>
                </c:pt>
                <c:pt idx="117">
                  <c:v>60.165000000000006</c:v>
                </c:pt>
                <c:pt idx="118">
                  <c:v>59.954999999999998</c:v>
                </c:pt>
                <c:pt idx="119">
                  <c:v>60.059999999999995</c:v>
                </c:pt>
                <c:pt idx="120">
                  <c:v>60.059999999999995</c:v>
                </c:pt>
                <c:pt idx="121">
                  <c:v>60.48</c:v>
                </c:pt>
                <c:pt idx="122">
                  <c:v>60.27</c:v>
                </c:pt>
                <c:pt idx="123">
                  <c:v>58.484999999999999</c:v>
                </c:pt>
                <c:pt idx="124">
                  <c:v>58.749600000000001</c:v>
                </c:pt>
                <c:pt idx="125">
                  <c:v>60.48</c:v>
                </c:pt>
                <c:pt idx="126">
                  <c:v>59.01</c:v>
                </c:pt>
                <c:pt idx="127">
                  <c:v>56.49</c:v>
                </c:pt>
                <c:pt idx="128">
                  <c:v>56.07</c:v>
                </c:pt>
                <c:pt idx="129">
                  <c:v>54.39</c:v>
                </c:pt>
                <c:pt idx="130">
                  <c:v>54.39</c:v>
                </c:pt>
                <c:pt idx="131">
                  <c:v>54.39</c:v>
                </c:pt>
                <c:pt idx="132">
                  <c:v>54.39</c:v>
                </c:pt>
                <c:pt idx="133">
                  <c:v>54.39</c:v>
                </c:pt>
                <c:pt idx="134">
                  <c:v>55.86</c:v>
                </c:pt>
                <c:pt idx="135">
                  <c:v>56.07</c:v>
                </c:pt>
                <c:pt idx="136">
                  <c:v>55.65</c:v>
                </c:pt>
                <c:pt idx="137">
                  <c:v>56.7</c:v>
                </c:pt>
                <c:pt idx="138">
                  <c:v>56.7</c:v>
                </c:pt>
                <c:pt idx="139">
                  <c:v>56.7</c:v>
                </c:pt>
                <c:pt idx="140">
                  <c:v>56.49</c:v>
                </c:pt>
                <c:pt idx="141">
                  <c:v>56.7</c:v>
                </c:pt>
                <c:pt idx="142">
                  <c:v>57.015000000000001</c:v>
                </c:pt>
                <c:pt idx="143">
                  <c:v>56.91</c:v>
                </c:pt>
                <c:pt idx="144">
                  <c:v>57.959999999999994</c:v>
                </c:pt>
                <c:pt idx="145">
                  <c:v>60.9</c:v>
                </c:pt>
                <c:pt idx="146">
                  <c:v>58.8</c:v>
                </c:pt>
                <c:pt idx="147">
                  <c:v>58.59</c:v>
                </c:pt>
                <c:pt idx="148">
                  <c:v>57.645000000000003</c:v>
                </c:pt>
                <c:pt idx="149">
                  <c:v>58.379999999999995</c:v>
                </c:pt>
                <c:pt idx="150">
                  <c:v>58.274999999999999</c:v>
                </c:pt>
                <c:pt idx="151">
                  <c:v>61.32</c:v>
                </c:pt>
                <c:pt idx="152">
                  <c:v>61.32</c:v>
                </c:pt>
                <c:pt idx="153">
                  <c:v>61.32</c:v>
                </c:pt>
                <c:pt idx="154">
                  <c:v>60.9</c:v>
                </c:pt>
                <c:pt idx="155">
                  <c:v>60.059999999999995</c:v>
                </c:pt>
                <c:pt idx="156">
                  <c:v>60.059999999999995</c:v>
                </c:pt>
                <c:pt idx="157">
                  <c:v>59.43</c:v>
                </c:pt>
                <c:pt idx="158">
                  <c:v>57.33</c:v>
                </c:pt>
                <c:pt idx="159">
                  <c:v>55.754999999999995</c:v>
                </c:pt>
                <c:pt idx="160">
                  <c:v>55.65</c:v>
                </c:pt>
                <c:pt idx="161">
                  <c:v>55.334999999999994</c:v>
                </c:pt>
                <c:pt idx="162">
                  <c:v>56.384999999999998</c:v>
                </c:pt>
                <c:pt idx="163">
                  <c:v>56.49</c:v>
                </c:pt>
                <c:pt idx="164">
                  <c:v>56.28</c:v>
                </c:pt>
                <c:pt idx="165">
                  <c:v>56.174999999999997</c:v>
                </c:pt>
                <c:pt idx="166">
                  <c:v>56.384999999999998</c:v>
                </c:pt>
                <c:pt idx="167">
                  <c:v>55.545000000000002</c:v>
                </c:pt>
                <c:pt idx="168">
                  <c:v>55.545000000000002</c:v>
                </c:pt>
                <c:pt idx="169">
                  <c:v>55.65</c:v>
                </c:pt>
                <c:pt idx="170">
                  <c:v>56.7</c:v>
                </c:pt>
                <c:pt idx="171">
                  <c:v>56.49</c:v>
                </c:pt>
                <c:pt idx="172">
                  <c:v>57.120000000000005</c:v>
                </c:pt>
                <c:pt idx="173">
                  <c:v>57.75</c:v>
                </c:pt>
                <c:pt idx="174">
                  <c:v>58.065000000000005</c:v>
                </c:pt>
                <c:pt idx="175">
                  <c:v>58.274999999999999</c:v>
                </c:pt>
                <c:pt idx="176">
                  <c:v>58.274999999999999</c:v>
                </c:pt>
                <c:pt idx="177">
                  <c:v>58.274999999999999</c:v>
                </c:pt>
                <c:pt idx="178">
                  <c:v>58.8</c:v>
                </c:pt>
                <c:pt idx="179">
                  <c:v>59.534999999999997</c:v>
                </c:pt>
                <c:pt idx="180">
                  <c:v>60.48</c:v>
                </c:pt>
                <c:pt idx="181">
                  <c:v>60.9</c:v>
                </c:pt>
                <c:pt idx="182">
                  <c:v>60.690000000000005</c:v>
                </c:pt>
                <c:pt idx="183">
                  <c:v>60.690000000000005</c:v>
                </c:pt>
                <c:pt idx="184">
                  <c:v>60.059999999999995</c:v>
                </c:pt>
                <c:pt idx="185">
                  <c:v>60.9</c:v>
                </c:pt>
                <c:pt idx="186">
                  <c:v>60.375</c:v>
                </c:pt>
                <c:pt idx="187">
                  <c:v>60.48</c:v>
                </c:pt>
                <c:pt idx="188">
                  <c:v>60.375</c:v>
                </c:pt>
                <c:pt idx="189">
                  <c:v>60.795000000000002</c:v>
                </c:pt>
                <c:pt idx="190">
                  <c:v>60.9</c:v>
                </c:pt>
                <c:pt idx="191">
                  <c:v>60.690000000000005</c:v>
                </c:pt>
                <c:pt idx="192">
                  <c:v>60.9</c:v>
                </c:pt>
                <c:pt idx="193">
                  <c:v>61.634999999999998</c:v>
                </c:pt>
                <c:pt idx="194">
                  <c:v>62.475000000000001</c:v>
                </c:pt>
                <c:pt idx="195">
                  <c:v>64.575000000000003</c:v>
                </c:pt>
                <c:pt idx="196">
                  <c:v>65.31</c:v>
                </c:pt>
                <c:pt idx="197">
                  <c:v>66.045000000000002</c:v>
                </c:pt>
                <c:pt idx="198">
                  <c:v>66.045000000000002</c:v>
                </c:pt>
                <c:pt idx="199">
                  <c:v>65.625</c:v>
                </c:pt>
                <c:pt idx="200">
                  <c:v>65.73</c:v>
                </c:pt>
                <c:pt idx="201">
                  <c:v>65.625</c:v>
                </c:pt>
                <c:pt idx="202">
                  <c:v>65.415000000000006</c:v>
                </c:pt>
                <c:pt idx="203">
                  <c:v>66.36</c:v>
                </c:pt>
                <c:pt idx="204">
                  <c:v>65.834999999999994</c:v>
                </c:pt>
                <c:pt idx="205">
                  <c:v>65.31</c:v>
                </c:pt>
                <c:pt idx="206">
                  <c:v>65.834999999999994</c:v>
                </c:pt>
                <c:pt idx="207">
                  <c:v>62.895000000000003</c:v>
                </c:pt>
                <c:pt idx="208">
                  <c:v>64.155000000000001</c:v>
                </c:pt>
                <c:pt idx="209">
                  <c:v>63.629999999999995</c:v>
                </c:pt>
                <c:pt idx="210">
                  <c:v>64.260000000000005</c:v>
                </c:pt>
                <c:pt idx="211">
                  <c:v>64.364999999999995</c:v>
                </c:pt>
                <c:pt idx="212">
                  <c:v>64.680000000000007</c:v>
                </c:pt>
                <c:pt idx="213">
                  <c:v>64.05</c:v>
                </c:pt>
                <c:pt idx="214">
                  <c:v>64.784999999999997</c:v>
                </c:pt>
                <c:pt idx="215">
                  <c:v>64.260000000000005</c:v>
                </c:pt>
                <c:pt idx="216">
                  <c:v>65.94</c:v>
                </c:pt>
                <c:pt idx="217">
                  <c:v>66.36</c:v>
                </c:pt>
                <c:pt idx="218">
                  <c:v>66.78</c:v>
                </c:pt>
                <c:pt idx="219">
                  <c:v>67.41</c:v>
                </c:pt>
                <c:pt idx="220">
                  <c:v>67.725000000000009</c:v>
                </c:pt>
                <c:pt idx="221">
                  <c:v>67.725000000000009</c:v>
                </c:pt>
                <c:pt idx="222">
                  <c:v>67.935000000000002</c:v>
                </c:pt>
                <c:pt idx="223">
                  <c:v>68.459999999999994</c:v>
                </c:pt>
                <c:pt idx="224">
                  <c:v>69.194999999999993</c:v>
                </c:pt>
                <c:pt idx="225">
                  <c:v>68.040000000000006</c:v>
                </c:pt>
                <c:pt idx="226">
                  <c:v>68.25</c:v>
                </c:pt>
                <c:pt idx="227">
                  <c:v>67.515000000000001</c:v>
                </c:pt>
                <c:pt idx="228">
                  <c:v>66.569999999999993</c:v>
                </c:pt>
                <c:pt idx="229">
                  <c:v>68.25</c:v>
                </c:pt>
                <c:pt idx="230">
                  <c:v>68.355000000000004</c:v>
                </c:pt>
                <c:pt idx="231">
                  <c:v>68.459999999999994</c:v>
                </c:pt>
                <c:pt idx="232">
                  <c:v>68.25</c:v>
                </c:pt>
                <c:pt idx="233">
                  <c:v>69.194999999999993</c:v>
                </c:pt>
                <c:pt idx="234">
                  <c:v>69.194999999999993</c:v>
                </c:pt>
                <c:pt idx="235">
                  <c:v>69.194999999999993</c:v>
                </c:pt>
                <c:pt idx="236">
                  <c:v>70.350000000000009</c:v>
                </c:pt>
                <c:pt idx="237">
                  <c:v>70.14</c:v>
                </c:pt>
                <c:pt idx="238">
                  <c:v>70.56</c:v>
                </c:pt>
                <c:pt idx="239">
                  <c:v>71.819999999999993</c:v>
                </c:pt>
                <c:pt idx="240">
                  <c:v>72.03</c:v>
                </c:pt>
                <c:pt idx="241">
                  <c:v>71.819999999999993</c:v>
                </c:pt>
                <c:pt idx="242">
                  <c:v>71.715000000000003</c:v>
                </c:pt>
                <c:pt idx="243">
                  <c:v>70.98</c:v>
                </c:pt>
                <c:pt idx="244">
                  <c:v>72.239999999999995</c:v>
                </c:pt>
                <c:pt idx="245">
                  <c:v>72.03</c:v>
                </c:pt>
                <c:pt idx="246">
                  <c:v>72.975000000000009</c:v>
                </c:pt>
                <c:pt idx="247">
                  <c:v>72.239999999999995</c:v>
                </c:pt>
                <c:pt idx="248">
                  <c:v>72.03</c:v>
                </c:pt>
                <c:pt idx="249">
                  <c:v>71.819999999999993</c:v>
                </c:pt>
                <c:pt idx="250">
                  <c:v>71.399999999999991</c:v>
                </c:pt>
                <c:pt idx="251">
                  <c:v>71.399999999999991</c:v>
                </c:pt>
                <c:pt idx="252">
                  <c:v>70.98</c:v>
                </c:pt>
                <c:pt idx="253">
                  <c:v>71.084999999999994</c:v>
                </c:pt>
                <c:pt idx="254">
                  <c:v>71.295000000000002</c:v>
                </c:pt>
                <c:pt idx="255">
                  <c:v>71.295000000000002</c:v>
                </c:pt>
                <c:pt idx="256">
                  <c:v>70.98</c:v>
                </c:pt>
                <c:pt idx="257">
                  <c:v>71.295000000000002</c:v>
                </c:pt>
                <c:pt idx="258">
                  <c:v>69.72</c:v>
                </c:pt>
                <c:pt idx="259">
                  <c:v>69.3</c:v>
                </c:pt>
                <c:pt idx="260">
                  <c:v>69.3</c:v>
                </c:pt>
                <c:pt idx="261">
                  <c:v>72.87</c:v>
                </c:pt>
                <c:pt idx="262">
                  <c:v>72.66</c:v>
                </c:pt>
                <c:pt idx="263">
                  <c:v>70.98</c:v>
                </c:pt>
                <c:pt idx="264">
                  <c:v>70.245000000000005</c:v>
                </c:pt>
                <c:pt idx="265">
                  <c:v>70.98</c:v>
                </c:pt>
                <c:pt idx="266">
                  <c:v>71.399999999999991</c:v>
                </c:pt>
                <c:pt idx="267">
                  <c:v>71.819999999999993</c:v>
                </c:pt>
                <c:pt idx="268">
                  <c:v>71.399999999999991</c:v>
                </c:pt>
                <c:pt idx="269">
                  <c:v>70.350000000000009</c:v>
                </c:pt>
                <c:pt idx="270">
                  <c:v>70.77</c:v>
                </c:pt>
                <c:pt idx="271">
                  <c:v>70.77</c:v>
                </c:pt>
                <c:pt idx="272">
                  <c:v>71.819999999999993</c:v>
                </c:pt>
                <c:pt idx="273">
                  <c:v>71.924999999999997</c:v>
                </c:pt>
                <c:pt idx="274">
                  <c:v>70.350000000000009</c:v>
                </c:pt>
                <c:pt idx="275">
                  <c:v>70.98</c:v>
                </c:pt>
                <c:pt idx="276">
                  <c:v>70.77</c:v>
                </c:pt>
                <c:pt idx="277">
                  <c:v>69.825000000000003</c:v>
                </c:pt>
                <c:pt idx="278">
                  <c:v>70.454999999999998</c:v>
                </c:pt>
                <c:pt idx="279">
                  <c:v>70.14</c:v>
                </c:pt>
                <c:pt idx="280">
                  <c:v>70.245000000000005</c:v>
                </c:pt>
                <c:pt idx="281">
                  <c:v>70.77</c:v>
                </c:pt>
                <c:pt idx="282">
                  <c:v>71.819999999999993</c:v>
                </c:pt>
                <c:pt idx="283">
                  <c:v>70.98</c:v>
                </c:pt>
                <c:pt idx="284">
                  <c:v>70.454999999999998</c:v>
                </c:pt>
                <c:pt idx="285">
                  <c:v>70.56</c:v>
                </c:pt>
                <c:pt idx="286">
                  <c:v>68.984999999999999</c:v>
                </c:pt>
                <c:pt idx="287">
                  <c:v>69.510000000000005</c:v>
                </c:pt>
                <c:pt idx="288">
                  <c:v>71.295000000000002</c:v>
                </c:pt>
                <c:pt idx="289">
                  <c:v>70.350000000000009</c:v>
                </c:pt>
                <c:pt idx="290">
                  <c:v>70.245000000000005</c:v>
                </c:pt>
                <c:pt idx="291">
                  <c:v>71.715000000000003</c:v>
                </c:pt>
                <c:pt idx="292">
                  <c:v>71.819999999999993</c:v>
                </c:pt>
                <c:pt idx="293">
                  <c:v>73.08</c:v>
                </c:pt>
                <c:pt idx="294">
                  <c:v>75.81</c:v>
                </c:pt>
                <c:pt idx="295">
                  <c:v>75.075000000000003</c:v>
                </c:pt>
                <c:pt idx="296">
                  <c:v>75.075000000000003</c:v>
                </c:pt>
                <c:pt idx="297">
                  <c:v>76.334999999999994</c:v>
                </c:pt>
                <c:pt idx="298">
                  <c:v>77.069999999999993</c:v>
                </c:pt>
                <c:pt idx="299">
                  <c:v>77.28</c:v>
                </c:pt>
                <c:pt idx="300">
                  <c:v>78.12</c:v>
                </c:pt>
                <c:pt idx="301">
                  <c:v>77.489999999999995</c:v>
                </c:pt>
                <c:pt idx="302">
                  <c:v>76.23</c:v>
                </c:pt>
                <c:pt idx="303">
                  <c:v>75.81</c:v>
                </c:pt>
                <c:pt idx="304">
                  <c:v>73.814999999999998</c:v>
                </c:pt>
                <c:pt idx="305">
                  <c:v>73.92</c:v>
                </c:pt>
                <c:pt idx="306">
                  <c:v>73.709999999999994</c:v>
                </c:pt>
                <c:pt idx="307">
                  <c:v>72.87</c:v>
                </c:pt>
                <c:pt idx="308">
                  <c:v>75.129599999999996</c:v>
                </c:pt>
                <c:pt idx="309">
                  <c:v>74.55</c:v>
                </c:pt>
                <c:pt idx="310">
                  <c:v>74.97</c:v>
                </c:pt>
                <c:pt idx="311">
                  <c:v>74.760000000000005</c:v>
                </c:pt>
                <c:pt idx="312">
                  <c:v>72.03</c:v>
                </c:pt>
                <c:pt idx="313">
                  <c:v>74.079599999999999</c:v>
                </c:pt>
                <c:pt idx="314">
                  <c:v>78.75</c:v>
                </c:pt>
                <c:pt idx="315">
                  <c:v>77.7</c:v>
                </c:pt>
                <c:pt idx="316">
                  <c:v>82.32</c:v>
                </c:pt>
                <c:pt idx="317">
                  <c:v>81.27</c:v>
                </c:pt>
                <c:pt idx="318">
                  <c:v>81.165000000000006</c:v>
                </c:pt>
                <c:pt idx="319">
                  <c:v>79.484999999999999</c:v>
                </c:pt>
                <c:pt idx="320">
                  <c:v>78.540000000000006</c:v>
                </c:pt>
                <c:pt idx="321">
                  <c:v>76.86</c:v>
                </c:pt>
                <c:pt idx="322">
                  <c:v>77.91</c:v>
                </c:pt>
                <c:pt idx="323">
                  <c:v>76.44</c:v>
                </c:pt>
                <c:pt idx="324">
                  <c:v>79.38</c:v>
                </c:pt>
                <c:pt idx="325">
                  <c:v>78.959999999999994</c:v>
                </c:pt>
                <c:pt idx="326">
                  <c:v>79.484999999999999</c:v>
                </c:pt>
                <c:pt idx="327">
                  <c:v>79.59</c:v>
                </c:pt>
                <c:pt idx="328">
                  <c:v>79.274999999999991</c:v>
                </c:pt>
                <c:pt idx="329">
                  <c:v>78.644999999999996</c:v>
                </c:pt>
                <c:pt idx="330">
                  <c:v>79.8</c:v>
                </c:pt>
                <c:pt idx="331">
                  <c:v>80.430000000000007</c:v>
                </c:pt>
                <c:pt idx="332">
                  <c:v>81.375</c:v>
                </c:pt>
                <c:pt idx="333">
                  <c:v>78.12</c:v>
                </c:pt>
                <c:pt idx="334">
                  <c:v>78.33</c:v>
                </c:pt>
                <c:pt idx="335">
                  <c:v>79.38</c:v>
                </c:pt>
                <c:pt idx="336">
                  <c:v>77.805000000000007</c:v>
                </c:pt>
                <c:pt idx="337">
                  <c:v>78.75</c:v>
                </c:pt>
                <c:pt idx="338">
                  <c:v>80.64</c:v>
                </c:pt>
                <c:pt idx="339">
                  <c:v>81.899999999999991</c:v>
                </c:pt>
                <c:pt idx="340">
                  <c:v>81.899999999999991</c:v>
                </c:pt>
                <c:pt idx="341">
                  <c:v>82.11</c:v>
                </c:pt>
                <c:pt idx="342">
                  <c:v>83.37</c:v>
                </c:pt>
                <c:pt idx="343">
                  <c:v>83.004599999999996</c:v>
                </c:pt>
                <c:pt idx="344">
                  <c:v>84</c:v>
                </c:pt>
                <c:pt idx="345">
                  <c:v>84.419999999999987</c:v>
                </c:pt>
                <c:pt idx="346">
                  <c:v>85.68</c:v>
                </c:pt>
                <c:pt idx="347">
                  <c:v>84</c:v>
                </c:pt>
                <c:pt idx="348">
                  <c:v>83.265000000000001</c:v>
                </c:pt>
                <c:pt idx="349">
                  <c:v>75.81</c:v>
                </c:pt>
                <c:pt idx="350">
                  <c:v>74.760000000000005</c:v>
                </c:pt>
                <c:pt idx="351">
                  <c:v>78.959999999999994</c:v>
                </c:pt>
                <c:pt idx="352">
                  <c:v>80.64</c:v>
                </c:pt>
                <c:pt idx="353">
                  <c:v>78.279600000000002</c:v>
                </c:pt>
                <c:pt idx="354">
                  <c:v>77.7</c:v>
                </c:pt>
                <c:pt idx="355">
                  <c:v>79.17</c:v>
                </c:pt>
                <c:pt idx="356">
                  <c:v>78.855000000000004</c:v>
                </c:pt>
                <c:pt idx="357">
                  <c:v>77.489999999999995</c:v>
                </c:pt>
                <c:pt idx="358">
                  <c:v>79.38</c:v>
                </c:pt>
                <c:pt idx="359">
                  <c:v>78.225000000000009</c:v>
                </c:pt>
                <c:pt idx="360">
                  <c:v>78.75</c:v>
                </c:pt>
                <c:pt idx="361">
                  <c:v>77.7</c:v>
                </c:pt>
                <c:pt idx="362">
                  <c:v>77.594999999999999</c:v>
                </c:pt>
                <c:pt idx="363">
                  <c:v>77.069999999999993</c:v>
                </c:pt>
                <c:pt idx="364">
                  <c:v>76.23</c:v>
                </c:pt>
                <c:pt idx="365">
                  <c:v>76.44</c:v>
                </c:pt>
                <c:pt idx="366">
                  <c:v>76.44</c:v>
                </c:pt>
                <c:pt idx="367">
                  <c:v>77.069999999999993</c:v>
                </c:pt>
                <c:pt idx="368">
                  <c:v>76.02</c:v>
                </c:pt>
                <c:pt idx="369">
                  <c:v>75.81</c:v>
                </c:pt>
                <c:pt idx="370">
                  <c:v>75.81</c:v>
                </c:pt>
                <c:pt idx="371">
                  <c:v>79.119599999999991</c:v>
                </c:pt>
                <c:pt idx="372">
                  <c:v>77.805000000000007</c:v>
                </c:pt>
                <c:pt idx="373">
                  <c:v>78.33</c:v>
                </c:pt>
                <c:pt idx="374">
                  <c:v>79.38</c:v>
                </c:pt>
                <c:pt idx="375">
                  <c:v>79.119599999999991</c:v>
                </c:pt>
                <c:pt idx="376">
                  <c:v>78.75</c:v>
                </c:pt>
                <c:pt idx="377">
                  <c:v>79.694999999999993</c:v>
                </c:pt>
                <c:pt idx="378">
                  <c:v>77.28</c:v>
                </c:pt>
                <c:pt idx="379">
                  <c:v>78.015000000000001</c:v>
                </c:pt>
                <c:pt idx="380">
                  <c:v>76.86</c:v>
                </c:pt>
                <c:pt idx="381">
                  <c:v>76.86</c:v>
                </c:pt>
                <c:pt idx="382">
                  <c:v>76.02</c:v>
                </c:pt>
                <c:pt idx="383">
                  <c:v>76.649999999999991</c:v>
                </c:pt>
                <c:pt idx="384">
                  <c:v>74.34</c:v>
                </c:pt>
                <c:pt idx="385">
                  <c:v>73.709999999999994</c:v>
                </c:pt>
                <c:pt idx="386">
                  <c:v>72.555000000000007</c:v>
                </c:pt>
                <c:pt idx="387">
                  <c:v>72.87</c:v>
                </c:pt>
                <c:pt idx="388">
                  <c:v>73.814999999999998</c:v>
                </c:pt>
                <c:pt idx="389">
                  <c:v>74.760000000000005</c:v>
                </c:pt>
                <c:pt idx="390">
                  <c:v>74.024999999999991</c:v>
                </c:pt>
                <c:pt idx="391">
                  <c:v>74.024999999999991</c:v>
                </c:pt>
                <c:pt idx="392">
                  <c:v>75.704999999999998</c:v>
                </c:pt>
                <c:pt idx="393">
                  <c:v>75.600000000000009</c:v>
                </c:pt>
                <c:pt idx="394">
                  <c:v>78.225000000000009</c:v>
                </c:pt>
                <c:pt idx="395">
                  <c:v>78.33</c:v>
                </c:pt>
                <c:pt idx="396">
                  <c:v>78.644999999999996</c:v>
                </c:pt>
                <c:pt idx="397">
                  <c:v>79.17</c:v>
                </c:pt>
                <c:pt idx="398">
                  <c:v>79.17</c:v>
                </c:pt>
                <c:pt idx="399">
                  <c:v>78.33</c:v>
                </c:pt>
                <c:pt idx="400">
                  <c:v>78.959999999999994</c:v>
                </c:pt>
                <c:pt idx="401">
                  <c:v>78.12</c:v>
                </c:pt>
                <c:pt idx="402">
                  <c:v>79.59</c:v>
                </c:pt>
                <c:pt idx="403">
                  <c:v>79.8</c:v>
                </c:pt>
                <c:pt idx="404">
                  <c:v>79.274999999999991</c:v>
                </c:pt>
                <c:pt idx="405">
                  <c:v>80.114999999999995</c:v>
                </c:pt>
                <c:pt idx="406">
                  <c:v>79.274999999999991</c:v>
                </c:pt>
                <c:pt idx="407">
                  <c:v>79.905000000000001</c:v>
                </c:pt>
                <c:pt idx="408">
                  <c:v>80.850000000000009</c:v>
                </c:pt>
                <c:pt idx="409">
                  <c:v>80.850000000000009</c:v>
                </c:pt>
                <c:pt idx="410">
                  <c:v>81.165000000000006</c:v>
                </c:pt>
                <c:pt idx="411">
                  <c:v>81.27</c:v>
                </c:pt>
                <c:pt idx="412">
                  <c:v>81.899999999999991</c:v>
                </c:pt>
                <c:pt idx="413">
                  <c:v>81.27</c:v>
                </c:pt>
                <c:pt idx="414">
                  <c:v>77.489999999999995</c:v>
                </c:pt>
                <c:pt idx="415">
                  <c:v>77.594999999999999</c:v>
                </c:pt>
                <c:pt idx="416">
                  <c:v>74.760000000000005</c:v>
                </c:pt>
                <c:pt idx="417">
                  <c:v>71.399999999999991</c:v>
                </c:pt>
                <c:pt idx="418">
                  <c:v>73.5</c:v>
                </c:pt>
                <c:pt idx="419">
                  <c:v>76.179599999999994</c:v>
                </c:pt>
                <c:pt idx="420">
                  <c:v>77.385000000000005</c:v>
                </c:pt>
                <c:pt idx="421">
                  <c:v>78.33</c:v>
                </c:pt>
                <c:pt idx="422">
                  <c:v>77.594999999999999</c:v>
                </c:pt>
                <c:pt idx="423">
                  <c:v>79.274999999999991</c:v>
                </c:pt>
                <c:pt idx="424">
                  <c:v>76.649999999999991</c:v>
                </c:pt>
                <c:pt idx="425">
                  <c:v>77.7</c:v>
                </c:pt>
                <c:pt idx="426">
                  <c:v>77.91</c:v>
                </c:pt>
                <c:pt idx="427">
                  <c:v>78.75</c:v>
                </c:pt>
                <c:pt idx="428">
                  <c:v>78.75</c:v>
                </c:pt>
                <c:pt idx="429">
                  <c:v>78.540000000000006</c:v>
                </c:pt>
                <c:pt idx="430">
                  <c:v>79.38</c:v>
                </c:pt>
                <c:pt idx="431">
                  <c:v>80.010000000000005</c:v>
                </c:pt>
                <c:pt idx="432">
                  <c:v>80.534999999999997</c:v>
                </c:pt>
                <c:pt idx="433">
                  <c:v>80.850000000000009</c:v>
                </c:pt>
                <c:pt idx="434">
                  <c:v>81.375</c:v>
                </c:pt>
                <c:pt idx="435">
                  <c:v>79.59</c:v>
                </c:pt>
                <c:pt idx="436">
                  <c:v>79.59</c:v>
                </c:pt>
                <c:pt idx="437">
                  <c:v>80.22</c:v>
                </c:pt>
                <c:pt idx="438">
                  <c:v>82.32</c:v>
                </c:pt>
                <c:pt idx="439">
                  <c:v>82.424999999999997</c:v>
                </c:pt>
                <c:pt idx="440">
                  <c:v>80.325000000000003</c:v>
                </c:pt>
                <c:pt idx="441">
                  <c:v>81.899999999999991</c:v>
                </c:pt>
                <c:pt idx="442">
                  <c:v>83.16</c:v>
                </c:pt>
                <c:pt idx="443">
                  <c:v>82.32</c:v>
                </c:pt>
                <c:pt idx="444">
                  <c:v>83.37</c:v>
                </c:pt>
                <c:pt idx="445">
                  <c:v>82.74</c:v>
                </c:pt>
                <c:pt idx="446">
                  <c:v>81.06</c:v>
                </c:pt>
                <c:pt idx="447">
                  <c:v>81.899999999999991</c:v>
                </c:pt>
                <c:pt idx="448">
                  <c:v>82.215000000000003</c:v>
                </c:pt>
                <c:pt idx="449">
                  <c:v>77.489999999999995</c:v>
                </c:pt>
                <c:pt idx="450">
                  <c:v>76.545000000000002</c:v>
                </c:pt>
                <c:pt idx="451">
                  <c:v>77.91</c:v>
                </c:pt>
                <c:pt idx="452">
                  <c:v>79.644599999999997</c:v>
                </c:pt>
                <c:pt idx="453">
                  <c:v>76.02</c:v>
                </c:pt>
                <c:pt idx="454">
                  <c:v>78.12</c:v>
                </c:pt>
                <c:pt idx="455">
                  <c:v>76.02</c:v>
                </c:pt>
                <c:pt idx="456">
                  <c:v>75.600000000000009</c:v>
                </c:pt>
                <c:pt idx="457">
                  <c:v>73.92</c:v>
                </c:pt>
                <c:pt idx="458">
                  <c:v>76.02</c:v>
                </c:pt>
                <c:pt idx="459">
                  <c:v>76.02</c:v>
                </c:pt>
                <c:pt idx="460">
                  <c:v>74.34</c:v>
                </c:pt>
                <c:pt idx="461">
                  <c:v>73.92</c:v>
                </c:pt>
                <c:pt idx="462">
                  <c:v>74.34</c:v>
                </c:pt>
                <c:pt idx="463">
                  <c:v>74.655000000000001</c:v>
                </c:pt>
                <c:pt idx="464">
                  <c:v>75.180000000000007</c:v>
                </c:pt>
                <c:pt idx="465">
                  <c:v>77.7</c:v>
                </c:pt>
                <c:pt idx="466">
                  <c:v>77.28</c:v>
                </c:pt>
                <c:pt idx="467">
                  <c:v>77.28</c:v>
                </c:pt>
                <c:pt idx="468">
                  <c:v>76.545000000000002</c:v>
                </c:pt>
                <c:pt idx="469">
                  <c:v>76.02</c:v>
                </c:pt>
                <c:pt idx="470">
                  <c:v>75.600000000000009</c:v>
                </c:pt>
                <c:pt idx="471">
                  <c:v>76.02</c:v>
                </c:pt>
                <c:pt idx="472">
                  <c:v>76.125</c:v>
                </c:pt>
                <c:pt idx="473">
                  <c:v>74.97</c:v>
                </c:pt>
                <c:pt idx="474">
                  <c:v>76.649999999999991</c:v>
                </c:pt>
                <c:pt idx="475">
                  <c:v>76.44</c:v>
                </c:pt>
                <c:pt idx="476">
                  <c:v>75.704999999999998</c:v>
                </c:pt>
                <c:pt idx="477">
                  <c:v>74.604600000000005</c:v>
                </c:pt>
                <c:pt idx="478">
                  <c:v>75.704999999999998</c:v>
                </c:pt>
                <c:pt idx="479">
                  <c:v>75.39</c:v>
                </c:pt>
                <c:pt idx="480">
                  <c:v>75.81</c:v>
                </c:pt>
                <c:pt idx="481">
                  <c:v>76.704599999999999</c:v>
                </c:pt>
                <c:pt idx="482">
                  <c:v>76.754999999999995</c:v>
                </c:pt>
                <c:pt idx="483">
                  <c:v>76.02</c:v>
                </c:pt>
                <c:pt idx="484">
                  <c:v>76.44</c:v>
                </c:pt>
                <c:pt idx="485">
                  <c:v>76.23</c:v>
                </c:pt>
                <c:pt idx="486">
                  <c:v>75.704999999999998</c:v>
                </c:pt>
                <c:pt idx="487">
                  <c:v>76.23</c:v>
                </c:pt>
                <c:pt idx="488">
                  <c:v>77.28</c:v>
                </c:pt>
                <c:pt idx="489">
                  <c:v>76.545000000000002</c:v>
                </c:pt>
                <c:pt idx="490">
                  <c:v>74.97</c:v>
                </c:pt>
                <c:pt idx="491">
                  <c:v>75.075000000000003</c:v>
                </c:pt>
                <c:pt idx="492">
                  <c:v>77.069999999999993</c:v>
                </c:pt>
                <c:pt idx="493">
                  <c:v>77.069999999999993</c:v>
                </c:pt>
                <c:pt idx="494">
                  <c:v>77.069999999999993</c:v>
                </c:pt>
                <c:pt idx="495">
                  <c:v>77.069999999999993</c:v>
                </c:pt>
                <c:pt idx="496">
                  <c:v>77.805000000000007</c:v>
                </c:pt>
                <c:pt idx="497">
                  <c:v>78.855000000000004</c:v>
                </c:pt>
                <c:pt idx="498">
                  <c:v>81.27</c:v>
                </c:pt>
                <c:pt idx="499">
                  <c:v>78.75</c:v>
                </c:pt>
                <c:pt idx="500">
                  <c:v>83.37</c:v>
                </c:pt>
                <c:pt idx="501">
                  <c:v>86.1</c:v>
                </c:pt>
                <c:pt idx="502">
                  <c:v>86.205000000000013</c:v>
                </c:pt>
                <c:pt idx="503">
                  <c:v>85.05</c:v>
                </c:pt>
                <c:pt idx="504">
                  <c:v>81.795000000000002</c:v>
                </c:pt>
                <c:pt idx="505">
                  <c:v>81.899999999999991</c:v>
                </c:pt>
                <c:pt idx="506">
                  <c:v>80.850000000000009</c:v>
                </c:pt>
                <c:pt idx="507">
                  <c:v>82.32</c:v>
                </c:pt>
                <c:pt idx="508">
                  <c:v>80.954999999999998</c:v>
                </c:pt>
                <c:pt idx="509">
                  <c:v>81.48</c:v>
                </c:pt>
                <c:pt idx="510">
                  <c:v>81.375</c:v>
                </c:pt>
                <c:pt idx="511">
                  <c:v>83.37</c:v>
                </c:pt>
                <c:pt idx="512">
                  <c:v>93.240000000000009</c:v>
                </c:pt>
                <c:pt idx="513">
                  <c:v>91.98</c:v>
                </c:pt>
                <c:pt idx="514">
                  <c:v>92.4</c:v>
                </c:pt>
                <c:pt idx="515">
                  <c:v>88.41</c:v>
                </c:pt>
                <c:pt idx="516">
                  <c:v>88.41</c:v>
                </c:pt>
                <c:pt idx="517">
                  <c:v>91.719599999999986</c:v>
                </c:pt>
                <c:pt idx="518">
                  <c:v>89.304600000000008</c:v>
                </c:pt>
                <c:pt idx="519">
                  <c:v>86.1</c:v>
                </c:pt>
                <c:pt idx="520">
                  <c:v>83.58</c:v>
                </c:pt>
                <c:pt idx="521">
                  <c:v>83.58</c:v>
                </c:pt>
                <c:pt idx="522">
                  <c:v>86.52</c:v>
                </c:pt>
                <c:pt idx="523">
                  <c:v>86.1</c:v>
                </c:pt>
                <c:pt idx="524">
                  <c:v>85.68</c:v>
                </c:pt>
                <c:pt idx="525">
                  <c:v>86.1</c:v>
                </c:pt>
                <c:pt idx="526">
                  <c:v>87.309599999999989</c:v>
                </c:pt>
                <c:pt idx="527">
                  <c:v>88.094999999999999</c:v>
                </c:pt>
                <c:pt idx="528">
                  <c:v>86.205000000000013</c:v>
                </c:pt>
                <c:pt idx="529">
                  <c:v>84.84</c:v>
                </c:pt>
                <c:pt idx="530">
                  <c:v>83.8446</c:v>
                </c:pt>
                <c:pt idx="531">
                  <c:v>83.8446</c:v>
                </c:pt>
                <c:pt idx="532">
                  <c:v>83.265000000000001</c:v>
                </c:pt>
                <c:pt idx="533">
                  <c:v>81.899999999999991</c:v>
                </c:pt>
                <c:pt idx="534">
                  <c:v>80.64</c:v>
                </c:pt>
                <c:pt idx="535">
                  <c:v>77.805000000000007</c:v>
                </c:pt>
                <c:pt idx="536">
                  <c:v>78.644999999999996</c:v>
                </c:pt>
                <c:pt idx="537">
                  <c:v>77.28</c:v>
                </c:pt>
                <c:pt idx="538">
                  <c:v>77.91</c:v>
                </c:pt>
                <c:pt idx="539">
                  <c:v>82.004999999999995</c:v>
                </c:pt>
                <c:pt idx="540">
                  <c:v>82.32</c:v>
                </c:pt>
                <c:pt idx="541">
                  <c:v>81.584999999999994</c:v>
                </c:pt>
                <c:pt idx="542">
                  <c:v>79.484999999999999</c:v>
                </c:pt>
                <c:pt idx="543">
                  <c:v>79.17</c:v>
                </c:pt>
                <c:pt idx="544">
                  <c:v>78.959999999999994</c:v>
                </c:pt>
                <c:pt idx="545">
                  <c:v>78.855000000000004</c:v>
                </c:pt>
                <c:pt idx="546">
                  <c:v>79.17</c:v>
                </c:pt>
                <c:pt idx="547">
                  <c:v>79.38</c:v>
                </c:pt>
                <c:pt idx="548">
                  <c:v>79.064999999999998</c:v>
                </c:pt>
                <c:pt idx="549">
                  <c:v>80.064599999999999</c:v>
                </c:pt>
                <c:pt idx="550">
                  <c:v>78.540000000000006</c:v>
                </c:pt>
                <c:pt idx="551">
                  <c:v>77.7</c:v>
                </c:pt>
                <c:pt idx="552">
                  <c:v>77.594999999999999</c:v>
                </c:pt>
                <c:pt idx="553">
                  <c:v>78.015000000000001</c:v>
                </c:pt>
                <c:pt idx="554">
                  <c:v>77.28</c:v>
                </c:pt>
                <c:pt idx="555">
                  <c:v>77.489999999999995</c:v>
                </c:pt>
                <c:pt idx="556">
                  <c:v>77.489999999999995</c:v>
                </c:pt>
                <c:pt idx="557">
                  <c:v>77.489999999999995</c:v>
                </c:pt>
                <c:pt idx="558">
                  <c:v>77.174999999999997</c:v>
                </c:pt>
                <c:pt idx="559">
                  <c:v>78.75</c:v>
                </c:pt>
                <c:pt idx="560">
                  <c:v>79.8</c:v>
                </c:pt>
                <c:pt idx="561">
                  <c:v>79.8</c:v>
                </c:pt>
                <c:pt idx="562">
                  <c:v>79.38</c:v>
                </c:pt>
                <c:pt idx="563">
                  <c:v>79.905000000000001</c:v>
                </c:pt>
                <c:pt idx="564">
                  <c:v>80.64</c:v>
                </c:pt>
                <c:pt idx="565">
                  <c:v>80.64</c:v>
                </c:pt>
                <c:pt idx="566">
                  <c:v>80.22</c:v>
                </c:pt>
                <c:pt idx="567">
                  <c:v>80.534999999999997</c:v>
                </c:pt>
                <c:pt idx="568">
                  <c:v>80.430000000000007</c:v>
                </c:pt>
                <c:pt idx="569">
                  <c:v>81.899999999999991</c:v>
                </c:pt>
                <c:pt idx="570">
                  <c:v>83.319599999999994</c:v>
                </c:pt>
                <c:pt idx="571">
                  <c:v>81.27</c:v>
                </c:pt>
                <c:pt idx="572">
                  <c:v>81.48</c:v>
                </c:pt>
                <c:pt idx="573">
                  <c:v>81.69</c:v>
                </c:pt>
                <c:pt idx="574">
                  <c:v>81.48</c:v>
                </c:pt>
                <c:pt idx="575">
                  <c:v>82.11</c:v>
                </c:pt>
                <c:pt idx="576">
                  <c:v>81.69</c:v>
                </c:pt>
                <c:pt idx="577">
                  <c:v>80.850000000000009</c:v>
                </c:pt>
                <c:pt idx="578">
                  <c:v>81.06</c:v>
                </c:pt>
                <c:pt idx="579">
                  <c:v>80.22</c:v>
                </c:pt>
                <c:pt idx="580">
                  <c:v>80.850000000000009</c:v>
                </c:pt>
                <c:pt idx="581">
                  <c:v>81.27</c:v>
                </c:pt>
                <c:pt idx="582">
                  <c:v>81.06</c:v>
                </c:pt>
                <c:pt idx="583">
                  <c:v>80.430000000000007</c:v>
                </c:pt>
                <c:pt idx="584">
                  <c:v>80.430000000000007</c:v>
                </c:pt>
                <c:pt idx="585">
                  <c:v>79.38</c:v>
                </c:pt>
                <c:pt idx="586">
                  <c:v>80.64</c:v>
                </c:pt>
                <c:pt idx="587">
                  <c:v>80.64</c:v>
                </c:pt>
                <c:pt idx="588">
                  <c:v>80.22</c:v>
                </c:pt>
                <c:pt idx="589">
                  <c:v>80.22</c:v>
                </c:pt>
                <c:pt idx="590">
                  <c:v>80.22</c:v>
                </c:pt>
                <c:pt idx="591">
                  <c:v>79.8</c:v>
                </c:pt>
                <c:pt idx="592">
                  <c:v>79.014600000000002</c:v>
                </c:pt>
                <c:pt idx="593">
                  <c:v>80.22</c:v>
                </c:pt>
                <c:pt idx="594">
                  <c:v>80.850000000000009</c:v>
                </c:pt>
                <c:pt idx="595">
                  <c:v>80.954999999999998</c:v>
                </c:pt>
                <c:pt idx="596">
                  <c:v>80.010000000000005</c:v>
                </c:pt>
                <c:pt idx="597">
                  <c:v>81.06</c:v>
                </c:pt>
                <c:pt idx="598">
                  <c:v>80.534999999999997</c:v>
                </c:pt>
                <c:pt idx="599">
                  <c:v>79.8</c:v>
                </c:pt>
                <c:pt idx="600">
                  <c:v>80.22</c:v>
                </c:pt>
                <c:pt idx="601">
                  <c:v>79.694999999999993</c:v>
                </c:pt>
                <c:pt idx="602">
                  <c:v>80.114999999999995</c:v>
                </c:pt>
                <c:pt idx="603">
                  <c:v>80.430000000000007</c:v>
                </c:pt>
                <c:pt idx="604">
                  <c:v>81.06</c:v>
                </c:pt>
                <c:pt idx="605">
                  <c:v>81.06</c:v>
                </c:pt>
                <c:pt idx="606">
                  <c:v>81.06</c:v>
                </c:pt>
                <c:pt idx="607">
                  <c:v>79.17</c:v>
                </c:pt>
                <c:pt idx="608">
                  <c:v>77.489999999999995</c:v>
                </c:pt>
                <c:pt idx="609">
                  <c:v>74.760000000000005</c:v>
                </c:pt>
                <c:pt idx="610">
                  <c:v>72.87</c:v>
                </c:pt>
                <c:pt idx="611">
                  <c:v>71.399999999999991</c:v>
                </c:pt>
                <c:pt idx="612">
                  <c:v>70.245000000000005</c:v>
                </c:pt>
                <c:pt idx="613">
                  <c:v>70.56</c:v>
                </c:pt>
                <c:pt idx="614">
                  <c:v>71.19</c:v>
                </c:pt>
                <c:pt idx="615">
                  <c:v>71.295000000000002</c:v>
                </c:pt>
                <c:pt idx="616">
                  <c:v>69.72</c:v>
                </c:pt>
                <c:pt idx="617">
                  <c:v>70.034999999999997</c:v>
                </c:pt>
                <c:pt idx="618">
                  <c:v>68.88</c:v>
                </c:pt>
                <c:pt idx="619">
                  <c:v>67.41</c:v>
                </c:pt>
                <c:pt idx="620">
                  <c:v>67.62</c:v>
                </c:pt>
                <c:pt idx="621">
                  <c:v>68.25</c:v>
                </c:pt>
                <c:pt idx="622">
                  <c:v>67.725000000000009</c:v>
                </c:pt>
                <c:pt idx="623">
                  <c:v>64.680000000000007</c:v>
                </c:pt>
                <c:pt idx="624">
                  <c:v>65.31</c:v>
                </c:pt>
                <c:pt idx="625">
                  <c:v>65.94</c:v>
                </c:pt>
                <c:pt idx="626">
                  <c:v>65.94</c:v>
                </c:pt>
                <c:pt idx="627">
                  <c:v>65.94</c:v>
                </c:pt>
                <c:pt idx="628">
                  <c:v>62.265000000000001</c:v>
                </c:pt>
                <c:pt idx="629">
                  <c:v>60.48</c:v>
                </c:pt>
                <c:pt idx="630">
                  <c:v>57.120000000000005</c:v>
                </c:pt>
                <c:pt idx="631">
                  <c:v>57.120000000000005</c:v>
                </c:pt>
                <c:pt idx="632">
                  <c:v>57.959999999999994</c:v>
                </c:pt>
                <c:pt idx="633">
                  <c:v>58.905000000000001</c:v>
                </c:pt>
                <c:pt idx="634">
                  <c:v>58.695</c:v>
                </c:pt>
                <c:pt idx="635">
                  <c:v>57.959999999999994</c:v>
                </c:pt>
                <c:pt idx="636">
                  <c:v>56.49</c:v>
                </c:pt>
                <c:pt idx="637">
                  <c:v>56.805</c:v>
                </c:pt>
                <c:pt idx="638">
                  <c:v>56.07</c:v>
                </c:pt>
                <c:pt idx="639">
                  <c:v>56.28</c:v>
                </c:pt>
                <c:pt idx="640">
                  <c:v>55.545000000000002</c:v>
                </c:pt>
                <c:pt idx="641">
                  <c:v>54.915000000000006</c:v>
                </c:pt>
                <c:pt idx="642">
                  <c:v>54.704999999999998</c:v>
                </c:pt>
                <c:pt idx="643">
                  <c:v>51.975000000000001</c:v>
                </c:pt>
                <c:pt idx="644">
                  <c:v>49.14</c:v>
                </c:pt>
                <c:pt idx="645">
                  <c:v>49.034999999999997</c:v>
                </c:pt>
                <c:pt idx="646">
                  <c:v>48.405000000000001</c:v>
                </c:pt>
                <c:pt idx="647">
                  <c:v>49.089600000000004</c:v>
                </c:pt>
                <c:pt idx="648">
                  <c:v>49.404599999999995</c:v>
                </c:pt>
                <c:pt idx="649">
                  <c:v>48.09</c:v>
                </c:pt>
                <c:pt idx="650">
                  <c:v>52.08</c:v>
                </c:pt>
                <c:pt idx="651">
                  <c:v>51.870000000000005</c:v>
                </c:pt>
                <c:pt idx="652">
                  <c:v>54.129599999999996</c:v>
                </c:pt>
                <c:pt idx="653">
                  <c:v>54.129599999999996</c:v>
                </c:pt>
                <c:pt idx="654">
                  <c:v>54.809999999999995</c:v>
                </c:pt>
                <c:pt idx="655">
                  <c:v>53.55</c:v>
                </c:pt>
                <c:pt idx="656">
                  <c:v>54.495000000000005</c:v>
                </c:pt>
                <c:pt idx="657">
                  <c:v>53.445</c:v>
                </c:pt>
                <c:pt idx="658">
                  <c:v>53.97</c:v>
                </c:pt>
                <c:pt idx="659">
                  <c:v>54.284999999999997</c:v>
                </c:pt>
                <c:pt idx="660">
                  <c:v>56.07</c:v>
                </c:pt>
                <c:pt idx="661">
                  <c:v>56.7</c:v>
                </c:pt>
                <c:pt idx="662">
                  <c:v>57.015000000000001</c:v>
                </c:pt>
                <c:pt idx="663">
                  <c:v>58.119599999999998</c:v>
                </c:pt>
                <c:pt idx="664">
                  <c:v>59.85</c:v>
                </c:pt>
                <c:pt idx="665">
                  <c:v>60.48</c:v>
                </c:pt>
                <c:pt idx="666">
                  <c:v>57.225000000000001</c:v>
                </c:pt>
                <c:pt idx="667">
                  <c:v>57.854999999999997</c:v>
                </c:pt>
                <c:pt idx="668">
                  <c:v>57.33</c:v>
                </c:pt>
                <c:pt idx="669">
                  <c:v>57.645000000000003</c:v>
                </c:pt>
                <c:pt idx="670">
                  <c:v>56.91</c:v>
                </c:pt>
                <c:pt idx="671">
                  <c:v>55.965000000000003</c:v>
                </c:pt>
                <c:pt idx="672">
                  <c:v>55.179599999999994</c:v>
                </c:pt>
                <c:pt idx="673">
                  <c:v>54.809999999999995</c:v>
                </c:pt>
                <c:pt idx="674">
                  <c:v>54.18</c:v>
                </c:pt>
                <c:pt idx="675">
                  <c:v>56.384999999999998</c:v>
                </c:pt>
                <c:pt idx="676">
                  <c:v>56.91</c:v>
                </c:pt>
                <c:pt idx="677">
                  <c:v>58.695</c:v>
                </c:pt>
                <c:pt idx="678">
                  <c:v>58.8</c:v>
                </c:pt>
                <c:pt idx="679">
                  <c:v>59.22</c:v>
                </c:pt>
                <c:pt idx="680">
                  <c:v>58.8</c:v>
                </c:pt>
                <c:pt idx="681">
                  <c:v>60.48</c:v>
                </c:pt>
                <c:pt idx="682">
                  <c:v>62.055</c:v>
                </c:pt>
                <c:pt idx="683">
                  <c:v>62.895000000000003</c:v>
                </c:pt>
                <c:pt idx="684">
                  <c:v>64.680000000000007</c:v>
                </c:pt>
                <c:pt idx="685">
                  <c:v>64.680000000000007</c:v>
                </c:pt>
                <c:pt idx="686">
                  <c:v>64.784999999999997</c:v>
                </c:pt>
                <c:pt idx="687">
                  <c:v>65.31</c:v>
                </c:pt>
                <c:pt idx="688">
                  <c:v>65.889600000000002</c:v>
                </c:pt>
                <c:pt idx="689">
                  <c:v>64.47</c:v>
                </c:pt>
                <c:pt idx="690">
                  <c:v>63.209999999999994</c:v>
                </c:pt>
                <c:pt idx="691">
                  <c:v>62.58</c:v>
                </c:pt>
                <c:pt idx="692">
                  <c:v>63.42</c:v>
                </c:pt>
                <c:pt idx="693">
                  <c:v>63.579599999999999</c:v>
                </c:pt>
                <c:pt idx="694">
                  <c:v>64.05</c:v>
                </c:pt>
                <c:pt idx="695">
                  <c:v>65.31</c:v>
                </c:pt>
                <c:pt idx="696">
                  <c:v>65.31</c:v>
                </c:pt>
                <c:pt idx="697">
                  <c:v>65.259599999999992</c:v>
                </c:pt>
                <c:pt idx="698">
                  <c:v>65.364599999999996</c:v>
                </c:pt>
                <c:pt idx="699">
                  <c:v>64.680000000000007</c:v>
                </c:pt>
                <c:pt idx="700">
                  <c:v>65.625</c:v>
                </c:pt>
                <c:pt idx="701">
                  <c:v>65.52</c:v>
                </c:pt>
                <c:pt idx="702">
                  <c:v>65.94</c:v>
                </c:pt>
                <c:pt idx="703">
                  <c:v>66.254999999999995</c:v>
                </c:pt>
                <c:pt idx="704">
                  <c:v>65.73</c:v>
                </c:pt>
                <c:pt idx="705">
                  <c:v>66.465000000000003</c:v>
                </c:pt>
                <c:pt idx="706">
                  <c:v>64.680000000000007</c:v>
                </c:pt>
                <c:pt idx="707">
                  <c:v>63.84</c:v>
                </c:pt>
                <c:pt idx="708">
                  <c:v>61.32</c:v>
                </c:pt>
                <c:pt idx="709">
                  <c:v>61.95</c:v>
                </c:pt>
                <c:pt idx="710">
                  <c:v>62.58</c:v>
                </c:pt>
                <c:pt idx="711">
                  <c:v>61.215000000000003</c:v>
                </c:pt>
                <c:pt idx="712">
                  <c:v>60.48</c:v>
                </c:pt>
                <c:pt idx="713">
                  <c:v>57.75</c:v>
                </c:pt>
                <c:pt idx="714">
                  <c:v>59.85</c:v>
                </c:pt>
                <c:pt idx="715">
                  <c:v>61.634999999999998</c:v>
                </c:pt>
                <c:pt idx="716">
                  <c:v>62.16</c:v>
                </c:pt>
                <c:pt idx="717">
                  <c:v>62.16</c:v>
                </c:pt>
                <c:pt idx="718">
                  <c:v>59.85</c:v>
                </c:pt>
                <c:pt idx="719">
                  <c:v>61.74</c:v>
                </c:pt>
                <c:pt idx="720">
                  <c:v>60.9</c:v>
                </c:pt>
                <c:pt idx="721">
                  <c:v>60.795000000000002</c:v>
                </c:pt>
                <c:pt idx="722">
                  <c:v>61.74</c:v>
                </c:pt>
                <c:pt idx="723">
                  <c:v>61.95</c:v>
                </c:pt>
                <c:pt idx="724">
                  <c:v>62.684999999999995</c:v>
                </c:pt>
                <c:pt idx="725">
                  <c:v>62.424599999999998</c:v>
                </c:pt>
                <c:pt idx="726">
                  <c:v>61.269599999999997</c:v>
                </c:pt>
                <c:pt idx="727">
                  <c:v>62.16</c:v>
                </c:pt>
                <c:pt idx="728">
                  <c:v>63.209999999999994</c:v>
                </c:pt>
                <c:pt idx="729">
                  <c:v>63.315000000000005</c:v>
                </c:pt>
                <c:pt idx="730">
                  <c:v>64.260000000000005</c:v>
                </c:pt>
                <c:pt idx="731">
                  <c:v>64.524600000000007</c:v>
                </c:pt>
                <c:pt idx="732">
                  <c:v>63</c:v>
                </c:pt>
                <c:pt idx="733">
                  <c:v>64.89</c:v>
                </c:pt>
                <c:pt idx="734">
                  <c:v>66.78</c:v>
                </c:pt>
                <c:pt idx="735">
                  <c:v>69.09</c:v>
                </c:pt>
                <c:pt idx="736">
                  <c:v>69.510000000000005</c:v>
                </c:pt>
                <c:pt idx="737">
                  <c:v>67.2</c:v>
                </c:pt>
                <c:pt idx="738">
                  <c:v>67.62</c:v>
                </c:pt>
                <c:pt idx="739">
                  <c:v>69.510000000000005</c:v>
                </c:pt>
                <c:pt idx="740">
                  <c:v>68.88</c:v>
                </c:pt>
                <c:pt idx="741">
                  <c:v>66.78</c:v>
                </c:pt>
                <c:pt idx="742">
                  <c:v>68.984999999999999</c:v>
                </c:pt>
                <c:pt idx="743">
                  <c:v>67.2</c:v>
                </c:pt>
                <c:pt idx="744">
                  <c:v>67.725000000000009</c:v>
                </c:pt>
                <c:pt idx="745">
                  <c:v>68.984999999999999</c:v>
                </c:pt>
                <c:pt idx="746">
                  <c:v>68.829599999999999</c:v>
                </c:pt>
                <c:pt idx="747">
                  <c:v>68.040000000000006</c:v>
                </c:pt>
                <c:pt idx="748">
                  <c:v>68.564999999999998</c:v>
                </c:pt>
                <c:pt idx="749">
                  <c:v>68.355000000000004</c:v>
                </c:pt>
                <c:pt idx="750">
                  <c:v>69.09</c:v>
                </c:pt>
                <c:pt idx="751">
                  <c:v>70.77</c:v>
                </c:pt>
                <c:pt idx="752">
                  <c:v>69.09</c:v>
                </c:pt>
                <c:pt idx="753">
                  <c:v>69.825000000000003</c:v>
                </c:pt>
                <c:pt idx="754">
                  <c:v>69.825000000000003</c:v>
                </c:pt>
                <c:pt idx="755">
                  <c:v>69.825000000000003</c:v>
                </c:pt>
                <c:pt idx="756">
                  <c:v>69.72</c:v>
                </c:pt>
                <c:pt idx="757">
                  <c:v>70.034999999999997</c:v>
                </c:pt>
                <c:pt idx="758">
                  <c:v>70.14</c:v>
                </c:pt>
                <c:pt idx="759">
                  <c:v>71.399999999999991</c:v>
                </c:pt>
                <c:pt idx="760">
                  <c:v>70.875</c:v>
                </c:pt>
                <c:pt idx="761">
                  <c:v>72.45</c:v>
                </c:pt>
                <c:pt idx="762">
                  <c:v>72.45</c:v>
                </c:pt>
                <c:pt idx="763">
                  <c:v>74.234999999999999</c:v>
                </c:pt>
                <c:pt idx="764">
                  <c:v>78.12</c:v>
                </c:pt>
                <c:pt idx="765">
                  <c:v>79.17</c:v>
                </c:pt>
                <c:pt idx="766">
                  <c:v>72.87</c:v>
                </c:pt>
                <c:pt idx="767">
                  <c:v>72.239999999999995</c:v>
                </c:pt>
                <c:pt idx="768">
                  <c:v>71.819999999999993</c:v>
                </c:pt>
                <c:pt idx="769">
                  <c:v>72.239999999999995</c:v>
                </c:pt>
                <c:pt idx="770">
                  <c:v>72.765000000000001</c:v>
                </c:pt>
                <c:pt idx="771">
                  <c:v>74.760000000000005</c:v>
                </c:pt>
                <c:pt idx="772">
                  <c:v>74.97</c:v>
                </c:pt>
                <c:pt idx="773">
                  <c:v>73.394999999999996</c:v>
                </c:pt>
                <c:pt idx="774">
                  <c:v>73.290000000000006</c:v>
                </c:pt>
                <c:pt idx="775">
                  <c:v>72.765000000000001</c:v>
                </c:pt>
                <c:pt idx="776">
                  <c:v>72.765000000000001</c:v>
                </c:pt>
                <c:pt idx="777">
                  <c:v>72.765000000000001</c:v>
                </c:pt>
                <c:pt idx="778">
                  <c:v>74.97</c:v>
                </c:pt>
                <c:pt idx="779">
                  <c:v>74.55</c:v>
                </c:pt>
                <c:pt idx="780">
                  <c:v>73.814999999999998</c:v>
                </c:pt>
                <c:pt idx="781">
                  <c:v>73.814999999999998</c:v>
                </c:pt>
                <c:pt idx="782">
                  <c:v>73.814999999999998</c:v>
                </c:pt>
                <c:pt idx="783">
                  <c:v>74.760000000000005</c:v>
                </c:pt>
                <c:pt idx="784">
                  <c:v>74.55</c:v>
                </c:pt>
                <c:pt idx="785">
                  <c:v>74.97</c:v>
                </c:pt>
                <c:pt idx="786">
                  <c:v>75.704999999999998</c:v>
                </c:pt>
                <c:pt idx="787">
                  <c:v>74.760000000000005</c:v>
                </c:pt>
                <c:pt idx="788">
                  <c:v>71.924999999999997</c:v>
                </c:pt>
                <c:pt idx="789">
                  <c:v>69.72</c:v>
                </c:pt>
                <c:pt idx="790">
                  <c:v>68.88</c:v>
                </c:pt>
                <c:pt idx="791">
                  <c:v>67.725000000000009</c:v>
                </c:pt>
                <c:pt idx="792">
                  <c:v>67.41</c:v>
                </c:pt>
                <c:pt idx="793">
                  <c:v>67.305000000000007</c:v>
                </c:pt>
                <c:pt idx="794">
                  <c:v>68.459999999999994</c:v>
                </c:pt>
                <c:pt idx="795">
                  <c:v>69.3</c:v>
                </c:pt>
                <c:pt idx="796">
                  <c:v>69.3</c:v>
                </c:pt>
                <c:pt idx="797">
                  <c:v>71.084999999999994</c:v>
                </c:pt>
                <c:pt idx="798">
                  <c:v>72.135000000000005</c:v>
                </c:pt>
                <c:pt idx="799">
                  <c:v>73.185000000000002</c:v>
                </c:pt>
                <c:pt idx="800">
                  <c:v>73.5</c:v>
                </c:pt>
                <c:pt idx="801">
                  <c:v>71.924999999999997</c:v>
                </c:pt>
                <c:pt idx="802">
                  <c:v>72.6096</c:v>
                </c:pt>
                <c:pt idx="803">
                  <c:v>72.714600000000004</c:v>
                </c:pt>
                <c:pt idx="804">
                  <c:v>72.45</c:v>
                </c:pt>
                <c:pt idx="805">
                  <c:v>71.19</c:v>
                </c:pt>
                <c:pt idx="806">
                  <c:v>70.034999999999997</c:v>
                </c:pt>
                <c:pt idx="807">
                  <c:v>69.825000000000003</c:v>
                </c:pt>
                <c:pt idx="808">
                  <c:v>69.09</c:v>
                </c:pt>
                <c:pt idx="809">
                  <c:v>68.040000000000006</c:v>
                </c:pt>
                <c:pt idx="810">
                  <c:v>68.67</c:v>
                </c:pt>
                <c:pt idx="811">
                  <c:v>68.984999999999999</c:v>
                </c:pt>
                <c:pt idx="812">
                  <c:v>67.305000000000007</c:v>
                </c:pt>
                <c:pt idx="813">
                  <c:v>68.88</c:v>
                </c:pt>
                <c:pt idx="814">
                  <c:v>69.3</c:v>
                </c:pt>
                <c:pt idx="815">
                  <c:v>68.88</c:v>
                </c:pt>
                <c:pt idx="816">
                  <c:v>68.88</c:v>
                </c:pt>
                <c:pt idx="817">
                  <c:v>68.88</c:v>
                </c:pt>
                <c:pt idx="818">
                  <c:v>67.62</c:v>
                </c:pt>
                <c:pt idx="819">
                  <c:v>65.679599999999994</c:v>
                </c:pt>
                <c:pt idx="820">
                  <c:v>65.834999999999994</c:v>
                </c:pt>
                <c:pt idx="821">
                  <c:v>65.31</c:v>
                </c:pt>
                <c:pt idx="822">
                  <c:v>64.89</c:v>
                </c:pt>
                <c:pt idx="823">
                  <c:v>64.260000000000005</c:v>
                </c:pt>
                <c:pt idx="824">
                  <c:v>62.58</c:v>
                </c:pt>
                <c:pt idx="825">
                  <c:v>60.690000000000005</c:v>
                </c:pt>
                <c:pt idx="826">
                  <c:v>59.64</c:v>
                </c:pt>
                <c:pt idx="827">
                  <c:v>60.690000000000005</c:v>
                </c:pt>
                <c:pt idx="828">
                  <c:v>60.27</c:v>
                </c:pt>
                <c:pt idx="829">
                  <c:v>59.85</c:v>
                </c:pt>
                <c:pt idx="830">
                  <c:v>59.64</c:v>
                </c:pt>
                <c:pt idx="831">
                  <c:v>58.8</c:v>
                </c:pt>
                <c:pt idx="832">
                  <c:v>58.905000000000001</c:v>
                </c:pt>
                <c:pt idx="833">
                  <c:v>58.17</c:v>
                </c:pt>
                <c:pt idx="834">
                  <c:v>59.01</c:v>
                </c:pt>
                <c:pt idx="835">
                  <c:v>59.64</c:v>
                </c:pt>
                <c:pt idx="836">
                  <c:v>59.01</c:v>
                </c:pt>
                <c:pt idx="837">
                  <c:v>57.75</c:v>
                </c:pt>
                <c:pt idx="838">
                  <c:v>58.379999999999995</c:v>
                </c:pt>
                <c:pt idx="839">
                  <c:v>57.959999999999994</c:v>
                </c:pt>
                <c:pt idx="840">
                  <c:v>59.22</c:v>
                </c:pt>
                <c:pt idx="841">
                  <c:v>59.379599999999996</c:v>
                </c:pt>
                <c:pt idx="842">
                  <c:v>59.745000000000005</c:v>
                </c:pt>
                <c:pt idx="843">
                  <c:v>60.584999999999994</c:v>
                </c:pt>
                <c:pt idx="844">
                  <c:v>60.48</c:v>
                </c:pt>
                <c:pt idx="845">
                  <c:v>60.48</c:v>
                </c:pt>
                <c:pt idx="846">
                  <c:v>59.169600000000003</c:v>
                </c:pt>
                <c:pt idx="847">
                  <c:v>59.43</c:v>
                </c:pt>
                <c:pt idx="848">
                  <c:v>57.489600000000003</c:v>
                </c:pt>
                <c:pt idx="849">
                  <c:v>56.49</c:v>
                </c:pt>
                <c:pt idx="850">
                  <c:v>56.384999999999998</c:v>
                </c:pt>
                <c:pt idx="851">
                  <c:v>56.805</c:v>
                </c:pt>
                <c:pt idx="852">
                  <c:v>57.015000000000001</c:v>
                </c:pt>
                <c:pt idx="853">
                  <c:v>56.805</c:v>
                </c:pt>
                <c:pt idx="854">
                  <c:v>55.754999999999995</c:v>
                </c:pt>
                <c:pt idx="855">
                  <c:v>55.125</c:v>
                </c:pt>
                <c:pt idx="856">
                  <c:v>54.075000000000003</c:v>
                </c:pt>
                <c:pt idx="857">
                  <c:v>53.34</c:v>
                </c:pt>
                <c:pt idx="858">
                  <c:v>53.024999999999999</c:v>
                </c:pt>
                <c:pt idx="859">
                  <c:v>54.18</c:v>
                </c:pt>
                <c:pt idx="860">
                  <c:v>53.865000000000002</c:v>
                </c:pt>
                <c:pt idx="861">
                  <c:v>54.864600000000003</c:v>
                </c:pt>
                <c:pt idx="862">
                  <c:v>53.234999999999999</c:v>
                </c:pt>
                <c:pt idx="863">
                  <c:v>53.34</c:v>
                </c:pt>
                <c:pt idx="864">
                  <c:v>54.654599999999995</c:v>
                </c:pt>
                <c:pt idx="865">
                  <c:v>54.075000000000003</c:v>
                </c:pt>
                <c:pt idx="866">
                  <c:v>53.655000000000001</c:v>
                </c:pt>
                <c:pt idx="867">
                  <c:v>53.55</c:v>
                </c:pt>
                <c:pt idx="868">
                  <c:v>51.134999999999998</c:v>
                </c:pt>
                <c:pt idx="869">
                  <c:v>51.500399999999999</c:v>
                </c:pt>
                <c:pt idx="870">
                  <c:v>52.395000000000003</c:v>
                </c:pt>
                <c:pt idx="871">
                  <c:v>52.92</c:v>
                </c:pt>
                <c:pt idx="872">
                  <c:v>52.395000000000003</c:v>
                </c:pt>
                <c:pt idx="873">
                  <c:v>52.92</c:v>
                </c:pt>
                <c:pt idx="874">
                  <c:v>53.129999999999995</c:v>
                </c:pt>
                <c:pt idx="875">
                  <c:v>52.815000000000005</c:v>
                </c:pt>
                <c:pt idx="876">
                  <c:v>52.449599999999997</c:v>
                </c:pt>
                <c:pt idx="877">
                  <c:v>52.395000000000003</c:v>
                </c:pt>
                <c:pt idx="878">
                  <c:v>52.395000000000003</c:v>
                </c:pt>
                <c:pt idx="879">
                  <c:v>52.970400000000005</c:v>
                </c:pt>
                <c:pt idx="880">
                  <c:v>53.34</c:v>
                </c:pt>
                <c:pt idx="881">
                  <c:v>53.234999999999999</c:v>
                </c:pt>
                <c:pt idx="882">
                  <c:v>52.815000000000005</c:v>
                </c:pt>
                <c:pt idx="883">
                  <c:v>52.029599999999995</c:v>
                </c:pt>
                <c:pt idx="884">
                  <c:v>52.184999999999995</c:v>
                </c:pt>
                <c:pt idx="885">
                  <c:v>52.550400000000003</c:v>
                </c:pt>
                <c:pt idx="886">
                  <c:v>52.550400000000003</c:v>
                </c:pt>
                <c:pt idx="887">
                  <c:v>52.5</c:v>
                </c:pt>
                <c:pt idx="888">
                  <c:v>52.340400000000002</c:v>
                </c:pt>
                <c:pt idx="889">
                  <c:v>52.239600000000003</c:v>
                </c:pt>
                <c:pt idx="890">
                  <c:v>51.45</c:v>
                </c:pt>
                <c:pt idx="891">
                  <c:v>51.975000000000001</c:v>
                </c:pt>
                <c:pt idx="892">
                  <c:v>51.870000000000005</c:v>
                </c:pt>
                <c:pt idx="893">
                  <c:v>51.765000000000001</c:v>
                </c:pt>
                <c:pt idx="894">
                  <c:v>51.765000000000001</c:v>
                </c:pt>
                <c:pt idx="895">
                  <c:v>51.555</c:v>
                </c:pt>
                <c:pt idx="896">
                  <c:v>50.715000000000003</c:v>
                </c:pt>
                <c:pt idx="897">
                  <c:v>49.665000000000006</c:v>
                </c:pt>
                <c:pt idx="898">
                  <c:v>49.559999999999995</c:v>
                </c:pt>
                <c:pt idx="899">
                  <c:v>48.984599999999993</c:v>
                </c:pt>
                <c:pt idx="900">
                  <c:v>47.459999999999994</c:v>
                </c:pt>
                <c:pt idx="901">
                  <c:v>45.254999999999995</c:v>
                </c:pt>
                <c:pt idx="902">
                  <c:v>45.57</c:v>
                </c:pt>
                <c:pt idx="903">
                  <c:v>47.199599999999997</c:v>
                </c:pt>
                <c:pt idx="904">
                  <c:v>45.57</c:v>
                </c:pt>
                <c:pt idx="905">
                  <c:v>46.094999999999999</c:v>
                </c:pt>
                <c:pt idx="906">
                  <c:v>47.459999999999994</c:v>
                </c:pt>
                <c:pt idx="907">
                  <c:v>48.3504</c:v>
                </c:pt>
                <c:pt idx="908">
                  <c:v>48.405000000000001</c:v>
                </c:pt>
                <c:pt idx="909">
                  <c:v>49.14</c:v>
                </c:pt>
                <c:pt idx="910">
                  <c:v>49.404599999999995</c:v>
                </c:pt>
                <c:pt idx="911">
                  <c:v>49.98</c:v>
                </c:pt>
                <c:pt idx="912">
                  <c:v>50.924999999999997</c:v>
                </c:pt>
                <c:pt idx="913">
                  <c:v>51.66</c:v>
                </c:pt>
                <c:pt idx="914">
                  <c:v>51.66</c:v>
                </c:pt>
                <c:pt idx="915">
                  <c:v>51.66</c:v>
                </c:pt>
                <c:pt idx="916">
                  <c:v>51.920400000000001</c:v>
                </c:pt>
                <c:pt idx="917">
                  <c:v>52.290000000000006</c:v>
                </c:pt>
                <c:pt idx="918">
                  <c:v>53.34</c:v>
                </c:pt>
                <c:pt idx="919">
                  <c:v>53.55</c:v>
                </c:pt>
                <c:pt idx="920">
                  <c:v>54.495000000000005</c:v>
                </c:pt>
                <c:pt idx="921">
                  <c:v>54.495000000000005</c:v>
                </c:pt>
                <c:pt idx="922">
                  <c:v>54.864600000000003</c:v>
                </c:pt>
                <c:pt idx="923">
                  <c:v>54.965400000000002</c:v>
                </c:pt>
                <c:pt idx="924">
                  <c:v>55.02</c:v>
                </c:pt>
                <c:pt idx="925">
                  <c:v>54.284999999999997</c:v>
                </c:pt>
                <c:pt idx="926">
                  <c:v>53.97</c:v>
                </c:pt>
                <c:pt idx="927">
                  <c:v>53.97</c:v>
                </c:pt>
                <c:pt idx="928">
                  <c:v>53.814599999999999</c:v>
                </c:pt>
                <c:pt idx="929">
                  <c:v>53.234999999999999</c:v>
                </c:pt>
                <c:pt idx="930">
                  <c:v>52.92</c:v>
                </c:pt>
                <c:pt idx="931">
                  <c:v>53.915400000000005</c:v>
                </c:pt>
                <c:pt idx="932">
                  <c:v>53.76</c:v>
                </c:pt>
                <c:pt idx="933">
                  <c:v>55.02</c:v>
                </c:pt>
                <c:pt idx="934">
                  <c:v>56.07</c:v>
                </c:pt>
                <c:pt idx="935">
                  <c:v>55.86</c:v>
                </c:pt>
                <c:pt idx="936">
                  <c:v>55.65</c:v>
                </c:pt>
                <c:pt idx="937">
                  <c:v>55.545000000000002</c:v>
                </c:pt>
                <c:pt idx="938">
                  <c:v>55.334999999999994</c:v>
                </c:pt>
                <c:pt idx="939">
                  <c:v>55.02</c:v>
                </c:pt>
                <c:pt idx="940">
                  <c:v>56.174999999999997</c:v>
                </c:pt>
                <c:pt idx="941">
                  <c:v>56.439599999999999</c:v>
                </c:pt>
                <c:pt idx="942">
                  <c:v>56.805</c:v>
                </c:pt>
                <c:pt idx="943">
                  <c:v>57.015000000000001</c:v>
                </c:pt>
                <c:pt idx="944">
                  <c:v>57.33</c:v>
                </c:pt>
                <c:pt idx="945">
                  <c:v>56.931000000000004</c:v>
                </c:pt>
                <c:pt idx="946">
                  <c:v>57.590400000000002</c:v>
                </c:pt>
                <c:pt idx="947">
                  <c:v>57.434999999999995</c:v>
                </c:pt>
                <c:pt idx="948">
                  <c:v>58.224599999999995</c:v>
                </c:pt>
                <c:pt idx="949">
                  <c:v>58.379999999999995</c:v>
                </c:pt>
                <c:pt idx="950">
                  <c:v>59.115000000000002</c:v>
                </c:pt>
                <c:pt idx="951">
                  <c:v>58.59</c:v>
                </c:pt>
                <c:pt idx="952">
                  <c:v>59.85</c:v>
                </c:pt>
                <c:pt idx="953">
                  <c:v>60.48</c:v>
                </c:pt>
                <c:pt idx="954">
                  <c:v>60.059999999999995</c:v>
                </c:pt>
                <c:pt idx="955">
                  <c:v>59.745000000000005</c:v>
                </c:pt>
                <c:pt idx="956">
                  <c:v>59.745000000000005</c:v>
                </c:pt>
                <c:pt idx="957">
                  <c:v>59.64</c:v>
                </c:pt>
                <c:pt idx="958">
                  <c:v>59.115000000000002</c:v>
                </c:pt>
                <c:pt idx="959">
                  <c:v>57.540000000000006</c:v>
                </c:pt>
                <c:pt idx="960">
                  <c:v>57.069600000000001</c:v>
                </c:pt>
                <c:pt idx="961">
                  <c:v>56.174999999999997</c:v>
                </c:pt>
                <c:pt idx="962">
                  <c:v>54.39</c:v>
                </c:pt>
                <c:pt idx="963">
                  <c:v>55.440000000000005</c:v>
                </c:pt>
                <c:pt idx="964">
                  <c:v>56.49</c:v>
                </c:pt>
                <c:pt idx="965">
                  <c:v>57.854999999999997</c:v>
                </c:pt>
                <c:pt idx="966">
                  <c:v>56.624399999999994</c:v>
                </c:pt>
                <c:pt idx="967">
                  <c:v>56.07</c:v>
                </c:pt>
                <c:pt idx="968">
                  <c:v>57.75</c:v>
                </c:pt>
                <c:pt idx="969">
                  <c:v>56.805</c:v>
                </c:pt>
                <c:pt idx="970">
                  <c:v>56.805</c:v>
                </c:pt>
                <c:pt idx="971">
                  <c:v>56.7</c:v>
                </c:pt>
                <c:pt idx="972">
                  <c:v>56.7</c:v>
                </c:pt>
                <c:pt idx="973">
                  <c:v>57.590400000000002</c:v>
                </c:pt>
                <c:pt idx="974">
                  <c:v>58.17</c:v>
                </c:pt>
                <c:pt idx="975">
                  <c:v>57.959999999999994</c:v>
                </c:pt>
                <c:pt idx="976">
                  <c:v>58.695</c:v>
                </c:pt>
                <c:pt idx="977">
                  <c:v>59.64</c:v>
                </c:pt>
                <c:pt idx="978">
                  <c:v>60.795000000000002</c:v>
                </c:pt>
                <c:pt idx="979">
                  <c:v>61.004999999999995</c:v>
                </c:pt>
                <c:pt idx="980">
                  <c:v>61.004999999999995</c:v>
                </c:pt>
                <c:pt idx="981">
                  <c:v>61.215000000000003</c:v>
                </c:pt>
                <c:pt idx="982">
                  <c:v>61.74</c:v>
                </c:pt>
                <c:pt idx="983">
                  <c:v>61.584599999999995</c:v>
                </c:pt>
                <c:pt idx="984">
                  <c:v>63.524999999999999</c:v>
                </c:pt>
                <c:pt idx="985">
                  <c:v>63.629999999999995</c:v>
                </c:pt>
                <c:pt idx="986">
                  <c:v>63.42</c:v>
                </c:pt>
                <c:pt idx="987">
                  <c:v>64.314599999999999</c:v>
                </c:pt>
                <c:pt idx="988">
                  <c:v>65.100000000000009</c:v>
                </c:pt>
                <c:pt idx="989">
                  <c:v>64.260000000000005</c:v>
                </c:pt>
                <c:pt idx="990">
                  <c:v>64.575000000000003</c:v>
                </c:pt>
                <c:pt idx="991">
                  <c:v>63.945</c:v>
                </c:pt>
                <c:pt idx="992">
                  <c:v>63.84</c:v>
                </c:pt>
                <c:pt idx="993">
                  <c:v>62.58</c:v>
                </c:pt>
                <c:pt idx="994">
                  <c:v>61.74</c:v>
                </c:pt>
                <c:pt idx="995">
                  <c:v>61.32</c:v>
                </c:pt>
                <c:pt idx="996">
                  <c:v>61.634999999999998</c:v>
                </c:pt>
                <c:pt idx="997">
                  <c:v>60.48</c:v>
                </c:pt>
                <c:pt idx="998">
                  <c:v>60.059999999999995</c:v>
                </c:pt>
                <c:pt idx="999">
                  <c:v>59.85</c:v>
                </c:pt>
                <c:pt idx="1000">
                  <c:v>59.2746</c:v>
                </c:pt>
                <c:pt idx="1001">
                  <c:v>59.43</c:v>
                </c:pt>
                <c:pt idx="1002">
                  <c:v>59.2746</c:v>
                </c:pt>
                <c:pt idx="1003">
                  <c:v>60.059999999999995</c:v>
                </c:pt>
                <c:pt idx="1004">
                  <c:v>59.43</c:v>
                </c:pt>
                <c:pt idx="1005">
                  <c:v>60.114600000000003</c:v>
                </c:pt>
                <c:pt idx="1006">
                  <c:v>60.059999999999995</c:v>
                </c:pt>
                <c:pt idx="1007">
                  <c:v>59.43</c:v>
                </c:pt>
                <c:pt idx="1008">
                  <c:v>60.324599999999997</c:v>
                </c:pt>
                <c:pt idx="1009">
                  <c:v>61.11</c:v>
                </c:pt>
                <c:pt idx="1010">
                  <c:v>60.215400000000002</c:v>
                </c:pt>
                <c:pt idx="1011">
                  <c:v>61.004999999999995</c:v>
                </c:pt>
                <c:pt idx="1012">
                  <c:v>60.9</c:v>
                </c:pt>
                <c:pt idx="1013">
                  <c:v>60.375</c:v>
                </c:pt>
                <c:pt idx="1014">
                  <c:v>61.215000000000003</c:v>
                </c:pt>
                <c:pt idx="1015">
                  <c:v>60.48</c:v>
                </c:pt>
                <c:pt idx="1016">
                  <c:v>59.954999999999998</c:v>
                </c:pt>
                <c:pt idx="1017">
                  <c:v>58.17</c:v>
                </c:pt>
                <c:pt idx="1018">
                  <c:v>58.695</c:v>
                </c:pt>
                <c:pt idx="1019">
                  <c:v>58.695</c:v>
                </c:pt>
                <c:pt idx="1020">
                  <c:v>58.695</c:v>
                </c:pt>
                <c:pt idx="1021">
                  <c:v>58.484999999999999</c:v>
                </c:pt>
                <c:pt idx="1022">
                  <c:v>58.379999999999995</c:v>
                </c:pt>
                <c:pt idx="1023">
                  <c:v>59.165400000000005</c:v>
                </c:pt>
                <c:pt idx="1024">
                  <c:v>58.695</c:v>
                </c:pt>
                <c:pt idx="1025">
                  <c:v>59.01</c:v>
                </c:pt>
                <c:pt idx="1026">
                  <c:v>58.17</c:v>
                </c:pt>
                <c:pt idx="1027">
                  <c:v>58.329599999999999</c:v>
                </c:pt>
                <c:pt idx="1028">
                  <c:v>56.7</c:v>
                </c:pt>
                <c:pt idx="1029">
                  <c:v>55.65</c:v>
                </c:pt>
                <c:pt idx="1030">
                  <c:v>54.704999999999998</c:v>
                </c:pt>
                <c:pt idx="1031">
                  <c:v>55.86</c:v>
                </c:pt>
                <c:pt idx="1032">
                  <c:v>57.434999999999995</c:v>
                </c:pt>
                <c:pt idx="1033">
                  <c:v>58.17</c:v>
                </c:pt>
                <c:pt idx="1034">
                  <c:v>57.75</c:v>
                </c:pt>
                <c:pt idx="1035">
                  <c:v>57.909599999999998</c:v>
                </c:pt>
                <c:pt idx="1036">
                  <c:v>57.434999999999995</c:v>
                </c:pt>
                <c:pt idx="1037">
                  <c:v>58.379999999999995</c:v>
                </c:pt>
                <c:pt idx="1038">
                  <c:v>58.379999999999995</c:v>
                </c:pt>
                <c:pt idx="1039">
                  <c:v>58.484999999999999</c:v>
                </c:pt>
                <c:pt idx="1040">
                  <c:v>59.22</c:v>
                </c:pt>
                <c:pt idx="1041">
                  <c:v>58.8</c:v>
                </c:pt>
                <c:pt idx="1042">
                  <c:v>57.959999999999994</c:v>
                </c:pt>
                <c:pt idx="1043">
                  <c:v>57.959999999999994</c:v>
                </c:pt>
                <c:pt idx="1044">
                  <c:v>58.379999999999995</c:v>
                </c:pt>
                <c:pt idx="1045">
                  <c:v>58.695</c:v>
                </c:pt>
                <c:pt idx="1046">
                  <c:v>58.695</c:v>
                </c:pt>
                <c:pt idx="1047">
                  <c:v>59.22</c:v>
                </c:pt>
                <c:pt idx="1048">
                  <c:v>59.165400000000005</c:v>
                </c:pt>
                <c:pt idx="1049">
                  <c:v>58.17</c:v>
                </c:pt>
                <c:pt idx="1050">
                  <c:v>58.959599999999995</c:v>
                </c:pt>
                <c:pt idx="1051">
                  <c:v>59.115000000000002</c:v>
                </c:pt>
                <c:pt idx="1052">
                  <c:v>59.534999999999997</c:v>
                </c:pt>
                <c:pt idx="1053">
                  <c:v>60.324599999999997</c:v>
                </c:pt>
                <c:pt idx="1054">
                  <c:v>60.9</c:v>
                </c:pt>
                <c:pt idx="1055">
                  <c:v>63.84</c:v>
                </c:pt>
                <c:pt idx="1056">
                  <c:v>63.84</c:v>
                </c:pt>
                <c:pt idx="1057">
                  <c:v>66.36</c:v>
                </c:pt>
                <c:pt idx="1058">
                  <c:v>67.094999999999999</c:v>
                </c:pt>
                <c:pt idx="1059">
                  <c:v>65.94</c:v>
                </c:pt>
                <c:pt idx="1060">
                  <c:v>65.52</c:v>
                </c:pt>
                <c:pt idx="1061">
                  <c:v>65.52</c:v>
                </c:pt>
                <c:pt idx="1062">
                  <c:v>66.569999999999993</c:v>
                </c:pt>
                <c:pt idx="1063">
                  <c:v>68.30040000000001</c:v>
                </c:pt>
                <c:pt idx="1064">
                  <c:v>68.774999999999991</c:v>
                </c:pt>
                <c:pt idx="1065">
                  <c:v>66.78</c:v>
                </c:pt>
                <c:pt idx="1066">
                  <c:v>66.36</c:v>
                </c:pt>
                <c:pt idx="1067">
                  <c:v>66.465000000000003</c:v>
                </c:pt>
                <c:pt idx="1068">
                  <c:v>65.52</c:v>
                </c:pt>
                <c:pt idx="1069">
                  <c:v>63.734999999999999</c:v>
                </c:pt>
                <c:pt idx="1070">
                  <c:v>62.58</c:v>
                </c:pt>
                <c:pt idx="1071">
                  <c:v>63</c:v>
                </c:pt>
                <c:pt idx="1072">
                  <c:v>61.424999999999997</c:v>
                </c:pt>
                <c:pt idx="1073">
                  <c:v>57.540000000000006</c:v>
                </c:pt>
                <c:pt idx="1074">
                  <c:v>56.174999999999997</c:v>
                </c:pt>
                <c:pt idx="1075">
                  <c:v>58.065000000000005</c:v>
                </c:pt>
                <c:pt idx="1076">
                  <c:v>58.065000000000005</c:v>
                </c:pt>
                <c:pt idx="1077">
                  <c:v>59.64</c:v>
                </c:pt>
                <c:pt idx="1078">
                  <c:v>59.22</c:v>
                </c:pt>
                <c:pt idx="1079">
                  <c:v>57.225000000000001</c:v>
                </c:pt>
                <c:pt idx="1080">
                  <c:v>56.28</c:v>
                </c:pt>
                <c:pt idx="1081">
                  <c:v>55.494599999999998</c:v>
                </c:pt>
                <c:pt idx="1082">
                  <c:v>54.18</c:v>
                </c:pt>
                <c:pt idx="1083">
                  <c:v>54.6</c:v>
                </c:pt>
                <c:pt idx="1084">
                  <c:v>53.34</c:v>
                </c:pt>
                <c:pt idx="1085">
                  <c:v>53.655000000000001</c:v>
                </c:pt>
                <c:pt idx="1086">
                  <c:v>53.97</c:v>
                </c:pt>
                <c:pt idx="1087">
                  <c:v>53.34</c:v>
                </c:pt>
                <c:pt idx="1088">
                  <c:v>52.5</c:v>
                </c:pt>
                <c:pt idx="1089">
                  <c:v>52.709999999999994</c:v>
                </c:pt>
                <c:pt idx="1090">
                  <c:v>53.34</c:v>
                </c:pt>
                <c:pt idx="1091">
                  <c:v>53.34</c:v>
                </c:pt>
                <c:pt idx="1092">
                  <c:v>53.129999999999995</c:v>
                </c:pt>
                <c:pt idx="1093">
                  <c:v>52.869599999999998</c:v>
                </c:pt>
                <c:pt idx="1094">
                  <c:v>52.815000000000005</c:v>
                </c:pt>
                <c:pt idx="1095">
                  <c:v>52.92</c:v>
                </c:pt>
                <c:pt idx="1096">
                  <c:v>52.290000000000006</c:v>
                </c:pt>
                <c:pt idx="1097">
                  <c:v>52.395000000000003</c:v>
                </c:pt>
                <c:pt idx="1098">
                  <c:v>52.08</c:v>
                </c:pt>
                <c:pt idx="1099">
                  <c:v>52.184999999999995</c:v>
                </c:pt>
                <c:pt idx="1100">
                  <c:v>53.445</c:v>
                </c:pt>
                <c:pt idx="1101">
                  <c:v>52.709999999999994</c:v>
                </c:pt>
                <c:pt idx="1102">
                  <c:v>53.024999999999999</c:v>
                </c:pt>
                <c:pt idx="1103">
                  <c:v>53.129999999999995</c:v>
                </c:pt>
                <c:pt idx="1104">
                  <c:v>53.234999999999999</c:v>
                </c:pt>
                <c:pt idx="1105">
                  <c:v>52.92</c:v>
                </c:pt>
                <c:pt idx="1106">
                  <c:v>52.604999999999997</c:v>
                </c:pt>
                <c:pt idx="1107">
                  <c:v>52.604999999999997</c:v>
                </c:pt>
                <c:pt idx="1108">
                  <c:v>52.395000000000003</c:v>
                </c:pt>
                <c:pt idx="1109">
                  <c:v>52.604999999999997</c:v>
                </c:pt>
                <c:pt idx="1110">
                  <c:v>52.92</c:v>
                </c:pt>
                <c:pt idx="1111">
                  <c:v>52.604999999999997</c:v>
                </c:pt>
                <c:pt idx="1112">
                  <c:v>53.234999999999999</c:v>
                </c:pt>
                <c:pt idx="1113">
                  <c:v>53.129999999999995</c:v>
                </c:pt>
                <c:pt idx="1114">
                  <c:v>53.129999999999995</c:v>
                </c:pt>
                <c:pt idx="1115">
                  <c:v>53.34</c:v>
                </c:pt>
                <c:pt idx="1116">
                  <c:v>53.34</c:v>
                </c:pt>
                <c:pt idx="1117">
                  <c:v>53.655000000000001</c:v>
                </c:pt>
                <c:pt idx="1118">
                  <c:v>54.18</c:v>
                </c:pt>
                <c:pt idx="1119">
                  <c:v>54.495000000000005</c:v>
                </c:pt>
                <c:pt idx="1120">
                  <c:v>54.495000000000005</c:v>
                </c:pt>
                <c:pt idx="1121">
                  <c:v>54.18</c:v>
                </c:pt>
                <c:pt idx="1122">
                  <c:v>53.709599999999995</c:v>
                </c:pt>
                <c:pt idx="1123">
                  <c:v>53.76</c:v>
                </c:pt>
                <c:pt idx="1124">
                  <c:v>54.075000000000003</c:v>
                </c:pt>
                <c:pt idx="1125">
                  <c:v>53.604599999999998</c:v>
                </c:pt>
                <c:pt idx="1126">
                  <c:v>53.129999999999995</c:v>
                </c:pt>
                <c:pt idx="1127">
                  <c:v>53.655000000000001</c:v>
                </c:pt>
                <c:pt idx="1128">
                  <c:v>53.129999999999995</c:v>
                </c:pt>
                <c:pt idx="1129">
                  <c:v>52.646999999999991</c:v>
                </c:pt>
                <c:pt idx="1130">
                  <c:v>51.819600000000001</c:v>
                </c:pt>
                <c:pt idx="1131">
                  <c:v>51.555</c:v>
                </c:pt>
                <c:pt idx="1132">
                  <c:v>51.24</c:v>
                </c:pt>
                <c:pt idx="1133">
                  <c:v>51.24</c:v>
                </c:pt>
                <c:pt idx="1134">
                  <c:v>51.344999999999999</c:v>
                </c:pt>
                <c:pt idx="1135">
                  <c:v>51.03</c:v>
                </c:pt>
                <c:pt idx="1136">
                  <c:v>50.82</c:v>
                </c:pt>
                <c:pt idx="1137">
                  <c:v>50.82</c:v>
                </c:pt>
                <c:pt idx="1138">
                  <c:v>51.03</c:v>
                </c:pt>
                <c:pt idx="1139">
                  <c:v>50.454599999999999</c:v>
                </c:pt>
                <c:pt idx="1140">
                  <c:v>50.244599999999998</c:v>
                </c:pt>
                <c:pt idx="1141">
                  <c:v>51.134999999999998</c:v>
                </c:pt>
                <c:pt idx="1142">
                  <c:v>51.084599999999995</c:v>
                </c:pt>
                <c:pt idx="1143">
                  <c:v>51.3996</c:v>
                </c:pt>
                <c:pt idx="1144">
                  <c:v>51.555</c:v>
                </c:pt>
                <c:pt idx="1145">
                  <c:v>51.66</c:v>
                </c:pt>
                <c:pt idx="1146">
                  <c:v>51.66</c:v>
                </c:pt>
                <c:pt idx="1147">
                  <c:v>52.130400000000002</c:v>
                </c:pt>
                <c:pt idx="1148">
                  <c:v>50.4</c:v>
                </c:pt>
                <c:pt idx="1149">
                  <c:v>52.5</c:v>
                </c:pt>
                <c:pt idx="1150">
                  <c:v>52.5</c:v>
                </c:pt>
                <c:pt idx="1151">
                  <c:v>52.08</c:v>
                </c:pt>
                <c:pt idx="1152">
                  <c:v>52.395000000000003</c:v>
                </c:pt>
                <c:pt idx="1153">
                  <c:v>51.870000000000005</c:v>
                </c:pt>
                <c:pt idx="1154">
                  <c:v>51.45</c:v>
                </c:pt>
                <c:pt idx="1155">
                  <c:v>51.24</c:v>
                </c:pt>
                <c:pt idx="1156">
                  <c:v>51.66</c:v>
                </c:pt>
                <c:pt idx="1157">
                  <c:v>51.500399999999999</c:v>
                </c:pt>
                <c:pt idx="1158">
                  <c:v>51.45</c:v>
                </c:pt>
                <c:pt idx="1159">
                  <c:v>52.5</c:v>
                </c:pt>
                <c:pt idx="1160">
                  <c:v>52.239600000000003</c:v>
                </c:pt>
                <c:pt idx="1161">
                  <c:v>52.5</c:v>
                </c:pt>
                <c:pt idx="1162">
                  <c:v>53.445</c:v>
                </c:pt>
                <c:pt idx="1163">
                  <c:v>53.76</c:v>
                </c:pt>
                <c:pt idx="1164">
                  <c:v>55.02</c:v>
                </c:pt>
                <c:pt idx="1165">
                  <c:v>54.915000000000006</c:v>
                </c:pt>
                <c:pt idx="1166">
                  <c:v>54.6</c:v>
                </c:pt>
                <c:pt idx="1167">
                  <c:v>54.495000000000005</c:v>
                </c:pt>
                <c:pt idx="1168">
                  <c:v>54.444600000000001</c:v>
                </c:pt>
                <c:pt idx="1169">
                  <c:v>54.075000000000003</c:v>
                </c:pt>
                <c:pt idx="1170">
                  <c:v>53.234999999999999</c:v>
                </c:pt>
                <c:pt idx="1171">
                  <c:v>52.92</c:v>
                </c:pt>
                <c:pt idx="1172">
                  <c:v>53.97</c:v>
                </c:pt>
                <c:pt idx="1173">
                  <c:v>53.445</c:v>
                </c:pt>
                <c:pt idx="1174">
                  <c:v>53.079599999999999</c:v>
                </c:pt>
                <c:pt idx="1175">
                  <c:v>53.079599999999999</c:v>
                </c:pt>
                <c:pt idx="1176">
                  <c:v>53.079599999999999</c:v>
                </c:pt>
                <c:pt idx="1177">
                  <c:v>52.869599999999998</c:v>
                </c:pt>
                <c:pt idx="1178">
                  <c:v>52.760399999999997</c:v>
                </c:pt>
                <c:pt idx="1179">
                  <c:v>53.55</c:v>
                </c:pt>
                <c:pt idx="1180">
                  <c:v>53.129999999999995</c:v>
                </c:pt>
                <c:pt idx="1181">
                  <c:v>53.129999999999995</c:v>
                </c:pt>
                <c:pt idx="1182">
                  <c:v>52.760399999999997</c:v>
                </c:pt>
                <c:pt idx="1183">
                  <c:v>52.869599999999998</c:v>
                </c:pt>
                <c:pt idx="1184">
                  <c:v>52.764600000000002</c:v>
                </c:pt>
                <c:pt idx="1185">
                  <c:v>52.604999999999997</c:v>
                </c:pt>
                <c:pt idx="1186">
                  <c:v>52.550400000000003</c:v>
                </c:pt>
                <c:pt idx="1187">
                  <c:v>51.765000000000001</c:v>
                </c:pt>
                <c:pt idx="1188">
                  <c:v>52.604999999999997</c:v>
                </c:pt>
                <c:pt idx="1189">
                  <c:v>52.184999999999995</c:v>
                </c:pt>
                <c:pt idx="1190">
                  <c:v>52.5</c:v>
                </c:pt>
                <c:pt idx="1191">
                  <c:v>52.290000000000006</c:v>
                </c:pt>
                <c:pt idx="1192">
                  <c:v>52.184999999999995</c:v>
                </c:pt>
                <c:pt idx="1193">
                  <c:v>51.924599999999998</c:v>
                </c:pt>
                <c:pt idx="1194">
                  <c:v>51.609599999999993</c:v>
                </c:pt>
                <c:pt idx="1195">
                  <c:v>50.715000000000003</c:v>
                </c:pt>
                <c:pt idx="1196">
                  <c:v>51.03</c:v>
                </c:pt>
                <c:pt idx="1197">
                  <c:v>50.765400000000007</c:v>
                </c:pt>
                <c:pt idx="1198">
                  <c:v>51.084599999999995</c:v>
                </c:pt>
                <c:pt idx="1199">
                  <c:v>51.555</c:v>
                </c:pt>
                <c:pt idx="1200">
                  <c:v>51.920400000000001</c:v>
                </c:pt>
                <c:pt idx="1201">
                  <c:v>52.659599999999998</c:v>
                </c:pt>
                <c:pt idx="1202">
                  <c:v>52.5</c:v>
                </c:pt>
                <c:pt idx="1203">
                  <c:v>52.92</c:v>
                </c:pt>
                <c:pt idx="1204">
                  <c:v>52.290000000000006</c:v>
                </c:pt>
                <c:pt idx="1205">
                  <c:v>52.550400000000003</c:v>
                </c:pt>
                <c:pt idx="1206">
                  <c:v>51.45</c:v>
                </c:pt>
                <c:pt idx="1207">
                  <c:v>51.920400000000001</c:v>
                </c:pt>
                <c:pt idx="1208">
                  <c:v>52.08</c:v>
                </c:pt>
                <c:pt idx="1209">
                  <c:v>52.029599999999995</c:v>
                </c:pt>
                <c:pt idx="1210">
                  <c:v>51.555</c:v>
                </c:pt>
                <c:pt idx="1211">
                  <c:v>51.24</c:v>
                </c:pt>
                <c:pt idx="1212">
                  <c:v>51.555</c:v>
                </c:pt>
                <c:pt idx="1213">
                  <c:v>51.609599999999993</c:v>
                </c:pt>
                <c:pt idx="1214">
                  <c:v>51.819600000000001</c:v>
                </c:pt>
                <c:pt idx="1215">
                  <c:v>52.5</c:v>
                </c:pt>
                <c:pt idx="1216">
                  <c:v>52.5</c:v>
                </c:pt>
                <c:pt idx="1217">
                  <c:v>51.975000000000001</c:v>
                </c:pt>
                <c:pt idx="1218">
                  <c:v>53.129999999999995</c:v>
                </c:pt>
                <c:pt idx="1219">
                  <c:v>53.234999999999999</c:v>
                </c:pt>
                <c:pt idx="1220">
                  <c:v>53.34</c:v>
                </c:pt>
                <c:pt idx="1221">
                  <c:v>53.394599999999997</c:v>
                </c:pt>
                <c:pt idx="1222">
                  <c:v>53.129999999999995</c:v>
                </c:pt>
                <c:pt idx="1223">
                  <c:v>53.024999999999999</c:v>
                </c:pt>
                <c:pt idx="1224">
                  <c:v>53.129999999999995</c:v>
                </c:pt>
                <c:pt idx="1225">
                  <c:v>53.34</c:v>
                </c:pt>
                <c:pt idx="1226">
                  <c:v>53.499600000000001</c:v>
                </c:pt>
                <c:pt idx="1227">
                  <c:v>54.125399999999999</c:v>
                </c:pt>
                <c:pt idx="1228">
                  <c:v>54.39</c:v>
                </c:pt>
                <c:pt idx="1229">
                  <c:v>53.865000000000002</c:v>
                </c:pt>
                <c:pt idx="1230">
                  <c:v>53.915400000000005</c:v>
                </c:pt>
                <c:pt idx="1231">
                  <c:v>53.234999999999999</c:v>
                </c:pt>
                <c:pt idx="1232">
                  <c:v>53.129999999999995</c:v>
                </c:pt>
                <c:pt idx="1233">
                  <c:v>53.024999999999999</c:v>
                </c:pt>
                <c:pt idx="1234">
                  <c:v>52.5</c:v>
                </c:pt>
                <c:pt idx="1235">
                  <c:v>51.870000000000005</c:v>
                </c:pt>
                <c:pt idx="1236">
                  <c:v>51.555</c:v>
                </c:pt>
                <c:pt idx="1237">
                  <c:v>50.715000000000003</c:v>
                </c:pt>
                <c:pt idx="1238">
                  <c:v>51.555</c:v>
                </c:pt>
                <c:pt idx="1239">
                  <c:v>51.765000000000001</c:v>
                </c:pt>
                <c:pt idx="1240">
                  <c:v>51.870000000000005</c:v>
                </c:pt>
                <c:pt idx="1241">
                  <c:v>52.029599999999995</c:v>
                </c:pt>
                <c:pt idx="1242">
                  <c:v>51.555</c:v>
                </c:pt>
                <c:pt idx="1243">
                  <c:v>51.45</c:v>
                </c:pt>
                <c:pt idx="1244">
                  <c:v>48.93</c:v>
                </c:pt>
                <c:pt idx="1245">
                  <c:v>48.3</c:v>
                </c:pt>
                <c:pt idx="1246">
                  <c:v>47.984999999999999</c:v>
                </c:pt>
                <c:pt idx="1247">
                  <c:v>45.884999999999998</c:v>
                </c:pt>
                <c:pt idx="1248">
                  <c:v>45.834599999999995</c:v>
                </c:pt>
                <c:pt idx="1249">
                  <c:v>45.78</c:v>
                </c:pt>
                <c:pt idx="1250">
                  <c:v>46.620000000000005</c:v>
                </c:pt>
                <c:pt idx="1251">
                  <c:v>45.57</c:v>
                </c:pt>
                <c:pt idx="1252">
                  <c:v>45.15</c:v>
                </c:pt>
                <c:pt idx="1253">
                  <c:v>44.154599999999995</c:v>
                </c:pt>
                <c:pt idx="1254">
                  <c:v>45.36</c:v>
                </c:pt>
                <c:pt idx="1255">
                  <c:v>45.045000000000002</c:v>
                </c:pt>
                <c:pt idx="1256">
                  <c:v>45.674999999999997</c:v>
                </c:pt>
                <c:pt idx="1257">
                  <c:v>46.620000000000005</c:v>
                </c:pt>
                <c:pt idx="1258">
                  <c:v>47.354999999999997</c:v>
                </c:pt>
                <c:pt idx="1259">
                  <c:v>47.145000000000003</c:v>
                </c:pt>
                <c:pt idx="1260">
                  <c:v>47.040000000000006</c:v>
                </c:pt>
                <c:pt idx="1261">
                  <c:v>46.934999999999995</c:v>
                </c:pt>
                <c:pt idx="1262">
                  <c:v>45.99</c:v>
                </c:pt>
                <c:pt idx="1263">
                  <c:v>46.515000000000001</c:v>
                </c:pt>
                <c:pt idx="1264">
                  <c:v>45.36</c:v>
                </c:pt>
                <c:pt idx="1265">
                  <c:v>45.045000000000002</c:v>
                </c:pt>
                <c:pt idx="1266">
                  <c:v>45.36</c:v>
                </c:pt>
                <c:pt idx="1267">
                  <c:v>45.99</c:v>
                </c:pt>
                <c:pt idx="1268">
                  <c:v>47.354999999999997</c:v>
                </c:pt>
                <c:pt idx="1269">
                  <c:v>45.36</c:v>
                </c:pt>
                <c:pt idx="1270">
                  <c:v>43.575000000000003</c:v>
                </c:pt>
                <c:pt idx="1271">
                  <c:v>45.674999999999997</c:v>
                </c:pt>
                <c:pt idx="1272">
                  <c:v>44.52</c:v>
                </c:pt>
                <c:pt idx="1273">
                  <c:v>43.68</c:v>
                </c:pt>
                <c:pt idx="1274">
                  <c:v>42.84</c:v>
                </c:pt>
                <c:pt idx="1275">
                  <c:v>42.945</c:v>
                </c:pt>
                <c:pt idx="1276">
                  <c:v>41.475000000000001</c:v>
                </c:pt>
                <c:pt idx="1277">
                  <c:v>40.53</c:v>
                </c:pt>
                <c:pt idx="1278">
                  <c:v>40.949999999999996</c:v>
                </c:pt>
                <c:pt idx="1279">
                  <c:v>40.949999999999996</c:v>
                </c:pt>
                <c:pt idx="1280">
                  <c:v>40.949999999999996</c:v>
                </c:pt>
                <c:pt idx="1281">
                  <c:v>38.22</c:v>
                </c:pt>
                <c:pt idx="1282">
                  <c:v>37.590000000000003</c:v>
                </c:pt>
                <c:pt idx="1283">
                  <c:v>36.54</c:v>
                </c:pt>
                <c:pt idx="1284">
                  <c:v>35.49</c:v>
                </c:pt>
                <c:pt idx="1285">
                  <c:v>33.6</c:v>
                </c:pt>
                <c:pt idx="1286">
                  <c:v>30.87</c:v>
                </c:pt>
                <c:pt idx="1287">
                  <c:v>30.555</c:v>
                </c:pt>
                <c:pt idx="1288">
                  <c:v>28.14</c:v>
                </c:pt>
                <c:pt idx="1289">
                  <c:v>29.4</c:v>
                </c:pt>
                <c:pt idx="1290">
                  <c:v>30.345000000000002</c:v>
                </c:pt>
                <c:pt idx="1291">
                  <c:v>30.029999999999998</c:v>
                </c:pt>
                <c:pt idx="1292">
                  <c:v>29.925000000000001</c:v>
                </c:pt>
                <c:pt idx="1293">
                  <c:v>30.45</c:v>
                </c:pt>
                <c:pt idx="1294">
                  <c:v>29.925000000000001</c:v>
                </c:pt>
                <c:pt idx="1295">
                  <c:v>31.29</c:v>
                </c:pt>
                <c:pt idx="1296">
                  <c:v>29.664599999999997</c:v>
                </c:pt>
                <c:pt idx="1297">
                  <c:v>30.24</c:v>
                </c:pt>
                <c:pt idx="1298">
                  <c:v>29.61</c:v>
                </c:pt>
                <c:pt idx="1299">
                  <c:v>29.61</c:v>
                </c:pt>
                <c:pt idx="1300">
                  <c:v>29.61</c:v>
                </c:pt>
                <c:pt idx="1301">
                  <c:v>28.560000000000002</c:v>
                </c:pt>
                <c:pt idx="1302">
                  <c:v>28.245000000000001</c:v>
                </c:pt>
                <c:pt idx="1303">
                  <c:v>27.93</c:v>
                </c:pt>
                <c:pt idx="1304">
                  <c:v>27.93</c:v>
                </c:pt>
                <c:pt idx="1305">
                  <c:v>28.664999999999999</c:v>
                </c:pt>
                <c:pt idx="1306">
                  <c:v>27.3</c:v>
                </c:pt>
                <c:pt idx="1307">
                  <c:v>26.04</c:v>
                </c:pt>
                <c:pt idx="1308">
                  <c:v>26.25</c:v>
                </c:pt>
                <c:pt idx="1309">
                  <c:v>26.67</c:v>
                </c:pt>
                <c:pt idx="1310">
                  <c:v>27.195</c:v>
                </c:pt>
                <c:pt idx="1311">
                  <c:v>27.144600000000001</c:v>
                </c:pt>
                <c:pt idx="1312">
                  <c:v>28.560000000000002</c:v>
                </c:pt>
                <c:pt idx="1313">
                  <c:v>31.814999999999998</c:v>
                </c:pt>
                <c:pt idx="1314">
                  <c:v>30.345000000000002</c:v>
                </c:pt>
                <c:pt idx="1315">
                  <c:v>31.130400000000002</c:v>
                </c:pt>
                <c:pt idx="1316">
                  <c:v>31.130400000000002</c:v>
                </c:pt>
                <c:pt idx="1317">
                  <c:v>30.24</c:v>
                </c:pt>
                <c:pt idx="1318">
                  <c:v>30.765000000000001</c:v>
                </c:pt>
                <c:pt idx="1319">
                  <c:v>30.45</c:v>
                </c:pt>
                <c:pt idx="1320">
                  <c:v>30.24</c:v>
                </c:pt>
                <c:pt idx="1321">
                  <c:v>29.925000000000001</c:v>
                </c:pt>
                <c:pt idx="1322">
                  <c:v>29.715</c:v>
                </c:pt>
                <c:pt idx="1323">
                  <c:v>28.454999999999998</c:v>
                </c:pt>
                <c:pt idx="1324">
                  <c:v>28.505400000000002</c:v>
                </c:pt>
                <c:pt idx="1325">
                  <c:v>29.4</c:v>
                </c:pt>
                <c:pt idx="1326">
                  <c:v>29.4</c:v>
                </c:pt>
                <c:pt idx="1327">
                  <c:v>29.4</c:v>
                </c:pt>
                <c:pt idx="1328">
                  <c:v>27.614999999999998</c:v>
                </c:pt>
                <c:pt idx="1329">
                  <c:v>28.610400000000002</c:v>
                </c:pt>
                <c:pt idx="1330">
                  <c:v>29.61</c:v>
                </c:pt>
                <c:pt idx="1331">
                  <c:v>29.295000000000002</c:v>
                </c:pt>
                <c:pt idx="1332">
                  <c:v>28.505400000000002</c:v>
                </c:pt>
                <c:pt idx="1333">
                  <c:v>28.085400000000003</c:v>
                </c:pt>
                <c:pt idx="1334">
                  <c:v>29.504999999999999</c:v>
                </c:pt>
                <c:pt idx="1335">
                  <c:v>30.66</c:v>
                </c:pt>
                <c:pt idx="1336">
                  <c:v>30.66</c:v>
                </c:pt>
                <c:pt idx="1337">
                  <c:v>30.555</c:v>
                </c:pt>
                <c:pt idx="1338">
                  <c:v>29.82</c:v>
                </c:pt>
                <c:pt idx="1339">
                  <c:v>29.82</c:v>
                </c:pt>
                <c:pt idx="1340">
                  <c:v>29.925000000000001</c:v>
                </c:pt>
                <c:pt idx="1341">
                  <c:v>29.61</c:v>
                </c:pt>
                <c:pt idx="1342">
                  <c:v>29.664599999999997</c:v>
                </c:pt>
                <c:pt idx="1343">
                  <c:v>30.66</c:v>
                </c:pt>
                <c:pt idx="1344">
                  <c:v>30.555</c:v>
                </c:pt>
                <c:pt idx="1345">
                  <c:v>31.5</c:v>
                </c:pt>
                <c:pt idx="1346">
                  <c:v>31.08</c:v>
                </c:pt>
                <c:pt idx="1347">
                  <c:v>31.29</c:v>
                </c:pt>
                <c:pt idx="1348">
                  <c:v>31.29</c:v>
                </c:pt>
                <c:pt idx="1349">
                  <c:v>30.345000000000002</c:v>
                </c:pt>
                <c:pt idx="1350">
                  <c:v>29.4</c:v>
                </c:pt>
                <c:pt idx="1351">
                  <c:v>28.770000000000003</c:v>
                </c:pt>
                <c:pt idx="1352">
                  <c:v>27.51</c:v>
                </c:pt>
                <c:pt idx="1353">
                  <c:v>27.3</c:v>
                </c:pt>
                <c:pt idx="1354">
                  <c:v>26.354999999999997</c:v>
                </c:pt>
                <c:pt idx="1355">
                  <c:v>27.039599999999997</c:v>
                </c:pt>
                <c:pt idx="1356">
                  <c:v>26.354999999999997</c:v>
                </c:pt>
                <c:pt idx="1357">
                  <c:v>25.775400000000001</c:v>
                </c:pt>
                <c:pt idx="1358">
                  <c:v>26.04</c:v>
                </c:pt>
                <c:pt idx="1359">
                  <c:v>25.095000000000002</c:v>
                </c:pt>
                <c:pt idx="1360">
                  <c:v>25.355399999999999</c:v>
                </c:pt>
                <c:pt idx="1361">
                  <c:v>25.725000000000001</c:v>
                </c:pt>
                <c:pt idx="1362">
                  <c:v>25.725000000000001</c:v>
                </c:pt>
                <c:pt idx="1363">
                  <c:v>26.724599999999999</c:v>
                </c:pt>
                <c:pt idx="1364">
                  <c:v>27.980399999999999</c:v>
                </c:pt>
                <c:pt idx="1365">
                  <c:v>27.09</c:v>
                </c:pt>
                <c:pt idx="1366">
                  <c:v>26.88</c:v>
                </c:pt>
                <c:pt idx="1367">
                  <c:v>26.409600000000001</c:v>
                </c:pt>
                <c:pt idx="1368">
                  <c:v>27.195</c:v>
                </c:pt>
                <c:pt idx="1369">
                  <c:v>26.564999999999998</c:v>
                </c:pt>
                <c:pt idx="1370">
                  <c:v>26.564999999999998</c:v>
                </c:pt>
                <c:pt idx="1371">
                  <c:v>27.3</c:v>
                </c:pt>
                <c:pt idx="1372">
                  <c:v>27.51</c:v>
                </c:pt>
                <c:pt idx="1373">
                  <c:v>26.409600000000001</c:v>
                </c:pt>
                <c:pt idx="1374">
                  <c:v>26.564999999999998</c:v>
                </c:pt>
                <c:pt idx="1375">
                  <c:v>26.774999999999999</c:v>
                </c:pt>
                <c:pt idx="1376">
                  <c:v>26.984999999999999</c:v>
                </c:pt>
                <c:pt idx="1377">
                  <c:v>27.459599999999998</c:v>
                </c:pt>
                <c:pt idx="1378">
                  <c:v>28.035</c:v>
                </c:pt>
                <c:pt idx="1379">
                  <c:v>28.560000000000002</c:v>
                </c:pt>
                <c:pt idx="1380">
                  <c:v>28.560000000000002</c:v>
                </c:pt>
                <c:pt idx="1381">
                  <c:v>28.085400000000003</c:v>
                </c:pt>
                <c:pt idx="1382">
                  <c:v>27.614999999999998</c:v>
                </c:pt>
                <c:pt idx="1383">
                  <c:v>27.354599999999998</c:v>
                </c:pt>
                <c:pt idx="1384">
                  <c:v>28.245000000000001</c:v>
                </c:pt>
                <c:pt idx="1385">
                  <c:v>28.560000000000002</c:v>
                </c:pt>
                <c:pt idx="1386">
                  <c:v>28.245000000000001</c:v>
                </c:pt>
                <c:pt idx="1387">
                  <c:v>28.245000000000001</c:v>
                </c:pt>
                <c:pt idx="1388">
                  <c:v>28.35</c:v>
                </c:pt>
                <c:pt idx="1389">
                  <c:v>28.35</c:v>
                </c:pt>
                <c:pt idx="1390">
                  <c:v>27.980399999999999</c:v>
                </c:pt>
                <c:pt idx="1391">
                  <c:v>27.51</c:v>
                </c:pt>
                <c:pt idx="1392">
                  <c:v>27.824999999999999</c:v>
                </c:pt>
                <c:pt idx="1393">
                  <c:v>27.144600000000001</c:v>
                </c:pt>
                <c:pt idx="1394">
                  <c:v>26.04</c:v>
                </c:pt>
                <c:pt idx="1395">
                  <c:v>26.1996</c:v>
                </c:pt>
                <c:pt idx="1396">
                  <c:v>25.880399999999998</c:v>
                </c:pt>
                <c:pt idx="1397">
                  <c:v>26.67</c:v>
                </c:pt>
                <c:pt idx="1398">
                  <c:v>26.67</c:v>
                </c:pt>
                <c:pt idx="1399">
                  <c:v>26.04</c:v>
                </c:pt>
                <c:pt idx="1400">
                  <c:v>26.04</c:v>
                </c:pt>
                <c:pt idx="1401">
                  <c:v>24.834600000000002</c:v>
                </c:pt>
                <c:pt idx="1402">
                  <c:v>23.310000000000002</c:v>
                </c:pt>
                <c:pt idx="1403">
                  <c:v>24.36</c:v>
                </c:pt>
                <c:pt idx="1404">
                  <c:v>24.15</c:v>
                </c:pt>
                <c:pt idx="1405">
                  <c:v>23.310000000000002</c:v>
                </c:pt>
                <c:pt idx="1406">
                  <c:v>23.310000000000002</c:v>
                </c:pt>
                <c:pt idx="1407">
                  <c:v>21.369600000000002</c:v>
                </c:pt>
                <c:pt idx="1408">
                  <c:v>19.95</c:v>
                </c:pt>
                <c:pt idx="1409">
                  <c:v>20.424600000000002</c:v>
                </c:pt>
                <c:pt idx="1410">
                  <c:v>23.939999999999998</c:v>
                </c:pt>
                <c:pt idx="1411">
                  <c:v>24.779999999999998</c:v>
                </c:pt>
                <c:pt idx="1412">
                  <c:v>25.305</c:v>
                </c:pt>
                <c:pt idx="1413">
                  <c:v>24.57</c:v>
                </c:pt>
                <c:pt idx="1414">
                  <c:v>22.26</c:v>
                </c:pt>
                <c:pt idx="1415">
                  <c:v>21.054600000000004</c:v>
                </c:pt>
                <c:pt idx="1416">
                  <c:v>20.37</c:v>
                </c:pt>
                <c:pt idx="1417">
                  <c:v>22.26</c:v>
                </c:pt>
                <c:pt idx="1418">
                  <c:v>23.204999999999998</c:v>
                </c:pt>
                <c:pt idx="1419">
                  <c:v>23.045399999999997</c:v>
                </c:pt>
                <c:pt idx="1420">
                  <c:v>22.89</c:v>
                </c:pt>
                <c:pt idx="1421">
                  <c:v>21.314999999999998</c:v>
                </c:pt>
                <c:pt idx="1422">
                  <c:v>21.21</c:v>
                </c:pt>
                <c:pt idx="1423">
                  <c:v>20.739599999999999</c:v>
                </c:pt>
                <c:pt idx="1424">
                  <c:v>20.79</c:v>
                </c:pt>
                <c:pt idx="1425">
                  <c:v>19.479600000000001</c:v>
                </c:pt>
                <c:pt idx="1426">
                  <c:v>19.32</c:v>
                </c:pt>
                <c:pt idx="1427">
                  <c:v>19.95</c:v>
                </c:pt>
                <c:pt idx="1428">
                  <c:v>21.104999999999997</c:v>
                </c:pt>
                <c:pt idx="1429">
                  <c:v>22.574999999999999</c:v>
                </c:pt>
                <c:pt idx="1430">
                  <c:v>23.310000000000002</c:v>
                </c:pt>
                <c:pt idx="1431">
                  <c:v>22.995000000000001</c:v>
                </c:pt>
                <c:pt idx="1432">
                  <c:v>24.57</c:v>
                </c:pt>
                <c:pt idx="1433">
                  <c:v>23.1</c:v>
                </c:pt>
                <c:pt idx="1434">
                  <c:v>23.414999999999999</c:v>
                </c:pt>
                <c:pt idx="1435">
                  <c:v>23.414999999999999</c:v>
                </c:pt>
                <c:pt idx="1436">
                  <c:v>20.37</c:v>
                </c:pt>
                <c:pt idx="1437">
                  <c:v>21.104999999999997</c:v>
                </c:pt>
                <c:pt idx="1438">
                  <c:v>21.63</c:v>
                </c:pt>
                <c:pt idx="1439">
                  <c:v>23.204999999999998</c:v>
                </c:pt>
                <c:pt idx="1440">
                  <c:v>23.784600000000001</c:v>
                </c:pt>
                <c:pt idx="1441">
                  <c:v>22.68</c:v>
                </c:pt>
                <c:pt idx="1442">
                  <c:v>23.204999999999998</c:v>
                </c:pt>
                <c:pt idx="1443">
                  <c:v>23.204999999999998</c:v>
                </c:pt>
                <c:pt idx="1444">
                  <c:v>23.939999999999998</c:v>
                </c:pt>
                <c:pt idx="1445">
                  <c:v>24.204600000000003</c:v>
                </c:pt>
                <c:pt idx="1446">
                  <c:v>23.939999999999998</c:v>
                </c:pt>
                <c:pt idx="1447">
                  <c:v>23.994600000000002</c:v>
                </c:pt>
                <c:pt idx="1448">
                  <c:v>23.835000000000001</c:v>
                </c:pt>
                <c:pt idx="1449">
                  <c:v>23.729999999999997</c:v>
                </c:pt>
                <c:pt idx="1450">
                  <c:v>23.310000000000002</c:v>
                </c:pt>
                <c:pt idx="1451">
                  <c:v>22.785</c:v>
                </c:pt>
                <c:pt idx="1452">
                  <c:v>22.785</c:v>
                </c:pt>
                <c:pt idx="1453">
                  <c:v>22.625399999999999</c:v>
                </c:pt>
                <c:pt idx="1454">
                  <c:v>22.520400000000002</c:v>
                </c:pt>
                <c:pt idx="1455">
                  <c:v>22.104599999999998</c:v>
                </c:pt>
                <c:pt idx="1456">
                  <c:v>21</c:v>
                </c:pt>
                <c:pt idx="1457">
                  <c:v>21.42</c:v>
                </c:pt>
                <c:pt idx="1458">
                  <c:v>21.21</c:v>
                </c:pt>
                <c:pt idx="1459">
                  <c:v>21.474599999999999</c:v>
                </c:pt>
                <c:pt idx="1460">
                  <c:v>21.474599999999999</c:v>
                </c:pt>
                <c:pt idx="1461">
                  <c:v>21.84</c:v>
                </c:pt>
                <c:pt idx="1462">
                  <c:v>21.734999999999999</c:v>
                </c:pt>
                <c:pt idx="1463">
                  <c:v>21.999600000000001</c:v>
                </c:pt>
                <c:pt idx="1464">
                  <c:v>21.945</c:v>
                </c:pt>
                <c:pt idx="1465">
                  <c:v>21.999600000000001</c:v>
                </c:pt>
                <c:pt idx="1466">
                  <c:v>21.734999999999999</c:v>
                </c:pt>
                <c:pt idx="1467">
                  <c:v>21.945</c:v>
                </c:pt>
                <c:pt idx="1468">
                  <c:v>21.734999999999999</c:v>
                </c:pt>
                <c:pt idx="1469">
                  <c:v>21.999600000000001</c:v>
                </c:pt>
                <c:pt idx="1470">
                  <c:v>21.474599999999999</c:v>
                </c:pt>
                <c:pt idx="1471">
                  <c:v>20.474999999999998</c:v>
                </c:pt>
                <c:pt idx="1472">
                  <c:v>20.684999999999999</c:v>
                </c:pt>
                <c:pt idx="1473">
                  <c:v>20.16</c:v>
                </c:pt>
                <c:pt idx="1474">
                  <c:v>21.104999999999997</c:v>
                </c:pt>
                <c:pt idx="1475">
                  <c:v>21.104999999999997</c:v>
                </c:pt>
                <c:pt idx="1476">
                  <c:v>23.729999999999997</c:v>
                </c:pt>
                <c:pt idx="1477">
                  <c:v>22.785</c:v>
                </c:pt>
                <c:pt idx="1478">
                  <c:v>23.310000000000002</c:v>
                </c:pt>
                <c:pt idx="1479">
                  <c:v>24.049199999999999</c:v>
                </c:pt>
                <c:pt idx="1480">
                  <c:v>23.939999999999998</c:v>
                </c:pt>
                <c:pt idx="1481">
                  <c:v>23.939999999999998</c:v>
                </c:pt>
                <c:pt idx="1482">
                  <c:v>23.520000000000003</c:v>
                </c:pt>
                <c:pt idx="1483">
                  <c:v>23.310000000000002</c:v>
                </c:pt>
                <c:pt idx="1484">
                  <c:v>24.045000000000002</c:v>
                </c:pt>
                <c:pt idx="1485">
                  <c:v>23.939999999999998</c:v>
                </c:pt>
                <c:pt idx="1486">
                  <c:v>23.520000000000003</c:v>
                </c:pt>
                <c:pt idx="1487">
                  <c:v>23.939999999999998</c:v>
                </c:pt>
                <c:pt idx="1488">
                  <c:v>24.885000000000002</c:v>
                </c:pt>
                <c:pt idx="1489">
                  <c:v>24.885000000000002</c:v>
                </c:pt>
                <c:pt idx="1490">
                  <c:v>24.779999999999998</c:v>
                </c:pt>
                <c:pt idx="1491">
                  <c:v>25.515000000000001</c:v>
                </c:pt>
                <c:pt idx="1492">
                  <c:v>25.775400000000001</c:v>
                </c:pt>
                <c:pt idx="1493">
                  <c:v>25.725000000000001</c:v>
                </c:pt>
                <c:pt idx="1494">
                  <c:v>25.935000000000002</c:v>
                </c:pt>
                <c:pt idx="1495">
                  <c:v>26.04</c:v>
                </c:pt>
                <c:pt idx="1496">
                  <c:v>25.775400000000001</c:v>
                </c:pt>
                <c:pt idx="1497">
                  <c:v>26.145000000000003</c:v>
                </c:pt>
                <c:pt idx="1498">
                  <c:v>26.1996</c:v>
                </c:pt>
                <c:pt idx="1499">
                  <c:v>26.25</c:v>
                </c:pt>
                <c:pt idx="1500">
                  <c:v>26.564999999999998</c:v>
                </c:pt>
                <c:pt idx="1501">
                  <c:v>27.404999999999998</c:v>
                </c:pt>
                <c:pt idx="1502">
                  <c:v>28.295400000000004</c:v>
                </c:pt>
                <c:pt idx="1503">
                  <c:v>28.245000000000001</c:v>
                </c:pt>
                <c:pt idx="1504">
                  <c:v>27.93</c:v>
                </c:pt>
                <c:pt idx="1505">
                  <c:v>27.51</c:v>
                </c:pt>
                <c:pt idx="1506">
                  <c:v>26.04</c:v>
                </c:pt>
                <c:pt idx="1507">
                  <c:v>25.775400000000001</c:v>
                </c:pt>
                <c:pt idx="1508">
                  <c:v>25.515000000000001</c:v>
                </c:pt>
                <c:pt idx="1509">
                  <c:v>25.2</c:v>
                </c:pt>
                <c:pt idx="1510">
                  <c:v>25.305</c:v>
                </c:pt>
                <c:pt idx="1511">
                  <c:v>24.36</c:v>
                </c:pt>
                <c:pt idx="1512">
                  <c:v>24.045000000000002</c:v>
                </c:pt>
                <c:pt idx="1513">
                  <c:v>23.259600000000002</c:v>
                </c:pt>
                <c:pt idx="1514">
                  <c:v>24.675000000000001</c:v>
                </c:pt>
                <c:pt idx="1515">
                  <c:v>24.57</c:v>
                </c:pt>
                <c:pt idx="1516">
                  <c:v>24.254999999999999</c:v>
                </c:pt>
                <c:pt idx="1517">
                  <c:v>23.939999999999998</c:v>
                </c:pt>
                <c:pt idx="1518">
                  <c:v>24.99</c:v>
                </c:pt>
                <c:pt idx="1519">
                  <c:v>25.355399999999999</c:v>
                </c:pt>
                <c:pt idx="1520">
                  <c:v>25.985400000000002</c:v>
                </c:pt>
                <c:pt idx="1521">
                  <c:v>26.25</c:v>
                </c:pt>
                <c:pt idx="1522">
                  <c:v>27.770400000000002</c:v>
                </c:pt>
                <c:pt idx="1523">
                  <c:v>27.720000000000002</c:v>
                </c:pt>
                <c:pt idx="1524">
                  <c:v>27.9846</c:v>
                </c:pt>
                <c:pt idx="1525">
                  <c:v>26.724599999999999</c:v>
                </c:pt>
                <c:pt idx="1526">
                  <c:v>26.409600000000001</c:v>
                </c:pt>
                <c:pt idx="1527">
                  <c:v>26.46</c:v>
                </c:pt>
                <c:pt idx="1528">
                  <c:v>26.25</c:v>
                </c:pt>
                <c:pt idx="1529">
                  <c:v>25.725000000000001</c:v>
                </c:pt>
                <c:pt idx="1530">
                  <c:v>24.939599999999999</c:v>
                </c:pt>
                <c:pt idx="1531">
                  <c:v>25.2</c:v>
                </c:pt>
                <c:pt idx="1532">
                  <c:v>24.885000000000002</c:v>
                </c:pt>
                <c:pt idx="1533">
                  <c:v>24.779999999999998</c:v>
                </c:pt>
                <c:pt idx="1534">
                  <c:v>24.885000000000002</c:v>
                </c:pt>
                <c:pt idx="1535">
                  <c:v>24.885000000000002</c:v>
                </c:pt>
                <c:pt idx="1536">
                  <c:v>25.3596</c:v>
                </c:pt>
                <c:pt idx="1537">
                  <c:v>26.25</c:v>
                </c:pt>
                <c:pt idx="1538">
                  <c:v>26.409600000000001</c:v>
                </c:pt>
                <c:pt idx="1539">
                  <c:v>26.409600000000001</c:v>
                </c:pt>
                <c:pt idx="1540">
                  <c:v>26.409600000000001</c:v>
                </c:pt>
                <c:pt idx="1541">
                  <c:v>26.67</c:v>
                </c:pt>
                <c:pt idx="1542">
                  <c:v>27.51</c:v>
                </c:pt>
                <c:pt idx="1543">
                  <c:v>26.774999999999999</c:v>
                </c:pt>
                <c:pt idx="1544">
                  <c:v>27.09</c:v>
                </c:pt>
                <c:pt idx="1545">
                  <c:v>27.09</c:v>
                </c:pt>
                <c:pt idx="1546">
                  <c:v>25.515000000000001</c:v>
                </c:pt>
                <c:pt idx="1547">
                  <c:v>24.99</c:v>
                </c:pt>
                <c:pt idx="1548">
                  <c:v>24.57</c:v>
                </c:pt>
                <c:pt idx="1549">
                  <c:v>24.465</c:v>
                </c:pt>
                <c:pt idx="1550">
                  <c:v>23.520000000000003</c:v>
                </c:pt>
                <c:pt idx="1551">
                  <c:v>22.68</c:v>
                </c:pt>
                <c:pt idx="1552">
                  <c:v>22.26</c:v>
                </c:pt>
                <c:pt idx="1553">
                  <c:v>21.42</c:v>
                </c:pt>
                <c:pt idx="1554">
                  <c:v>21.474599999999999</c:v>
                </c:pt>
                <c:pt idx="1555">
                  <c:v>21.84</c:v>
                </c:pt>
                <c:pt idx="1556">
                  <c:v>21.474599999999999</c:v>
                </c:pt>
                <c:pt idx="1557">
                  <c:v>21.42</c:v>
                </c:pt>
                <c:pt idx="1558">
                  <c:v>22.104599999999998</c:v>
                </c:pt>
                <c:pt idx="1559">
                  <c:v>22.104599999999998</c:v>
                </c:pt>
                <c:pt idx="1560">
                  <c:v>22.104599999999998</c:v>
                </c:pt>
                <c:pt idx="1561">
                  <c:v>22.209600000000002</c:v>
                </c:pt>
                <c:pt idx="1562">
                  <c:v>23.204999999999998</c:v>
                </c:pt>
                <c:pt idx="1563">
                  <c:v>22.995000000000001</c:v>
                </c:pt>
                <c:pt idx="1564">
                  <c:v>22.995000000000001</c:v>
                </c:pt>
                <c:pt idx="1565">
                  <c:v>22.995000000000001</c:v>
                </c:pt>
                <c:pt idx="1566">
                  <c:v>24.57</c:v>
                </c:pt>
                <c:pt idx="1567">
                  <c:v>24.045000000000002</c:v>
                </c:pt>
                <c:pt idx="1568">
                  <c:v>22.574999999999999</c:v>
                </c:pt>
                <c:pt idx="1569">
                  <c:v>21.945</c:v>
                </c:pt>
                <c:pt idx="1570">
                  <c:v>21.42</c:v>
                </c:pt>
                <c:pt idx="1571">
                  <c:v>20.58</c:v>
                </c:pt>
                <c:pt idx="1572">
                  <c:v>20.105399999999999</c:v>
                </c:pt>
                <c:pt idx="1573">
                  <c:v>19.689600000000002</c:v>
                </c:pt>
                <c:pt idx="1574">
                  <c:v>19.269600000000001</c:v>
                </c:pt>
                <c:pt idx="1575">
                  <c:v>18.059999999999999</c:v>
                </c:pt>
                <c:pt idx="1576">
                  <c:v>18.059999999999999</c:v>
                </c:pt>
                <c:pt idx="1577">
                  <c:v>17.535</c:v>
                </c:pt>
                <c:pt idx="1578">
                  <c:v>17.849999999999998</c:v>
                </c:pt>
                <c:pt idx="1579">
                  <c:v>18.375</c:v>
                </c:pt>
                <c:pt idx="1580">
                  <c:v>20.265000000000001</c:v>
                </c:pt>
                <c:pt idx="1581">
                  <c:v>19.584600000000002</c:v>
                </c:pt>
                <c:pt idx="1582">
                  <c:v>20.37</c:v>
                </c:pt>
                <c:pt idx="1583">
                  <c:v>21.21</c:v>
                </c:pt>
                <c:pt idx="1584">
                  <c:v>21.734999999999999</c:v>
                </c:pt>
                <c:pt idx="1585">
                  <c:v>22.26</c:v>
                </c:pt>
                <c:pt idx="1586">
                  <c:v>21.999600000000001</c:v>
                </c:pt>
                <c:pt idx="1587">
                  <c:v>21.369600000000002</c:v>
                </c:pt>
                <c:pt idx="1588">
                  <c:v>22.415399999999998</c:v>
                </c:pt>
                <c:pt idx="1589">
                  <c:v>23.360400000000002</c:v>
                </c:pt>
                <c:pt idx="1590">
                  <c:v>24.465</c:v>
                </c:pt>
                <c:pt idx="1591">
                  <c:v>25.515000000000001</c:v>
                </c:pt>
                <c:pt idx="1592">
                  <c:v>21.84</c:v>
                </c:pt>
                <c:pt idx="1593">
                  <c:v>21.84</c:v>
                </c:pt>
                <c:pt idx="1594">
                  <c:v>21.314999999999998</c:v>
                </c:pt>
                <c:pt idx="1595">
                  <c:v>22.154999999999998</c:v>
                </c:pt>
                <c:pt idx="1596">
                  <c:v>22.154999999999998</c:v>
                </c:pt>
                <c:pt idx="1597">
                  <c:v>21.6846</c:v>
                </c:pt>
                <c:pt idx="1598">
                  <c:v>22.364999999999998</c:v>
                </c:pt>
                <c:pt idx="1599">
                  <c:v>22.68</c:v>
                </c:pt>
                <c:pt idx="1600">
                  <c:v>22.785</c:v>
                </c:pt>
                <c:pt idx="1601">
                  <c:v>23.520000000000003</c:v>
                </c:pt>
                <c:pt idx="1602">
                  <c:v>22.314599999999999</c:v>
                </c:pt>
                <c:pt idx="1603">
                  <c:v>22.314599999999999</c:v>
                </c:pt>
                <c:pt idx="1604">
                  <c:v>22.470000000000002</c:v>
                </c:pt>
                <c:pt idx="1605">
                  <c:v>22.730399999999999</c:v>
                </c:pt>
                <c:pt idx="1606">
                  <c:v>22.730399999999999</c:v>
                </c:pt>
                <c:pt idx="1607">
                  <c:v>22.625399999999999</c:v>
                </c:pt>
                <c:pt idx="1608">
                  <c:v>22.209600000000002</c:v>
                </c:pt>
                <c:pt idx="1609">
                  <c:v>22.26</c:v>
                </c:pt>
                <c:pt idx="1610">
                  <c:v>22.995000000000001</c:v>
                </c:pt>
                <c:pt idx="1611">
                  <c:v>23.625</c:v>
                </c:pt>
                <c:pt idx="1612">
                  <c:v>23.310000000000002</c:v>
                </c:pt>
                <c:pt idx="1613">
                  <c:v>23.835000000000001</c:v>
                </c:pt>
                <c:pt idx="1614">
                  <c:v>23.360400000000002</c:v>
                </c:pt>
                <c:pt idx="1615">
                  <c:v>23.679600000000004</c:v>
                </c:pt>
                <c:pt idx="1616">
                  <c:v>23.150400000000001</c:v>
                </c:pt>
                <c:pt idx="1617">
                  <c:v>22.785</c:v>
                </c:pt>
                <c:pt idx="1618">
                  <c:v>23.204999999999998</c:v>
                </c:pt>
                <c:pt idx="1619">
                  <c:v>23.729999999999997</c:v>
                </c:pt>
                <c:pt idx="1620">
                  <c:v>23.364599999999999</c:v>
                </c:pt>
                <c:pt idx="1621">
                  <c:v>23.520000000000003</c:v>
                </c:pt>
                <c:pt idx="1622">
                  <c:v>23.204999999999998</c:v>
                </c:pt>
                <c:pt idx="1623">
                  <c:v>22.785</c:v>
                </c:pt>
                <c:pt idx="1624">
                  <c:v>22.785</c:v>
                </c:pt>
                <c:pt idx="1625">
                  <c:v>22.785</c:v>
                </c:pt>
                <c:pt idx="1626">
                  <c:v>22.574999999999999</c:v>
                </c:pt>
                <c:pt idx="1627">
                  <c:v>22.104599999999998</c:v>
                </c:pt>
                <c:pt idx="1628">
                  <c:v>22.364999999999998</c:v>
                </c:pt>
                <c:pt idx="1629">
                  <c:v>22.209600000000002</c:v>
                </c:pt>
                <c:pt idx="1630">
                  <c:v>22.154999999999998</c:v>
                </c:pt>
                <c:pt idx="1631">
                  <c:v>21.945</c:v>
                </c:pt>
                <c:pt idx="1632">
                  <c:v>21.945</c:v>
                </c:pt>
                <c:pt idx="1633">
                  <c:v>22.470000000000002</c:v>
                </c:pt>
                <c:pt idx="1634">
                  <c:v>22.314599999999999</c:v>
                </c:pt>
                <c:pt idx="1635">
                  <c:v>23.1</c:v>
                </c:pt>
                <c:pt idx="1636">
                  <c:v>23.414999999999999</c:v>
                </c:pt>
                <c:pt idx="1637">
                  <c:v>23.939999999999998</c:v>
                </c:pt>
                <c:pt idx="1638">
                  <c:v>23.835000000000001</c:v>
                </c:pt>
                <c:pt idx="1639">
                  <c:v>23.784600000000001</c:v>
                </c:pt>
                <c:pt idx="1640">
                  <c:v>23.784600000000001</c:v>
                </c:pt>
                <c:pt idx="1641">
                  <c:v>23.310000000000002</c:v>
                </c:pt>
                <c:pt idx="1642">
                  <c:v>23.625</c:v>
                </c:pt>
                <c:pt idx="1643">
                  <c:v>24.15</c:v>
                </c:pt>
                <c:pt idx="1644">
                  <c:v>24.045000000000002</c:v>
                </c:pt>
                <c:pt idx="1645">
                  <c:v>24.57</c:v>
                </c:pt>
                <c:pt idx="1646">
                  <c:v>24.57</c:v>
                </c:pt>
                <c:pt idx="1647">
                  <c:v>25.2</c:v>
                </c:pt>
                <c:pt idx="1648">
                  <c:v>25.4604</c:v>
                </c:pt>
                <c:pt idx="1649">
                  <c:v>26.304600000000004</c:v>
                </c:pt>
                <c:pt idx="1650">
                  <c:v>26.25</c:v>
                </c:pt>
                <c:pt idx="1651">
                  <c:v>26.04</c:v>
                </c:pt>
                <c:pt idx="1652">
                  <c:v>25.775400000000001</c:v>
                </c:pt>
                <c:pt idx="1653">
                  <c:v>26.145000000000003</c:v>
                </c:pt>
                <c:pt idx="1654">
                  <c:v>26.04</c:v>
                </c:pt>
                <c:pt idx="1655">
                  <c:v>25.935000000000002</c:v>
                </c:pt>
                <c:pt idx="1656">
                  <c:v>24.939599999999999</c:v>
                </c:pt>
                <c:pt idx="1657">
                  <c:v>25.83</c:v>
                </c:pt>
                <c:pt idx="1658">
                  <c:v>26.984999999999999</c:v>
                </c:pt>
                <c:pt idx="1659">
                  <c:v>27.720000000000002</c:v>
                </c:pt>
                <c:pt idx="1660">
                  <c:v>27.720000000000002</c:v>
                </c:pt>
                <c:pt idx="1661">
                  <c:v>29.085000000000001</c:v>
                </c:pt>
                <c:pt idx="1662">
                  <c:v>29.244599999999998</c:v>
                </c:pt>
                <c:pt idx="1663">
                  <c:v>29.295000000000002</c:v>
                </c:pt>
                <c:pt idx="1664">
                  <c:v>28.979999999999997</c:v>
                </c:pt>
                <c:pt idx="1665">
                  <c:v>28.245000000000001</c:v>
                </c:pt>
                <c:pt idx="1666">
                  <c:v>27.93</c:v>
                </c:pt>
                <c:pt idx="1667">
                  <c:v>27.614999999999998</c:v>
                </c:pt>
                <c:pt idx="1668">
                  <c:v>28.35</c:v>
                </c:pt>
                <c:pt idx="1669">
                  <c:v>28.35</c:v>
                </c:pt>
                <c:pt idx="1670">
                  <c:v>28.14</c:v>
                </c:pt>
                <c:pt idx="1671">
                  <c:v>28.14</c:v>
                </c:pt>
                <c:pt idx="1672">
                  <c:v>28.560000000000002</c:v>
                </c:pt>
                <c:pt idx="1673">
                  <c:v>26.829600000000003</c:v>
                </c:pt>
                <c:pt idx="1674">
                  <c:v>26.774999999999999</c:v>
                </c:pt>
                <c:pt idx="1675">
                  <c:v>26.25</c:v>
                </c:pt>
                <c:pt idx="1676">
                  <c:v>26.46</c:v>
                </c:pt>
                <c:pt idx="1677">
                  <c:v>26.67</c:v>
                </c:pt>
                <c:pt idx="1678">
                  <c:v>27.249599999999997</c:v>
                </c:pt>
                <c:pt idx="1679">
                  <c:v>27.195</c:v>
                </c:pt>
                <c:pt idx="1680">
                  <c:v>26.724599999999999</c:v>
                </c:pt>
                <c:pt idx="1681">
                  <c:v>26.46</c:v>
                </c:pt>
                <c:pt idx="1682">
                  <c:v>26.25</c:v>
                </c:pt>
                <c:pt idx="1683">
                  <c:v>26.46</c:v>
                </c:pt>
                <c:pt idx="1684">
                  <c:v>26.354999999999997</c:v>
                </c:pt>
                <c:pt idx="1685">
                  <c:v>26.88</c:v>
                </c:pt>
                <c:pt idx="1686">
                  <c:v>27.404999999999998</c:v>
                </c:pt>
                <c:pt idx="1687">
                  <c:v>28.085400000000003</c:v>
                </c:pt>
                <c:pt idx="1688">
                  <c:v>27.879599999999996</c:v>
                </c:pt>
                <c:pt idx="1689">
                  <c:v>28.875</c:v>
                </c:pt>
                <c:pt idx="1690">
                  <c:v>28.979999999999997</c:v>
                </c:pt>
                <c:pt idx="1691">
                  <c:v>28.454999999999998</c:v>
                </c:pt>
                <c:pt idx="1692">
                  <c:v>29.189999999999998</c:v>
                </c:pt>
                <c:pt idx="1693">
                  <c:v>29.139599999999998</c:v>
                </c:pt>
                <c:pt idx="1694">
                  <c:v>28.664999999999999</c:v>
                </c:pt>
                <c:pt idx="1695">
                  <c:v>28.1904</c:v>
                </c:pt>
                <c:pt idx="1696">
                  <c:v>28.1904</c:v>
                </c:pt>
                <c:pt idx="1697">
                  <c:v>27.039599999999997</c:v>
                </c:pt>
                <c:pt idx="1698">
                  <c:v>26.829600000000003</c:v>
                </c:pt>
                <c:pt idx="1699">
                  <c:v>26.145000000000003</c:v>
                </c:pt>
                <c:pt idx="1700">
                  <c:v>26.04</c:v>
                </c:pt>
                <c:pt idx="1701">
                  <c:v>25.989599999999999</c:v>
                </c:pt>
                <c:pt idx="1702">
                  <c:v>26.9346</c:v>
                </c:pt>
                <c:pt idx="1703">
                  <c:v>26.304600000000004</c:v>
                </c:pt>
                <c:pt idx="1704">
                  <c:v>26.724599999999999</c:v>
                </c:pt>
                <c:pt idx="1705">
                  <c:v>26.67</c:v>
                </c:pt>
                <c:pt idx="1706">
                  <c:v>26.564999999999998</c:v>
                </c:pt>
                <c:pt idx="1707">
                  <c:v>26.094600000000003</c:v>
                </c:pt>
                <c:pt idx="1708">
                  <c:v>26.1996</c:v>
                </c:pt>
                <c:pt idx="1709">
                  <c:v>26.04</c:v>
                </c:pt>
                <c:pt idx="1710">
                  <c:v>26.145000000000003</c:v>
                </c:pt>
                <c:pt idx="1711">
                  <c:v>25.674600000000002</c:v>
                </c:pt>
                <c:pt idx="1712">
                  <c:v>25.305</c:v>
                </c:pt>
                <c:pt idx="1713">
                  <c:v>24.57</c:v>
                </c:pt>
                <c:pt idx="1714">
                  <c:v>24.779999999999998</c:v>
                </c:pt>
                <c:pt idx="1715">
                  <c:v>24.36</c:v>
                </c:pt>
                <c:pt idx="1716">
                  <c:v>24.624600000000001</c:v>
                </c:pt>
                <c:pt idx="1717">
                  <c:v>24.675000000000001</c:v>
                </c:pt>
                <c:pt idx="1718">
                  <c:v>25.4604</c:v>
                </c:pt>
                <c:pt idx="1719">
                  <c:v>25.1496</c:v>
                </c:pt>
                <c:pt idx="1720">
                  <c:v>25.3596</c:v>
                </c:pt>
                <c:pt idx="1721">
                  <c:v>25.725000000000001</c:v>
                </c:pt>
                <c:pt idx="1722">
                  <c:v>25.250399999999999</c:v>
                </c:pt>
                <c:pt idx="1723">
                  <c:v>24.3096</c:v>
                </c:pt>
                <c:pt idx="1724">
                  <c:v>24.57</c:v>
                </c:pt>
                <c:pt idx="1725">
                  <c:v>24.99</c:v>
                </c:pt>
                <c:pt idx="1726">
                  <c:v>24.885000000000002</c:v>
                </c:pt>
                <c:pt idx="1727">
                  <c:v>25.095000000000002</c:v>
                </c:pt>
                <c:pt idx="1728">
                  <c:v>25.41</c:v>
                </c:pt>
                <c:pt idx="1729">
                  <c:v>26.25</c:v>
                </c:pt>
                <c:pt idx="1730">
                  <c:v>26.514599999999998</c:v>
                </c:pt>
                <c:pt idx="1731">
                  <c:v>26.090399999999999</c:v>
                </c:pt>
                <c:pt idx="1732">
                  <c:v>26.619600000000002</c:v>
                </c:pt>
                <c:pt idx="1733">
                  <c:v>26.354999999999997</c:v>
                </c:pt>
                <c:pt idx="1734">
                  <c:v>26.619600000000002</c:v>
                </c:pt>
                <c:pt idx="1735">
                  <c:v>26.564999999999998</c:v>
                </c:pt>
                <c:pt idx="1736">
                  <c:v>26.25</c:v>
                </c:pt>
                <c:pt idx="1737">
                  <c:v>25.725000000000001</c:v>
                </c:pt>
                <c:pt idx="1738">
                  <c:v>25.62</c:v>
                </c:pt>
                <c:pt idx="1739">
                  <c:v>25.250399999999999</c:v>
                </c:pt>
                <c:pt idx="1740">
                  <c:v>25.62</c:v>
                </c:pt>
                <c:pt idx="1741">
                  <c:v>25.62</c:v>
                </c:pt>
                <c:pt idx="1742">
                  <c:v>25.935000000000002</c:v>
                </c:pt>
                <c:pt idx="1743">
                  <c:v>26.409600000000001</c:v>
                </c:pt>
                <c:pt idx="1744">
                  <c:v>27.720000000000002</c:v>
                </c:pt>
                <c:pt idx="1745">
                  <c:v>27.039599999999997</c:v>
                </c:pt>
                <c:pt idx="1746">
                  <c:v>27.354599999999998</c:v>
                </c:pt>
                <c:pt idx="1747">
                  <c:v>27.144600000000001</c:v>
                </c:pt>
                <c:pt idx="1748">
                  <c:v>27.09</c:v>
                </c:pt>
                <c:pt idx="1749">
                  <c:v>28.035</c:v>
                </c:pt>
                <c:pt idx="1750">
                  <c:v>27.51</c:v>
                </c:pt>
                <c:pt idx="1751">
                  <c:v>27.93</c:v>
                </c:pt>
                <c:pt idx="1752">
                  <c:v>28.035</c:v>
                </c:pt>
                <c:pt idx="1753">
                  <c:v>28.560000000000002</c:v>
                </c:pt>
                <c:pt idx="1754">
                  <c:v>28.979999999999997</c:v>
                </c:pt>
                <c:pt idx="1755">
                  <c:v>28.560000000000002</c:v>
                </c:pt>
                <c:pt idx="1756">
                  <c:v>28.875</c:v>
                </c:pt>
                <c:pt idx="1757">
                  <c:v>28.505400000000002</c:v>
                </c:pt>
                <c:pt idx="1758">
                  <c:v>29.034599999999998</c:v>
                </c:pt>
                <c:pt idx="1759">
                  <c:v>29.5596</c:v>
                </c:pt>
                <c:pt idx="1760">
                  <c:v>30.135000000000002</c:v>
                </c:pt>
                <c:pt idx="1761">
                  <c:v>30.345000000000002</c:v>
                </c:pt>
                <c:pt idx="1762">
                  <c:v>30.3996</c:v>
                </c:pt>
                <c:pt idx="1763">
                  <c:v>30.87</c:v>
                </c:pt>
                <c:pt idx="1764">
                  <c:v>31.29</c:v>
                </c:pt>
                <c:pt idx="1765">
                  <c:v>31.134599999999999</c:v>
                </c:pt>
                <c:pt idx="1766">
                  <c:v>31.814999999999998</c:v>
                </c:pt>
                <c:pt idx="1767">
                  <c:v>31.659599999999998</c:v>
                </c:pt>
                <c:pt idx="1768">
                  <c:v>31.659599999999998</c:v>
                </c:pt>
                <c:pt idx="1769">
                  <c:v>32.024999999999999</c:v>
                </c:pt>
                <c:pt idx="1770">
                  <c:v>31.974599999999999</c:v>
                </c:pt>
                <c:pt idx="1771">
                  <c:v>32.234999999999999</c:v>
                </c:pt>
                <c:pt idx="1772">
                  <c:v>33.074999999999996</c:v>
                </c:pt>
                <c:pt idx="1773">
                  <c:v>33.759599999999999</c:v>
                </c:pt>
                <c:pt idx="1774">
                  <c:v>33.230400000000003</c:v>
                </c:pt>
                <c:pt idx="1775">
                  <c:v>33.284999999999997</c:v>
                </c:pt>
                <c:pt idx="1776">
                  <c:v>33.18</c:v>
                </c:pt>
                <c:pt idx="1777">
                  <c:v>33.0246</c:v>
                </c:pt>
                <c:pt idx="1778">
                  <c:v>32.340000000000003</c:v>
                </c:pt>
                <c:pt idx="1779">
                  <c:v>31.92</c:v>
                </c:pt>
                <c:pt idx="1780">
                  <c:v>31.764599999999998</c:v>
                </c:pt>
                <c:pt idx="1781">
                  <c:v>31.029599999999995</c:v>
                </c:pt>
                <c:pt idx="1782">
                  <c:v>31.71</c:v>
                </c:pt>
                <c:pt idx="1783">
                  <c:v>31.185000000000002</c:v>
                </c:pt>
                <c:pt idx="1784">
                  <c:v>30.975000000000001</c:v>
                </c:pt>
                <c:pt idx="1785">
                  <c:v>30.555</c:v>
                </c:pt>
                <c:pt idx="1786">
                  <c:v>30.345000000000002</c:v>
                </c:pt>
                <c:pt idx="1787">
                  <c:v>29.664599999999997</c:v>
                </c:pt>
                <c:pt idx="1788">
                  <c:v>29.504999999999999</c:v>
                </c:pt>
                <c:pt idx="1789">
                  <c:v>29.504999999999999</c:v>
                </c:pt>
                <c:pt idx="1790">
                  <c:v>29.295000000000002</c:v>
                </c:pt>
                <c:pt idx="1791">
                  <c:v>28.929599999999997</c:v>
                </c:pt>
                <c:pt idx="1792">
                  <c:v>29.61</c:v>
                </c:pt>
                <c:pt idx="1793">
                  <c:v>29.189999999999998</c:v>
                </c:pt>
                <c:pt idx="1794">
                  <c:v>29.189999999999998</c:v>
                </c:pt>
                <c:pt idx="1795">
                  <c:v>29.715</c:v>
                </c:pt>
                <c:pt idx="1796">
                  <c:v>30.975000000000001</c:v>
                </c:pt>
                <c:pt idx="1797">
                  <c:v>31.08</c:v>
                </c:pt>
                <c:pt idx="1798">
                  <c:v>31.449599999999997</c:v>
                </c:pt>
                <c:pt idx="1799">
                  <c:v>31.449599999999997</c:v>
                </c:pt>
                <c:pt idx="1800">
                  <c:v>31.449599999999997</c:v>
                </c:pt>
                <c:pt idx="1801">
                  <c:v>32.445</c:v>
                </c:pt>
                <c:pt idx="1802">
                  <c:v>32.445</c:v>
                </c:pt>
                <c:pt idx="1803">
                  <c:v>33.81</c:v>
                </c:pt>
                <c:pt idx="1804">
                  <c:v>34.65</c:v>
                </c:pt>
                <c:pt idx="1805">
                  <c:v>36.225000000000001</c:v>
                </c:pt>
                <c:pt idx="1806">
                  <c:v>38.43</c:v>
                </c:pt>
                <c:pt idx="1807">
                  <c:v>37.905000000000001</c:v>
                </c:pt>
                <c:pt idx="1808">
                  <c:v>38.115000000000002</c:v>
                </c:pt>
                <c:pt idx="1809">
                  <c:v>38.01</c:v>
                </c:pt>
                <c:pt idx="1810">
                  <c:v>37.380000000000003</c:v>
                </c:pt>
                <c:pt idx="1811">
                  <c:v>37.329599999999999</c:v>
                </c:pt>
                <c:pt idx="1812">
                  <c:v>37.119599999999998</c:v>
                </c:pt>
                <c:pt idx="1813">
                  <c:v>36.435000000000002</c:v>
                </c:pt>
                <c:pt idx="1814">
                  <c:v>37.695</c:v>
                </c:pt>
                <c:pt idx="1815">
                  <c:v>40.11</c:v>
                </c:pt>
                <c:pt idx="1816">
                  <c:v>41.424599999999998</c:v>
                </c:pt>
                <c:pt idx="1817">
                  <c:v>43.629599999999996</c:v>
                </c:pt>
                <c:pt idx="1818">
                  <c:v>44.52</c:v>
                </c:pt>
                <c:pt idx="1819">
                  <c:v>45.78</c:v>
                </c:pt>
                <c:pt idx="1820">
                  <c:v>49.14</c:v>
                </c:pt>
                <c:pt idx="1821">
                  <c:v>49.14</c:v>
                </c:pt>
                <c:pt idx="1822">
                  <c:v>52.604999999999997</c:v>
                </c:pt>
                <c:pt idx="1823">
                  <c:v>52.92</c:v>
                </c:pt>
                <c:pt idx="1824">
                  <c:v>48.615000000000002</c:v>
                </c:pt>
                <c:pt idx="1825">
                  <c:v>48.984599999999993</c:v>
                </c:pt>
                <c:pt idx="1826">
                  <c:v>48.984599999999993</c:v>
                </c:pt>
                <c:pt idx="1827">
                  <c:v>39.479999999999997</c:v>
                </c:pt>
                <c:pt idx="1828">
                  <c:v>42.42</c:v>
                </c:pt>
                <c:pt idx="1829">
                  <c:v>43.995000000000005</c:v>
                </c:pt>
                <c:pt idx="1830">
                  <c:v>43.734599999999993</c:v>
                </c:pt>
                <c:pt idx="1831">
                  <c:v>40.53</c:v>
                </c:pt>
                <c:pt idx="1832">
                  <c:v>39.324599999999997</c:v>
                </c:pt>
                <c:pt idx="1833">
                  <c:v>40.844999999999999</c:v>
                </c:pt>
                <c:pt idx="1834">
                  <c:v>41.16</c:v>
                </c:pt>
                <c:pt idx="1835">
                  <c:v>40.634999999999998</c:v>
                </c:pt>
                <c:pt idx="1836">
                  <c:v>40.634999999999998</c:v>
                </c:pt>
                <c:pt idx="1837">
                  <c:v>40.215000000000003</c:v>
                </c:pt>
                <c:pt idx="1838">
                  <c:v>39.585000000000001</c:v>
                </c:pt>
                <c:pt idx="1839">
                  <c:v>40.425000000000004</c:v>
                </c:pt>
                <c:pt idx="1840">
                  <c:v>41.58</c:v>
                </c:pt>
                <c:pt idx="1841">
                  <c:v>44.52</c:v>
                </c:pt>
                <c:pt idx="1842">
                  <c:v>45.78</c:v>
                </c:pt>
                <c:pt idx="1843">
                  <c:v>44.625</c:v>
                </c:pt>
                <c:pt idx="1844">
                  <c:v>45.939599999999999</c:v>
                </c:pt>
                <c:pt idx="1845">
                  <c:v>46.83</c:v>
                </c:pt>
                <c:pt idx="1846">
                  <c:v>46.934999999999995</c:v>
                </c:pt>
                <c:pt idx="1847">
                  <c:v>47.879999999999995</c:v>
                </c:pt>
                <c:pt idx="1848">
                  <c:v>55.440000000000005</c:v>
                </c:pt>
                <c:pt idx="1849">
                  <c:v>57.645000000000003</c:v>
                </c:pt>
                <c:pt idx="1850">
                  <c:v>54.18</c:v>
                </c:pt>
                <c:pt idx="1851">
                  <c:v>54.18</c:v>
                </c:pt>
                <c:pt idx="1852">
                  <c:v>48.195</c:v>
                </c:pt>
                <c:pt idx="1853">
                  <c:v>51.66</c:v>
                </c:pt>
                <c:pt idx="1854">
                  <c:v>52.604999999999997</c:v>
                </c:pt>
                <c:pt idx="1855">
                  <c:v>51.975000000000001</c:v>
                </c:pt>
                <c:pt idx="1856">
                  <c:v>50.4</c:v>
                </c:pt>
                <c:pt idx="1857">
                  <c:v>51.819600000000001</c:v>
                </c:pt>
                <c:pt idx="1858">
                  <c:v>48.93</c:v>
                </c:pt>
                <c:pt idx="1859">
                  <c:v>46.41</c:v>
                </c:pt>
                <c:pt idx="1860">
                  <c:v>45.78</c:v>
                </c:pt>
                <c:pt idx="1861">
                  <c:v>45.78</c:v>
                </c:pt>
                <c:pt idx="1862">
                  <c:v>44.834999999999994</c:v>
                </c:pt>
                <c:pt idx="1863">
                  <c:v>41.739599999999996</c:v>
                </c:pt>
                <c:pt idx="1864">
                  <c:v>41.79</c:v>
                </c:pt>
                <c:pt idx="1865">
                  <c:v>41.16</c:v>
                </c:pt>
                <c:pt idx="1866">
                  <c:v>41.529599999999995</c:v>
                </c:pt>
                <c:pt idx="1867">
                  <c:v>40.425000000000004</c:v>
                </c:pt>
                <c:pt idx="1868">
                  <c:v>34.179600000000001</c:v>
                </c:pt>
                <c:pt idx="1869">
                  <c:v>32.234999999999999</c:v>
                </c:pt>
                <c:pt idx="1870">
                  <c:v>32.76</c:v>
                </c:pt>
                <c:pt idx="1871">
                  <c:v>33.860399999999998</c:v>
                </c:pt>
                <c:pt idx="1872">
                  <c:v>34.65</c:v>
                </c:pt>
                <c:pt idx="1873">
                  <c:v>34.44</c:v>
                </c:pt>
                <c:pt idx="1874">
                  <c:v>34.179600000000001</c:v>
                </c:pt>
                <c:pt idx="1875">
                  <c:v>33.654599999999995</c:v>
                </c:pt>
                <c:pt idx="1876">
                  <c:v>33.6</c:v>
                </c:pt>
                <c:pt idx="1877">
                  <c:v>33.18</c:v>
                </c:pt>
                <c:pt idx="1878">
                  <c:v>33.074999999999996</c:v>
                </c:pt>
                <c:pt idx="1879">
                  <c:v>31.71</c:v>
                </c:pt>
                <c:pt idx="1880">
                  <c:v>31.235400000000002</c:v>
                </c:pt>
                <c:pt idx="1881">
                  <c:v>30.87</c:v>
                </c:pt>
                <c:pt idx="1882">
                  <c:v>31.08</c:v>
                </c:pt>
                <c:pt idx="1883">
                  <c:v>30.8154</c:v>
                </c:pt>
                <c:pt idx="1884">
                  <c:v>31.08</c:v>
                </c:pt>
                <c:pt idx="1885">
                  <c:v>31.29</c:v>
                </c:pt>
                <c:pt idx="1886">
                  <c:v>31.395000000000003</c:v>
                </c:pt>
                <c:pt idx="1887">
                  <c:v>31.92</c:v>
                </c:pt>
                <c:pt idx="1888">
                  <c:v>32.079599999999999</c:v>
                </c:pt>
                <c:pt idx="1889">
                  <c:v>32.024999999999999</c:v>
                </c:pt>
                <c:pt idx="1890">
                  <c:v>31.5</c:v>
                </c:pt>
                <c:pt idx="1891">
                  <c:v>31.08</c:v>
                </c:pt>
                <c:pt idx="1892">
                  <c:v>31.395000000000003</c:v>
                </c:pt>
                <c:pt idx="1893">
                  <c:v>31.5</c:v>
                </c:pt>
                <c:pt idx="1894">
                  <c:v>32.709599999999995</c:v>
                </c:pt>
                <c:pt idx="1895">
                  <c:v>32.97</c:v>
                </c:pt>
                <c:pt idx="1896">
                  <c:v>33.919200000000004</c:v>
                </c:pt>
                <c:pt idx="1897">
                  <c:v>34.9146</c:v>
                </c:pt>
                <c:pt idx="1898">
                  <c:v>35.909999999999997</c:v>
                </c:pt>
                <c:pt idx="1899">
                  <c:v>36.225000000000001</c:v>
                </c:pt>
                <c:pt idx="1900">
                  <c:v>36.225000000000001</c:v>
                </c:pt>
                <c:pt idx="1901">
                  <c:v>35.754599999999996</c:v>
                </c:pt>
                <c:pt idx="1902">
                  <c:v>35.805</c:v>
                </c:pt>
                <c:pt idx="1903">
                  <c:v>34.704599999999999</c:v>
                </c:pt>
                <c:pt idx="1904">
                  <c:v>33.914999999999999</c:v>
                </c:pt>
                <c:pt idx="1905">
                  <c:v>32.97</c:v>
                </c:pt>
                <c:pt idx="1906">
                  <c:v>32.709599999999995</c:v>
                </c:pt>
                <c:pt idx="1907">
                  <c:v>32.919599999999996</c:v>
                </c:pt>
                <c:pt idx="1908">
                  <c:v>32.865000000000002</c:v>
                </c:pt>
                <c:pt idx="1909">
                  <c:v>32.394599999999997</c:v>
                </c:pt>
                <c:pt idx="1910">
                  <c:v>33.494999999999997</c:v>
                </c:pt>
                <c:pt idx="1911">
                  <c:v>32.814599999999999</c:v>
                </c:pt>
                <c:pt idx="1912">
                  <c:v>32.1342</c:v>
                </c:pt>
                <c:pt idx="1913">
                  <c:v>31.92</c:v>
                </c:pt>
                <c:pt idx="1914">
                  <c:v>31.134599999999999</c:v>
                </c:pt>
                <c:pt idx="1915">
                  <c:v>32.130000000000003</c:v>
                </c:pt>
                <c:pt idx="1916">
                  <c:v>31.185000000000002</c:v>
                </c:pt>
                <c:pt idx="1917">
                  <c:v>32.550000000000004</c:v>
                </c:pt>
                <c:pt idx="1918">
                  <c:v>33.3354</c:v>
                </c:pt>
                <c:pt idx="1919">
                  <c:v>33.129599999999996</c:v>
                </c:pt>
                <c:pt idx="1920">
                  <c:v>32.709599999999995</c:v>
                </c:pt>
                <c:pt idx="1921">
                  <c:v>32.604599999999998</c:v>
                </c:pt>
                <c:pt idx="1922">
                  <c:v>32.234999999999999</c:v>
                </c:pt>
                <c:pt idx="1923">
                  <c:v>32.709599999999995</c:v>
                </c:pt>
                <c:pt idx="1924">
                  <c:v>32.814599999999999</c:v>
                </c:pt>
                <c:pt idx="1925">
                  <c:v>33.3354</c:v>
                </c:pt>
                <c:pt idx="1926">
                  <c:v>33.284999999999997</c:v>
                </c:pt>
                <c:pt idx="1927">
                  <c:v>32.97</c:v>
                </c:pt>
                <c:pt idx="1928">
                  <c:v>33.074999999999996</c:v>
                </c:pt>
                <c:pt idx="1929">
                  <c:v>32.130000000000003</c:v>
                </c:pt>
                <c:pt idx="1930">
                  <c:v>32.550000000000004</c:v>
                </c:pt>
                <c:pt idx="1931">
                  <c:v>32.550000000000004</c:v>
                </c:pt>
                <c:pt idx="1932">
                  <c:v>32.184599999999996</c:v>
                </c:pt>
                <c:pt idx="1933">
                  <c:v>31.92</c:v>
                </c:pt>
                <c:pt idx="1934">
                  <c:v>30.765000000000001</c:v>
                </c:pt>
                <c:pt idx="1935">
                  <c:v>30.605399999999999</c:v>
                </c:pt>
                <c:pt idx="1936">
                  <c:v>30.24</c:v>
                </c:pt>
                <c:pt idx="1937">
                  <c:v>30.189599999999999</c:v>
                </c:pt>
                <c:pt idx="1938">
                  <c:v>29.189999999999998</c:v>
                </c:pt>
                <c:pt idx="1939">
                  <c:v>29.189999999999998</c:v>
                </c:pt>
                <c:pt idx="1940">
                  <c:v>29.715</c:v>
                </c:pt>
                <c:pt idx="1941">
                  <c:v>30.24</c:v>
                </c:pt>
                <c:pt idx="1942">
                  <c:v>30.504599999999996</c:v>
                </c:pt>
                <c:pt idx="1943">
                  <c:v>29.82</c:v>
                </c:pt>
                <c:pt idx="1944">
                  <c:v>29.504999999999999</c:v>
                </c:pt>
                <c:pt idx="1945">
                  <c:v>29.61</c:v>
                </c:pt>
                <c:pt idx="1946">
                  <c:v>29.349599999999999</c:v>
                </c:pt>
                <c:pt idx="1947">
                  <c:v>28.979999999999997</c:v>
                </c:pt>
                <c:pt idx="1948">
                  <c:v>28.875</c:v>
                </c:pt>
                <c:pt idx="1949">
                  <c:v>28.875</c:v>
                </c:pt>
                <c:pt idx="1950">
                  <c:v>28.770000000000003</c:v>
                </c:pt>
                <c:pt idx="1951">
                  <c:v>28.770000000000003</c:v>
                </c:pt>
                <c:pt idx="1952">
                  <c:v>29.189999999999998</c:v>
                </c:pt>
                <c:pt idx="1953">
                  <c:v>29.715</c:v>
                </c:pt>
                <c:pt idx="1954">
                  <c:v>30.345000000000002</c:v>
                </c:pt>
                <c:pt idx="1955">
                  <c:v>30.924599999999998</c:v>
                </c:pt>
                <c:pt idx="1956">
                  <c:v>31.92</c:v>
                </c:pt>
                <c:pt idx="1957">
                  <c:v>31.92</c:v>
                </c:pt>
                <c:pt idx="1958">
                  <c:v>31.185000000000002</c:v>
                </c:pt>
                <c:pt idx="1959">
                  <c:v>31.659599999999998</c:v>
                </c:pt>
                <c:pt idx="1960">
                  <c:v>31.08</c:v>
                </c:pt>
                <c:pt idx="1961">
                  <c:v>31.239599999999996</c:v>
                </c:pt>
                <c:pt idx="1962">
                  <c:v>31.5</c:v>
                </c:pt>
                <c:pt idx="1963">
                  <c:v>32.024999999999999</c:v>
                </c:pt>
                <c:pt idx="1964">
                  <c:v>32.2896</c:v>
                </c:pt>
                <c:pt idx="1965">
                  <c:v>32.499599999999994</c:v>
                </c:pt>
                <c:pt idx="1966">
                  <c:v>32.499599999999994</c:v>
                </c:pt>
                <c:pt idx="1967">
                  <c:v>32.865000000000002</c:v>
                </c:pt>
                <c:pt idx="1968">
                  <c:v>33.650399999999998</c:v>
                </c:pt>
                <c:pt idx="1969">
                  <c:v>33.914999999999999</c:v>
                </c:pt>
                <c:pt idx="1970">
                  <c:v>33.704999999999998</c:v>
                </c:pt>
                <c:pt idx="1971">
                  <c:v>34.389600000000002</c:v>
                </c:pt>
                <c:pt idx="1972">
                  <c:v>36.015000000000001</c:v>
                </c:pt>
                <c:pt idx="1973">
                  <c:v>36.75</c:v>
                </c:pt>
                <c:pt idx="1974">
                  <c:v>37.119599999999998</c:v>
                </c:pt>
                <c:pt idx="1975">
                  <c:v>37.644599999999997</c:v>
                </c:pt>
                <c:pt idx="1976">
                  <c:v>37.644599999999997</c:v>
                </c:pt>
                <c:pt idx="1977">
                  <c:v>37.224600000000002</c:v>
                </c:pt>
                <c:pt idx="1978">
                  <c:v>37.5396</c:v>
                </c:pt>
                <c:pt idx="1979">
                  <c:v>37.434599999999996</c:v>
                </c:pt>
                <c:pt idx="1980">
                  <c:v>36.804600000000001</c:v>
                </c:pt>
                <c:pt idx="1981">
                  <c:v>36.435000000000002</c:v>
                </c:pt>
                <c:pt idx="1982">
                  <c:v>36.119999999999997</c:v>
                </c:pt>
                <c:pt idx="1983">
                  <c:v>37.274999999999999</c:v>
                </c:pt>
                <c:pt idx="1984">
                  <c:v>37.695</c:v>
                </c:pt>
                <c:pt idx="1985">
                  <c:v>38.115000000000002</c:v>
                </c:pt>
                <c:pt idx="1986">
                  <c:v>37.644599999999997</c:v>
                </c:pt>
                <c:pt idx="1987">
                  <c:v>37.484999999999999</c:v>
                </c:pt>
                <c:pt idx="1988">
                  <c:v>37.854599999999998</c:v>
                </c:pt>
                <c:pt idx="1989">
                  <c:v>38.43</c:v>
                </c:pt>
                <c:pt idx="1990">
                  <c:v>40.74</c:v>
                </c:pt>
                <c:pt idx="1991">
                  <c:v>39.639600000000002</c:v>
                </c:pt>
                <c:pt idx="1992">
                  <c:v>39.534599999999998</c:v>
                </c:pt>
                <c:pt idx="1993">
                  <c:v>39.164999999999999</c:v>
                </c:pt>
                <c:pt idx="1994">
                  <c:v>38.480400000000003</c:v>
                </c:pt>
                <c:pt idx="1995">
                  <c:v>38.900399999999998</c:v>
                </c:pt>
                <c:pt idx="1996">
                  <c:v>39.06</c:v>
                </c:pt>
                <c:pt idx="1997">
                  <c:v>38.85</c:v>
                </c:pt>
                <c:pt idx="1998">
                  <c:v>39.639600000000002</c:v>
                </c:pt>
                <c:pt idx="1999">
                  <c:v>39.585000000000001</c:v>
                </c:pt>
                <c:pt idx="2000">
                  <c:v>40.634999999999998</c:v>
                </c:pt>
                <c:pt idx="2001">
                  <c:v>40.634999999999998</c:v>
                </c:pt>
                <c:pt idx="2002">
                  <c:v>40.74</c:v>
                </c:pt>
                <c:pt idx="2003">
                  <c:v>41.16</c:v>
                </c:pt>
                <c:pt idx="2004">
                  <c:v>41.16</c:v>
                </c:pt>
                <c:pt idx="2005">
                  <c:v>41.16</c:v>
                </c:pt>
                <c:pt idx="2006">
                  <c:v>41.265000000000001</c:v>
                </c:pt>
                <c:pt idx="2007">
                  <c:v>41.58</c:v>
                </c:pt>
                <c:pt idx="2008">
                  <c:v>42.104999999999997</c:v>
                </c:pt>
                <c:pt idx="2009">
                  <c:v>42.159599999999998</c:v>
                </c:pt>
                <c:pt idx="2010">
                  <c:v>42.42</c:v>
                </c:pt>
                <c:pt idx="2011">
                  <c:v>42.629999999999995</c:v>
                </c:pt>
                <c:pt idx="2012">
                  <c:v>42.209999999999994</c:v>
                </c:pt>
                <c:pt idx="2013">
                  <c:v>43.05</c:v>
                </c:pt>
                <c:pt idx="2014">
                  <c:v>43.575000000000003</c:v>
                </c:pt>
                <c:pt idx="2015">
                  <c:v>44.574599999999997</c:v>
                </c:pt>
                <c:pt idx="2016">
                  <c:v>45.729599999999998</c:v>
                </c:pt>
                <c:pt idx="2017">
                  <c:v>45.57</c:v>
                </c:pt>
                <c:pt idx="2018">
                  <c:v>45.674999999999997</c:v>
                </c:pt>
                <c:pt idx="2019">
                  <c:v>44.73</c:v>
                </c:pt>
                <c:pt idx="2020">
                  <c:v>44.1</c:v>
                </c:pt>
                <c:pt idx="2021">
                  <c:v>42.684599999999996</c:v>
                </c:pt>
                <c:pt idx="2022">
                  <c:v>42.524999999999999</c:v>
                </c:pt>
                <c:pt idx="2023">
                  <c:v>43.839600000000004</c:v>
                </c:pt>
                <c:pt idx="2024">
                  <c:v>44.885399999999997</c:v>
                </c:pt>
                <c:pt idx="2025">
                  <c:v>44.309999999999995</c:v>
                </c:pt>
                <c:pt idx="2026">
                  <c:v>44.415000000000006</c:v>
                </c:pt>
                <c:pt idx="2027">
                  <c:v>44.625</c:v>
                </c:pt>
                <c:pt idx="2028">
                  <c:v>44.73</c:v>
                </c:pt>
                <c:pt idx="2029">
                  <c:v>44.679599999999994</c:v>
                </c:pt>
                <c:pt idx="2030">
                  <c:v>45.204599999999999</c:v>
                </c:pt>
                <c:pt idx="2031">
                  <c:v>44.994599999999998</c:v>
                </c:pt>
                <c:pt idx="2032">
                  <c:v>44.309999999999995</c:v>
                </c:pt>
                <c:pt idx="2033">
                  <c:v>44.1</c:v>
                </c:pt>
                <c:pt idx="2034">
                  <c:v>43.575000000000003</c:v>
                </c:pt>
                <c:pt idx="2035">
                  <c:v>43.995000000000005</c:v>
                </c:pt>
                <c:pt idx="2036">
                  <c:v>44.204999999999998</c:v>
                </c:pt>
                <c:pt idx="2037">
                  <c:v>44.415000000000006</c:v>
                </c:pt>
                <c:pt idx="2038">
                  <c:v>44.309999999999995</c:v>
                </c:pt>
                <c:pt idx="2039">
                  <c:v>44.364600000000003</c:v>
                </c:pt>
                <c:pt idx="2040">
                  <c:v>44.784599999999998</c:v>
                </c:pt>
                <c:pt idx="2041">
                  <c:v>44.784599999999998</c:v>
                </c:pt>
                <c:pt idx="2042">
                  <c:v>44.415000000000006</c:v>
                </c:pt>
                <c:pt idx="2043">
                  <c:v>43.89</c:v>
                </c:pt>
                <c:pt idx="2044">
                  <c:v>43.68</c:v>
                </c:pt>
                <c:pt idx="2045">
                  <c:v>44.049599999999998</c:v>
                </c:pt>
                <c:pt idx="2046">
                  <c:v>43.784999999999997</c:v>
                </c:pt>
                <c:pt idx="2047">
                  <c:v>41.949599999999997</c:v>
                </c:pt>
                <c:pt idx="2048">
                  <c:v>42.104999999999997</c:v>
                </c:pt>
                <c:pt idx="2049">
                  <c:v>43.784999999999997</c:v>
                </c:pt>
                <c:pt idx="2050">
                  <c:v>44.73</c:v>
                </c:pt>
                <c:pt idx="2051">
                  <c:v>44.415000000000006</c:v>
                </c:pt>
                <c:pt idx="2052">
                  <c:v>44.259599999999992</c:v>
                </c:pt>
                <c:pt idx="2053">
                  <c:v>44.415000000000006</c:v>
                </c:pt>
                <c:pt idx="2054">
                  <c:v>44.154599999999995</c:v>
                </c:pt>
                <c:pt idx="2055">
                  <c:v>44.52</c:v>
                </c:pt>
                <c:pt idx="2056">
                  <c:v>43.575000000000003</c:v>
                </c:pt>
                <c:pt idx="2057">
                  <c:v>43.5246</c:v>
                </c:pt>
                <c:pt idx="2058">
                  <c:v>43.734599999999993</c:v>
                </c:pt>
                <c:pt idx="2059">
                  <c:v>43.734599999999993</c:v>
                </c:pt>
                <c:pt idx="2060">
                  <c:v>43.734599999999993</c:v>
                </c:pt>
                <c:pt idx="2061">
                  <c:v>43.419600000000003</c:v>
                </c:pt>
                <c:pt idx="2062">
                  <c:v>43.05</c:v>
                </c:pt>
                <c:pt idx="2063">
                  <c:v>42.209999999999994</c:v>
                </c:pt>
                <c:pt idx="2064">
                  <c:v>42.629999999999995</c:v>
                </c:pt>
                <c:pt idx="2065">
                  <c:v>43.995000000000005</c:v>
                </c:pt>
                <c:pt idx="2066">
                  <c:v>43.575000000000003</c:v>
                </c:pt>
                <c:pt idx="2067">
                  <c:v>43.68</c:v>
                </c:pt>
                <c:pt idx="2068">
                  <c:v>43.05</c:v>
                </c:pt>
                <c:pt idx="2069">
                  <c:v>42.84</c:v>
                </c:pt>
                <c:pt idx="2070">
                  <c:v>43.365000000000002</c:v>
                </c:pt>
                <c:pt idx="2071">
                  <c:v>43.419600000000003</c:v>
                </c:pt>
                <c:pt idx="2072">
                  <c:v>42.42</c:v>
                </c:pt>
                <c:pt idx="2073">
                  <c:v>41.58</c:v>
                </c:pt>
                <c:pt idx="2074">
                  <c:v>40.74</c:v>
                </c:pt>
                <c:pt idx="2075">
                  <c:v>41.265000000000001</c:v>
                </c:pt>
                <c:pt idx="2076">
                  <c:v>41.37</c:v>
                </c:pt>
                <c:pt idx="2077">
                  <c:v>41.685000000000002</c:v>
                </c:pt>
                <c:pt idx="2078">
                  <c:v>42.260399999999997</c:v>
                </c:pt>
                <c:pt idx="2079">
                  <c:v>43.68</c:v>
                </c:pt>
                <c:pt idx="2080">
                  <c:v>44.940000000000005</c:v>
                </c:pt>
                <c:pt idx="2081">
                  <c:v>44.940000000000005</c:v>
                </c:pt>
                <c:pt idx="2082">
                  <c:v>46.934999999999995</c:v>
                </c:pt>
                <c:pt idx="2083">
                  <c:v>45.4146</c:v>
                </c:pt>
                <c:pt idx="2084">
                  <c:v>45.15</c:v>
                </c:pt>
                <c:pt idx="2085">
                  <c:v>45.519599999999997</c:v>
                </c:pt>
                <c:pt idx="2086">
                  <c:v>45.519599999999997</c:v>
                </c:pt>
                <c:pt idx="2087">
                  <c:v>43.784999999999997</c:v>
                </c:pt>
                <c:pt idx="2088">
                  <c:v>43.155000000000001</c:v>
                </c:pt>
                <c:pt idx="2089">
                  <c:v>41.265000000000001</c:v>
                </c:pt>
                <c:pt idx="2090">
                  <c:v>41.055</c:v>
                </c:pt>
                <c:pt idx="2091">
                  <c:v>40.11</c:v>
                </c:pt>
                <c:pt idx="2092">
                  <c:v>40.844999999999999</c:v>
                </c:pt>
                <c:pt idx="2093">
                  <c:v>40.689599999999999</c:v>
                </c:pt>
                <c:pt idx="2094">
                  <c:v>41.214599999999997</c:v>
                </c:pt>
                <c:pt idx="2095">
                  <c:v>43.625399999999999</c:v>
                </c:pt>
                <c:pt idx="2096">
                  <c:v>43.625399999999999</c:v>
                </c:pt>
                <c:pt idx="2097">
                  <c:v>43.944600000000001</c:v>
                </c:pt>
                <c:pt idx="2098">
                  <c:v>44.309999999999995</c:v>
                </c:pt>
                <c:pt idx="2099">
                  <c:v>44.889600000000002</c:v>
                </c:pt>
                <c:pt idx="2100">
                  <c:v>43.944600000000001</c:v>
                </c:pt>
                <c:pt idx="2101">
                  <c:v>41.895000000000003</c:v>
                </c:pt>
                <c:pt idx="2102">
                  <c:v>41.58</c:v>
                </c:pt>
                <c:pt idx="2103">
                  <c:v>41.685000000000002</c:v>
                </c:pt>
                <c:pt idx="2104">
                  <c:v>40.11</c:v>
                </c:pt>
                <c:pt idx="2105">
                  <c:v>40.11</c:v>
                </c:pt>
                <c:pt idx="2106">
                  <c:v>40.005000000000003</c:v>
                </c:pt>
                <c:pt idx="2107">
                  <c:v>39.9</c:v>
                </c:pt>
                <c:pt idx="2108">
                  <c:v>41.265000000000001</c:v>
                </c:pt>
                <c:pt idx="2109">
                  <c:v>41.004599999999996</c:v>
                </c:pt>
                <c:pt idx="2110">
                  <c:v>40.269599999999997</c:v>
                </c:pt>
                <c:pt idx="2111">
                  <c:v>38.744999999999997</c:v>
                </c:pt>
                <c:pt idx="2112">
                  <c:v>37.590000000000003</c:v>
                </c:pt>
                <c:pt idx="2113">
                  <c:v>36.5946</c:v>
                </c:pt>
                <c:pt idx="2114">
                  <c:v>36.54</c:v>
                </c:pt>
                <c:pt idx="2115">
                  <c:v>36.54</c:v>
                </c:pt>
                <c:pt idx="2116">
                  <c:v>36.75</c:v>
                </c:pt>
                <c:pt idx="2117">
                  <c:v>36.5946</c:v>
                </c:pt>
                <c:pt idx="2118">
                  <c:v>38.169599999999996</c:v>
                </c:pt>
                <c:pt idx="2119">
                  <c:v>38.22</c:v>
                </c:pt>
                <c:pt idx="2120">
                  <c:v>39.585000000000001</c:v>
                </c:pt>
                <c:pt idx="2121">
                  <c:v>39.585000000000001</c:v>
                </c:pt>
                <c:pt idx="2122">
                  <c:v>41.529599999999995</c:v>
                </c:pt>
                <c:pt idx="2123">
                  <c:v>44.415000000000006</c:v>
                </c:pt>
                <c:pt idx="2124">
                  <c:v>47.565000000000005</c:v>
                </c:pt>
                <c:pt idx="2125">
                  <c:v>50.61</c:v>
                </c:pt>
                <c:pt idx="2126">
                  <c:v>42</c:v>
                </c:pt>
                <c:pt idx="2127">
                  <c:v>37.695</c:v>
                </c:pt>
                <c:pt idx="2128">
                  <c:v>36.96</c:v>
                </c:pt>
                <c:pt idx="2129">
                  <c:v>36.804600000000001</c:v>
                </c:pt>
                <c:pt idx="2130">
                  <c:v>37.274999999999999</c:v>
                </c:pt>
                <c:pt idx="2131">
                  <c:v>39.479999999999997</c:v>
                </c:pt>
                <c:pt idx="2132">
                  <c:v>40.74</c:v>
                </c:pt>
                <c:pt idx="2133">
                  <c:v>38.534999999999997</c:v>
                </c:pt>
                <c:pt idx="2134">
                  <c:v>36.854999999999997</c:v>
                </c:pt>
                <c:pt idx="2135">
                  <c:v>38.43</c:v>
                </c:pt>
                <c:pt idx="2136">
                  <c:v>37.800000000000004</c:v>
                </c:pt>
                <c:pt idx="2137">
                  <c:v>38.85</c:v>
                </c:pt>
                <c:pt idx="2138">
                  <c:v>38.799599999999998</c:v>
                </c:pt>
                <c:pt idx="2139">
                  <c:v>38.379599999999996</c:v>
                </c:pt>
                <c:pt idx="2140">
                  <c:v>37.695</c:v>
                </c:pt>
                <c:pt idx="2141">
                  <c:v>37.064999999999998</c:v>
                </c:pt>
                <c:pt idx="2142">
                  <c:v>37.695</c:v>
                </c:pt>
                <c:pt idx="2143">
                  <c:v>38.115000000000002</c:v>
                </c:pt>
                <c:pt idx="2144">
                  <c:v>37.800000000000004</c:v>
                </c:pt>
                <c:pt idx="2145">
                  <c:v>39.06</c:v>
                </c:pt>
                <c:pt idx="2146">
                  <c:v>39.164999999999999</c:v>
                </c:pt>
                <c:pt idx="2147">
                  <c:v>38.744999999999997</c:v>
                </c:pt>
                <c:pt idx="2148">
                  <c:v>38.115000000000002</c:v>
                </c:pt>
                <c:pt idx="2149">
                  <c:v>38.115000000000002</c:v>
                </c:pt>
                <c:pt idx="2150">
                  <c:v>38.115000000000002</c:v>
                </c:pt>
                <c:pt idx="2151">
                  <c:v>35.909999999999997</c:v>
                </c:pt>
                <c:pt idx="2152">
                  <c:v>35.6496</c:v>
                </c:pt>
                <c:pt idx="2153">
                  <c:v>35.229599999999998</c:v>
                </c:pt>
                <c:pt idx="2154">
                  <c:v>35.909999999999997</c:v>
                </c:pt>
                <c:pt idx="2155">
                  <c:v>36.119999999999997</c:v>
                </c:pt>
                <c:pt idx="2156">
                  <c:v>36.75</c:v>
                </c:pt>
                <c:pt idx="2157">
                  <c:v>37.959599999999995</c:v>
                </c:pt>
                <c:pt idx="2158">
                  <c:v>38.22</c:v>
                </c:pt>
                <c:pt idx="2159">
                  <c:v>37.959599999999995</c:v>
                </c:pt>
                <c:pt idx="2160">
                  <c:v>39.164999999999999</c:v>
                </c:pt>
                <c:pt idx="2161">
                  <c:v>38.379599999999996</c:v>
                </c:pt>
                <c:pt idx="2162">
                  <c:v>39.270000000000003</c:v>
                </c:pt>
                <c:pt idx="2163">
                  <c:v>40.005000000000003</c:v>
                </c:pt>
                <c:pt idx="2164">
                  <c:v>40.215000000000003</c:v>
                </c:pt>
                <c:pt idx="2165">
                  <c:v>40.425000000000004</c:v>
                </c:pt>
                <c:pt idx="2166">
                  <c:v>40.11</c:v>
                </c:pt>
                <c:pt idx="2167">
                  <c:v>40.425000000000004</c:v>
                </c:pt>
                <c:pt idx="2168">
                  <c:v>41.475000000000001</c:v>
                </c:pt>
                <c:pt idx="2169">
                  <c:v>42.42</c:v>
                </c:pt>
                <c:pt idx="2170">
                  <c:v>41.58</c:v>
                </c:pt>
                <c:pt idx="2171">
                  <c:v>41.58</c:v>
                </c:pt>
                <c:pt idx="2172">
                  <c:v>42</c:v>
                </c:pt>
                <c:pt idx="2173">
                  <c:v>42.629999999999995</c:v>
                </c:pt>
                <c:pt idx="2174">
                  <c:v>43.05</c:v>
                </c:pt>
                <c:pt idx="2175">
                  <c:v>42.42</c:v>
                </c:pt>
                <c:pt idx="2176">
                  <c:v>41.529599999999995</c:v>
                </c:pt>
                <c:pt idx="2177">
                  <c:v>40.425000000000004</c:v>
                </c:pt>
                <c:pt idx="2178">
                  <c:v>41.8446</c:v>
                </c:pt>
                <c:pt idx="2179">
                  <c:v>42.209999999999994</c:v>
                </c:pt>
                <c:pt idx="2180">
                  <c:v>42.684599999999996</c:v>
                </c:pt>
                <c:pt idx="2181">
                  <c:v>43.365000000000002</c:v>
                </c:pt>
                <c:pt idx="2182">
                  <c:v>44.4696</c:v>
                </c:pt>
                <c:pt idx="2183">
                  <c:v>45.045000000000002</c:v>
                </c:pt>
                <c:pt idx="2184">
                  <c:v>45.099599999999995</c:v>
                </c:pt>
                <c:pt idx="2185">
                  <c:v>44.1</c:v>
                </c:pt>
                <c:pt idx="2186">
                  <c:v>44.309999999999995</c:v>
                </c:pt>
                <c:pt idx="2187">
                  <c:v>44.1</c:v>
                </c:pt>
                <c:pt idx="2188">
                  <c:v>44.309999999999995</c:v>
                </c:pt>
                <c:pt idx="2189">
                  <c:v>44.415000000000006</c:v>
                </c:pt>
                <c:pt idx="2190">
                  <c:v>43.47</c:v>
                </c:pt>
                <c:pt idx="2191">
                  <c:v>43.47</c:v>
                </c:pt>
                <c:pt idx="2192">
                  <c:v>42.629999999999995</c:v>
                </c:pt>
                <c:pt idx="2193">
                  <c:v>43.314599999999999</c:v>
                </c:pt>
                <c:pt idx="2194">
                  <c:v>43.104599999999998</c:v>
                </c:pt>
                <c:pt idx="2195">
                  <c:v>43.209599999999995</c:v>
                </c:pt>
                <c:pt idx="2196">
                  <c:v>42.470400000000005</c:v>
                </c:pt>
                <c:pt idx="2197">
                  <c:v>42.84</c:v>
                </c:pt>
                <c:pt idx="2198">
                  <c:v>42.629999999999995</c:v>
                </c:pt>
                <c:pt idx="2199">
                  <c:v>44.1</c:v>
                </c:pt>
                <c:pt idx="2200">
                  <c:v>44.309999999999995</c:v>
                </c:pt>
                <c:pt idx="2201">
                  <c:v>44.309999999999995</c:v>
                </c:pt>
                <c:pt idx="2202">
                  <c:v>43.784999999999997</c:v>
                </c:pt>
                <c:pt idx="2203">
                  <c:v>43.995000000000005</c:v>
                </c:pt>
                <c:pt idx="2204">
                  <c:v>43.365000000000002</c:v>
                </c:pt>
                <c:pt idx="2205">
                  <c:v>42.209999999999994</c:v>
                </c:pt>
                <c:pt idx="2206">
                  <c:v>42.474599999999995</c:v>
                </c:pt>
                <c:pt idx="2207">
                  <c:v>42.159599999999998</c:v>
                </c:pt>
                <c:pt idx="2208">
                  <c:v>42.264600000000002</c:v>
                </c:pt>
                <c:pt idx="2209">
                  <c:v>41.79</c:v>
                </c:pt>
                <c:pt idx="2210">
                  <c:v>43.365000000000002</c:v>
                </c:pt>
                <c:pt idx="2211">
                  <c:v>43.26</c:v>
                </c:pt>
                <c:pt idx="2212">
                  <c:v>43.784999999999997</c:v>
                </c:pt>
                <c:pt idx="2213">
                  <c:v>45.15</c:v>
                </c:pt>
                <c:pt idx="2214">
                  <c:v>45.57</c:v>
                </c:pt>
                <c:pt idx="2215">
                  <c:v>46.83</c:v>
                </c:pt>
                <c:pt idx="2216">
                  <c:v>47.459999999999994</c:v>
                </c:pt>
                <c:pt idx="2217">
                  <c:v>49.98</c:v>
                </c:pt>
                <c:pt idx="2218">
                  <c:v>49.98</c:v>
                </c:pt>
                <c:pt idx="2219">
                  <c:v>50.190000000000005</c:v>
                </c:pt>
                <c:pt idx="2220">
                  <c:v>50.82</c:v>
                </c:pt>
                <c:pt idx="2221">
                  <c:v>51.03</c:v>
                </c:pt>
                <c:pt idx="2222">
                  <c:v>51.504599999999996</c:v>
                </c:pt>
                <c:pt idx="2223">
                  <c:v>49.77</c:v>
                </c:pt>
                <c:pt idx="2224">
                  <c:v>49.35</c:v>
                </c:pt>
                <c:pt idx="2225">
                  <c:v>49.665000000000006</c:v>
                </c:pt>
                <c:pt idx="2226">
                  <c:v>47.300400000000003</c:v>
                </c:pt>
                <c:pt idx="2227">
                  <c:v>47.145000000000003</c:v>
                </c:pt>
                <c:pt idx="2228">
                  <c:v>47.724599999999995</c:v>
                </c:pt>
                <c:pt idx="2229">
                  <c:v>47.984999999999999</c:v>
                </c:pt>
                <c:pt idx="2230">
                  <c:v>49.559999999999995</c:v>
                </c:pt>
                <c:pt idx="2231">
                  <c:v>54.809999999999995</c:v>
                </c:pt>
                <c:pt idx="2232">
                  <c:v>56.7</c:v>
                </c:pt>
                <c:pt idx="2233">
                  <c:v>58.695</c:v>
                </c:pt>
                <c:pt idx="2234">
                  <c:v>58.274999999999999</c:v>
                </c:pt>
                <c:pt idx="2235">
                  <c:v>58.379999999999995</c:v>
                </c:pt>
                <c:pt idx="2236">
                  <c:v>62.265000000000001</c:v>
                </c:pt>
                <c:pt idx="2237">
                  <c:v>58.905000000000001</c:v>
                </c:pt>
                <c:pt idx="2238">
                  <c:v>45.99</c:v>
                </c:pt>
                <c:pt idx="2239">
                  <c:v>46.83</c:v>
                </c:pt>
                <c:pt idx="2240">
                  <c:v>47.040000000000006</c:v>
                </c:pt>
                <c:pt idx="2241">
                  <c:v>47.879999999999995</c:v>
                </c:pt>
                <c:pt idx="2242">
                  <c:v>48.72</c:v>
                </c:pt>
                <c:pt idx="2243">
                  <c:v>47.774999999999999</c:v>
                </c:pt>
                <c:pt idx="2244">
                  <c:v>47.040000000000006</c:v>
                </c:pt>
                <c:pt idx="2245">
                  <c:v>47.67</c:v>
                </c:pt>
                <c:pt idx="2246">
                  <c:v>45.99</c:v>
                </c:pt>
                <c:pt idx="2247">
                  <c:v>46.620000000000005</c:v>
                </c:pt>
                <c:pt idx="2248">
                  <c:v>45.515400000000007</c:v>
                </c:pt>
                <c:pt idx="2249">
                  <c:v>46.305</c:v>
                </c:pt>
                <c:pt idx="2250">
                  <c:v>46.934999999999995</c:v>
                </c:pt>
                <c:pt idx="2251">
                  <c:v>47.565000000000005</c:v>
                </c:pt>
                <c:pt idx="2252">
                  <c:v>48.72</c:v>
                </c:pt>
                <c:pt idx="2253">
                  <c:v>50.190000000000005</c:v>
                </c:pt>
                <c:pt idx="2254">
                  <c:v>50.190000000000005</c:v>
                </c:pt>
                <c:pt idx="2255">
                  <c:v>50.295000000000002</c:v>
                </c:pt>
                <c:pt idx="2256">
                  <c:v>50.454599999999999</c:v>
                </c:pt>
                <c:pt idx="2257">
                  <c:v>50.555399999999999</c:v>
                </c:pt>
                <c:pt idx="2258">
                  <c:v>51.134999999999998</c:v>
                </c:pt>
                <c:pt idx="2259">
                  <c:v>51.714600000000004</c:v>
                </c:pt>
                <c:pt idx="2260">
                  <c:v>51.3996</c:v>
                </c:pt>
                <c:pt idx="2261">
                  <c:v>51.3996</c:v>
                </c:pt>
                <c:pt idx="2262">
                  <c:v>52.184999999999995</c:v>
                </c:pt>
                <c:pt idx="2263">
                  <c:v>51.24</c:v>
                </c:pt>
                <c:pt idx="2264">
                  <c:v>51.45</c:v>
                </c:pt>
                <c:pt idx="2265">
                  <c:v>51.45</c:v>
                </c:pt>
                <c:pt idx="2266">
                  <c:v>51.765000000000001</c:v>
                </c:pt>
                <c:pt idx="2267">
                  <c:v>52.550400000000003</c:v>
                </c:pt>
                <c:pt idx="2268">
                  <c:v>52.5</c:v>
                </c:pt>
                <c:pt idx="2269">
                  <c:v>52.130400000000002</c:v>
                </c:pt>
                <c:pt idx="2270">
                  <c:v>52.395000000000003</c:v>
                </c:pt>
                <c:pt idx="2271">
                  <c:v>52.395000000000003</c:v>
                </c:pt>
                <c:pt idx="2272">
                  <c:v>52.5</c:v>
                </c:pt>
                <c:pt idx="2273">
                  <c:v>52.5</c:v>
                </c:pt>
                <c:pt idx="2274">
                  <c:v>51.765000000000001</c:v>
                </c:pt>
                <c:pt idx="2275">
                  <c:v>52.184999999999995</c:v>
                </c:pt>
                <c:pt idx="2276">
                  <c:v>52.709999999999994</c:v>
                </c:pt>
                <c:pt idx="2277">
                  <c:v>52.815000000000005</c:v>
                </c:pt>
                <c:pt idx="2278">
                  <c:v>52.815000000000005</c:v>
                </c:pt>
                <c:pt idx="2279">
                  <c:v>53.34</c:v>
                </c:pt>
                <c:pt idx="2280">
                  <c:v>54.39</c:v>
                </c:pt>
                <c:pt idx="2281">
                  <c:v>55.440000000000005</c:v>
                </c:pt>
                <c:pt idx="2282">
                  <c:v>55.23</c:v>
                </c:pt>
                <c:pt idx="2283">
                  <c:v>54.39</c:v>
                </c:pt>
                <c:pt idx="2284">
                  <c:v>52.815000000000005</c:v>
                </c:pt>
                <c:pt idx="2285">
                  <c:v>52.604999999999997</c:v>
                </c:pt>
                <c:pt idx="2286">
                  <c:v>51.870000000000005</c:v>
                </c:pt>
                <c:pt idx="2287">
                  <c:v>50.924999999999997</c:v>
                </c:pt>
                <c:pt idx="2288">
                  <c:v>48.72</c:v>
                </c:pt>
                <c:pt idx="2289">
                  <c:v>45.465000000000003</c:v>
                </c:pt>
                <c:pt idx="2290">
                  <c:v>46.305</c:v>
                </c:pt>
                <c:pt idx="2291">
                  <c:v>46.989600000000003</c:v>
                </c:pt>
                <c:pt idx="2292">
                  <c:v>47.984999999999999</c:v>
                </c:pt>
                <c:pt idx="2293">
                  <c:v>46.880400000000002</c:v>
                </c:pt>
                <c:pt idx="2294">
                  <c:v>45.78</c:v>
                </c:pt>
                <c:pt idx="2295">
                  <c:v>44.625</c:v>
                </c:pt>
                <c:pt idx="2296">
                  <c:v>43.155000000000001</c:v>
                </c:pt>
                <c:pt idx="2297">
                  <c:v>38.22</c:v>
                </c:pt>
                <c:pt idx="2298">
                  <c:v>39.479999999999997</c:v>
                </c:pt>
                <c:pt idx="2299">
                  <c:v>39.270000000000003</c:v>
                </c:pt>
                <c:pt idx="2300">
                  <c:v>38.954999999999998</c:v>
                </c:pt>
                <c:pt idx="2301">
                  <c:v>39.324599999999997</c:v>
                </c:pt>
                <c:pt idx="2302">
                  <c:v>39.479999999999997</c:v>
                </c:pt>
                <c:pt idx="2303">
                  <c:v>39.9</c:v>
                </c:pt>
                <c:pt idx="2304">
                  <c:v>39.795000000000002</c:v>
                </c:pt>
                <c:pt idx="2305">
                  <c:v>39.954599999999999</c:v>
                </c:pt>
                <c:pt idx="2306">
                  <c:v>39.795000000000002</c:v>
                </c:pt>
                <c:pt idx="2307">
                  <c:v>39.534599999999998</c:v>
                </c:pt>
                <c:pt idx="2308">
                  <c:v>37.590000000000003</c:v>
                </c:pt>
                <c:pt idx="2309">
                  <c:v>35.964599999999997</c:v>
                </c:pt>
                <c:pt idx="2310">
                  <c:v>34.755000000000003</c:v>
                </c:pt>
                <c:pt idx="2311">
                  <c:v>35.49</c:v>
                </c:pt>
                <c:pt idx="2312">
                  <c:v>32.234999999999999</c:v>
                </c:pt>
                <c:pt idx="2313">
                  <c:v>34.020000000000003</c:v>
                </c:pt>
                <c:pt idx="2314">
                  <c:v>34.965000000000003</c:v>
                </c:pt>
                <c:pt idx="2315">
                  <c:v>36.33</c:v>
                </c:pt>
                <c:pt idx="2316">
                  <c:v>36.435000000000002</c:v>
                </c:pt>
                <c:pt idx="2317">
                  <c:v>34.44</c:v>
                </c:pt>
                <c:pt idx="2318">
                  <c:v>34.125</c:v>
                </c:pt>
                <c:pt idx="2319">
                  <c:v>34.125</c:v>
                </c:pt>
                <c:pt idx="2320">
                  <c:v>34.125</c:v>
                </c:pt>
                <c:pt idx="2321">
                  <c:v>31.604999999999997</c:v>
                </c:pt>
                <c:pt idx="2322">
                  <c:v>30.87</c:v>
                </c:pt>
                <c:pt idx="2323">
                  <c:v>30.765000000000001</c:v>
                </c:pt>
                <c:pt idx="2324">
                  <c:v>30.87</c:v>
                </c:pt>
                <c:pt idx="2325">
                  <c:v>30.135000000000002</c:v>
                </c:pt>
                <c:pt idx="2326">
                  <c:v>32.655000000000001</c:v>
                </c:pt>
                <c:pt idx="2327">
                  <c:v>35.175000000000004</c:v>
                </c:pt>
                <c:pt idx="2328">
                  <c:v>36.54</c:v>
                </c:pt>
                <c:pt idx="2329">
                  <c:v>35.805</c:v>
                </c:pt>
                <c:pt idx="2330">
                  <c:v>37.274999999999999</c:v>
                </c:pt>
                <c:pt idx="2331">
                  <c:v>33.39</c:v>
                </c:pt>
                <c:pt idx="2332">
                  <c:v>33.18</c:v>
                </c:pt>
                <c:pt idx="2333">
                  <c:v>32.76</c:v>
                </c:pt>
                <c:pt idx="2334">
                  <c:v>32.76</c:v>
                </c:pt>
                <c:pt idx="2335">
                  <c:v>32.130000000000003</c:v>
                </c:pt>
                <c:pt idx="2336">
                  <c:v>31.814999999999998</c:v>
                </c:pt>
                <c:pt idx="2337">
                  <c:v>29.925000000000001</c:v>
                </c:pt>
                <c:pt idx="2338">
                  <c:v>30.555</c:v>
                </c:pt>
                <c:pt idx="2339">
                  <c:v>30.029999999999998</c:v>
                </c:pt>
                <c:pt idx="2340">
                  <c:v>30.66</c:v>
                </c:pt>
                <c:pt idx="2341">
                  <c:v>30.66</c:v>
                </c:pt>
                <c:pt idx="2342">
                  <c:v>30.66</c:v>
                </c:pt>
                <c:pt idx="2343">
                  <c:v>31.449599999999997</c:v>
                </c:pt>
                <c:pt idx="2344">
                  <c:v>31.08</c:v>
                </c:pt>
                <c:pt idx="2345">
                  <c:v>30.975000000000001</c:v>
                </c:pt>
                <c:pt idx="2346">
                  <c:v>31.92</c:v>
                </c:pt>
                <c:pt idx="2347">
                  <c:v>31.92</c:v>
                </c:pt>
                <c:pt idx="2348">
                  <c:v>32.340000000000003</c:v>
                </c:pt>
                <c:pt idx="2349">
                  <c:v>32.130000000000003</c:v>
                </c:pt>
                <c:pt idx="2350">
                  <c:v>32.709599999999995</c:v>
                </c:pt>
                <c:pt idx="2351">
                  <c:v>32.394599999999997</c:v>
                </c:pt>
                <c:pt idx="2352">
                  <c:v>32.024999999999999</c:v>
                </c:pt>
                <c:pt idx="2353">
                  <c:v>33.125400000000006</c:v>
                </c:pt>
                <c:pt idx="2354">
                  <c:v>33.39</c:v>
                </c:pt>
                <c:pt idx="2355">
                  <c:v>33.6</c:v>
                </c:pt>
                <c:pt idx="2356">
                  <c:v>33.074999999999996</c:v>
                </c:pt>
                <c:pt idx="2357">
                  <c:v>33.545400000000001</c:v>
                </c:pt>
                <c:pt idx="2358">
                  <c:v>33.545400000000001</c:v>
                </c:pt>
                <c:pt idx="2359">
                  <c:v>33.230400000000003</c:v>
                </c:pt>
                <c:pt idx="2360">
                  <c:v>33.650399999999998</c:v>
                </c:pt>
                <c:pt idx="2361">
                  <c:v>33.650399999999998</c:v>
                </c:pt>
                <c:pt idx="2362">
                  <c:v>34.125</c:v>
                </c:pt>
                <c:pt idx="2363">
                  <c:v>35.28</c:v>
                </c:pt>
                <c:pt idx="2364">
                  <c:v>34.755000000000003</c:v>
                </c:pt>
                <c:pt idx="2365">
                  <c:v>35.28</c:v>
                </c:pt>
                <c:pt idx="2366">
                  <c:v>35.175000000000004</c:v>
                </c:pt>
                <c:pt idx="2367">
                  <c:v>35.6496</c:v>
                </c:pt>
                <c:pt idx="2368">
                  <c:v>36.33</c:v>
                </c:pt>
                <c:pt idx="2369">
                  <c:v>36.435000000000002</c:v>
                </c:pt>
                <c:pt idx="2370">
                  <c:v>38.01</c:v>
                </c:pt>
                <c:pt idx="2371">
                  <c:v>37.17</c:v>
                </c:pt>
                <c:pt idx="2372">
                  <c:v>36.33</c:v>
                </c:pt>
                <c:pt idx="2373">
                  <c:v>33.494999999999997</c:v>
                </c:pt>
                <c:pt idx="2374">
                  <c:v>32.550000000000004</c:v>
                </c:pt>
                <c:pt idx="2375">
                  <c:v>32.97</c:v>
                </c:pt>
                <c:pt idx="2376">
                  <c:v>33.494999999999997</c:v>
                </c:pt>
                <c:pt idx="2377">
                  <c:v>34.755000000000003</c:v>
                </c:pt>
                <c:pt idx="2378">
                  <c:v>35.699999999999996</c:v>
                </c:pt>
                <c:pt idx="2379">
                  <c:v>36.065400000000004</c:v>
                </c:pt>
                <c:pt idx="2380">
                  <c:v>37.064999999999998</c:v>
                </c:pt>
                <c:pt idx="2381">
                  <c:v>37.064999999999998</c:v>
                </c:pt>
                <c:pt idx="2382">
                  <c:v>37.484999999999999</c:v>
                </c:pt>
                <c:pt idx="2383">
                  <c:v>37.064999999999998</c:v>
                </c:pt>
                <c:pt idx="2384">
                  <c:v>36.119999999999997</c:v>
                </c:pt>
                <c:pt idx="2385">
                  <c:v>35.699999999999996</c:v>
                </c:pt>
                <c:pt idx="2386">
                  <c:v>34.86</c:v>
                </c:pt>
                <c:pt idx="2387">
                  <c:v>34.44</c:v>
                </c:pt>
                <c:pt idx="2388">
                  <c:v>33.6</c:v>
                </c:pt>
                <c:pt idx="2389">
                  <c:v>32.919599999999996</c:v>
                </c:pt>
                <c:pt idx="2390">
                  <c:v>32.865000000000002</c:v>
                </c:pt>
                <c:pt idx="2391">
                  <c:v>33.18</c:v>
                </c:pt>
                <c:pt idx="2392">
                  <c:v>33.284999999999997</c:v>
                </c:pt>
                <c:pt idx="2393">
                  <c:v>33.284999999999997</c:v>
                </c:pt>
                <c:pt idx="2394">
                  <c:v>33.6</c:v>
                </c:pt>
                <c:pt idx="2395">
                  <c:v>33.39</c:v>
                </c:pt>
                <c:pt idx="2396">
                  <c:v>33.755400000000002</c:v>
                </c:pt>
                <c:pt idx="2397">
                  <c:v>33.230400000000003</c:v>
                </c:pt>
                <c:pt idx="2398">
                  <c:v>33.704999999999998</c:v>
                </c:pt>
                <c:pt idx="2399">
                  <c:v>33.18</c:v>
                </c:pt>
                <c:pt idx="2400">
                  <c:v>32.97</c:v>
                </c:pt>
                <c:pt idx="2401">
                  <c:v>32.97</c:v>
                </c:pt>
                <c:pt idx="2402">
                  <c:v>32.655000000000001</c:v>
                </c:pt>
                <c:pt idx="2403">
                  <c:v>32.340000000000003</c:v>
                </c:pt>
                <c:pt idx="2404">
                  <c:v>31.5</c:v>
                </c:pt>
                <c:pt idx="2405">
                  <c:v>31.5</c:v>
                </c:pt>
                <c:pt idx="2406">
                  <c:v>30.87</c:v>
                </c:pt>
                <c:pt idx="2407">
                  <c:v>31.29</c:v>
                </c:pt>
                <c:pt idx="2408">
                  <c:v>31.239599999999996</c:v>
                </c:pt>
                <c:pt idx="2409">
                  <c:v>31.025400000000001</c:v>
                </c:pt>
                <c:pt idx="2410">
                  <c:v>31.5</c:v>
                </c:pt>
                <c:pt idx="2411">
                  <c:v>32.079599999999999</c:v>
                </c:pt>
                <c:pt idx="2412">
                  <c:v>31.92</c:v>
                </c:pt>
                <c:pt idx="2413">
                  <c:v>31.08</c:v>
                </c:pt>
                <c:pt idx="2414">
                  <c:v>30.66</c:v>
                </c:pt>
                <c:pt idx="2415">
                  <c:v>29.925000000000001</c:v>
                </c:pt>
                <c:pt idx="2416">
                  <c:v>30.975000000000001</c:v>
                </c:pt>
                <c:pt idx="2417">
                  <c:v>31.604999999999997</c:v>
                </c:pt>
                <c:pt idx="2418">
                  <c:v>33.074999999999996</c:v>
                </c:pt>
                <c:pt idx="2419">
                  <c:v>32.76</c:v>
                </c:pt>
                <c:pt idx="2420">
                  <c:v>32.2896</c:v>
                </c:pt>
                <c:pt idx="2421">
                  <c:v>31.92</c:v>
                </c:pt>
                <c:pt idx="2422">
                  <c:v>31.5</c:v>
                </c:pt>
                <c:pt idx="2423">
                  <c:v>31.185000000000002</c:v>
                </c:pt>
                <c:pt idx="2424">
                  <c:v>31.025400000000001</c:v>
                </c:pt>
                <c:pt idx="2425">
                  <c:v>31.025400000000001</c:v>
                </c:pt>
                <c:pt idx="2426">
                  <c:v>31.659599999999998</c:v>
                </c:pt>
                <c:pt idx="2427">
                  <c:v>32.340000000000003</c:v>
                </c:pt>
                <c:pt idx="2428">
                  <c:v>32.97</c:v>
                </c:pt>
                <c:pt idx="2429">
                  <c:v>32.76</c:v>
                </c:pt>
                <c:pt idx="2430">
                  <c:v>31.659599999999998</c:v>
                </c:pt>
                <c:pt idx="2431">
                  <c:v>30.87</c:v>
                </c:pt>
                <c:pt idx="2432">
                  <c:v>30.3996</c:v>
                </c:pt>
                <c:pt idx="2433">
                  <c:v>29.504999999999999</c:v>
                </c:pt>
                <c:pt idx="2434">
                  <c:v>27.980399999999999</c:v>
                </c:pt>
                <c:pt idx="2435">
                  <c:v>27.459599999999998</c:v>
                </c:pt>
                <c:pt idx="2436">
                  <c:v>26.774999999999999</c:v>
                </c:pt>
                <c:pt idx="2437">
                  <c:v>26.67</c:v>
                </c:pt>
                <c:pt idx="2438">
                  <c:v>27.404999999999998</c:v>
                </c:pt>
                <c:pt idx="2439">
                  <c:v>27.459599999999998</c:v>
                </c:pt>
                <c:pt idx="2440">
                  <c:v>27.93</c:v>
                </c:pt>
                <c:pt idx="2441">
                  <c:v>28.14</c:v>
                </c:pt>
                <c:pt idx="2442">
                  <c:v>27.720000000000002</c:v>
                </c:pt>
                <c:pt idx="2443">
                  <c:v>26.724599999999999</c:v>
                </c:pt>
                <c:pt idx="2444">
                  <c:v>26.774999999999999</c:v>
                </c:pt>
                <c:pt idx="2445">
                  <c:v>25.41</c:v>
                </c:pt>
                <c:pt idx="2446">
                  <c:v>24.885000000000002</c:v>
                </c:pt>
                <c:pt idx="2447">
                  <c:v>25.305</c:v>
                </c:pt>
                <c:pt idx="2448">
                  <c:v>25.725000000000001</c:v>
                </c:pt>
                <c:pt idx="2449">
                  <c:v>24.204600000000003</c:v>
                </c:pt>
                <c:pt idx="2450">
                  <c:v>25.095000000000002</c:v>
                </c:pt>
                <c:pt idx="2451">
                  <c:v>25.095000000000002</c:v>
                </c:pt>
                <c:pt idx="2452">
                  <c:v>25.83</c:v>
                </c:pt>
                <c:pt idx="2453">
                  <c:v>25.305</c:v>
                </c:pt>
                <c:pt idx="2454">
                  <c:v>24.045000000000002</c:v>
                </c:pt>
                <c:pt idx="2455">
                  <c:v>22.89</c:v>
                </c:pt>
                <c:pt idx="2456">
                  <c:v>21.579600000000003</c:v>
                </c:pt>
                <c:pt idx="2457">
                  <c:v>20.265000000000001</c:v>
                </c:pt>
                <c:pt idx="2458">
                  <c:v>18.795000000000002</c:v>
                </c:pt>
                <c:pt idx="2459">
                  <c:v>20.16</c:v>
                </c:pt>
                <c:pt idx="2460">
                  <c:v>21.104999999999997</c:v>
                </c:pt>
                <c:pt idx="2461">
                  <c:v>20.055</c:v>
                </c:pt>
                <c:pt idx="2462">
                  <c:v>19.479600000000001</c:v>
                </c:pt>
                <c:pt idx="2463">
                  <c:v>19.004999999999999</c:v>
                </c:pt>
                <c:pt idx="2464">
                  <c:v>19.374600000000001</c:v>
                </c:pt>
                <c:pt idx="2465">
                  <c:v>20.214600000000001</c:v>
                </c:pt>
                <c:pt idx="2466">
                  <c:v>19.689600000000002</c:v>
                </c:pt>
                <c:pt idx="2467">
                  <c:v>19.739999999999998</c:v>
                </c:pt>
                <c:pt idx="2468">
                  <c:v>19.8996</c:v>
                </c:pt>
                <c:pt idx="2469">
                  <c:v>21.104999999999997</c:v>
                </c:pt>
                <c:pt idx="2470">
                  <c:v>21.894600000000001</c:v>
                </c:pt>
                <c:pt idx="2471">
                  <c:v>21.579600000000003</c:v>
                </c:pt>
                <c:pt idx="2472">
                  <c:v>21.524999999999999</c:v>
                </c:pt>
                <c:pt idx="2473">
                  <c:v>22.26</c:v>
                </c:pt>
                <c:pt idx="2474">
                  <c:v>21.42</c:v>
                </c:pt>
                <c:pt idx="2475">
                  <c:v>20.37</c:v>
                </c:pt>
                <c:pt idx="2476">
                  <c:v>20.58</c:v>
                </c:pt>
                <c:pt idx="2477">
                  <c:v>19.635000000000002</c:v>
                </c:pt>
                <c:pt idx="2478">
                  <c:v>20.58</c:v>
                </c:pt>
                <c:pt idx="2479">
                  <c:v>20.58</c:v>
                </c:pt>
                <c:pt idx="2480">
                  <c:v>20.58</c:v>
                </c:pt>
                <c:pt idx="2481">
                  <c:v>21.579600000000003</c:v>
                </c:pt>
                <c:pt idx="2482">
                  <c:v>21.314999999999998</c:v>
                </c:pt>
                <c:pt idx="2483">
                  <c:v>23.204999999999998</c:v>
                </c:pt>
                <c:pt idx="2484">
                  <c:v>22.89</c:v>
                </c:pt>
                <c:pt idx="2485">
                  <c:v>22.68</c:v>
                </c:pt>
                <c:pt idx="2486">
                  <c:v>21.42</c:v>
                </c:pt>
                <c:pt idx="2487">
                  <c:v>21.524999999999999</c:v>
                </c:pt>
                <c:pt idx="2488">
                  <c:v>22.05</c:v>
                </c:pt>
                <c:pt idx="2489">
                  <c:v>21.524999999999999</c:v>
                </c:pt>
                <c:pt idx="2490">
                  <c:v>21</c:v>
                </c:pt>
                <c:pt idx="2491">
                  <c:v>20.8446</c:v>
                </c:pt>
                <c:pt idx="2492">
                  <c:v>19.004999999999999</c:v>
                </c:pt>
                <c:pt idx="2493">
                  <c:v>17.535</c:v>
                </c:pt>
                <c:pt idx="2494">
                  <c:v>17.849999999999998</c:v>
                </c:pt>
                <c:pt idx="2495">
                  <c:v>17.324999999999999</c:v>
                </c:pt>
                <c:pt idx="2496">
                  <c:v>18.059999999999999</c:v>
                </c:pt>
                <c:pt idx="2497">
                  <c:v>18.690000000000001</c:v>
                </c:pt>
                <c:pt idx="2498">
                  <c:v>21</c:v>
                </c:pt>
                <c:pt idx="2499">
                  <c:v>22.68</c:v>
                </c:pt>
                <c:pt idx="2500">
                  <c:v>22.68</c:v>
                </c:pt>
                <c:pt idx="2501">
                  <c:v>21.104999999999997</c:v>
                </c:pt>
                <c:pt idx="2502">
                  <c:v>20.79</c:v>
                </c:pt>
                <c:pt idx="2503">
                  <c:v>20.265000000000001</c:v>
                </c:pt>
                <c:pt idx="2504">
                  <c:v>20.58</c:v>
                </c:pt>
                <c:pt idx="2505">
                  <c:v>20.895</c:v>
                </c:pt>
                <c:pt idx="2506">
                  <c:v>20.474999999999998</c:v>
                </c:pt>
                <c:pt idx="2507">
                  <c:v>20.895</c:v>
                </c:pt>
                <c:pt idx="2508">
                  <c:v>19.95</c:v>
                </c:pt>
                <c:pt idx="2509">
                  <c:v>18.795000000000002</c:v>
                </c:pt>
                <c:pt idx="2510">
                  <c:v>18.059999999999999</c:v>
                </c:pt>
                <c:pt idx="2511">
                  <c:v>18.375</c:v>
                </c:pt>
                <c:pt idx="2512">
                  <c:v>18.114599999999999</c:v>
                </c:pt>
                <c:pt idx="2513">
                  <c:v>18.534600000000001</c:v>
                </c:pt>
                <c:pt idx="2514">
                  <c:v>19.53</c:v>
                </c:pt>
                <c:pt idx="2515">
                  <c:v>19.8996</c:v>
                </c:pt>
                <c:pt idx="2516">
                  <c:v>20.79</c:v>
                </c:pt>
                <c:pt idx="2517">
                  <c:v>21.734999999999999</c:v>
                </c:pt>
                <c:pt idx="2518">
                  <c:v>22.154999999999998</c:v>
                </c:pt>
                <c:pt idx="2519">
                  <c:v>21.894600000000001</c:v>
                </c:pt>
                <c:pt idx="2520">
                  <c:v>21.63</c:v>
                </c:pt>
                <c:pt idx="2521">
                  <c:v>21.63</c:v>
                </c:pt>
                <c:pt idx="2522">
                  <c:v>21.524999999999999</c:v>
                </c:pt>
                <c:pt idx="2523">
                  <c:v>22.314599999999999</c:v>
                </c:pt>
                <c:pt idx="2524">
                  <c:v>22.68</c:v>
                </c:pt>
                <c:pt idx="2525">
                  <c:v>22.470000000000002</c:v>
                </c:pt>
                <c:pt idx="2526">
                  <c:v>22.995000000000001</c:v>
                </c:pt>
                <c:pt idx="2527">
                  <c:v>22.26</c:v>
                </c:pt>
                <c:pt idx="2528">
                  <c:v>21.84</c:v>
                </c:pt>
                <c:pt idx="2529">
                  <c:v>21.734999999999999</c:v>
                </c:pt>
                <c:pt idx="2530">
                  <c:v>21.524999999999999</c:v>
                </c:pt>
                <c:pt idx="2531">
                  <c:v>25.41</c:v>
                </c:pt>
                <c:pt idx="2532">
                  <c:v>23.729999999999997</c:v>
                </c:pt>
                <c:pt idx="2533">
                  <c:v>23.310000000000002</c:v>
                </c:pt>
                <c:pt idx="2534">
                  <c:v>24.045000000000002</c:v>
                </c:pt>
                <c:pt idx="2535">
                  <c:v>23.939999999999998</c:v>
                </c:pt>
                <c:pt idx="2536">
                  <c:v>24.15</c:v>
                </c:pt>
                <c:pt idx="2537">
                  <c:v>23.1</c:v>
                </c:pt>
                <c:pt idx="2538">
                  <c:v>23.259600000000002</c:v>
                </c:pt>
                <c:pt idx="2539">
                  <c:v>23.625</c:v>
                </c:pt>
                <c:pt idx="2540">
                  <c:v>23.520000000000003</c:v>
                </c:pt>
                <c:pt idx="2541">
                  <c:v>23.1</c:v>
                </c:pt>
                <c:pt idx="2542">
                  <c:v>23.1</c:v>
                </c:pt>
                <c:pt idx="2543">
                  <c:v>22.68</c:v>
                </c:pt>
                <c:pt idx="2544">
                  <c:v>23.414999999999999</c:v>
                </c:pt>
                <c:pt idx="2545">
                  <c:v>24.36</c:v>
                </c:pt>
                <c:pt idx="2546">
                  <c:v>25.095000000000002</c:v>
                </c:pt>
                <c:pt idx="2547">
                  <c:v>25.62</c:v>
                </c:pt>
                <c:pt idx="2548">
                  <c:v>26.25</c:v>
                </c:pt>
                <c:pt idx="2549">
                  <c:v>26.145000000000003</c:v>
                </c:pt>
                <c:pt idx="2550">
                  <c:v>26.04</c:v>
                </c:pt>
                <c:pt idx="2551">
                  <c:v>25.674600000000002</c:v>
                </c:pt>
                <c:pt idx="2552">
                  <c:v>26.04</c:v>
                </c:pt>
                <c:pt idx="2553">
                  <c:v>26.25</c:v>
                </c:pt>
                <c:pt idx="2554">
                  <c:v>26.304600000000004</c:v>
                </c:pt>
                <c:pt idx="2555">
                  <c:v>26.304600000000004</c:v>
                </c:pt>
                <c:pt idx="2556">
                  <c:v>26.46</c:v>
                </c:pt>
                <c:pt idx="2557">
                  <c:v>26.46</c:v>
                </c:pt>
                <c:pt idx="2558">
                  <c:v>24.99</c:v>
                </c:pt>
                <c:pt idx="2559">
                  <c:v>24.779999999999998</c:v>
                </c:pt>
                <c:pt idx="2560">
                  <c:v>25.2</c:v>
                </c:pt>
                <c:pt idx="2561">
                  <c:v>25.62</c:v>
                </c:pt>
                <c:pt idx="2562">
                  <c:v>26.46</c:v>
                </c:pt>
                <c:pt idx="2563">
                  <c:v>26.774999999999999</c:v>
                </c:pt>
                <c:pt idx="2564">
                  <c:v>27.039599999999997</c:v>
                </c:pt>
                <c:pt idx="2565">
                  <c:v>28.35</c:v>
                </c:pt>
                <c:pt idx="2566">
                  <c:v>28.664999999999999</c:v>
                </c:pt>
                <c:pt idx="2567">
                  <c:v>28.560000000000002</c:v>
                </c:pt>
                <c:pt idx="2568">
                  <c:v>27.824999999999999</c:v>
                </c:pt>
                <c:pt idx="2569">
                  <c:v>28.454999999999998</c:v>
                </c:pt>
                <c:pt idx="2570">
                  <c:v>29.085000000000001</c:v>
                </c:pt>
                <c:pt idx="2571">
                  <c:v>31.5</c:v>
                </c:pt>
                <c:pt idx="2572">
                  <c:v>32.234999999999999</c:v>
                </c:pt>
                <c:pt idx="2573">
                  <c:v>32.76</c:v>
                </c:pt>
                <c:pt idx="2574">
                  <c:v>32.024999999999999</c:v>
                </c:pt>
                <c:pt idx="2575">
                  <c:v>31.185000000000002</c:v>
                </c:pt>
                <c:pt idx="2576">
                  <c:v>30.504599999999996</c:v>
                </c:pt>
                <c:pt idx="2577">
                  <c:v>29.82</c:v>
                </c:pt>
                <c:pt idx="2578">
                  <c:v>30.24</c:v>
                </c:pt>
                <c:pt idx="2579">
                  <c:v>31.395000000000003</c:v>
                </c:pt>
                <c:pt idx="2580">
                  <c:v>31.869599999999998</c:v>
                </c:pt>
                <c:pt idx="2581">
                  <c:v>31.604999999999997</c:v>
                </c:pt>
                <c:pt idx="2582">
                  <c:v>31.5</c:v>
                </c:pt>
                <c:pt idx="2583">
                  <c:v>31.08</c:v>
                </c:pt>
                <c:pt idx="2584">
                  <c:v>31.08</c:v>
                </c:pt>
                <c:pt idx="2585">
                  <c:v>31.08</c:v>
                </c:pt>
                <c:pt idx="2586">
                  <c:v>29.61</c:v>
                </c:pt>
                <c:pt idx="2587">
                  <c:v>28.770000000000003</c:v>
                </c:pt>
                <c:pt idx="2588">
                  <c:v>29.085000000000001</c:v>
                </c:pt>
                <c:pt idx="2589">
                  <c:v>28.664999999999999</c:v>
                </c:pt>
                <c:pt idx="2590">
                  <c:v>28.664999999999999</c:v>
                </c:pt>
                <c:pt idx="2591">
                  <c:v>28.509599999999999</c:v>
                </c:pt>
                <c:pt idx="2592">
                  <c:v>28.454999999999998</c:v>
                </c:pt>
                <c:pt idx="2593">
                  <c:v>29.189999999999998</c:v>
                </c:pt>
                <c:pt idx="2594">
                  <c:v>29.925000000000001</c:v>
                </c:pt>
                <c:pt idx="2595">
                  <c:v>30.294599999999999</c:v>
                </c:pt>
                <c:pt idx="2596">
                  <c:v>30.24</c:v>
                </c:pt>
                <c:pt idx="2597">
                  <c:v>30.029999999999998</c:v>
                </c:pt>
                <c:pt idx="2598">
                  <c:v>29.4</c:v>
                </c:pt>
                <c:pt idx="2599">
                  <c:v>28.770000000000003</c:v>
                </c:pt>
                <c:pt idx="2600">
                  <c:v>28.664999999999999</c:v>
                </c:pt>
                <c:pt idx="2601">
                  <c:v>28.875</c:v>
                </c:pt>
                <c:pt idx="2602">
                  <c:v>28.875</c:v>
                </c:pt>
                <c:pt idx="2603">
                  <c:v>28.875</c:v>
                </c:pt>
                <c:pt idx="2604">
                  <c:v>28.560000000000002</c:v>
                </c:pt>
                <c:pt idx="2605">
                  <c:v>28.770000000000003</c:v>
                </c:pt>
                <c:pt idx="2606">
                  <c:v>28.35</c:v>
                </c:pt>
                <c:pt idx="2607">
                  <c:v>27.720000000000002</c:v>
                </c:pt>
                <c:pt idx="2608">
                  <c:v>27.720000000000002</c:v>
                </c:pt>
                <c:pt idx="2609">
                  <c:v>28.035</c:v>
                </c:pt>
                <c:pt idx="2610">
                  <c:v>29.4</c:v>
                </c:pt>
                <c:pt idx="2611">
                  <c:v>30.24</c:v>
                </c:pt>
                <c:pt idx="2612">
                  <c:v>29.715</c:v>
                </c:pt>
                <c:pt idx="2613">
                  <c:v>29.085000000000001</c:v>
                </c:pt>
                <c:pt idx="2614">
                  <c:v>29.5596</c:v>
                </c:pt>
                <c:pt idx="2615">
                  <c:v>29.715</c:v>
                </c:pt>
                <c:pt idx="2616">
                  <c:v>30.189599999999999</c:v>
                </c:pt>
                <c:pt idx="2617">
                  <c:v>29.82</c:v>
                </c:pt>
                <c:pt idx="2618">
                  <c:v>29.82</c:v>
                </c:pt>
                <c:pt idx="2619">
                  <c:v>27.720000000000002</c:v>
                </c:pt>
                <c:pt idx="2620">
                  <c:v>28.979999999999997</c:v>
                </c:pt>
                <c:pt idx="2621">
                  <c:v>28.979999999999997</c:v>
                </c:pt>
                <c:pt idx="2622">
                  <c:v>30.189599999999999</c:v>
                </c:pt>
                <c:pt idx="2623">
                  <c:v>29.82</c:v>
                </c:pt>
                <c:pt idx="2624">
                  <c:v>31.92</c:v>
                </c:pt>
                <c:pt idx="2625">
                  <c:v>31.814999999999998</c:v>
                </c:pt>
                <c:pt idx="2626">
                  <c:v>32.079599999999999</c:v>
                </c:pt>
                <c:pt idx="2627">
                  <c:v>32.550000000000004</c:v>
                </c:pt>
                <c:pt idx="2628">
                  <c:v>33.18</c:v>
                </c:pt>
                <c:pt idx="2629">
                  <c:v>32.445</c:v>
                </c:pt>
                <c:pt idx="2630">
                  <c:v>30.87</c:v>
                </c:pt>
                <c:pt idx="2631">
                  <c:v>29.085000000000001</c:v>
                </c:pt>
                <c:pt idx="2632">
                  <c:v>29.504999999999999</c:v>
                </c:pt>
                <c:pt idx="2633">
                  <c:v>30.3996</c:v>
                </c:pt>
                <c:pt idx="2634">
                  <c:v>29.085000000000001</c:v>
                </c:pt>
                <c:pt idx="2635">
                  <c:v>26.88</c:v>
                </c:pt>
                <c:pt idx="2636">
                  <c:v>24.57</c:v>
                </c:pt>
                <c:pt idx="2637">
                  <c:v>23.784600000000001</c:v>
                </c:pt>
                <c:pt idx="2638">
                  <c:v>24.99</c:v>
                </c:pt>
                <c:pt idx="2639">
                  <c:v>25.83</c:v>
                </c:pt>
                <c:pt idx="2640">
                  <c:v>26.409600000000001</c:v>
                </c:pt>
                <c:pt idx="2641">
                  <c:v>26.409600000000001</c:v>
                </c:pt>
                <c:pt idx="2642">
                  <c:v>28.35</c:v>
                </c:pt>
                <c:pt idx="2643">
                  <c:v>30.24</c:v>
                </c:pt>
                <c:pt idx="2644">
                  <c:v>30.345000000000002</c:v>
                </c:pt>
                <c:pt idx="2645">
                  <c:v>29.61</c:v>
                </c:pt>
                <c:pt idx="2646">
                  <c:v>26.984999999999999</c:v>
                </c:pt>
                <c:pt idx="2647">
                  <c:v>25.41</c:v>
                </c:pt>
                <c:pt idx="2648">
                  <c:v>24.15</c:v>
                </c:pt>
                <c:pt idx="2649">
                  <c:v>23.154600000000002</c:v>
                </c:pt>
                <c:pt idx="2650">
                  <c:v>22.944600000000001</c:v>
                </c:pt>
                <c:pt idx="2651">
                  <c:v>22.89</c:v>
                </c:pt>
                <c:pt idx="2652">
                  <c:v>22.154999999999998</c:v>
                </c:pt>
                <c:pt idx="2653">
                  <c:v>21.63</c:v>
                </c:pt>
                <c:pt idx="2654">
                  <c:v>21.264599999999998</c:v>
                </c:pt>
                <c:pt idx="2655">
                  <c:v>19.689600000000002</c:v>
                </c:pt>
                <c:pt idx="2656">
                  <c:v>16.484999999999999</c:v>
                </c:pt>
                <c:pt idx="2657">
                  <c:v>15.645</c:v>
                </c:pt>
                <c:pt idx="2658">
                  <c:v>15.1746</c:v>
                </c:pt>
                <c:pt idx="2659">
                  <c:v>15.225</c:v>
                </c:pt>
                <c:pt idx="2660">
                  <c:v>16.695</c:v>
                </c:pt>
                <c:pt idx="2661">
                  <c:v>14.805</c:v>
                </c:pt>
                <c:pt idx="2662">
                  <c:v>12.81</c:v>
                </c:pt>
                <c:pt idx="2663">
                  <c:v>11.34</c:v>
                </c:pt>
                <c:pt idx="2664">
                  <c:v>11.34</c:v>
                </c:pt>
                <c:pt idx="2665">
                  <c:v>11.34</c:v>
                </c:pt>
                <c:pt idx="2666">
                  <c:v>11.34</c:v>
                </c:pt>
                <c:pt idx="2667">
                  <c:v>11.34</c:v>
                </c:pt>
                <c:pt idx="2668">
                  <c:v>11.34</c:v>
                </c:pt>
                <c:pt idx="2669">
                  <c:v>11.34</c:v>
                </c:pt>
                <c:pt idx="2670">
                  <c:v>11.34</c:v>
                </c:pt>
                <c:pt idx="2671">
                  <c:v>11.34</c:v>
                </c:pt>
                <c:pt idx="2672">
                  <c:v>11.34</c:v>
                </c:pt>
              </c:numCache>
            </c:numRef>
          </c:val>
          <c:smooth val="0"/>
          <c:extLst>
            <c:ext xmlns:c16="http://schemas.microsoft.com/office/drawing/2014/chart" uri="{C3380CC4-5D6E-409C-BE32-E72D297353CC}">
              <c16:uniqueId val="{00000000-8DFF-44E9-A25A-5B92FB99447E}"/>
            </c:ext>
          </c:extLst>
        </c:ser>
        <c:ser>
          <c:idx val="1"/>
          <c:order val="1"/>
          <c:tx>
            <c:strRef>
              <c:f>Hoja1!$C$1</c:f>
              <c:strCache>
                <c:ptCount val="1"/>
                <c:pt idx="0">
                  <c:v>C3 - Propano</c:v>
                </c:pt>
              </c:strCache>
            </c:strRef>
          </c:tx>
          <c:spPr>
            <a:ln w="28575" cap="rnd">
              <a:solidFill>
                <a:schemeClr val="accent3">
                  <a:lumMod val="75000"/>
                </a:schemeClr>
              </a:solidFill>
              <a:round/>
            </a:ln>
            <a:effectLst/>
          </c:spPr>
          <c:marker>
            <c:symbol val="none"/>
          </c:marker>
          <c:cat>
            <c:numRef>
              <c:f>Hoja1!$A$2:$A$2674</c:f>
              <c:numCache>
                <c:formatCode>dd\-mmm\-yyyy</c:formatCode>
                <c:ptCount val="2673"/>
                <c:pt idx="0">
                  <c:v>40179</c:v>
                </c:pt>
                <c:pt idx="1">
                  <c:v>40182</c:v>
                </c:pt>
                <c:pt idx="2">
                  <c:v>40183</c:v>
                </c:pt>
                <c:pt idx="3">
                  <c:v>40184</c:v>
                </c:pt>
                <c:pt idx="4">
                  <c:v>40185</c:v>
                </c:pt>
                <c:pt idx="5">
                  <c:v>40186</c:v>
                </c:pt>
                <c:pt idx="6">
                  <c:v>40189</c:v>
                </c:pt>
                <c:pt idx="7">
                  <c:v>40190</c:v>
                </c:pt>
                <c:pt idx="8">
                  <c:v>40191</c:v>
                </c:pt>
                <c:pt idx="9">
                  <c:v>40192</c:v>
                </c:pt>
                <c:pt idx="10">
                  <c:v>40193</c:v>
                </c:pt>
                <c:pt idx="11">
                  <c:v>40196</c:v>
                </c:pt>
                <c:pt idx="12">
                  <c:v>40197</c:v>
                </c:pt>
                <c:pt idx="13">
                  <c:v>40198</c:v>
                </c:pt>
                <c:pt idx="14">
                  <c:v>40199</c:v>
                </c:pt>
                <c:pt idx="15">
                  <c:v>40200</c:v>
                </c:pt>
                <c:pt idx="16">
                  <c:v>40203</c:v>
                </c:pt>
                <c:pt idx="17">
                  <c:v>40204</c:v>
                </c:pt>
                <c:pt idx="18">
                  <c:v>40205</c:v>
                </c:pt>
                <c:pt idx="19">
                  <c:v>40206</c:v>
                </c:pt>
                <c:pt idx="20">
                  <c:v>40207</c:v>
                </c:pt>
                <c:pt idx="21">
                  <c:v>40210</c:v>
                </c:pt>
                <c:pt idx="22">
                  <c:v>40211</c:v>
                </c:pt>
                <c:pt idx="23">
                  <c:v>40212</c:v>
                </c:pt>
                <c:pt idx="24">
                  <c:v>40213</c:v>
                </c:pt>
                <c:pt idx="25">
                  <c:v>40214</c:v>
                </c:pt>
                <c:pt idx="26">
                  <c:v>40217</c:v>
                </c:pt>
                <c:pt idx="27">
                  <c:v>40218</c:v>
                </c:pt>
                <c:pt idx="28">
                  <c:v>40219</c:v>
                </c:pt>
                <c:pt idx="29">
                  <c:v>40220</c:v>
                </c:pt>
                <c:pt idx="30">
                  <c:v>40221</c:v>
                </c:pt>
                <c:pt idx="31">
                  <c:v>40224</c:v>
                </c:pt>
                <c:pt idx="32">
                  <c:v>40225</c:v>
                </c:pt>
                <c:pt idx="33">
                  <c:v>40226</c:v>
                </c:pt>
                <c:pt idx="34">
                  <c:v>40227</c:v>
                </c:pt>
                <c:pt idx="35">
                  <c:v>40228</c:v>
                </c:pt>
                <c:pt idx="36">
                  <c:v>40231</c:v>
                </c:pt>
                <c:pt idx="37">
                  <c:v>40232</c:v>
                </c:pt>
                <c:pt idx="38">
                  <c:v>40233</c:v>
                </c:pt>
                <c:pt idx="39">
                  <c:v>40234</c:v>
                </c:pt>
                <c:pt idx="40">
                  <c:v>40235</c:v>
                </c:pt>
                <c:pt idx="41">
                  <c:v>40238</c:v>
                </c:pt>
                <c:pt idx="42">
                  <c:v>40239</c:v>
                </c:pt>
                <c:pt idx="43">
                  <c:v>40240</c:v>
                </c:pt>
                <c:pt idx="44">
                  <c:v>40241</c:v>
                </c:pt>
                <c:pt idx="45">
                  <c:v>40242</c:v>
                </c:pt>
                <c:pt idx="46">
                  <c:v>40245</c:v>
                </c:pt>
                <c:pt idx="47">
                  <c:v>40246</c:v>
                </c:pt>
                <c:pt idx="48">
                  <c:v>40247</c:v>
                </c:pt>
                <c:pt idx="49">
                  <c:v>40248</c:v>
                </c:pt>
                <c:pt idx="50">
                  <c:v>40249</c:v>
                </c:pt>
                <c:pt idx="51">
                  <c:v>40252</c:v>
                </c:pt>
                <c:pt idx="52">
                  <c:v>40253</c:v>
                </c:pt>
                <c:pt idx="53">
                  <c:v>40254</c:v>
                </c:pt>
                <c:pt idx="54">
                  <c:v>40255</c:v>
                </c:pt>
                <c:pt idx="55">
                  <c:v>40256</c:v>
                </c:pt>
                <c:pt idx="56">
                  <c:v>40259</c:v>
                </c:pt>
                <c:pt idx="57">
                  <c:v>40260</c:v>
                </c:pt>
                <c:pt idx="58">
                  <c:v>40261</c:v>
                </c:pt>
                <c:pt idx="59">
                  <c:v>40262</c:v>
                </c:pt>
                <c:pt idx="60">
                  <c:v>40263</c:v>
                </c:pt>
                <c:pt idx="61">
                  <c:v>40266</c:v>
                </c:pt>
                <c:pt idx="62">
                  <c:v>40267</c:v>
                </c:pt>
                <c:pt idx="63">
                  <c:v>40268</c:v>
                </c:pt>
                <c:pt idx="64">
                  <c:v>40269</c:v>
                </c:pt>
                <c:pt idx="65">
                  <c:v>40270</c:v>
                </c:pt>
                <c:pt idx="66">
                  <c:v>40273</c:v>
                </c:pt>
                <c:pt idx="67">
                  <c:v>40274</c:v>
                </c:pt>
                <c:pt idx="68">
                  <c:v>40275</c:v>
                </c:pt>
                <c:pt idx="69">
                  <c:v>40276</c:v>
                </c:pt>
                <c:pt idx="70">
                  <c:v>40277</c:v>
                </c:pt>
                <c:pt idx="71">
                  <c:v>40280</c:v>
                </c:pt>
                <c:pt idx="72">
                  <c:v>40281</c:v>
                </c:pt>
                <c:pt idx="73">
                  <c:v>40282</c:v>
                </c:pt>
                <c:pt idx="74">
                  <c:v>40283</c:v>
                </c:pt>
                <c:pt idx="75">
                  <c:v>40284</c:v>
                </c:pt>
                <c:pt idx="76">
                  <c:v>40287</c:v>
                </c:pt>
                <c:pt idx="77">
                  <c:v>40288</c:v>
                </c:pt>
                <c:pt idx="78">
                  <c:v>40289</c:v>
                </c:pt>
                <c:pt idx="79">
                  <c:v>40290</c:v>
                </c:pt>
                <c:pt idx="80">
                  <c:v>40291</c:v>
                </c:pt>
                <c:pt idx="81">
                  <c:v>40294</c:v>
                </c:pt>
                <c:pt idx="82">
                  <c:v>40295</c:v>
                </c:pt>
                <c:pt idx="83">
                  <c:v>40296</c:v>
                </c:pt>
                <c:pt idx="84">
                  <c:v>40297</c:v>
                </c:pt>
                <c:pt idx="85">
                  <c:v>40298</c:v>
                </c:pt>
                <c:pt idx="86">
                  <c:v>40301</c:v>
                </c:pt>
                <c:pt idx="87">
                  <c:v>40302</c:v>
                </c:pt>
                <c:pt idx="88">
                  <c:v>40303</c:v>
                </c:pt>
                <c:pt idx="89">
                  <c:v>40304</c:v>
                </c:pt>
                <c:pt idx="90">
                  <c:v>40305</c:v>
                </c:pt>
                <c:pt idx="91">
                  <c:v>40308</c:v>
                </c:pt>
                <c:pt idx="92">
                  <c:v>40309</c:v>
                </c:pt>
                <c:pt idx="93">
                  <c:v>40310</c:v>
                </c:pt>
                <c:pt idx="94">
                  <c:v>40311</c:v>
                </c:pt>
                <c:pt idx="95">
                  <c:v>40312</c:v>
                </c:pt>
                <c:pt idx="96">
                  <c:v>40315</c:v>
                </c:pt>
                <c:pt idx="97">
                  <c:v>40316</c:v>
                </c:pt>
                <c:pt idx="98">
                  <c:v>40317</c:v>
                </c:pt>
                <c:pt idx="99">
                  <c:v>40318</c:v>
                </c:pt>
                <c:pt idx="100">
                  <c:v>40319</c:v>
                </c:pt>
                <c:pt idx="101">
                  <c:v>40322</c:v>
                </c:pt>
                <c:pt idx="102">
                  <c:v>40323</c:v>
                </c:pt>
                <c:pt idx="103">
                  <c:v>40324</c:v>
                </c:pt>
                <c:pt idx="104">
                  <c:v>40325</c:v>
                </c:pt>
                <c:pt idx="105">
                  <c:v>40326</c:v>
                </c:pt>
                <c:pt idx="106">
                  <c:v>40329</c:v>
                </c:pt>
                <c:pt idx="107">
                  <c:v>40330</c:v>
                </c:pt>
                <c:pt idx="108">
                  <c:v>40331</c:v>
                </c:pt>
                <c:pt idx="109">
                  <c:v>40332</c:v>
                </c:pt>
                <c:pt idx="110">
                  <c:v>40333</c:v>
                </c:pt>
                <c:pt idx="111">
                  <c:v>40336</c:v>
                </c:pt>
                <c:pt idx="112">
                  <c:v>40337</c:v>
                </c:pt>
                <c:pt idx="113">
                  <c:v>40338</c:v>
                </c:pt>
                <c:pt idx="114">
                  <c:v>40339</c:v>
                </c:pt>
                <c:pt idx="115">
                  <c:v>40340</c:v>
                </c:pt>
                <c:pt idx="116">
                  <c:v>40343</c:v>
                </c:pt>
                <c:pt idx="117">
                  <c:v>40344</c:v>
                </c:pt>
                <c:pt idx="118">
                  <c:v>40345</c:v>
                </c:pt>
                <c:pt idx="119">
                  <c:v>40346</c:v>
                </c:pt>
                <c:pt idx="120">
                  <c:v>40347</c:v>
                </c:pt>
                <c:pt idx="121">
                  <c:v>40350</c:v>
                </c:pt>
                <c:pt idx="122">
                  <c:v>40351</c:v>
                </c:pt>
                <c:pt idx="123">
                  <c:v>40352</c:v>
                </c:pt>
                <c:pt idx="124">
                  <c:v>40353</c:v>
                </c:pt>
                <c:pt idx="125">
                  <c:v>40354</c:v>
                </c:pt>
                <c:pt idx="126">
                  <c:v>40357</c:v>
                </c:pt>
                <c:pt idx="127">
                  <c:v>40358</c:v>
                </c:pt>
                <c:pt idx="128">
                  <c:v>40359</c:v>
                </c:pt>
                <c:pt idx="129">
                  <c:v>40360</c:v>
                </c:pt>
                <c:pt idx="130">
                  <c:v>40361</c:v>
                </c:pt>
                <c:pt idx="131">
                  <c:v>40364</c:v>
                </c:pt>
                <c:pt idx="132">
                  <c:v>40365</c:v>
                </c:pt>
                <c:pt idx="133">
                  <c:v>40366</c:v>
                </c:pt>
                <c:pt idx="134">
                  <c:v>40367</c:v>
                </c:pt>
                <c:pt idx="135">
                  <c:v>40368</c:v>
                </c:pt>
                <c:pt idx="136">
                  <c:v>40371</c:v>
                </c:pt>
                <c:pt idx="137">
                  <c:v>40372</c:v>
                </c:pt>
                <c:pt idx="138">
                  <c:v>40373</c:v>
                </c:pt>
                <c:pt idx="139">
                  <c:v>40374</c:v>
                </c:pt>
                <c:pt idx="140">
                  <c:v>40375</c:v>
                </c:pt>
                <c:pt idx="141">
                  <c:v>40378</c:v>
                </c:pt>
                <c:pt idx="142">
                  <c:v>40379</c:v>
                </c:pt>
                <c:pt idx="143">
                  <c:v>40380</c:v>
                </c:pt>
                <c:pt idx="144">
                  <c:v>40381</c:v>
                </c:pt>
                <c:pt idx="145">
                  <c:v>40382</c:v>
                </c:pt>
                <c:pt idx="146">
                  <c:v>40385</c:v>
                </c:pt>
                <c:pt idx="147">
                  <c:v>40386</c:v>
                </c:pt>
                <c:pt idx="148">
                  <c:v>40387</c:v>
                </c:pt>
                <c:pt idx="149">
                  <c:v>40388</c:v>
                </c:pt>
                <c:pt idx="150">
                  <c:v>40389</c:v>
                </c:pt>
                <c:pt idx="151">
                  <c:v>40392</c:v>
                </c:pt>
                <c:pt idx="152">
                  <c:v>40393</c:v>
                </c:pt>
                <c:pt idx="153">
                  <c:v>40394</c:v>
                </c:pt>
                <c:pt idx="154">
                  <c:v>40395</c:v>
                </c:pt>
                <c:pt idx="155">
                  <c:v>40396</c:v>
                </c:pt>
                <c:pt idx="156">
                  <c:v>40399</c:v>
                </c:pt>
                <c:pt idx="157">
                  <c:v>40400</c:v>
                </c:pt>
                <c:pt idx="158">
                  <c:v>40401</c:v>
                </c:pt>
                <c:pt idx="159">
                  <c:v>40402</c:v>
                </c:pt>
                <c:pt idx="160">
                  <c:v>40403</c:v>
                </c:pt>
                <c:pt idx="161">
                  <c:v>40406</c:v>
                </c:pt>
                <c:pt idx="162">
                  <c:v>40407</c:v>
                </c:pt>
                <c:pt idx="163">
                  <c:v>40408</c:v>
                </c:pt>
                <c:pt idx="164">
                  <c:v>40409</c:v>
                </c:pt>
                <c:pt idx="165">
                  <c:v>40410</c:v>
                </c:pt>
                <c:pt idx="166">
                  <c:v>40413</c:v>
                </c:pt>
                <c:pt idx="167">
                  <c:v>40414</c:v>
                </c:pt>
                <c:pt idx="168">
                  <c:v>40415</c:v>
                </c:pt>
                <c:pt idx="169">
                  <c:v>40416</c:v>
                </c:pt>
                <c:pt idx="170">
                  <c:v>40417</c:v>
                </c:pt>
                <c:pt idx="171">
                  <c:v>40420</c:v>
                </c:pt>
                <c:pt idx="172">
                  <c:v>40421</c:v>
                </c:pt>
                <c:pt idx="173">
                  <c:v>40422</c:v>
                </c:pt>
                <c:pt idx="174">
                  <c:v>40423</c:v>
                </c:pt>
                <c:pt idx="175">
                  <c:v>40424</c:v>
                </c:pt>
                <c:pt idx="176">
                  <c:v>40427</c:v>
                </c:pt>
                <c:pt idx="177">
                  <c:v>40428</c:v>
                </c:pt>
                <c:pt idx="178">
                  <c:v>40429</c:v>
                </c:pt>
                <c:pt idx="179">
                  <c:v>40430</c:v>
                </c:pt>
                <c:pt idx="180">
                  <c:v>40431</c:v>
                </c:pt>
                <c:pt idx="181">
                  <c:v>40434</c:v>
                </c:pt>
                <c:pt idx="182">
                  <c:v>40435</c:v>
                </c:pt>
                <c:pt idx="183">
                  <c:v>40436</c:v>
                </c:pt>
                <c:pt idx="184">
                  <c:v>40437</c:v>
                </c:pt>
                <c:pt idx="185">
                  <c:v>40438</c:v>
                </c:pt>
                <c:pt idx="186">
                  <c:v>40441</c:v>
                </c:pt>
                <c:pt idx="187">
                  <c:v>40442</c:v>
                </c:pt>
                <c:pt idx="188">
                  <c:v>40443</c:v>
                </c:pt>
                <c:pt idx="189">
                  <c:v>40444</c:v>
                </c:pt>
                <c:pt idx="190">
                  <c:v>40445</c:v>
                </c:pt>
                <c:pt idx="191">
                  <c:v>40448</c:v>
                </c:pt>
                <c:pt idx="192">
                  <c:v>40449</c:v>
                </c:pt>
                <c:pt idx="193">
                  <c:v>40450</c:v>
                </c:pt>
                <c:pt idx="194">
                  <c:v>40451</c:v>
                </c:pt>
                <c:pt idx="195">
                  <c:v>40452</c:v>
                </c:pt>
                <c:pt idx="196">
                  <c:v>40455</c:v>
                </c:pt>
                <c:pt idx="197">
                  <c:v>40456</c:v>
                </c:pt>
                <c:pt idx="198">
                  <c:v>40457</c:v>
                </c:pt>
                <c:pt idx="199">
                  <c:v>40458</c:v>
                </c:pt>
                <c:pt idx="200">
                  <c:v>40459</c:v>
                </c:pt>
                <c:pt idx="201">
                  <c:v>40462</c:v>
                </c:pt>
                <c:pt idx="202">
                  <c:v>40463</c:v>
                </c:pt>
                <c:pt idx="203">
                  <c:v>40464</c:v>
                </c:pt>
                <c:pt idx="204">
                  <c:v>40465</c:v>
                </c:pt>
                <c:pt idx="205">
                  <c:v>40466</c:v>
                </c:pt>
                <c:pt idx="206">
                  <c:v>40469</c:v>
                </c:pt>
                <c:pt idx="207">
                  <c:v>40470</c:v>
                </c:pt>
                <c:pt idx="208">
                  <c:v>40471</c:v>
                </c:pt>
                <c:pt idx="209">
                  <c:v>40472</c:v>
                </c:pt>
                <c:pt idx="210">
                  <c:v>40473</c:v>
                </c:pt>
                <c:pt idx="211">
                  <c:v>40476</c:v>
                </c:pt>
                <c:pt idx="212">
                  <c:v>40477</c:v>
                </c:pt>
                <c:pt idx="213">
                  <c:v>40478</c:v>
                </c:pt>
                <c:pt idx="214">
                  <c:v>40479</c:v>
                </c:pt>
                <c:pt idx="215">
                  <c:v>40480</c:v>
                </c:pt>
                <c:pt idx="216">
                  <c:v>40483</c:v>
                </c:pt>
                <c:pt idx="217">
                  <c:v>40484</c:v>
                </c:pt>
                <c:pt idx="218">
                  <c:v>40485</c:v>
                </c:pt>
                <c:pt idx="219">
                  <c:v>40486</c:v>
                </c:pt>
                <c:pt idx="220">
                  <c:v>40487</c:v>
                </c:pt>
                <c:pt idx="221">
                  <c:v>40490</c:v>
                </c:pt>
                <c:pt idx="222">
                  <c:v>40491</c:v>
                </c:pt>
                <c:pt idx="223">
                  <c:v>40492</c:v>
                </c:pt>
                <c:pt idx="224">
                  <c:v>40493</c:v>
                </c:pt>
                <c:pt idx="225">
                  <c:v>40494</c:v>
                </c:pt>
                <c:pt idx="226">
                  <c:v>40497</c:v>
                </c:pt>
                <c:pt idx="227">
                  <c:v>40498</c:v>
                </c:pt>
                <c:pt idx="228">
                  <c:v>40499</c:v>
                </c:pt>
                <c:pt idx="229">
                  <c:v>40500</c:v>
                </c:pt>
                <c:pt idx="230">
                  <c:v>40501</c:v>
                </c:pt>
                <c:pt idx="231">
                  <c:v>40504</c:v>
                </c:pt>
                <c:pt idx="232">
                  <c:v>40505</c:v>
                </c:pt>
                <c:pt idx="233">
                  <c:v>40506</c:v>
                </c:pt>
                <c:pt idx="234">
                  <c:v>40507</c:v>
                </c:pt>
                <c:pt idx="235">
                  <c:v>40508</c:v>
                </c:pt>
                <c:pt idx="236">
                  <c:v>40511</c:v>
                </c:pt>
                <c:pt idx="237">
                  <c:v>40512</c:v>
                </c:pt>
                <c:pt idx="238">
                  <c:v>40513</c:v>
                </c:pt>
                <c:pt idx="239">
                  <c:v>40514</c:v>
                </c:pt>
                <c:pt idx="240">
                  <c:v>40515</c:v>
                </c:pt>
                <c:pt idx="241">
                  <c:v>40518</c:v>
                </c:pt>
                <c:pt idx="242">
                  <c:v>40519</c:v>
                </c:pt>
                <c:pt idx="243">
                  <c:v>40520</c:v>
                </c:pt>
                <c:pt idx="244">
                  <c:v>40521</c:v>
                </c:pt>
                <c:pt idx="245">
                  <c:v>40522</c:v>
                </c:pt>
                <c:pt idx="246">
                  <c:v>40525</c:v>
                </c:pt>
                <c:pt idx="247">
                  <c:v>40526</c:v>
                </c:pt>
                <c:pt idx="248">
                  <c:v>40527</c:v>
                </c:pt>
                <c:pt idx="249">
                  <c:v>40528</c:v>
                </c:pt>
                <c:pt idx="250">
                  <c:v>40529</c:v>
                </c:pt>
                <c:pt idx="251">
                  <c:v>40532</c:v>
                </c:pt>
                <c:pt idx="252">
                  <c:v>40533</c:v>
                </c:pt>
                <c:pt idx="253">
                  <c:v>40534</c:v>
                </c:pt>
                <c:pt idx="254">
                  <c:v>40535</c:v>
                </c:pt>
                <c:pt idx="255">
                  <c:v>40536</c:v>
                </c:pt>
                <c:pt idx="256">
                  <c:v>40539</c:v>
                </c:pt>
                <c:pt idx="257">
                  <c:v>40540</c:v>
                </c:pt>
                <c:pt idx="258">
                  <c:v>40541</c:v>
                </c:pt>
                <c:pt idx="259">
                  <c:v>40542</c:v>
                </c:pt>
                <c:pt idx="260">
                  <c:v>40543</c:v>
                </c:pt>
                <c:pt idx="261">
                  <c:v>40546</c:v>
                </c:pt>
                <c:pt idx="262">
                  <c:v>40547</c:v>
                </c:pt>
                <c:pt idx="263">
                  <c:v>40548</c:v>
                </c:pt>
                <c:pt idx="264">
                  <c:v>40549</c:v>
                </c:pt>
                <c:pt idx="265">
                  <c:v>40550</c:v>
                </c:pt>
                <c:pt idx="266">
                  <c:v>40553</c:v>
                </c:pt>
                <c:pt idx="267">
                  <c:v>40554</c:v>
                </c:pt>
                <c:pt idx="268">
                  <c:v>40555</c:v>
                </c:pt>
                <c:pt idx="269">
                  <c:v>40556</c:v>
                </c:pt>
                <c:pt idx="270">
                  <c:v>40557</c:v>
                </c:pt>
                <c:pt idx="271">
                  <c:v>40560</c:v>
                </c:pt>
                <c:pt idx="272">
                  <c:v>40561</c:v>
                </c:pt>
                <c:pt idx="273">
                  <c:v>40562</c:v>
                </c:pt>
                <c:pt idx="274">
                  <c:v>40563</c:v>
                </c:pt>
                <c:pt idx="275">
                  <c:v>40564</c:v>
                </c:pt>
                <c:pt idx="276">
                  <c:v>40567</c:v>
                </c:pt>
                <c:pt idx="277">
                  <c:v>40568</c:v>
                </c:pt>
                <c:pt idx="278">
                  <c:v>40569</c:v>
                </c:pt>
                <c:pt idx="279">
                  <c:v>40570</c:v>
                </c:pt>
                <c:pt idx="280">
                  <c:v>40571</c:v>
                </c:pt>
                <c:pt idx="281">
                  <c:v>40574</c:v>
                </c:pt>
                <c:pt idx="282">
                  <c:v>40575</c:v>
                </c:pt>
                <c:pt idx="283">
                  <c:v>40576</c:v>
                </c:pt>
                <c:pt idx="284">
                  <c:v>40577</c:v>
                </c:pt>
                <c:pt idx="285">
                  <c:v>40578</c:v>
                </c:pt>
                <c:pt idx="286">
                  <c:v>40581</c:v>
                </c:pt>
                <c:pt idx="287">
                  <c:v>40582</c:v>
                </c:pt>
                <c:pt idx="288">
                  <c:v>40583</c:v>
                </c:pt>
                <c:pt idx="289">
                  <c:v>40584</c:v>
                </c:pt>
                <c:pt idx="290">
                  <c:v>40585</c:v>
                </c:pt>
                <c:pt idx="291">
                  <c:v>40588</c:v>
                </c:pt>
                <c:pt idx="292">
                  <c:v>40589</c:v>
                </c:pt>
                <c:pt idx="293">
                  <c:v>40590</c:v>
                </c:pt>
                <c:pt idx="294">
                  <c:v>40591</c:v>
                </c:pt>
                <c:pt idx="295">
                  <c:v>40592</c:v>
                </c:pt>
                <c:pt idx="296">
                  <c:v>40595</c:v>
                </c:pt>
                <c:pt idx="297">
                  <c:v>40596</c:v>
                </c:pt>
                <c:pt idx="298">
                  <c:v>40597</c:v>
                </c:pt>
                <c:pt idx="299">
                  <c:v>40598</c:v>
                </c:pt>
                <c:pt idx="300">
                  <c:v>40599</c:v>
                </c:pt>
                <c:pt idx="301">
                  <c:v>40602</c:v>
                </c:pt>
                <c:pt idx="302">
                  <c:v>40603</c:v>
                </c:pt>
                <c:pt idx="303">
                  <c:v>40604</c:v>
                </c:pt>
                <c:pt idx="304">
                  <c:v>40605</c:v>
                </c:pt>
                <c:pt idx="305">
                  <c:v>40606</c:v>
                </c:pt>
                <c:pt idx="306">
                  <c:v>40609</c:v>
                </c:pt>
                <c:pt idx="307">
                  <c:v>40610</c:v>
                </c:pt>
                <c:pt idx="308">
                  <c:v>40611</c:v>
                </c:pt>
                <c:pt idx="309">
                  <c:v>40612</c:v>
                </c:pt>
                <c:pt idx="310">
                  <c:v>40613</c:v>
                </c:pt>
                <c:pt idx="311">
                  <c:v>40616</c:v>
                </c:pt>
                <c:pt idx="312">
                  <c:v>40617</c:v>
                </c:pt>
                <c:pt idx="313">
                  <c:v>40618</c:v>
                </c:pt>
                <c:pt idx="314">
                  <c:v>40619</c:v>
                </c:pt>
                <c:pt idx="315">
                  <c:v>40620</c:v>
                </c:pt>
                <c:pt idx="316">
                  <c:v>40623</c:v>
                </c:pt>
                <c:pt idx="317">
                  <c:v>40624</c:v>
                </c:pt>
                <c:pt idx="318">
                  <c:v>40625</c:v>
                </c:pt>
                <c:pt idx="319">
                  <c:v>40626</c:v>
                </c:pt>
                <c:pt idx="320">
                  <c:v>40627</c:v>
                </c:pt>
                <c:pt idx="321">
                  <c:v>40630</c:v>
                </c:pt>
                <c:pt idx="322">
                  <c:v>40631</c:v>
                </c:pt>
                <c:pt idx="323">
                  <c:v>40632</c:v>
                </c:pt>
                <c:pt idx="324">
                  <c:v>40633</c:v>
                </c:pt>
                <c:pt idx="325">
                  <c:v>40634</c:v>
                </c:pt>
                <c:pt idx="326">
                  <c:v>40637</c:v>
                </c:pt>
                <c:pt idx="327">
                  <c:v>40638</c:v>
                </c:pt>
                <c:pt idx="328">
                  <c:v>40639</c:v>
                </c:pt>
                <c:pt idx="329">
                  <c:v>40640</c:v>
                </c:pt>
                <c:pt idx="330">
                  <c:v>40641</c:v>
                </c:pt>
                <c:pt idx="331">
                  <c:v>40644</c:v>
                </c:pt>
                <c:pt idx="332">
                  <c:v>40645</c:v>
                </c:pt>
                <c:pt idx="333">
                  <c:v>40646</c:v>
                </c:pt>
                <c:pt idx="334">
                  <c:v>40647</c:v>
                </c:pt>
                <c:pt idx="335">
                  <c:v>40648</c:v>
                </c:pt>
                <c:pt idx="336">
                  <c:v>40651</c:v>
                </c:pt>
                <c:pt idx="337">
                  <c:v>40652</c:v>
                </c:pt>
                <c:pt idx="338">
                  <c:v>40653</c:v>
                </c:pt>
                <c:pt idx="339">
                  <c:v>40654</c:v>
                </c:pt>
                <c:pt idx="340">
                  <c:v>40655</c:v>
                </c:pt>
                <c:pt idx="341">
                  <c:v>40658</c:v>
                </c:pt>
                <c:pt idx="342">
                  <c:v>40659</c:v>
                </c:pt>
                <c:pt idx="343">
                  <c:v>40660</c:v>
                </c:pt>
                <c:pt idx="344">
                  <c:v>40661</c:v>
                </c:pt>
                <c:pt idx="345">
                  <c:v>40662</c:v>
                </c:pt>
                <c:pt idx="346">
                  <c:v>40665</c:v>
                </c:pt>
                <c:pt idx="347">
                  <c:v>40666</c:v>
                </c:pt>
                <c:pt idx="348">
                  <c:v>40667</c:v>
                </c:pt>
                <c:pt idx="349">
                  <c:v>40668</c:v>
                </c:pt>
                <c:pt idx="350">
                  <c:v>40669</c:v>
                </c:pt>
                <c:pt idx="351">
                  <c:v>40672</c:v>
                </c:pt>
                <c:pt idx="352">
                  <c:v>40673</c:v>
                </c:pt>
                <c:pt idx="353">
                  <c:v>40674</c:v>
                </c:pt>
                <c:pt idx="354">
                  <c:v>40675</c:v>
                </c:pt>
                <c:pt idx="355">
                  <c:v>40676</c:v>
                </c:pt>
                <c:pt idx="356">
                  <c:v>40679</c:v>
                </c:pt>
                <c:pt idx="357">
                  <c:v>40680</c:v>
                </c:pt>
                <c:pt idx="358">
                  <c:v>40681</c:v>
                </c:pt>
                <c:pt idx="359">
                  <c:v>40682</c:v>
                </c:pt>
                <c:pt idx="360">
                  <c:v>40683</c:v>
                </c:pt>
                <c:pt idx="361">
                  <c:v>40686</c:v>
                </c:pt>
                <c:pt idx="362">
                  <c:v>40687</c:v>
                </c:pt>
                <c:pt idx="363">
                  <c:v>40688</c:v>
                </c:pt>
                <c:pt idx="364">
                  <c:v>40689</c:v>
                </c:pt>
                <c:pt idx="365">
                  <c:v>40690</c:v>
                </c:pt>
                <c:pt idx="366">
                  <c:v>40693</c:v>
                </c:pt>
                <c:pt idx="367">
                  <c:v>40694</c:v>
                </c:pt>
                <c:pt idx="368">
                  <c:v>40695</c:v>
                </c:pt>
                <c:pt idx="369">
                  <c:v>40696</c:v>
                </c:pt>
                <c:pt idx="370">
                  <c:v>40697</c:v>
                </c:pt>
                <c:pt idx="371">
                  <c:v>40700</c:v>
                </c:pt>
                <c:pt idx="372">
                  <c:v>40701</c:v>
                </c:pt>
                <c:pt idx="373">
                  <c:v>40702</c:v>
                </c:pt>
                <c:pt idx="374">
                  <c:v>40703</c:v>
                </c:pt>
                <c:pt idx="375">
                  <c:v>40704</c:v>
                </c:pt>
                <c:pt idx="376">
                  <c:v>40707</c:v>
                </c:pt>
                <c:pt idx="377">
                  <c:v>40708</c:v>
                </c:pt>
                <c:pt idx="378">
                  <c:v>40709</c:v>
                </c:pt>
                <c:pt idx="379">
                  <c:v>40710</c:v>
                </c:pt>
                <c:pt idx="380">
                  <c:v>40711</c:v>
                </c:pt>
                <c:pt idx="381">
                  <c:v>40714</c:v>
                </c:pt>
                <c:pt idx="382">
                  <c:v>40715</c:v>
                </c:pt>
                <c:pt idx="383">
                  <c:v>40716</c:v>
                </c:pt>
                <c:pt idx="384">
                  <c:v>40717</c:v>
                </c:pt>
                <c:pt idx="385">
                  <c:v>40718</c:v>
                </c:pt>
                <c:pt idx="386">
                  <c:v>40721</c:v>
                </c:pt>
                <c:pt idx="387">
                  <c:v>40722</c:v>
                </c:pt>
                <c:pt idx="388">
                  <c:v>40723</c:v>
                </c:pt>
                <c:pt idx="389">
                  <c:v>40724</c:v>
                </c:pt>
                <c:pt idx="390">
                  <c:v>40725</c:v>
                </c:pt>
                <c:pt idx="391">
                  <c:v>40728</c:v>
                </c:pt>
                <c:pt idx="392">
                  <c:v>40729</c:v>
                </c:pt>
                <c:pt idx="393">
                  <c:v>40730</c:v>
                </c:pt>
                <c:pt idx="394">
                  <c:v>40731</c:v>
                </c:pt>
                <c:pt idx="395">
                  <c:v>40732</c:v>
                </c:pt>
                <c:pt idx="396">
                  <c:v>40735</c:v>
                </c:pt>
                <c:pt idx="397">
                  <c:v>40736</c:v>
                </c:pt>
                <c:pt idx="398">
                  <c:v>40737</c:v>
                </c:pt>
                <c:pt idx="399">
                  <c:v>40738</c:v>
                </c:pt>
                <c:pt idx="400">
                  <c:v>40739</c:v>
                </c:pt>
                <c:pt idx="401">
                  <c:v>40742</c:v>
                </c:pt>
                <c:pt idx="402">
                  <c:v>40743</c:v>
                </c:pt>
                <c:pt idx="403">
                  <c:v>40744</c:v>
                </c:pt>
                <c:pt idx="404">
                  <c:v>40745</c:v>
                </c:pt>
                <c:pt idx="405">
                  <c:v>40746</c:v>
                </c:pt>
                <c:pt idx="406">
                  <c:v>40749</c:v>
                </c:pt>
                <c:pt idx="407">
                  <c:v>40750</c:v>
                </c:pt>
                <c:pt idx="408">
                  <c:v>40751</c:v>
                </c:pt>
                <c:pt idx="409">
                  <c:v>40752</c:v>
                </c:pt>
                <c:pt idx="410">
                  <c:v>40753</c:v>
                </c:pt>
                <c:pt idx="411">
                  <c:v>40756</c:v>
                </c:pt>
                <c:pt idx="412">
                  <c:v>40757</c:v>
                </c:pt>
                <c:pt idx="413">
                  <c:v>40758</c:v>
                </c:pt>
                <c:pt idx="414">
                  <c:v>40759</c:v>
                </c:pt>
                <c:pt idx="415">
                  <c:v>40760</c:v>
                </c:pt>
                <c:pt idx="416">
                  <c:v>40763</c:v>
                </c:pt>
                <c:pt idx="417">
                  <c:v>40764</c:v>
                </c:pt>
                <c:pt idx="418">
                  <c:v>40765</c:v>
                </c:pt>
                <c:pt idx="419">
                  <c:v>40766</c:v>
                </c:pt>
                <c:pt idx="420">
                  <c:v>40767</c:v>
                </c:pt>
                <c:pt idx="421">
                  <c:v>40770</c:v>
                </c:pt>
                <c:pt idx="422">
                  <c:v>40771</c:v>
                </c:pt>
                <c:pt idx="423">
                  <c:v>40772</c:v>
                </c:pt>
                <c:pt idx="424">
                  <c:v>40773</c:v>
                </c:pt>
                <c:pt idx="425">
                  <c:v>40774</c:v>
                </c:pt>
                <c:pt idx="426">
                  <c:v>40777</c:v>
                </c:pt>
                <c:pt idx="427">
                  <c:v>40778</c:v>
                </c:pt>
                <c:pt idx="428">
                  <c:v>40779</c:v>
                </c:pt>
                <c:pt idx="429">
                  <c:v>40780</c:v>
                </c:pt>
                <c:pt idx="430">
                  <c:v>40781</c:v>
                </c:pt>
                <c:pt idx="431">
                  <c:v>40784</c:v>
                </c:pt>
                <c:pt idx="432">
                  <c:v>40785</c:v>
                </c:pt>
                <c:pt idx="433">
                  <c:v>40786</c:v>
                </c:pt>
                <c:pt idx="434">
                  <c:v>40787</c:v>
                </c:pt>
                <c:pt idx="435">
                  <c:v>40788</c:v>
                </c:pt>
                <c:pt idx="436">
                  <c:v>40791</c:v>
                </c:pt>
                <c:pt idx="437">
                  <c:v>40792</c:v>
                </c:pt>
                <c:pt idx="438">
                  <c:v>40793</c:v>
                </c:pt>
                <c:pt idx="439">
                  <c:v>40794</c:v>
                </c:pt>
                <c:pt idx="440">
                  <c:v>40795</c:v>
                </c:pt>
                <c:pt idx="441">
                  <c:v>40798</c:v>
                </c:pt>
                <c:pt idx="442">
                  <c:v>40799</c:v>
                </c:pt>
                <c:pt idx="443">
                  <c:v>40800</c:v>
                </c:pt>
                <c:pt idx="444">
                  <c:v>40801</c:v>
                </c:pt>
                <c:pt idx="445">
                  <c:v>40802</c:v>
                </c:pt>
                <c:pt idx="446">
                  <c:v>40805</c:v>
                </c:pt>
                <c:pt idx="447">
                  <c:v>40806</c:v>
                </c:pt>
                <c:pt idx="448">
                  <c:v>40807</c:v>
                </c:pt>
                <c:pt idx="449">
                  <c:v>40808</c:v>
                </c:pt>
                <c:pt idx="450">
                  <c:v>40809</c:v>
                </c:pt>
                <c:pt idx="451">
                  <c:v>40812</c:v>
                </c:pt>
                <c:pt idx="452">
                  <c:v>40813</c:v>
                </c:pt>
                <c:pt idx="453">
                  <c:v>40814</c:v>
                </c:pt>
                <c:pt idx="454">
                  <c:v>40815</c:v>
                </c:pt>
                <c:pt idx="455">
                  <c:v>40816</c:v>
                </c:pt>
                <c:pt idx="456">
                  <c:v>40819</c:v>
                </c:pt>
                <c:pt idx="457">
                  <c:v>40820</c:v>
                </c:pt>
                <c:pt idx="458">
                  <c:v>40821</c:v>
                </c:pt>
                <c:pt idx="459">
                  <c:v>40822</c:v>
                </c:pt>
                <c:pt idx="460">
                  <c:v>40823</c:v>
                </c:pt>
                <c:pt idx="461">
                  <c:v>40826</c:v>
                </c:pt>
                <c:pt idx="462">
                  <c:v>40827</c:v>
                </c:pt>
                <c:pt idx="463">
                  <c:v>40828</c:v>
                </c:pt>
                <c:pt idx="464">
                  <c:v>40829</c:v>
                </c:pt>
                <c:pt idx="465">
                  <c:v>40830</c:v>
                </c:pt>
                <c:pt idx="466">
                  <c:v>40833</c:v>
                </c:pt>
                <c:pt idx="467">
                  <c:v>40834</c:v>
                </c:pt>
                <c:pt idx="468">
                  <c:v>40835</c:v>
                </c:pt>
                <c:pt idx="469">
                  <c:v>40836</c:v>
                </c:pt>
                <c:pt idx="470">
                  <c:v>40837</c:v>
                </c:pt>
                <c:pt idx="471">
                  <c:v>40840</c:v>
                </c:pt>
                <c:pt idx="472">
                  <c:v>40841</c:v>
                </c:pt>
                <c:pt idx="473">
                  <c:v>40842</c:v>
                </c:pt>
                <c:pt idx="474">
                  <c:v>40843</c:v>
                </c:pt>
                <c:pt idx="475">
                  <c:v>40844</c:v>
                </c:pt>
                <c:pt idx="476">
                  <c:v>40847</c:v>
                </c:pt>
                <c:pt idx="477">
                  <c:v>40848</c:v>
                </c:pt>
                <c:pt idx="478">
                  <c:v>40849</c:v>
                </c:pt>
                <c:pt idx="479">
                  <c:v>40850</c:v>
                </c:pt>
                <c:pt idx="480">
                  <c:v>40851</c:v>
                </c:pt>
                <c:pt idx="481">
                  <c:v>40854</c:v>
                </c:pt>
                <c:pt idx="482">
                  <c:v>40855</c:v>
                </c:pt>
                <c:pt idx="483">
                  <c:v>40856</c:v>
                </c:pt>
                <c:pt idx="484">
                  <c:v>40857</c:v>
                </c:pt>
                <c:pt idx="485">
                  <c:v>40858</c:v>
                </c:pt>
                <c:pt idx="486">
                  <c:v>40861</c:v>
                </c:pt>
                <c:pt idx="487">
                  <c:v>40862</c:v>
                </c:pt>
                <c:pt idx="488">
                  <c:v>40863</c:v>
                </c:pt>
                <c:pt idx="489">
                  <c:v>40864</c:v>
                </c:pt>
                <c:pt idx="490">
                  <c:v>40865</c:v>
                </c:pt>
                <c:pt idx="491">
                  <c:v>40868</c:v>
                </c:pt>
                <c:pt idx="492">
                  <c:v>40869</c:v>
                </c:pt>
                <c:pt idx="493">
                  <c:v>40870</c:v>
                </c:pt>
                <c:pt idx="494">
                  <c:v>40871</c:v>
                </c:pt>
                <c:pt idx="495">
                  <c:v>40872</c:v>
                </c:pt>
                <c:pt idx="496">
                  <c:v>40875</c:v>
                </c:pt>
                <c:pt idx="497">
                  <c:v>40876</c:v>
                </c:pt>
                <c:pt idx="498">
                  <c:v>40877</c:v>
                </c:pt>
                <c:pt idx="499">
                  <c:v>40878</c:v>
                </c:pt>
                <c:pt idx="500">
                  <c:v>40879</c:v>
                </c:pt>
                <c:pt idx="501">
                  <c:v>40882</c:v>
                </c:pt>
                <c:pt idx="502">
                  <c:v>40883</c:v>
                </c:pt>
                <c:pt idx="503">
                  <c:v>40884</c:v>
                </c:pt>
                <c:pt idx="504">
                  <c:v>40885</c:v>
                </c:pt>
                <c:pt idx="505">
                  <c:v>40886</c:v>
                </c:pt>
                <c:pt idx="506">
                  <c:v>40889</c:v>
                </c:pt>
                <c:pt idx="507">
                  <c:v>40890</c:v>
                </c:pt>
                <c:pt idx="508">
                  <c:v>40891</c:v>
                </c:pt>
                <c:pt idx="509">
                  <c:v>40892</c:v>
                </c:pt>
                <c:pt idx="510">
                  <c:v>40893</c:v>
                </c:pt>
                <c:pt idx="511">
                  <c:v>40896</c:v>
                </c:pt>
                <c:pt idx="512">
                  <c:v>40897</c:v>
                </c:pt>
                <c:pt idx="513">
                  <c:v>40898</c:v>
                </c:pt>
                <c:pt idx="514">
                  <c:v>40899</c:v>
                </c:pt>
                <c:pt idx="515">
                  <c:v>40900</c:v>
                </c:pt>
                <c:pt idx="516">
                  <c:v>40903</c:v>
                </c:pt>
                <c:pt idx="517">
                  <c:v>40904</c:v>
                </c:pt>
                <c:pt idx="518">
                  <c:v>40905</c:v>
                </c:pt>
                <c:pt idx="519">
                  <c:v>40906</c:v>
                </c:pt>
                <c:pt idx="520">
                  <c:v>40907</c:v>
                </c:pt>
                <c:pt idx="521">
                  <c:v>40910</c:v>
                </c:pt>
                <c:pt idx="522">
                  <c:v>40911</c:v>
                </c:pt>
                <c:pt idx="523">
                  <c:v>40912</c:v>
                </c:pt>
                <c:pt idx="524">
                  <c:v>40913</c:v>
                </c:pt>
                <c:pt idx="525">
                  <c:v>40914</c:v>
                </c:pt>
                <c:pt idx="526">
                  <c:v>40917</c:v>
                </c:pt>
                <c:pt idx="527">
                  <c:v>40918</c:v>
                </c:pt>
                <c:pt idx="528">
                  <c:v>40919</c:v>
                </c:pt>
                <c:pt idx="529">
                  <c:v>40920</c:v>
                </c:pt>
                <c:pt idx="530">
                  <c:v>40921</c:v>
                </c:pt>
                <c:pt idx="531">
                  <c:v>40924</c:v>
                </c:pt>
                <c:pt idx="532">
                  <c:v>40925</c:v>
                </c:pt>
                <c:pt idx="533">
                  <c:v>40926</c:v>
                </c:pt>
                <c:pt idx="534">
                  <c:v>40927</c:v>
                </c:pt>
                <c:pt idx="535">
                  <c:v>40928</c:v>
                </c:pt>
                <c:pt idx="536">
                  <c:v>40931</c:v>
                </c:pt>
                <c:pt idx="537">
                  <c:v>40932</c:v>
                </c:pt>
                <c:pt idx="538">
                  <c:v>40933</c:v>
                </c:pt>
                <c:pt idx="539">
                  <c:v>40934</c:v>
                </c:pt>
                <c:pt idx="540">
                  <c:v>40935</c:v>
                </c:pt>
                <c:pt idx="541">
                  <c:v>40938</c:v>
                </c:pt>
                <c:pt idx="542">
                  <c:v>40939</c:v>
                </c:pt>
                <c:pt idx="543">
                  <c:v>40940</c:v>
                </c:pt>
                <c:pt idx="544">
                  <c:v>40941</c:v>
                </c:pt>
                <c:pt idx="545">
                  <c:v>40942</c:v>
                </c:pt>
                <c:pt idx="546">
                  <c:v>40945</c:v>
                </c:pt>
                <c:pt idx="547">
                  <c:v>40946</c:v>
                </c:pt>
                <c:pt idx="548">
                  <c:v>40947</c:v>
                </c:pt>
                <c:pt idx="549">
                  <c:v>40948</c:v>
                </c:pt>
                <c:pt idx="550">
                  <c:v>40949</c:v>
                </c:pt>
                <c:pt idx="551">
                  <c:v>40952</c:v>
                </c:pt>
                <c:pt idx="552">
                  <c:v>40953</c:v>
                </c:pt>
                <c:pt idx="553">
                  <c:v>40954</c:v>
                </c:pt>
                <c:pt idx="554">
                  <c:v>40955</c:v>
                </c:pt>
                <c:pt idx="555">
                  <c:v>40956</c:v>
                </c:pt>
                <c:pt idx="556">
                  <c:v>40959</c:v>
                </c:pt>
                <c:pt idx="557">
                  <c:v>40960</c:v>
                </c:pt>
                <c:pt idx="558">
                  <c:v>40961</c:v>
                </c:pt>
                <c:pt idx="559">
                  <c:v>40962</c:v>
                </c:pt>
                <c:pt idx="560">
                  <c:v>40963</c:v>
                </c:pt>
                <c:pt idx="561">
                  <c:v>40966</c:v>
                </c:pt>
                <c:pt idx="562">
                  <c:v>40967</c:v>
                </c:pt>
                <c:pt idx="563">
                  <c:v>40968</c:v>
                </c:pt>
                <c:pt idx="564">
                  <c:v>40969</c:v>
                </c:pt>
                <c:pt idx="565">
                  <c:v>40970</c:v>
                </c:pt>
                <c:pt idx="566">
                  <c:v>40973</c:v>
                </c:pt>
                <c:pt idx="567">
                  <c:v>40974</c:v>
                </c:pt>
                <c:pt idx="568">
                  <c:v>40975</c:v>
                </c:pt>
                <c:pt idx="569">
                  <c:v>40976</c:v>
                </c:pt>
                <c:pt idx="570">
                  <c:v>40977</c:v>
                </c:pt>
                <c:pt idx="571">
                  <c:v>40980</c:v>
                </c:pt>
                <c:pt idx="572">
                  <c:v>40981</c:v>
                </c:pt>
                <c:pt idx="573">
                  <c:v>40982</c:v>
                </c:pt>
                <c:pt idx="574">
                  <c:v>40983</c:v>
                </c:pt>
                <c:pt idx="575">
                  <c:v>40984</c:v>
                </c:pt>
                <c:pt idx="576">
                  <c:v>40987</c:v>
                </c:pt>
                <c:pt idx="577">
                  <c:v>40988</c:v>
                </c:pt>
                <c:pt idx="578">
                  <c:v>40989</c:v>
                </c:pt>
                <c:pt idx="579">
                  <c:v>40990</c:v>
                </c:pt>
                <c:pt idx="580">
                  <c:v>40991</c:v>
                </c:pt>
                <c:pt idx="581">
                  <c:v>40994</c:v>
                </c:pt>
                <c:pt idx="582">
                  <c:v>40995</c:v>
                </c:pt>
                <c:pt idx="583">
                  <c:v>40996</c:v>
                </c:pt>
                <c:pt idx="584">
                  <c:v>40997</c:v>
                </c:pt>
                <c:pt idx="585">
                  <c:v>40998</c:v>
                </c:pt>
                <c:pt idx="586">
                  <c:v>41001</c:v>
                </c:pt>
                <c:pt idx="587">
                  <c:v>41002</c:v>
                </c:pt>
                <c:pt idx="588">
                  <c:v>41003</c:v>
                </c:pt>
                <c:pt idx="589">
                  <c:v>41004</c:v>
                </c:pt>
                <c:pt idx="590">
                  <c:v>41005</c:v>
                </c:pt>
                <c:pt idx="591">
                  <c:v>41008</c:v>
                </c:pt>
                <c:pt idx="592">
                  <c:v>41009</c:v>
                </c:pt>
                <c:pt idx="593">
                  <c:v>41010</c:v>
                </c:pt>
                <c:pt idx="594">
                  <c:v>41011</c:v>
                </c:pt>
                <c:pt idx="595">
                  <c:v>41012</c:v>
                </c:pt>
                <c:pt idx="596">
                  <c:v>41015</c:v>
                </c:pt>
                <c:pt idx="597">
                  <c:v>41016</c:v>
                </c:pt>
                <c:pt idx="598">
                  <c:v>41017</c:v>
                </c:pt>
                <c:pt idx="599">
                  <c:v>41018</c:v>
                </c:pt>
                <c:pt idx="600">
                  <c:v>41019</c:v>
                </c:pt>
                <c:pt idx="601">
                  <c:v>41022</c:v>
                </c:pt>
                <c:pt idx="602">
                  <c:v>41023</c:v>
                </c:pt>
                <c:pt idx="603">
                  <c:v>41024</c:v>
                </c:pt>
                <c:pt idx="604">
                  <c:v>41025</c:v>
                </c:pt>
                <c:pt idx="605">
                  <c:v>41026</c:v>
                </c:pt>
                <c:pt idx="606">
                  <c:v>41029</c:v>
                </c:pt>
                <c:pt idx="607">
                  <c:v>41030</c:v>
                </c:pt>
                <c:pt idx="608">
                  <c:v>41031</c:v>
                </c:pt>
                <c:pt idx="609">
                  <c:v>41032</c:v>
                </c:pt>
                <c:pt idx="610">
                  <c:v>41033</c:v>
                </c:pt>
                <c:pt idx="611">
                  <c:v>41036</c:v>
                </c:pt>
                <c:pt idx="612">
                  <c:v>41037</c:v>
                </c:pt>
                <c:pt idx="613">
                  <c:v>41038</c:v>
                </c:pt>
                <c:pt idx="614">
                  <c:v>41039</c:v>
                </c:pt>
                <c:pt idx="615">
                  <c:v>41040</c:v>
                </c:pt>
                <c:pt idx="616">
                  <c:v>41043</c:v>
                </c:pt>
                <c:pt idx="617">
                  <c:v>41044</c:v>
                </c:pt>
                <c:pt idx="618">
                  <c:v>41045</c:v>
                </c:pt>
                <c:pt idx="619">
                  <c:v>41046</c:v>
                </c:pt>
                <c:pt idx="620">
                  <c:v>41047</c:v>
                </c:pt>
                <c:pt idx="621">
                  <c:v>41050</c:v>
                </c:pt>
                <c:pt idx="622">
                  <c:v>41051</c:v>
                </c:pt>
                <c:pt idx="623">
                  <c:v>41052</c:v>
                </c:pt>
                <c:pt idx="624">
                  <c:v>41053</c:v>
                </c:pt>
                <c:pt idx="625">
                  <c:v>41054</c:v>
                </c:pt>
                <c:pt idx="626">
                  <c:v>41057</c:v>
                </c:pt>
                <c:pt idx="627">
                  <c:v>41058</c:v>
                </c:pt>
                <c:pt idx="628">
                  <c:v>41059</c:v>
                </c:pt>
                <c:pt idx="629">
                  <c:v>41060</c:v>
                </c:pt>
                <c:pt idx="630">
                  <c:v>41061</c:v>
                </c:pt>
                <c:pt idx="631">
                  <c:v>41064</c:v>
                </c:pt>
                <c:pt idx="632">
                  <c:v>41065</c:v>
                </c:pt>
                <c:pt idx="633">
                  <c:v>41066</c:v>
                </c:pt>
                <c:pt idx="634">
                  <c:v>41067</c:v>
                </c:pt>
                <c:pt idx="635">
                  <c:v>41068</c:v>
                </c:pt>
                <c:pt idx="636">
                  <c:v>41071</c:v>
                </c:pt>
                <c:pt idx="637">
                  <c:v>41072</c:v>
                </c:pt>
                <c:pt idx="638">
                  <c:v>41073</c:v>
                </c:pt>
                <c:pt idx="639">
                  <c:v>41074</c:v>
                </c:pt>
                <c:pt idx="640">
                  <c:v>41075</c:v>
                </c:pt>
                <c:pt idx="641">
                  <c:v>41078</c:v>
                </c:pt>
                <c:pt idx="642">
                  <c:v>41079</c:v>
                </c:pt>
                <c:pt idx="643">
                  <c:v>41080</c:v>
                </c:pt>
                <c:pt idx="644">
                  <c:v>41081</c:v>
                </c:pt>
                <c:pt idx="645">
                  <c:v>41082</c:v>
                </c:pt>
                <c:pt idx="646">
                  <c:v>41085</c:v>
                </c:pt>
                <c:pt idx="647">
                  <c:v>41086</c:v>
                </c:pt>
                <c:pt idx="648">
                  <c:v>41087</c:v>
                </c:pt>
                <c:pt idx="649">
                  <c:v>41088</c:v>
                </c:pt>
                <c:pt idx="650">
                  <c:v>41089</c:v>
                </c:pt>
                <c:pt idx="651">
                  <c:v>41092</c:v>
                </c:pt>
                <c:pt idx="652">
                  <c:v>41093</c:v>
                </c:pt>
                <c:pt idx="653">
                  <c:v>41094</c:v>
                </c:pt>
                <c:pt idx="654">
                  <c:v>41095</c:v>
                </c:pt>
                <c:pt idx="655">
                  <c:v>41096</c:v>
                </c:pt>
                <c:pt idx="656">
                  <c:v>41099</c:v>
                </c:pt>
                <c:pt idx="657">
                  <c:v>41100</c:v>
                </c:pt>
                <c:pt idx="658">
                  <c:v>41101</c:v>
                </c:pt>
                <c:pt idx="659">
                  <c:v>41102</c:v>
                </c:pt>
                <c:pt idx="660">
                  <c:v>41103</c:v>
                </c:pt>
                <c:pt idx="661">
                  <c:v>41106</c:v>
                </c:pt>
                <c:pt idx="662">
                  <c:v>41107</c:v>
                </c:pt>
                <c:pt idx="663">
                  <c:v>41108</c:v>
                </c:pt>
                <c:pt idx="664">
                  <c:v>41109</c:v>
                </c:pt>
                <c:pt idx="665">
                  <c:v>41110</c:v>
                </c:pt>
                <c:pt idx="666">
                  <c:v>41113</c:v>
                </c:pt>
                <c:pt idx="667">
                  <c:v>41114</c:v>
                </c:pt>
                <c:pt idx="668">
                  <c:v>41115</c:v>
                </c:pt>
                <c:pt idx="669">
                  <c:v>41116</c:v>
                </c:pt>
                <c:pt idx="670">
                  <c:v>41117</c:v>
                </c:pt>
                <c:pt idx="671">
                  <c:v>41120</c:v>
                </c:pt>
                <c:pt idx="672">
                  <c:v>41121</c:v>
                </c:pt>
                <c:pt idx="673">
                  <c:v>41122</c:v>
                </c:pt>
                <c:pt idx="674">
                  <c:v>41123</c:v>
                </c:pt>
                <c:pt idx="675">
                  <c:v>41124</c:v>
                </c:pt>
                <c:pt idx="676">
                  <c:v>41127</c:v>
                </c:pt>
                <c:pt idx="677">
                  <c:v>41128</c:v>
                </c:pt>
                <c:pt idx="678">
                  <c:v>41129</c:v>
                </c:pt>
                <c:pt idx="679">
                  <c:v>41130</c:v>
                </c:pt>
                <c:pt idx="680">
                  <c:v>41131</c:v>
                </c:pt>
                <c:pt idx="681">
                  <c:v>41134</c:v>
                </c:pt>
                <c:pt idx="682">
                  <c:v>41135</c:v>
                </c:pt>
                <c:pt idx="683">
                  <c:v>41136</c:v>
                </c:pt>
                <c:pt idx="684">
                  <c:v>41137</c:v>
                </c:pt>
                <c:pt idx="685">
                  <c:v>41138</c:v>
                </c:pt>
                <c:pt idx="686">
                  <c:v>41141</c:v>
                </c:pt>
                <c:pt idx="687">
                  <c:v>41142</c:v>
                </c:pt>
                <c:pt idx="688">
                  <c:v>41143</c:v>
                </c:pt>
                <c:pt idx="689">
                  <c:v>41144</c:v>
                </c:pt>
                <c:pt idx="690">
                  <c:v>41145</c:v>
                </c:pt>
                <c:pt idx="691">
                  <c:v>41148</c:v>
                </c:pt>
                <c:pt idx="692">
                  <c:v>41149</c:v>
                </c:pt>
                <c:pt idx="693">
                  <c:v>41150</c:v>
                </c:pt>
                <c:pt idx="694">
                  <c:v>41151</c:v>
                </c:pt>
                <c:pt idx="695">
                  <c:v>41152</c:v>
                </c:pt>
                <c:pt idx="696">
                  <c:v>41155</c:v>
                </c:pt>
                <c:pt idx="697">
                  <c:v>41156</c:v>
                </c:pt>
                <c:pt idx="698">
                  <c:v>41157</c:v>
                </c:pt>
                <c:pt idx="699">
                  <c:v>41158</c:v>
                </c:pt>
                <c:pt idx="700">
                  <c:v>41159</c:v>
                </c:pt>
                <c:pt idx="701">
                  <c:v>41162</c:v>
                </c:pt>
                <c:pt idx="702">
                  <c:v>41163</c:v>
                </c:pt>
                <c:pt idx="703">
                  <c:v>41164</c:v>
                </c:pt>
                <c:pt idx="704">
                  <c:v>41165</c:v>
                </c:pt>
                <c:pt idx="705">
                  <c:v>41166</c:v>
                </c:pt>
                <c:pt idx="706">
                  <c:v>41169</c:v>
                </c:pt>
                <c:pt idx="707">
                  <c:v>41170</c:v>
                </c:pt>
                <c:pt idx="708">
                  <c:v>41171</c:v>
                </c:pt>
                <c:pt idx="709">
                  <c:v>41172</c:v>
                </c:pt>
                <c:pt idx="710">
                  <c:v>41173</c:v>
                </c:pt>
                <c:pt idx="711">
                  <c:v>41176</c:v>
                </c:pt>
                <c:pt idx="712">
                  <c:v>41177</c:v>
                </c:pt>
                <c:pt idx="713">
                  <c:v>41178</c:v>
                </c:pt>
                <c:pt idx="714">
                  <c:v>41179</c:v>
                </c:pt>
                <c:pt idx="715">
                  <c:v>41180</c:v>
                </c:pt>
                <c:pt idx="716">
                  <c:v>41183</c:v>
                </c:pt>
                <c:pt idx="717">
                  <c:v>41184</c:v>
                </c:pt>
                <c:pt idx="718">
                  <c:v>41185</c:v>
                </c:pt>
                <c:pt idx="719">
                  <c:v>41186</c:v>
                </c:pt>
                <c:pt idx="720">
                  <c:v>41187</c:v>
                </c:pt>
                <c:pt idx="721">
                  <c:v>41190</c:v>
                </c:pt>
                <c:pt idx="722">
                  <c:v>41191</c:v>
                </c:pt>
                <c:pt idx="723">
                  <c:v>41192</c:v>
                </c:pt>
                <c:pt idx="724">
                  <c:v>41193</c:v>
                </c:pt>
                <c:pt idx="725">
                  <c:v>41194</c:v>
                </c:pt>
                <c:pt idx="726">
                  <c:v>41197</c:v>
                </c:pt>
                <c:pt idx="727">
                  <c:v>41198</c:v>
                </c:pt>
                <c:pt idx="728">
                  <c:v>41199</c:v>
                </c:pt>
                <c:pt idx="729">
                  <c:v>41200</c:v>
                </c:pt>
                <c:pt idx="730">
                  <c:v>41201</c:v>
                </c:pt>
                <c:pt idx="731">
                  <c:v>41204</c:v>
                </c:pt>
                <c:pt idx="732">
                  <c:v>41205</c:v>
                </c:pt>
                <c:pt idx="733">
                  <c:v>41206</c:v>
                </c:pt>
                <c:pt idx="734">
                  <c:v>41207</c:v>
                </c:pt>
                <c:pt idx="735">
                  <c:v>41208</c:v>
                </c:pt>
                <c:pt idx="736">
                  <c:v>41211</c:v>
                </c:pt>
                <c:pt idx="737">
                  <c:v>41212</c:v>
                </c:pt>
                <c:pt idx="738">
                  <c:v>41213</c:v>
                </c:pt>
                <c:pt idx="739">
                  <c:v>41214</c:v>
                </c:pt>
                <c:pt idx="740">
                  <c:v>41215</c:v>
                </c:pt>
                <c:pt idx="741">
                  <c:v>41218</c:v>
                </c:pt>
                <c:pt idx="742">
                  <c:v>41219</c:v>
                </c:pt>
                <c:pt idx="743">
                  <c:v>41220</c:v>
                </c:pt>
                <c:pt idx="744">
                  <c:v>41221</c:v>
                </c:pt>
                <c:pt idx="745">
                  <c:v>41222</c:v>
                </c:pt>
                <c:pt idx="746">
                  <c:v>41225</c:v>
                </c:pt>
                <c:pt idx="747">
                  <c:v>41226</c:v>
                </c:pt>
                <c:pt idx="748">
                  <c:v>41227</c:v>
                </c:pt>
                <c:pt idx="749">
                  <c:v>41228</c:v>
                </c:pt>
                <c:pt idx="750">
                  <c:v>41229</c:v>
                </c:pt>
                <c:pt idx="751">
                  <c:v>41232</c:v>
                </c:pt>
                <c:pt idx="752">
                  <c:v>41233</c:v>
                </c:pt>
                <c:pt idx="753">
                  <c:v>41234</c:v>
                </c:pt>
                <c:pt idx="754">
                  <c:v>41235</c:v>
                </c:pt>
                <c:pt idx="755">
                  <c:v>41236</c:v>
                </c:pt>
                <c:pt idx="756">
                  <c:v>41239</c:v>
                </c:pt>
                <c:pt idx="757">
                  <c:v>41240</c:v>
                </c:pt>
                <c:pt idx="758">
                  <c:v>41241</c:v>
                </c:pt>
                <c:pt idx="759">
                  <c:v>41242</c:v>
                </c:pt>
                <c:pt idx="760">
                  <c:v>41243</c:v>
                </c:pt>
                <c:pt idx="761">
                  <c:v>41246</c:v>
                </c:pt>
                <c:pt idx="762">
                  <c:v>41247</c:v>
                </c:pt>
                <c:pt idx="763">
                  <c:v>41248</c:v>
                </c:pt>
                <c:pt idx="764">
                  <c:v>41249</c:v>
                </c:pt>
                <c:pt idx="765">
                  <c:v>41250</c:v>
                </c:pt>
                <c:pt idx="766">
                  <c:v>41253</c:v>
                </c:pt>
                <c:pt idx="767">
                  <c:v>41254</c:v>
                </c:pt>
                <c:pt idx="768">
                  <c:v>41255</c:v>
                </c:pt>
                <c:pt idx="769">
                  <c:v>41256</c:v>
                </c:pt>
                <c:pt idx="770">
                  <c:v>41257</c:v>
                </c:pt>
                <c:pt idx="771">
                  <c:v>41260</c:v>
                </c:pt>
                <c:pt idx="772">
                  <c:v>41261</c:v>
                </c:pt>
                <c:pt idx="773">
                  <c:v>41262</c:v>
                </c:pt>
                <c:pt idx="774">
                  <c:v>41263</c:v>
                </c:pt>
                <c:pt idx="775">
                  <c:v>41264</c:v>
                </c:pt>
                <c:pt idx="776">
                  <c:v>41267</c:v>
                </c:pt>
                <c:pt idx="777">
                  <c:v>41268</c:v>
                </c:pt>
                <c:pt idx="778">
                  <c:v>41269</c:v>
                </c:pt>
                <c:pt idx="779">
                  <c:v>41270</c:v>
                </c:pt>
                <c:pt idx="780">
                  <c:v>41271</c:v>
                </c:pt>
                <c:pt idx="781">
                  <c:v>41274</c:v>
                </c:pt>
                <c:pt idx="782">
                  <c:v>41275</c:v>
                </c:pt>
                <c:pt idx="783">
                  <c:v>41276</c:v>
                </c:pt>
                <c:pt idx="784">
                  <c:v>41277</c:v>
                </c:pt>
                <c:pt idx="785">
                  <c:v>41278</c:v>
                </c:pt>
                <c:pt idx="786">
                  <c:v>41281</c:v>
                </c:pt>
                <c:pt idx="787">
                  <c:v>41282</c:v>
                </c:pt>
                <c:pt idx="788">
                  <c:v>41283</c:v>
                </c:pt>
                <c:pt idx="789">
                  <c:v>41284</c:v>
                </c:pt>
                <c:pt idx="790">
                  <c:v>41285</c:v>
                </c:pt>
                <c:pt idx="791">
                  <c:v>41288</c:v>
                </c:pt>
                <c:pt idx="792">
                  <c:v>41289</c:v>
                </c:pt>
                <c:pt idx="793">
                  <c:v>41290</c:v>
                </c:pt>
                <c:pt idx="794">
                  <c:v>41291</c:v>
                </c:pt>
                <c:pt idx="795">
                  <c:v>41292</c:v>
                </c:pt>
                <c:pt idx="796">
                  <c:v>41295</c:v>
                </c:pt>
                <c:pt idx="797">
                  <c:v>41296</c:v>
                </c:pt>
                <c:pt idx="798">
                  <c:v>41297</c:v>
                </c:pt>
                <c:pt idx="799">
                  <c:v>41298</c:v>
                </c:pt>
                <c:pt idx="800">
                  <c:v>41299</c:v>
                </c:pt>
                <c:pt idx="801">
                  <c:v>41302</c:v>
                </c:pt>
                <c:pt idx="802">
                  <c:v>41303</c:v>
                </c:pt>
                <c:pt idx="803">
                  <c:v>41304</c:v>
                </c:pt>
                <c:pt idx="804">
                  <c:v>41305</c:v>
                </c:pt>
                <c:pt idx="805">
                  <c:v>41306</c:v>
                </c:pt>
                <c:pt idx="806">
                  <c:v>41309</c:v>
                </c:pt>
                <c:pt idx="807">
                  <c:v>41310</c:v>
                </c:pt>
                <c:pt idx="808">
                  <c:v>41311</c:v>
                </c:pt>
                <c:pt idx="809">
                  <c:v>41312</c:v>
                </c:pt>
                <c:pt idx="810">
                  <c:v>41313</c:v>
                </c:pt>
                <c:pt idx="811">
                  <c:v>41316</c:v>
                </c:pt>
                <c:pt idx="812">
                  <c:v>41317</c:v>
                </c:pt>
                <c:pt idx="813">
                  <c:v>41318</c:v>
                </c:pt>
                <c:pt idx="814">
                  <c:v>41319</c:v>
                </c:pt>
                <c:pt idx="815">
                  <c:v>41320</c:v>
                </c:pt>
                <c:pt idx="816">
                  <c:v>41323</c:v>
                </c:pt>
                <c:pt idx="817">
                  <c:v>41324</c:v>
                </c:pt>
                <c:pt idx="818">
                  <c:v>41325</c:v>
                </c:pt>
                <c:pt idx="819">
                  <c:v>41326</c:v>
                </c:pt>
                <c:pt idx="820">
                  <c:v>41327</c:v>
                </c:pt>
                <c:pt idx="821">
                  <c:v>41330</c:v>
                </c:pt>
                <c:pt idx="822">
                  <c:v>41331</c:v>
                </c:pt>
                <c:pt idx="823">
                  <c:v>41332</c:v>
                </c:pt>
                <c:pt idx="824">
                  <c:v>41333</c:v>
                </c:pt>
                <c:pt idx="825">
                  <c:v>41334</c:v>
                </c:pt>
                <c:pt idx="826">
                  <c:v>41337</c:v>
                </c:pt>
                <c:pt idx="827">
                  <c:v>41338</c:v>
                </c:pt>
                <c:pt idx="828">
                  <c:v>41339</c:v>
                </c:pt>
                <c:pt idx="829">
                  <c:v>41340</c:v>
                </c:pt>
                <c:pt idx="830">
                  <c:v>41341</c:v>
                </c:pt>
                <c:pt idx="831">
                  <c:v>41344</c:v>
                </c:pt>
                <c:pt idx="832">
                  <c:v>41345</c:v>
                </c:pt>
                <c:pt idx="833">
                  <c:v>41346</c:v>
                </c:pt>
                <c:pt idx="834">
                  <c:v>41347</c:v>
                </c:pt>
                <c:pt idx="835">
                  <c:v>41348</c:v>
                </c:pt>
                <c:pt idx="836">
                  <c:v>41351</c:v>
                </c:pt>
                <c:pt idx="837">
                  <c:v>41352</c:v>
                </c:pt>
                <c:pt idx="838">
                  <c:v>41353</c:v>
                </c:pt>
                <c:pt idx="839">
                  <c:v>41354</c:v>
                </c:pt>
                <c:pt idx="840">
                  <c:v>41355</c:v>
                </c:pt>
                <c:pt idx="841">
                  <c:v>41358</c:v>
                </c:pt>
                <c:pt idx="842">
                  <c:v>41359</c:v>
                </c:pt>
                <c:pt idx="843">
                  <c:v>41360</c:v>
                </c:pt>
                <c:pt idx="844">
                  <c:v>41361</c:v>
                </c:pt>
                <c:pt idx="845">
                  <c:v>41362</c:v>
                </c:pt>
                <c:pt idx="846">
                  <c:v>41365</c:v>
                </c:pt>
                <c:pt idx="847">
                  <c:v>41366</c:v>
                </c:pt>
                <c:pt idx="848">
                  <c:v>41367</c:v>
                </c:pt>
                <c:pt idx="849">
                  <c:v>41368</c:v>
                </c:pt>
                <c:pt idx="850">
                  <c:v>41369</c:v>
                </c:pt>
                <c:pt idx="851">
                  <c:v>41372</c:v>
                </c:pt>
                <c:pt idx="852">
                  <c:v>41373</c:v>
                </c:pt>
                <c:pt idx="853">
                  <c:v>41374</c:v>
                </c:pt>
                <c:pt idx="854">
                  <c:v>41375</c:v>
                </c:pt>
                <c:pt idx="855">
                  <c:v>41376</c:v>
                </c:pt>
                <c:pt idx="856">
                  <c:v>41379</c:v>
                </c:pt>
                <c:pt idx="857">
                  <c:v>41380</c:v>
                </c:pt>
                <c:pt idx="858">
                  <c:v>41381</c:v>
                </c:pt>
                <c:pt idx="859">
                  <c:v>41382</c:v>
                </c:pt>
                <c:pt idx="860">
                  <c:v>41383</c:v>
                </c:pt>
                <c:pt idx="861">
                  <c:v>41386</c:v>
                </c:pt>
                <c:pt idx="862">
                  <c:v>41387</c:v>
                </c:pt>
                <c:pt idx="863">
                  <c:v>41388</c:v>
                </c:pt>
                <c:pt idx="864">
                  <c:v>41389</c:v>
                </c:pt>
                <c:pt idx="865">
                  <c:v>41390</c:v>
                </c:pt>
                <c:pt idx="866">
                  <c:v>41393</c:v>
                </c:pt>
                <c:pt idx="867">
                  <c:v>41394</c:v>
                </c:pt>
                <c:pt idx="868">
                  <c:v>41395</c:v>
                </c:pt>
                <c:pt idx="869">
                  <c:v>41396</c:v>
                </c:pt>
                <c:pt idx="870">
                  <c:v>41397</c:v>
                </c:pt>
                <c:pt idx="871">
                  <c:v>41400</c:v>
                </c:pt>
                <c:pt idx="872">
                  <c:v>41401</c:v>
                </c:pt>
                <c:pt idx="873">
                  <c:v>41402</c:v>
                </c:pt>
                <c:pt idx="874">
                  <c:v>41403</c:v>
                </c:pt>
                <c:pt idx="875">
                  <c:v>41404</c:v>
                </c:pt>
                <c:pt idx="876">
                  <c:v>41407</c:v>
                </c:pt>
                <c:pt idx="877">
                  <c:v>41408</c:v>
                </c:pt>
                <c:pt idx="878">
                  <c:v>41409</c:v>
                </c:pt>
                <c:pt idx="879">
                  <c:v>41410</c:v>
                </c:pt>
                <c:pt idx="880">
                  <c:v>41411</c:v>
                </c:pt>
                <c:pt idx="881">
                  <c:v>41414</c:v>
                </c:pt>
                <c:pt idx="882">
                  <c:v>41415</c:v>
                </c:pt>
                <c:pt idx="883">
                  <c:v>41416</c:v>
                </c:pt>
                <c:pt idx="884">
                  <c:v>41417</c:v>
                </c:pt>
                <c:pt idx="885">
                  <c:v>41418</c:v>
                </c:pt>
                <c:pt idx="886">
                  <c:v>41421</c:v>
                </c:pt>
                <c:pt idx="887">
                  <c:v>41422</c:v>
                </c:pt>
                <c:pt idx="888">
                  <c:v>41423</c:v>
                </c:pt>
                <c:pt idx="889">
                  <c:v>41424</c:v>
                </c:pt>
                <c:pt idx="890">
                  <c:v>41425</c:v>
                </c:pt>
                <c:pt idx="891">
                  <c:v>41428</c:v>
                </c:pt>
                <c:pt idx="892">
                  <c:v>41429</c:v>
                </c:pt>
                <c:pt idx="893">
                  <c:v>41430</c:v>
                </c:pt>
                <c:pt idx="894">
                  <c:v>41431</c:v>
                </c:pt>
                <c:pt idx="895">
                  <c:v>41432</c:v>
                </c:pt>
                <c:pt idx="896">
                  <c:v>41435</c:v>
                </c:pt>
                <c:pt idx="897">
                  <c:v>41436</c:v>
                </c:pt>
                <c:pt idx="898">
                  <c:v>41437</c:v>
                </c:pt>
                <c:pt idx="899">
                  <c:v>41438</c:v>
                </c:pt>
                <c:pt idx="900">
                  <c:v>41439</c:v>
                </c:pt>
                <c:pt idx="901">
                  <c:v>41442</c:v>
                </c:pt>
                <c:pt idx="902">
                  <c:v>41443</c:v>
                </c:pt>
                <c:pt idx="903">
                  <c:v>41444</c:v>
                </c:pt>
                <c:pt idx="904">
                  <c:v>41445</c:v>
                </c:pt>
                <c:pt idx="905">
                  <c:v>41446</c:v>
                </c:pt>
                <c:pt idx="906">
                  <c:v>41449</c:v>
                </c:pt>
                <c:pt idx="907">
                  <c:v>41450</c:v>
                </c:pt>
                <c:pt idx="908">
                  <c:v>41451</c:v>
                </c:pt>
                <c:pt idx="909">
                  <c:v>41452</c:v>
                </c:pt>
                <c:pt idx="910">
                  <c:v>41453</c:v>
                </c:pt>
                <c:pt idx="911">
                  <c:v>41456</c:v>
                </c:pt>
                <c:pt idx="912">
                  <c:v>41457</c:v>
                </c:pt>
                <c:pt idx="913">
                  <c:v>41458</c:v>
                </c:pt>
                <c:pt idx="914">
                  <c:v>41459</c:v>
                </c:pt>
                <c:pt idx="915">
                  <c:v>41460</c:v>
                </c:pt>
                <c:pt idx="916">
                  <c:v>41463</c:v>
                </c:pt>
                <c:pt idx="917">
                  <c:v>41464</c:v>
                </c:pt>
                <c:pt idx="918">
                  <c:v>41465</c:v>
                </c:pt>
                <c:pt idx="919">
                  <c:v>41466</c:v>
                </c:pt>
                <c:pt idx="920">
                  <c:v>41467</c:v>
                </c:pt>
                <c:pt idx="921">
                  <c:v>41470</c:v>
                </c:pt>
                <c:pt idx="922">
                  <c:v>41471</c:v>
                </c:pt>
                <c:pt idx="923">
                  <c:v>41472</c:v>
                </c:pt>
                <c:pt idx="924">
                  <c:v>41473</c:v>
                </c:pt>
                <c:pt idx="925">
                  <c:v>41474</c:v>
                </c:pt>
                <c:pt idx="926">
                  <c:v>41477</c:v>
                </c:pt>
                <c:pt idx="927">
                  <c:v>41478</c:v>
                </c:pt>
                <c:pt idx="928">
                  <c:v>41479</c:v>
                </c:pt>
                <c:pt idx="929">
                  <c:v>41480</c:v>
                </c:pt>
                <c:pt idx="930">
                  <c:v>41481</c:v>
                </c:pt>
                <c:pt idx="931">
                  <c:v>41484</c:v>
                </c:pt>
                <c:pt idx="932">
                  <c:v>41485</c:v>
                </c:pt>
                <c:pt idx="933">
                  <c:v>41486</c:v>
                </c:pt>
                <c:pt idx="934">
                  <c:v>41487</c:v>
                </c:pt>
                <c:pt idx="935">
                  <c:v>41488</c:v>
                </c:pt>
                <c:pt idx="936">
                  <c:v>41491</c:v>
                </c:pt>
                <c:pt idx="937">
                  <c:v>41492</c:v>
                </c:pt>
                <c:pt idx="938">
                  <c:v>41493</c:v>
                </c:pt>
                <c:pt idx="939">
                  <c:v>41494</c:v>
                </c:pt>
                <c:pt idx="940">
                  <c:v>41495</c:v>
                </c:pt>
                <c:pt idx="941">
                  <c:v>41498</c:v>
                </c:pt>
                <c:pt idx="942">
                  <c:v>41499</c:v>
                </c:pt>
                <c:pt idx="943">
                  <c:v>41500</c:v>
                </c:pt>
                <c:pt idx="944">
                  <c:v>41501</c:v>
                </c:pt>
                <c:pt idx="945">
                  <c:v>41502</c:v>
                </c:pt>
                <c:pt idx="946">
                  <c:v>41505</c:v>
                </c:pt>
                <c:pt idx="947">
                  <c:v>41506</c:v>
                </c:pt>
                <c:pt idx="948">
                  <c:v>41507</c:v>
                </c:pt>
                <c:pt idx="949">
                  <c:v>41508</c:v>
                </c:pt>
                <c:pt idx="950">
                  <c:v>41509</c:v>
                </c:pt>
                <c:pt idx="951">
                  <c:v>41512</c:v>
                </c:pt>
                <c:pt idx="952">
                  <c:v>41513</c:v>
                </c:pt>
                <c:pt idx="953">
                  <c:v>41514</c:v>
                </c:pt>
                <c:pt idx="954">
                  <c:v>41515</c:v>
                </c:pt>
                <c:pt idx="955">
                  <c:v>41516</c:v>
                </c:pt>
                <c:pt idx="956">
                  <c:v>41519</c:v>
                </c:pt>
                <c:pt idx="957">
                  <c:v>41520</c:v>
                </c:pt>
                <c:pt idx="958">
                  <c:v>41521</c:v>
                </c:pt>
                <c:pt idx="959">
                  <c:v>41522</c:v>
                </c:pt>
                <c:pt idx="960">
                  <c:v>41523</c:v>
                </c:pt>
                <c:pt idx="961">
                  <c:v>41526</c:v>
                </c:pt>
                <c:pt idx="962">
                  <c:v>41527</c:v>
                </c:pt>
                <c:pt idx="963">
                  <c:v>41528</c:v>
                </c:pt>
                <c:pt idx="964">
                  <c:v>41529</c:v>
                </c:pt>
                <c:pt idx="965">
                  <c:v>41530</c:v>
                </c:pt>
                <c:pt idx="966">
                  <c:v>41533</c:v>
                </c:pt>
                <c:pt idx="967">
                  <c:v>41534</c:v>
                </c:pt>
                <c:pt idx="968">
                  <c:v>41535</c:v>
                </c:pt>
                <c:pt idx="969">
                  <c:v>41536</c:v>
                </c:pt>
                <c:pt idx="970">
                  <c:v>41537</c:v>
                </c:pt>
                <c:pt idx="971">
                  <c:v>41540</c:v>
                </c:pt>
                <c:pt idx="972">
                  <c:v>41541</c:v>
                </c:pt>
                <c:pt idx="973">
                  <c:v>41542</c:v>
                </c:pt>
                <c:pt idx="974">
                  <c:v>41543</c:v>
                </c:pt>
                <c:pt idx="975">
                  <c:v>41544</c:v>
                </c:pt>
                <c:pt idx="976">
                  <c:v>41547</c:v>
                </c:pt>
                <c:pt idx="977">
                  <c:v>41548</c:v>
                </c:pt>
                <c:pt idx="978">
                  <c:v>41549</c:v>
                </c:pt>
                <c:pt idx="979">
                  <c:v>41550</c:v>
                </c:pt>
                <c:pt idx="980">
                  <c:v>41551</c:v>
                </c:pt>
                <c:pt idx="981">
                  <c:v>41554</c:v>
                </c:pt>
                <c:pt idx="982">
                  <c:v>41555</c:v>
                </c:pt>
                <c:pt idx="983">
                  <c:v>41556</c:v>
                </c:pt>
                <c:pt idx="984">
                  <c:v>41557</c:v>
                </c:pt>
                <c:pt idx="985">
                  <c:v>41558</c:v>
                </c:pt>
                <c:pt idx="986">
                  <c:v>41561</c:v>
                </c:pt>
                <c:pt idx="987">
                  <c:v>41562</c:v>
                </c:pt>
                <c:pt idx="988">
                  <c:v>41563</c:v>
                </c:pt>
                <c:pt idx="989">
                  <c:v>41564</c:v>
                </c:pt>
                <c:pt idx="990">
                  <c:v>41565</c:v>
                </c:pt>
                <c:pt idx="991">
                  <c:v>41568</c:v>
                </c:pt>
                <c:pt idx="992">
                  <c:v>41569</c:v>
                </c:pt>
                <c:pt idx="993">
                  <c:v>41570</c:v>
                </c:pt>
                <c:pt idx="994">
                  <c:v>41571</c:v>
                </c:pt>
                <c:pt idx="995">
                  <c:v>41572</c:v>
                </c:pt>
                <c:pt idx="996">
                  <c:v>41575</c:v>
                </c:pt>
                <c:pt idx="997">
                  <c:v>41576</c:v>
                </c:pt>
                <c:pt idx="998">
                  <c:v>41577</c:v>
                </c:pt>
                <c:pt idx="999">
                  <c:v>41578</c:v>
                </c:pt>
                <c:pt idx="1000">
                  <c:v>41579</c:v>
                </c:pt>
                <c:pt idx="1001">
                  <c:v>41582</c:v>
                </c:pt>
                <c:pt idx="1002">
                  <c:v>41583</c:v>
                </c:pt>
                <c:pt idx="1003">
                  <c:v>41584</c:v>
                </c:pt>
                <c:pt idx="1004">
                  <c:v>41585</c:v>
                </c:pt>
                <c:pt idx="1005">
                  <c:v>41586</c:v>
                </c:pt>
                <c:pt idx="1006">
                  <c:v>41589</c:v>
                </c:pt>
                <c:pt idx="1007">
                  <c:v>41590</c:v>
                </c:pt>
                <c:pt idx="1008">
                  <c:v>41591</c:v>
                </c:pt>
                <c:pt idx="1009">
                  <c:v>41592</c:v>
                </c:pt>
                <c:pt idx="1010">
                  <c:v>41593</c:v>
                </c:pt>
                <c:pt idx="1011">
                  <c:v>41596</c:v>
                </c:pt>
                <c:pt idx="1012">
                  <c:v>41597</c:v>
                </c:pt>
                <c:pt idx="1013">
                  <c:v>41598</c:v>
                </c:pt>
                <c:pt idx="1014">
                  <c:v>41599</c:v>
                </c:pt>
                <c:pt idx="1015">
                  <c:v>41600</c:v>
                </c:pt>
                <c:pt idx="1016">
                  <c:v>41603</c:v>
                </c:pt>
                <c:pt idx="1017">
                  <c:v>41604</c:v>
                </c:pt>
                <c:pt idx="1018">
                  <c:v>41605</c:v>
                </c:pt>
                <c:pt idx="1019">
                  <c:v>41606</c:v>
                </c:pt>
                <c:pt idx="1020">
                  <c:v>41607</c:v>
                </c:pt>
                <c:pt idx="1021">
                  <c:v>41610</c:v>
                </c:pt>
                <c:pt idx="1022">
                  <c:v>41611</c:v>
                </c:pt>
                <c:pt idx="1023">
                  <c:v>41612</c:v>
                </c:pt>
                <c:pt idx="1024">
                  <c:v>41613</c:v>
                </c:pt>
                <c:pt idx="1025">
                  <c:v>41614</c:v>
                </c:pt>
                <c:pt idx="1026">
                  <c:v>41617</c:v>
                </c:pt>
                <c:pt idx="1027">
                  <c:v>41618</c:v>
                </c:pt>
                <c:pt idx="1028">
                  <c:v>41619</c:v>
                </c:pt>
                <c:pt idx="1029">
                  <c:v>41620</c:v>
                </c:pt>
                <c:pt idx="1030">
                  <c:v>41621</c:v>
                </c:pt>
                <c:pt idx="1031">
                  <c:v>41624</c:v>
                </c:pt>
                <c:pt idx="1032">
                  <c:v>41625</c:v>
                </c:pt>
                <c:pt idx="1033">
                  <c:v>41626</c:v>
                </c:pt>
                <c:pt idx="1034">
                  <c:v>41627</c:v>
                </c:pt>
                <c:pt idx="1035">
                  <c:v>41628</c:v>
                </c:pt>
                <c:pt idx="1036">
                  <c:v>41631</c:v>
                </c:pt>
                <c:pt idx="1037">
                  <c:v>41632</c:v>
                </c:pt>
                <c:pt idx="1038">
                  <c:v>41633</c:v>
                </c:pt>
                <c:pt idx="1039">
                  <c:v>41634</c:v>
                </c:pt>
                <c:pt idx="1040">
                  <c:v>41635</c:v>
                </c:pt>
                <c:pt idx="1041">
                  <c:v>41638</c:v>
                </c:pt>
                <c:pt idx="1042">
                  <c:v>41639</c:v>
                </c:pt>
                <c:pt idx="1043">
                  <c:v>41640</c:v>
                </c:pt>
                <c:pt idx="1044">
                  <c:v>41641</c:v>
                </c:pt>
                <c:pt idx="1045">
                  <c:v>41642</c:v>
                </c:pt>
                <c:pt idx="1046">
                  <c:v>41645</c:v>
                </c:pt>
                <c:pt idx="1047">
                  <c:v>41646</c:v>
                </c:pt>
                <c:pt idx="1048">
                  <c:v>41647</c:v>
                </c:pt>
                <c:pt idx="1049">
                  <c:v>41648</c:v>
                </c:pt>
                <c:pt idx="1050">
                  <c:v>41649</c:v>
                </c:pt>
                <c:pt idx="1051">
                  <c:v>41652</c:v>
                </c:pt>
                <c:pt idx="1052">
                  <c:v>41653</c:v>
                </c:pt>
                <c:pt idx="1053">
                  <c:v>41654</c:v>
                </c:pt>
                <c:pt idx="1054">
                  <c:v>41655</c:v>
                </c:pt>
                <c:pt idx="1055">
                  <c:v>41656</c:v>
                </c:pt>
                <c:pt idx="1056">
                  <c:v>41659</c:v>
                </c:pt>
                <c:pt idx="1057">
                  <c:v>41660</c:v>
                </c:pt>
                <c:pt idx="1058">
                  <c:v>41661</c:v>
                </c:pt>
                <c:pt idx="1059">
                  <c:v>41662</c:v>
                </c:pt>
                <c:pt idx="1060">
                  <c:v>41663</c:v>
                </c:pt>
                <c:pt idx="1061">
                  <c:v>41666</c:v>
                </c:pt>
                <c:pt idx="1062">
                  <c:v>41667</c:v>
                </c:pt>
                <c:pt idx="1063">
                  <c:v>41668</c:v>
                </c:pt>
                <c:pt idx="1064">
                  <c:v>41669</c:v>
                </c:pt>
                <c:pt idx="1065">
                  <c:v>41670</c:v>
                </c:pt>
                <c:pt idx="1066">
                  <c:v>41673</c:v>
                </c:pt>
                <c:pt idx="1067">
                  <c:v>41674</c:v>
                </c:pt>
                <c:pt idx="1068">
                  <c:v>41675</c:v>
                </c:pt>
                <c:pt idx="1069">
                  <c:v>41676</c:v>
                </c:pt>
                <c:pt idx="1070">
                  <c:v>41677</c:v>
                </c:pt>
                <c:pt idx="1071">
                  <c:v>41680</c:v>
                </c:pt>
                <c:pt idx="1072">
                  <c:v>41681</c:v>
                </c:pt>
                <c:pt idx="1073">
                  <c:v>41682</c:v>
                </c:pt>
                <c:pt idx="1074">
                  <c:v>41683</c:v>
                </c:pt>
                <c:pt idx="1075">
                  <c:v>41684</c:v>
                </c:pt>
                <c:pt idx="1076">
                  <c:v>41687</c:v>
                </c:pt>
                <c:pt idx="1077">
                  <c:v>41688</c:v>
                </c:pt>
                <c:pt idx="1078">
                  <c:v>41689</c:v>
                </c:pt>
                <c:pt idx="1079">
                  <c:v>41690</c:v>
                </c:pt>
                <c:pt idx="1080">
                  <c:v>41691</c:v>
                </c:pt>
                <c:pt idx="1081">
                  <c:v>41694</c:v>
                </c:pt>
                <c:pt idx="1082">
                  <c:v>41695</c:v>
                </c:pt>
                <c:pt idx="1083">
                  <c:v>41696</c:v>
                </c:pt>
                <c:pt idx="1084">
                  <c:v>41697</c:v>
                </c:pt>
                <c:pt idx="1085">
                  <c:v>41698</c:v>
                </c:pt>
                <c:pt idx="1086">
                  <c:v>41701</c:v>
                </c:pt>
                <c:pt idx="1087">
                  <c:v>41702</c:v>
                </c:pt>
                <c:pt idx="1088">
                  <c:v>41703</c:v>
                </c:pt>
                <c:pt idx="1089">
                  <c:v>41704</c:v>
                </c:pt>
                <c:pt idx="1090">
                  <c:v>41705</c:v>
                </c:pt>
                <c:pt idx="1091">
                  <c:v>41708</c:v>
                </c:pt>
                <c:pt idx="1092">
                  <c:v>41709</c:v>
                </c:pt>
                <c:pt idx="1093">
                  <c:v>41710</c:v>
                </c:pt>
                <c:pt idx="1094">
                  <c:v>41711</c:v>
                </c:pt>
                <c:pt idx="1095">
                  <c:v>41712</c:v>
                </c:pt>
                <c:pt idx="1096">
                  <c:v>41715</c:v>
                </c:pt>
                <c:pt idx="1097">
                  <c:v>41716</c:v>
                </c:pt>
                <c:pt idx="1098">
                  <c:v>41717</c:v>
                </c:pt>
                <c:pt idx="1099">
                  <c:v>41718</c:v>
                </c:pt>
                <c:pt idx="1100">
                  <c:v>41719</c:v>
                </c:pt>
                <c:pt idx="1101">
                  <c:v>41722</c:v>
                </c:pt>
                <c:pt idx="1102">
                  <c:v>41723</c:v>
                </c:pt>
                <c:pt idx="1103">
                  <c:v>41724</c:v>
                </c:pt>
                <c:pt idx="1104">
                  <c:v>41725</c:v>
                </c:pt>
                <c:pt idx="1105">
                  <c:v>41726</c:v>
                </c:pt>
                <c:pt idx="1106">
                  <c:v>41729</c:v>
                </c:pt>
                <c:pt idx="1107">
                  <c:v>41730</c:v>
                </c:pt>
                <c:pt idx="1108">
                  <c:v>41731</c:v>
                </c:pt>
                <c:pt idx="1109">
                  <c:v>41732</c:v>
                </c:pt>
                <c:pt idx="1110">
                  <c:v>41733</c:v>
                </c:pt>
                <c:pt idx="1111">
                  <c:v>41736</c:v>
                </c:pt>
                <c:pt idx="1112">
                  <c:v>41737</c:v>
                </c:pt>
                <c:pt idx="1113">
                  <c:v>41738</c:v>
                </c:pt>
                <c:pt idx="1114">
                  <c:v>41739</c:v>
                </c:pt>
                <c:pt idx="1115">
                  <c:v>41740</c:v>
                </c:pt>
                <c:pt idx="1116">
                  <c:v>41743</c:v>
                </c:pt>
                <c:pt idx="1117">
                  <c:v>41744</c:v>
                </c:pt>
                <c:pt idx="1118">
                  <c:v>41745</c:v>
                </c:pt>
                <c:pt idx="1119">
                  <c:v>41746</c:v>
                </c:pt>
                <c:pt idx="1120">
                  <c:v>41747</c:v>
                </c:pt>
                <c:pt idx="1121">
                  <c:v>41750</c:v>
                </c:pt>
                <c:pt idx="1122">
                  <c:v>41751</c:v>
                </c:pt>
                <c:pt idx="1123">
                  <c:v>41752</c:v>
                </c:pt>
                <c:pt idx="1124">
                  <c:v>41753</c:v>
                </c:pt>
                <c:pt idx="1125">
                  <c:v>41754</c:v>
                </c:pt>
                <c:pt idx="1126">
                  <c:v>41757</c:v>
                </c:pt>
                <c:pt idx="1127">
                  <c:v>41758</c:v>
                </c:pt>
                <c:pt idx="1128">
                  <c:v>41759</c:v>
                </c:pt>
                <c:pt idx="1129">
                  <c:v>41760</c:v>
                </c:pt>
                <c:pt idx="1130">
                  <c:v>41761</c:v>
                </c:pt>
                <c:pt idx="1131">
                  <c:v>41764</c:v>
                </c:pt>
                <c:pt idx="1132">
                  <c:v>41765</c:v>
                </c:pt>
                <c:pt idx="1133">
                  <c:v>41766</c:v>
                </c:pt>
                <c:pt idx="1134">
                  <c:v>41767</c:v>
                </c:pt>
                <c:pt idx="1135">
                  <c:v>41768</c:v>
                </c:pt>
                <c:pt idx="1136">
                  <c:v>41771</c:v>
                </c:pt>
                <c:pt idx="1137">
                  <c:v>41772</c:v>
                </c:pt>
                <c:pt idx="1138">
                  <c:v>41773</c:v>
                </c:pt>
                <c:pt idx="1139">
                  <c:v>41774</c:v>
                </c:pt>
                <c:pt idx="1140">
                  <c:v>41775</c:v>
                </c:pt>
                <c:pt idx="1141">
                  <c:v>41778</c:v>
                </c:pt>
                <c:pt idx="1142">
                  <c:v>41779</c:v>
                </c:pt>
                <c:pt idx="1143">
                  <c:v>41780</c:v>
                </c:pt>
                <c:pt idx="1144">
                  <c:v>41781</c:v>
                </c:pt>
                <c:pt idx="1145">
                  <c:v>41782</c:v>
                </c:pt>
                <c:pt idx="1146">
                  <c:v>41785</c:v>
                </c:pt>
                <c:pt idx="1147">
                  <c:v>41786</c:v>
                </c:pt>
                <c:pt idx="1148">
                  <c:v>41787</c:v>
                </c:pt>
                <c:pt idx="1149">
                  <c:v>41788</c:v>
                </c:pt>
                <c:pt idx="1150">
                  <c:v>41789</c:v>
                </c:pt>
                <c:pt idx="1151">
                  <c:v>41792</c:v>
                </c:pt>
                <c:pt idx="1152">
                  <c:v>41793</c:v>
                </c:pt>
                <c:pt idx="1153">
                  <c:v>41794</c:v>
                </c:pt>
                <c:pt idx="1154">
                  <c:v>41795</c:v>
                </c:pt>
                <c:pt idx="1155">
                  <c:v>41796</c:v>
                </c:pt>
                <c:pt idx="1156">
                  <c:v>41799</c:v>
                </c:pt>
                <c:pt idx="1157">
                  <c:v>41800</c:v>
                </c:pt>
                <c:pt idx="1158">
                  <c:v>41801</c:v>
                </c:pt>
                <c:pt idx="1159">
                  <c:v>41802</c:v>
                </c:pt>
                <c:pt idx="1160">
                  <c:v>41803</c:v>
                </c:pt>
                <c:pt idx="1161">
                  <c:v>41806</c:v>
                </c:pt>
                <c:pt idx="1162">
                  <c:v>41807</c:v>
                </c:pt>
                <c:pt idx="1163">
                  <c:v>41808</c:v>
                </c:pt>
                <c:pt idx="1164">
                  <c:v>41809</c:v>
                </c:pt>
                <c:pt idx="1165">
                  <c:v>41810</c:v>
                </c:pt>
                <c:pt idx="1166">
                  <c:v>41813</c:v>
                </c:pt>
                <c:pt idx="1167">
                  <c:v>41814</c:v>
                </c:pt>
                <c:pt idx="1168">
                  <c:v>41815</c:v>
                </c:pt>
                <c:pt idx="1169">
                  <c:v>41816</c:v>
                </c:pt>
                <c:pt idx="1170">
                  <c:v>41817</c:v>
                </c:pt>
                <c:pt idx="1171">
                  <c:v>41820</c:v>
                </c:pt>
                <c:pt idx="1172">
                  <c:v>41821</c:v>
                </c:pt>
                <c:pt idx="1173">
                  <c:v>41822</c:v>
                </c:pt>
                <c:pt idx="1174">
                  <c:v>41823</c:v>
                </c:pt>
                <c:pt idx="1175">
                  <c:v>41824</c:v>
                </c:pt>
                <c:pt idx="1176">
                  <c:v>41827</c:v>
                </c:pt>
                <c:pt idx="1177">
                  <c:v>41828</c:v>
                </c:pt>
                <c:pt idx="1178">
                  <c:v>41829</c:v>
                </c:pt>
                <c:pt idx="1179">
                  <c:v>41830</c:v>
                </c:pt>
                <c:pt idx="1180">
                  <c:v>41831</c:v>
                </c:pt>
                <c:pt idx="1181">
                  <c:v>41834</c:v>
                </c:pt>
                <c:pt idx="1182">
                  <c:v>41835</c:v>
                </c:pt>
                <c:pt idx="1183">
                  <c:v>41836</c:v>
                </c:pt>
                <c:pt idx="1184">
                  <c:v>41837</c:v>
                </c:pt>
                <c:pt idx="1185">
                  <c:v>41838</c:v>
                </c:pt>
                <c:pt idx="1186">
                  <c:v>41841</c:v>
                </c:pt>
                <c:pt idx="1187">
                  <c:v>41842</c:v>
                </c:pt>
                <c:pt idx="1188">
                  <c:v>41843</c:v>
                </c:pt>
                <c:pt idx="1189">
                  <c:v>41844</c:v>
                </c:pt>
                <c:pt idx="1190">
                  <c:v>41845</c:v>
                </c:pt>
                <c:pt idx="1191">
                  <c:v>41848</c:v>
                </c:pt>
                <c:pt idx="1192">
                  <c:v>41849</c:v>
                </c:pt>
                <c:pt idx="1193">
                  <c:v>41850</c:v>
                </c:pt>
                <c:pt idx="1194">
                  <c:v>41851</c:v>
                </c:pt>
                <c:pt idx="1195">
                  <c:v>41852</c:v>
                </c:pt>
                <c:pt idx="1196">
                  <c:v>41855</c:v>
                </c:pt>
                <c:pt idx="1197">
                  <c:v>41856</c:v>
                </c:pt>
                <c:pt idx="1198">
                  <c:v>41857</c:v>
                </c:pt>
                <c:pt idx="1199">
                  <c:v>41858</c:v>
                </c:pt>
                <c:pt idx="1200">
                  <c:v>41859</c:v>
                </c:pt>
                <c:pt idx="1201">
                  <c:v>41862</c:v>
                </c:pt>
                <c:pt idx="1202">
                  <c:v>41863</c:v>
                </c:pt>
                <c:pt idx="1203">
                  <c:v>41864</c:v>
                </c:pt>
                <c:pt idx="1204">
                  <c:v>41865</c:v>
                </c:pt>
                <c:pt idx="1205">
                  <c:v>41866</c:v>
                </c:pt>
                <c:pt idx="1206">
                  <c:v>41869</c:v>
                </c:pt>
                <c:pt idx="1207">
                  <c:v>41870</c:v>
                </c:pt>
                <c:pt idx="1208">
                  <c:v>41871</c:v>
                </c:pt>
                <c:pt idx="1209">
                  <c:v>41872</c:v>
                </c:pt>
                <c:pt idx="1210">
                  <c:v>41873</c:v>
                </c:pt>
                <c:pt idx="1211">
                  <c:v>41876</c:v>
                </c:pt>
                <c:pt idx="1212">
                  <c:v>41877</c:v>
                </c:pt>
                <c:pt idx="1213">
                  <c:v>41878</c:v>
                </c:pt>
                <c:pt idx="1214">
                  <c:v>41879</c:v>
                </c:pt>
                <c:pt idx="1215">
                  <c:v>41880</c:v>
                </c:pt>
                <c:pt idx="1216">
                  <c:v>41883</c:v>
                </c:pt>
                <c:pt idx="1217">
                  <c:v>41884</c:v>
                </c:pt>
                <c:pt idx="1218">
                  <c:v>41885</c:v>
                </c:pt>
                <c:pt idx="1219">
                  <c:v>41886</c:v>
                </c:pt>
                <c:pt idx="1220">
                  <c:v>41887</c:v>
                </c:pt>
                <c:pt idx="1221">
                  <c:v>41890</c:v>
                </c:pt>
                <c:pt idx="1222">
                  <c:v>41891</c:v>
                </c:pt>
                <c:pt idx="1223">
                  <c:v>41892</c:v>
                </c:pt>
                <c:pt idx="1224">
                  <c:v>41893</c:v>
                </c:pt>
                <c:pt idx="1225">
                  <c:v>41894</c:v>
                </c:pt>
                <c:pt idx="1226">
                  <c:v>41897</c:v>
                </c:pt>
                <c:pt idx="1227">
                  <c:v>41898</c:v>
                </c:pt>
                <c:pt idx="1228">
                  <c:v>41899</c:v>
                </c:pt>
                <c:pt idx="1229">
                  <c:v>41900</c:v>
                </c:pt>
                <c:pt idx="1230">
                  <c:v>41901</c:v>
                </c:pt>
                <c:pt idx="1231">
                  <c:v>41904</c:v>
                </c:pt>
                <c:pt idx="1232">
                  <c:v>41905</c:v>
                </c:pt>
                <c:pt idx="1233">
                  <c:v>41906</c:v>
                </c:pt>
                <c:pt idx="1234">
                  <c:v>41907</c:v>
                </c:pt>
                <c:pt idx="1235">
                  <c:v>41908</c:v>
                </c:pt>
                <c:pt idx="1236">
                  <c:v>41911</c:v>
                </c:pt>
                <c:pt idx="1237">
                  <c:v>41912</c:v>
                </c:pt>
                <c:pt idx="1238">
                  <c:v>41913</c:v>
                </c:pt>
                <c:pt idx="1239">
                  <c:v>41914</c:v>
                </c:pt>
                <c:pt idx="1240">
                  <c:v>41915</c:v>
                </c:pt>
                <c:pt idx="1241">
                  <c:v>41918</c:v>
                </c:pt>
                <c:pt idx="1242">
                  <c:v>41919</c:v>
                </c:pt>
                <c:pt idx="1243">
                  <c:v>41920</c:v>
                </c:pt>
                <c:pt idx="1244">
                  <c:v>41921</c:v>
                </c:pt>
                <c:pt idx="1245">
                  <c:v>41922</c:v>
                </c:pt>
                <c:pt idx="1246">
                  <c:v>41925</c:v>
                </c:pt>
                <c:pt idx="1247">
                  <c:v>41926</c:v>
                </c:pt>
                <c:pt idx="1248">
                  <c:v>41927</c:v>
                </c:pt>
                <c:pt idx="1249">
                  <c:v>41928</c:v>
                </c:pt>
                <c:pt idx="1250">
                  <c:v>41929</c:v>
                </c:pt>
                <c:pt idx="1251">
                  <c:v>41932</c:v>
                </c:pt>
                <c:pt idx="1252">
                  <c:v>41933</c:v>
                </c:pt>
                <c:pt idx="1253">
                  <c:v>41934</c:v>
                </c:pt>
                <c:pt idx="1254">
                  <c:v>41935</c:v>
                </c:pt>
                <c:pt idx="1255">
                  <c:v>41936</c:v>
                </c:pt>
                <c:pt idx="1256">
                  <c:v>41939</c:v>
                </c:pt>
                <c:pt idx="1257">
                  <c:v>41940</c:v>
                </c:pt>
                <c:pt idx="1258">
                  <c:v>41941</c:v>
                </c:pt>
                <c:pt idx="1259">
                  <c:v>41942</c:v>
                </c:pt>
                <c:pt idx="1260">
                  <c:v>41943</c:v>
                </c:pt>
                <c:pt idx="1261">
                  <c:v>41946</c:v>
                </c:pt>
                <c:pt idx="1262">
                  <c:v>41947</c:v>
                </c:pt>
                <c:pt idx="1263">
                  <c:v>41948</c:v>
                </c:pt>
                <c:pt idx="1264">
                  <c:v>41949</c:v>
                </c:pt>
                <c:pt idx="1265">
                  <c:v>41950</c:v>
                </c:pt>
                <c:pt idx="1266">
                  <c:v>41953</c:v>
                </c:pt>
                <c:pt idx="1267">
                  <c:v>41954</c:v>
                </c:pt>
                <c:pt idx="1268">
                  <c:v>41955</c:v>
                </c:pt>
                <c:pt idx="1269">
                  <c:v>41956</c:v>
                </c:pt>
                <c:pt idx="1270">
                  <c:v>41957</c:v>
                </c:pt>
                <c:pt idx="1271">
                  <c:v>41960</c:v>
                </c:pt>
                <c:pt idx="1272">
                  <c:v>41961</c:v>
                </c:pt>
                <c:pt idx="1273">
                  <c:v>41962</c:v>
                </c:pt>
                <c:pt idx="1274">
                  <c:v>41963</c:v>
                </c:pt>
                <c:pt idx="1275">
                  <c:v>41964</c:v>
                </c:pt>
                <c:pt idx="1276">
                  <c:v>41967</c:v>
                </c:pt>
                <c:pt idx="1277">
                  <c:v>41968</c:v>
                </c:pt>
                <c:pt idx="1278">
                  <c:v>41969</c:v>
                </c:pt>
                <c:pt idx="1279">
                  <c:v>41970</c:v>
                </c:pt>
                <c:pt idx="1280">
                  <c:v>41971</c:v>
                </c:pt>
                <c:pt idx="1281">
                  <c:v>41974</c:v>
                </c:pt>
                <c:pt idx="1282">
                  <c:v>41975</c:v>
                </c:pt>
                <c:pt idx="1283">
                  <c:v>41976</c:v>
                </c:pt>
                <c:pt idx="1284">
                  <c:v>41977</c:v>
                </c:pt>
                <c:pt idx="1285">
                  <c:v>41978</c:v>
                </c:pt>
                <c:pt idx="1286">
                  <c:v>41981</c:v>
                </c:pt>
                <c:pt idx="1287">
                  <c:v>41982</c:v>
                </c:pt>
                <c:pt idx="1288">
                  <c:v>41983</c:v>
                </c:pt>
                <c:pt idx="1289">
                  <c:v>41984</c:v>
                </c:pt>
                <c:pt idx="1290">
                  <c:v>41985</c:v>
                </c:pt>
                <c:pt idx="1291">
                  <c:v>41988</c:v>
                </c:pt>
                <c:pt idx="1292">
                  <c:v>41989</c:v>
                </c:pt>
                <c:pt idx="1293">
                  <c:v>41990</c:v>
                </c:pt>
                <c:pt idx="1294">
                  <c:v>41991</c:v>
                </c:pt>
                <c:pt idx="1295">
                  <c:v>41992</c:v>
                </c:pt>
                <c:pt idx="1296">
                  <c:v>41995</c:v>
                </c:pt>
                <c:pt idx="1297">
                  <c:v>41996</c:v>
                </c:pt>
                <c:pt idx="1298">
                  <c:v>41997</c:v>
                </c:pt>
                <c:pt idx="1299">
                  <c:v>41998</c:v>
                </c:pt>
                <c:pt idx="1300">
                  <c:v>41999</c:v>
                </c:pt>
                <c:pt idx="1301">
                  <c:v>42002</c:v>
                </c:pt>
                <c:pt idx="1302">
                  <c:v>42003</c:v>
                </c:pt>
                <c:pt idx="1303">
                  <c:v>42004</c:v>
                </c:pt>
                <c:pt idx="1304">
                  <c:v>42005</c:v>
                </c:pt>
                <c:pt idx="1305">
                  <c:v>42006</c:v>
                </c:pt>
                <c:pt idx="1306">
                  <c:v>42009</c:v>
                </c:pt>
                <c:pt idx="1307">
                  <c:v>42010</c:v>
                </c:pt>
                <c:pt idx="1308">
                  <c:v>42011</c:v>
                </c:pt>
                <c:pt idx="1309">
                  <c:v>42012</c:v>
                </c:pt>
                <c:pt idx="1310">
                  <c:v>42013</c:v>
                </c:pt>
                <c:pt idx="1311">
                  <c:v>42016</c:v>
                </c:pt>
                <c:pt idx="1312">
                  <c:v>42017</c:v>
                </c:pt>
                <c:pt idx="1313">
                  <c:v>42018</c:v>
                </c:pt>
                <c:pt idx="1314">
                  <c:v>42019</c:v>
                </c:pt>
                <c:pt idx="1315">
                  <c:v>42020</c:v>
                </c:pt>
                <c:pt idx="1316">
                  <c:v>42023</c:v>
                </c:pt>
                <c:pt idx="1317">
                  <c:v>42024</c:v>
                </c:pt>
                <c:pt idx="1318">
                  <c:v>42025</c:v>
                </c:pt>
                <c:pt idx="1319">
                  <c:v>42026</c:v>
                </c:pt>
                <c:pt idx="1320">
                  <c:v>42027</c:v>
                </c:pt>
                <c:pt idx="1321">
                  <c:v>42030</c:v>
                </c:pt>
                <c:pt idx="1322">
                  <c:v>42031</c:v>
                </c:pt>
                <c:pt idx="1323">
                  <c:v>42032</c:v>
                </c:pt>
                <c:pt idx="1324">
                  <c:v>42033</c:v>
                </c:pt>
                <c:pt idx="1325">
                  <c:v>42034</c:v>
                </c:pt>
                <c:pt idx="1326">
                  <c:v>42037</c:v>
                </c:pt>
                <c:pt idx="1327">
                  <c:v>42038</c:v>
                </c:pt>
                <c:pt idx="1328">
                  <c:v>42039</c:v>
                </c:pt>
                <c:pt idx="1329">
                  <c:v>42040</c:v>
                </c:pt>
                <c:pt idx="1330">
                  <c:v>42041</c:v>
                </c:pt>
                <c:pt idx="1331">
                  <c:v>42044</c:v>
                </c:pt>
                <c:pt idx="1332">
                  <c:v>42045</c:v>
                </c:pt>
                <c:pt idx="1333">
                  <c:v>42046</c:v>
                </c:pt>
                <c:pt idx="1334">
                  <c:v>42047</c:v>
                </c:pt>
                <c:pt idx="1335">
                  <c:v>42048</c:v>
                </c:pt>
                <c:pt idx="1336">
                  <c:v>42051</c:v>
                </c:pt>
                <c:pt idx="1337">
                  <c:v>42052</c:v>
                </c:pt>
                <c:pt idx="1338">
                  <c:v>42053</c:v>
                </c:pt>
                <c:pt idx="1339">
                  <c:v>42054</c:v>
                </c:pt>
                <c:pt idx="1340">
                  <c:v>42055</c:v>
                </c:pt>
                <c:pt idx="1341">
                  <c:v>42058</c:v>
                </c:pt>
                <c:pt idx="1342">
                  <c:v>42059</c:v>
                </c:pt>
                <c:pt idx="1343">
                  <c:v>42060</c:v>
                </c:pt>
                <c:pt idx="1344">
                  <c:v>42061</c:v>
                </c:pt>
                <c:pt idx="1345">
                  <c:v>42062</c:v>
                </c:pt>
                <c:pt idx="1346">
                  <c:v>42065</c:v>
                </c:pt>
                <c:pt idx="1347">
                  <c:v>42066</c:v>
                </c:pt>
                <c:pt idx="1348">
                  <c:v>42067</c:v>
                </c:pt>
                <c:pt idx="1349">
                  <c:v>42068</c:v>
                </c:pt>
                <c:pt idx="1350">
                  <c:v>42069</c:v>
                </c:pt>
                <c:pt idx="1351">
                  <c:v>42072</c:v>
                </c:pt>
                <c:pt idx="1352">
                  <c:v>42073</c:v>
                </c:pt>
                <c:pt idx="1353">
                  <c:v>42074</c:v>
                </c:pt>
                <c:pt idx="1354">
                  <c:v>42075</c:v>
                </c:pt>
                <c:pt idx="1355">
                  <c:v>42076</c:v>
                </c:pt>
                <c:pt idx="1356">
                  <c:v>42079</c:v>
                </c:pt>
                <c:pt idx="1357">
                  <c:v>42080</c:v>
                </c:pt>
                <c:pt idx="1358">
                  <c:v>42081</c:v>
                </c:pt>
                <c:pt idx="1359">
                  <c:v>42082</c:v>
                </c:pt>
                <c:pt idx="1360">
                  <c:v>42083</c:v>
                </c:pt>
                <c:pt idx="1361">
                  <c:v>42086</c:v>
                </c:pt>
                <c:pt idx="1362">
                  <c:v>42087</c:v>
                </c:pt>
                <c:pt idx="1363">
                  <c:v>42088</c:v>
                </c:pt>
                <c:pt idx="1364">
                  <c:v>42089</c:v>
                </c:pt>
                <c:pt idx="1365">
                  <c:v>42090</c:v>
                </c:pt>
                <c:pt idx="1366">
                  <c:v>42093</c:v>
                </c:pt>
                <c:pt idx="1367">
                  <c:v>42094</c:v>
                </c:pt>
                <c:pt idx="1368">
                  <c:v>42095</c:v>
                </c:pt>
                <c:pt idx="1369">
                  <c:v>42096</c:v>
                </c:pt>
                <c:pt idx="1370">
                  <c:v>42097</c:v>
                </c:pt>
                <c:pt idx="1371">
                  <c:v>42100</c:v>
                </c:pt>
                <c:pt idx="1372">
                  <c:v>42101</c:v>
                </c:pt>
                <c:pt idx="1373">
                  <c:v>42102</c:v>
                </c:pt>
                <c:pt idx="1374">
                  <c:v>42103</c:v>
                </c:pt>
                <c:pt idx="1375">
                  <c:v>42104</c:v>
                </c:pt>
                <c:pt idx="1376">
                  <c:v>42107</c:v>
                </c:pt>
                <c:pt idx="1377">
                  <c:v>42108</c:v>
                </c:pt>
                <c:pt idx="1378">
                  <c:v>42109</c:v>
                </c:pt>
                <c:pt idx="1379">
                  <c:v>42110</c:v>
                </c:pt>
                <c:pt idx="1380">
                  <c:v>42111</c:v>
                </c:pt>
                <c:pt idx="1381">
                  <c:v>42114</c:v>
                </c:pt>
                <c:pt idx="1382">
                  <c:v>42115</c:v>
                </c:pt>
                <c:pt idx="1383">
                  <c:v>42116</c:v>
                </c:pt>
                <c:pt idx="1384">
                  <c:v>42117</c:v>
                </c:pt>
                <c:pt idx="1385">
                  <c:v>42118</c:v>
                </c:pt>
                <c:pt idx="1386">
                  <c:v>42121</c:v>
                </c:pt>
                <c:pt idx="1387">
                  <c:v>42122</c:v>
                </c:pt>
                <c:pt idx="1388">
                  <c:v>42123</c:v>
                </c:pt>
                <c:pt idx="1389">
                  <c:v>42124</c:v>
                </c:pt>
                <c:pt idx="1390">
                  <c:v>42125</c:v>
                </c:pt>
                <c:pt idx="1391">
                  <c:v>42128</c:v>
                </c:pt>
                <c:pt idx="1392">
                  <c:v>42129</c:v>
                </c:pt>
                <c:pt idx="1393">
                  <c:v>42130</c:v>
                </c:pt>
                <c:pt idx="1394">
                  <c:v>42131</c:v>
                </c:pt>
                <c:pt idx="1395">
                  <c:v>42132</c:v>
                </c:pt>
                <c:pt idx="1396">
                  <c:v>42135</c:v>
                </c:pt>
                <c:pt idx="1397">
                  <c:v>42136</c:v>
                </c:pt>
                <c:pt idx="1398">
                  <c:v>42137</c:v>
                </c:pt>
                <c:pt idx="1399">
                  <c:v>42138</c:v>
                </c:pt>
                <c:pt idx="1400">
                  <c:v>42139</c:v>
                </c:pt>
                <c:pt idx="1401">
                  <c:v>42142</c:v>
                </c:pt>
                <c:pt idx="1402">
                  <c:v>42143</c:v>
                </c:pt>
                <c:pt idx="1403">
                  <c:v>42144</c:v>
                </c:pt>
                <c:pt idx="1404">
                  <c:v>42145</c:v>
                </c:pt>
                <c:pt idx="1405">
                  <c:v>42146</c:v>
                </c:pt>
                <c:pt idx="1406">
                  <c:v>42149</c:v>
                </c:pt>
                <c:pt idx="1407">
                  <c:v>42150</c:v>
                </c:pt>
                <c:pt idx="1408">
                  <c:v>42151</c:v>
                </c:pt>
                <c:pt idx="1409">
                  <c:v>42152</c:v>
                </c:pt>
                <c:pt idx="1410">
                  <c:v>42153</c:v>
                </c:pt>
                <c:pt idx="1411">
                  <c:v>42156</c:v>
                </c:pt>
                <c:pt idx="1412">
                  <c:v>42157</c:v>
                </c:pt>
                <c:pt idx="1413">
                  <c:v>42158</c:v>
                </c:pt>
                <c:pt idx="1414">
                  <c:v>42159</c:v>
                </c:pt>
                <c:pt idx="1415">
                  <c:v>42160</c:v>
                </c:pt>
                <c:pt idx="1416">
                  <c:v>42163</c:v>
                </c:pt>
                <c:pt idx="1417">
                  <c:v>42164</c:v>
                </c:pt>
                <c:pt idx="1418">
                  <c:v>42165</c:v>
                </c:pt>
                <c:pt idx="1419">
                  <c:v>42166</c:v>
                </c:pt>
                <c:pt idx="1420">
                  <c:v>42167</c:v>
                </c:pt>
                <c:pt idx="1421">
                  <c:v>42170</c:v>
                </c:pt>
                <c:pt idx="1422">
                  <c:v>42171</c:v>
                </c:pt>
                <c:pt idx="1423">
                  <c:v>42172</c:v>
                </c:pt>
                <c:pt idx="1424">
                  <c:v>42173</c:v>
                </c:pt>
                <c:pt idx="1425">
                  <c:v>42174</c:v>
                </c:pt>
                <c:pt idx="1426">
                  <c:v>42177</c:v>
                </c:pt>
                <c:pt idx="1427">
                  <c:v>42178</c:v>
                </c:pt>
                <c:pt idx="1428">
                  <c:v>42179</c:v>
                </c:pt>
                <c:pt idx="1429">
                  <c:v>42180</c:v>
                </c:pt>
                <c:pt idx="1430">
                  <c:v>42181</c:v>
                </c:pt>
                <c:pt idx="1431">
                  <c:v>42184</c:v>
                </c:pt>
                <c:pt idx="1432">
                  <c:v>42185</c:v>
                </c:pt>
                <c:pt idx="1433">
                  <c:v>42186</c:v>
                </c:pt>
                <c:pt idx="1434">
                  <c:v>42187</c:v>
                </c:pt>
                <c:pt idx="1435">
                  <c:v>42188</c:v>
                </c:pt>
                <c:pt idx="1436">
                  <c:v>42191</c:v>
                </c:pt>
                <c:pt idx="1437">
                  <c:v>42192</c:v>
                </c:pt>
                <c:pt idx="1438">
                  <c:v>42193</c:v>
                </c:pt>
                <c:pt idx="1439">
                  <c:v>42194</c:v>
                </c:pt>
                <c:pt idx="1440">
                  <c:v>42195</c:v>
                </c:pt>
                <c:pt idx="1441">
                  <c:v>42198</c:v>
                </c:pt>
                <c:pt idx="1442">
                  <c:v>42199</c:v>
                </c:pt>
                <c:pt idx="1443">
                  <c:v>42200</c:v>
                </c:pt>
                <c:pt idx="1444">
                  <c:v>42201</c:v>
                </c:pt>
                <c:pt idx="1445">
                  <c:v>42202</c:v>
                </c:pt>
                <c:pt idx="1446">
                  <c:v>42205</c:v>
                </c:pt>
                <c:pt idx="1447">
                  <c:v>42206</c:v>
                </c:pt>
                <c:pt idx="1448">
                  <c:v>42207</c:v>
                </c:pt>
                <c:pt idx="1449">
                  <c:v>42208</c:v>
                </c:pt>
                <c:pt idx="1450">
                  <c:v>42209</c:v>
                </c:pt>
                <c:pt idx="1451">
                  <c:v>42212</c:v>
                </c:pt>
                <c:pt idx="1452">
                  <c:v>42213</c:v>
                </c:pt>
                <c:pt idx="1453">
                  <c:v>42214</c:v>
                </c:pt>
                <c:pt idx="1454">
                  <c:v>42215</c:v>
                </c:pt>
                <c:pt idx="1455">
                  <c:v>42216</c:v>
                </c:pt>
                <c:pt idx="1456">
                  <c:v>42219</c:v>
                </c:pt>
                <c:pt idx="1457">
                  <c:v>42220</c:v>
                </c:pt>
                <c:pt idx="1458">
                  <c:v>42221</c:v>
                </c:pt>
                <c:pt idx="1459">
                  <c:v>42222</c:v>
                </c:pt>
                <c:pt idx="1460">
                  <c:v>42223</c:v>
                </c:pt>
                <c:pt idx="1461">
                  <c:v>42226</c:v>
                </c:pt>
                <c:pt idx="1462">
                  <c:v>42227</c:v>
                </c:pt>
                <c:pt idx="1463">
                  <c:v>42228</c:v>
                </c:pt>
                <c:pt idx="1464">
                  <c:v>42229</c:v>
                </c:pt>
                <c:pt idx="1465">
                  <c:v>42230</c:v>
                </c:pt>
                <c:pt idx="1466">
                  <c:v>42233</c:v>
                </c:pt>
                <c:pt idx="1467">
                  <c:v>42234</c:v>
                </c:pt>
                <c:pt idx="1468">
                  <c:v>42235</c:v>
                </c:pt>
                <c:pt idx="1469">
                  <c:v>42236</c:v>
                </c:pt>
                <c:pt idx="1470">
                  <c:v>42237</c:v>
                </c:pt>
                <c:pt idx="1471">
                  <c:v>42240</c:v>
                </c:pt>
                <c:pt idx="1472">
                  <c:v>42241</c:v>
                </c:pt>
                <c:pt idx="1473">
                  <c:v>42242</c:v>
                </c:pt>
                <c:pt idx="1474">
                  <c:v>42243</c:v>
                </c:pt>
                <c:pt idx="1475">
                  <c:v>42244</c:v>
                </c:pt>
                <c:pt idx="1476">
                  <c:v>42247</c:v>
                </c:pt>
                <c:pt idx="1477">
                  <c:v>42248</c:v>
                </c:pt>
                <c:pt idx="1478">
                  <c:v>42249</c:v>
                </c:pt>
                <c:pt idx="1479">
                  <c:v>42250</c:v>
                </c:pt>
                <c:pt idx="1480">
                  <c:v>42251</c:v>
                </c:pt>
                <c:pt idx="1481">
                  <c:v>42254</c:v>
                </c:pt>
                <c:pt idx="1482">
                  <c:v>42255</c:v>
                </c:pt>
                <c:pt idx="1483">
                  <c:v>42256</c:v>
                </c:pt>
                <c:pt idx="1484">
                  <c:v>42257</c:v>
                </c:pt>
                <c:pt idx="1485">
                  <c:v>42258</c:v>
                </c:pt>
                <c:pt idx="1486">
                  <c:v>42261</c:v>
                </c:pt>
                <c:pt idx="1487">
                  <c:v>42262</c:v>
                </c:pt>
                <c:pt idx="1488">
                  <c:v>42263</c:v>
                </c:pt>
                <c:pt idx="1489">
                  <c:v>42264</c:v>
                </c:pt>
                <c:pt idx="1490">
                  <c:v>42265</c:v>
                </c:pt>
                <c:pt idx="1491">
                  <c:v>42268</c:v>
                </c:pt>
                <c:pt idx="1492">
                  <c:v>42269</c:v>
                </c:pt>
                <c:pt idx="1493">
                  <c:v>42270</c:v>
                </c:pt>
                <c:pt idx="1494">
                  <c:v>42271</c:v>
                </c:pt>
                <c:pt idx="1495">
                  <c:v>42272</c:v>
                </c:pt>
                <c:pt idx="1496">
                  <c:v>42275</c:v>
                </c:pt>
                <c:pt idx="1497">
                  <c:v>42276</c:v>
                </c:pt>
                <c:pt idx="1498">
                  <c:v>42277</c:v>
                </c:pt>
                <c:pt idx="1499">
                  <c:v>42278</c:v>
                </c:pt>
                <c:pt idx="1500">
                  <c:v>42279</c:v>
                </c:pt>
                <c:pt idx="1501">
                  <c:v>42282</c:v>
                </c:pt>
                <c:pt idx="1502">
                  <c:v>42283</c:v>
                </c:pt>
                <c:pt idx="1503">
                  <c:v>42284</c:v>
                </c:pt>
                <c:pt idx="1504">
                  <c:v>42285</c:v>
                </c:pt>
                <c:pt idx="1505">
                  <c:v>42286</c:v>
                </c:pt>
                <c:pt idx="1506">
                  <c:v>42289</c:v>
                </c:pt>
                <c:pt idx="1507">
                  <c:v>42290</c:v>
                </c:pt>
                <c:pt idx="1508">
                  <c:v>42291</c:v>
                </c:pt>
                <c:pt idx="1509">
                  <c:v>42292</c:v>
                </c:pt>
                <c:pt idx="1510">
                  <c:v>42293</c:v>
                </c:pt>
                <c:pt idx="1511">
                  <c:v>42296</c:v>
                </c:pt>
                <c:pt idx="1512">
                  <c:v>42297</c:v>
                </c:pt>
                <c:pt idx="1513">
                  <c:v>42298</c:v>
                </c:pt>
                <c:pt idx="1514">
                  <c:v>42299</c:v>
                </c:pt>
                <c:pt idx="1515">
                  <c:v>42300</c:v>
                </c:pt>
                <c:pt idx="1516">
                  <c:v>42303</c:v>
                </c:pt>
                <c:pt idx="1517">
                  <c:v>42304</c:v>
                </c:pt>
                <c:pt idx="1518">
                  <c:v>42305</c:v>
                </c:pt>
                <c:pt idx="1519">
                  <c:v>42306</c:v>
                </c:pt>
                <c:pt idx="1520">
                  <c:v>42307</c:v>
                </c:pt>
                <c:pt idx="1521">
                  <c:v>42310</c:v>
                </c:pt>
                <c:pt idx="1522">
                  <c:v>42311</c:v>
                </c:pt>
                <c:pt idx="1523">
                  <c:v>42312</c:v>
                </c:pt>
                <c:pt idx="1524">
                  <c:v>42313</c:v>
                </c:pt>
                <c:pt idx="1525">
                  <c:v>42314</c:v>
                </c:pt>
                <c:pt idx="1526">
                  <c:v>42317</c:v>
                </c:pt>
                <c:pt idx="1527">
                  <c:v>42318</c:v>
                </c:pt>
                <c:pt idx="1528">
                  <c:v>42319</c:v>
                </c:pt>
                <c:pt idx="1529">
                  <c:v>42320</c:v>
                </c:pt>
                <c:pt idx="1530">
                  <c:v>42321</c:v>
                </c:pt>
                <c:pt idx="1531">
                  <c:v>42324</c:v>
                </c:pt>
                <c:pt idx="1532">
                  <c:v>42325</c:v>
                </c:pt>
                <c:pt idx="1533">
                  <c:v>42326</c:v>
                </c:pt>
                <c:pt idx="1534">
                  <c:v>42327</c:v>
                </c:pt>
                <c:pt idx="1535">
                  <c:v>42328</c:v>
                </c:pt>
                <c:pt idx="1536">
                  <c:v>42331</c:v>
                </c:pt>
                <c:pt idx="1537">
                  <c:v>42332</c:v>
                </c:pt>
                <c:pt idx="1538">
                  <c:v>42333</c:v>
                </c:pt>
                <c:pt idx="1539">
                  <c:v>42334</c:v>
                </c:pt>
                <c:pt idx="1540">
                  <c:v>42335</c:v>
                </c:pt>
                <c:pt idx="1541">
                  <c:v>42338</c:v>
                </c:pt>
                <c:pt idx="1542">
                  <c:v>42339</c:v>
                </c:pt>
                <c:pt idx="1543">
                  <c:v>42340</c:v>
                </c:pt>
                <c:pt idx="1544">
                  <c:v>42341</c:v>
                </c:pt>
                <c:pt idx="1545">
                  <c:v>42342</c:v>
                </c:pt>
                <c:pt idx="1546">
                  <c:v>42345</c:v>
                </c:pt>
                <c:pt idx="1547">
                  <c:v>42346</c:v>
                </c:pt>
                <c:pt idx="1548">
                  <c:v>42347</c:v>
                </c:pt>
                <c:pt idx="1549">
                  <c:v>42348</c:v>
                </c:pt>
                <c:pt idx="1550">
                  <c:v>42349</c:v>
                </c:pt>
                <c:pt idx="1551">
                  <c:v>42352</c:v>
                </c:pt>
                <c:pt idx="1552">
                  <c:v>42353</c:v>
                </c:pt>
                <c:pt idx="1553">
                  <c:v>42354</c:v>
                </c:pt>
                <c:pt idx="1554">
                  <c:v>42355</c:v>
                </c:pt>
                <c:pt idx="1555">
                  <c:v>42356</c:v>
                </c:pt>
                <c:pt idx="1556">
                  <c:v>42359</c:v>
                </c:pt>
                <c:pt idx="1557">
                  <c:v>42360</c:v>
                </c:pt>
                <c:pt idx="1558">
                  <c:v>42361</c:v>
                </c:pt>
                <c:pt idx="1559">
                  <c:v>42362</c:v>
                </c:pt>
                <c:pt idx="1560">
                  <c:v>42363</c:v>
                </c:pt>
                <c:pt idx="1561">
                  <c:v>42366</c:v>
                </c:pt>
                <c:pt idx="1562">
                  <c:v>42367</c:v>
                </c:pt>
                <c:pt idx="1563">
                  <c:v>42368</c:v>
                </c:pt>
                <c:pt idx="1564">
                  <c:v>42369</c:v>
                </c:pt>
                <c:pt idx="1565">
                  <c:v>42370</c:v>
                </c:pt>
                <c:pt idx="1566">
                  <c:v>42373</c:v>
                </c:pt>
                <c:pt idx="1567">
                  <c:v>42374</c:v>
                </c:pt>
                <c:pt idx="1568">
                  <c:v>42375</c:v>
                </c:pt>
                <c:pt idx="1569">
                  <c:v>42376</c:v>
                </c:pt>
                <c:pt idx="1570">
                  <c:v>42377</c:v>
                </c:pt>
                <c:pt idx="1571">
                  <c:v>42380</c:v>
                </c:pt>
                <c:pt idx="1572">
                  <c:v>42381</c:v>
                </c:pt>
                <c:pt idx="1573">
                  <c:v>42382</c:v>
                </c:pt>
                <c:pt idx="1574">
                  <c:v>42383</c:v>
                </c:pt>
                <c:pt idx="1575">
                  <c:v>42384</c:v>
                </c:pt>
                <c:pt idx="1576">
                  <c:v>42387</c:v>
                </c:pt>
                <c:pt idx="1577">
                  <c:v>42388</c:v>
                </c:pt>
                <c:pt idx="1578">
                  <c:v>42389</c:v>
                </c:pt>
                <c:pt idx="1579">
                  <c:v>42390</c:v>
                </c:pt>
                <c:pt idx="1580">
                  <c:v>42391</c:v>
                </c:pt>
                <c:pt idx="1581">
                  <c:v>42394</c:v>
                </c:pt>
                <c:pt idx="1582">
                  <c:v>42395</c:v>
                </c:pt>
                <c:pt idx="1583">
                  <c:v>42396</c:v>
                </c:pt>
                <c:pt idx="1584">
                  <c:v>42397</c:v>
                </c:pt>
                <c:pt idx="1585">
                  <c:v>42398</c:v>
                </c:pt>
                <c:pt idx="1586">
                  <c:v>42401</c:v>
                </c:pt>
                <c:pt idx="1587">
                  <c:v>42402</c:v>
                </c:pt>
                <c:pt idx="1588">
                  <c:v>42403</c:v>
                </c:pt>
                <c:pt idx="1589">
                  <c:v>42404</c:v>
                </c:pt>
                <c:pt idx="1590">
                  <c:v>42405</c:v>
                </c:pt>
                <c:pt idx="1591">
                  <c:v>42408</c:v>
                </c:pt>
                <c:pt idx="1592">
                  <c:v>42409</c:v>
                </c:pt>
                <c:pt idx="1593">
                  <c:v>42410</c:v>
                </c:pt>
                <c:pt idx="1594">
                  <c:v>42411</c:v>
                </c:pt>
                <c:pt idx="1595">
                  <c:v>42412</c:v>
                </c:pt>
                <c:pt idx="1596">
                  <c:v>42415</c:v>
                </c:pt>
                <c:pt idx="1597">
                  <c:v>42416</c:v>
                </c:pt>
                <c:pt idx="1598">
                  <c:v>42417</c:v>
                </c:pt>
                <c:pt idx="1599">
                  <c:v>42418</c:v>
                </c:pt>
                <c:pt idx="1600">
                  <c:v>42419</c:v>
                </c:pt>
                <c:pt idx="1601">
                  <c:v>42422</c:v>
                </c:pt>
                <c:pt idx="1602">
                  <c:v>42423</c:v>
                </c:pt>
                <c:pt idx="1603">
                  <c:v>42424</c:v>
                </c:pt>
                <c:pt idx="1604">
                  <c:v>42425</c:v>
                </c:pt>
                <c:pt idx="1605">
                  <c:v>42426</c:v>
                </c:pt>
                <c:pt idx="1606">
                  <c:v>42429</c:v>
                </c:pt>
                <c:pt idx="1607">
                  <c:v>42430</c:v>
                </c:pt>
                <c:pt idx="1608">
                  <c:v>42431</c:v>
                </c:pt>
                <c:pt idx="1609">
                  <c:v>42432</c:v>
                </c:pt>
                <c:pt idx="1610">
                  <c:v>42433</c:v>
                </c:pt>
                <c:pt idx="1611">
                  <c:v>42436</c:v>
                </c:pt>
                <c:pt idx="1612">
                  <c:v>42437</c:v>
                </c:pt>
                <c:pt idx="1613">
                  <c:v>42438</c:v>
                </c:pt>
                <c:pt idx="1614">
                  <c:v>42439</c:v>
                </c:pt>
                <c:pt idx="1615">
                  <c:v>42440</c:v>
                </c:pt>
                <c:pt idx="1616">
                  <c:v>42443</c:v>
                </c:pt>
                <c:pt idx="1617">
                  <c:v>42444</c:v>
                </c:pt>
                <c:pt idx="1618">
                  <c:v>42445</c:v>
                </c:pt>
                <c:pt idx="1619">
                  <c:v>42446</c:v>
                </c:pt>
                <c:pt idx="1620">
                  <c:v>42447</c:v>
                </c:pt>
                <c:pt idx="1621">
                  <c:v>42450</c:v>
                </c:pt>
                <c:pt idx="1622">
                  <c:v>42451</c:v>
                </c:pt>
                <c:pt idx="1623">
                  <c:v>42452</c:v>
                </c:pt>
                <c:pt idx="1624">
                  <c:v>42453</c:v>
                </c:pt>
                <c:pt idx="1625">
                  <c:v>42454</c:v>
                </c:pt>
                <c:pt idx="1626">
                  <c:v>42457</c:v>
                </c:pt>
                <c:pt idx="1627">
                  <c:v>42458</c:v>
                </c:pt>
                <c:pt idx="1628">
                  <c:v>42459</c:v>
                </c:pt>
                <c:pt idx="1629">
                  <c:v>42460</c:v>
                </c:pt>
                <c:pt idx="1630">
                  <c:v>42461</c:v>
                </c:pt>
                <c:pt idx="1631">
                  <c:v>42464</c:v>
                </c:pt>
                <c:pt idx="1632">
                  <c:v>42465</c:v>
                </c:pt>
                <c:pt idx="1633">
                  <c:v>42466</c:v>
                </c:pt>
                <c:pt idx="1634">
                  <c:v>42467</c:v>
                </c:pt>
                <c:pt idx="1635">
                  <c:v>42468</c:v>
                </c:pt>
                <c:pt idx="1636">
                  <c:v>42471</c:v>
                </c:pt>
                <c:pt idx="1637">
                  <c:v>42472</c:v>
                </c:pt>
                <c:pt idx="1638">
                  <c:v>42473</c:v>
                </c:pt>
                <c:pt idx="1639">
                  <c:v>42474</c:v>
                </c:pt>
                <c:pt idx="1640">
                  <c:v>42475</c:v>
                </c:pt>
                <c:pt idx="1641">
                  <c:v>42478</c:v>
                </c:pt>
                <c:pt idx="1642">
                  <c:v>42479</c:v>
                </c:pt>
                <c:pt idx="1643">
                  <c:v>42480</c:v>
                </c:pt>
                <c:pt idx="1644">
                  <c:v>42481</c:v>
                </c:pt>
                <c:pt idx="1645">
                  <c:v>42482</c:v>
                </c:pt>
                <c:pt idx="1646">
                  <c:v>42485</c:v>
                </c:pt>
                <c:pt idx="1647">
                  <c:v>42486</c:v>
                </c:pt>
                <c:pt idx="1648">
                  <c:v>42487</c:v>
                </c:pt>
                <c:pt idx="1649">
                  <c:v>42488</c:v>
                </c:pt>
                <c:pt idx="1650">
                  <c:v>42489</c:v>
                </c:pt>
                <c:pt idx="1651">
                  <c:v>42492</c:v>
                </c:pt>
                <c:pt idx="1652">
                  <c:v>42493</c:v>
                </c:pt>
                <c:pt idx="1653">
                  <c:v>42494</c:v>
                </c:pt>
                <c:pt idx="1654">
                  <c:v>42495</c:v>
                </c:pt>
                <c:pt idx="1655">
                  <c:v>42496</c:v>
                </c:pt>
                <c:pt idx="1656">
                  <c:v>42499</c:v>
                </c:pt>
                <c:pt idx="1657">
                  <c:v>42500</c:v>
                </c:pt>
                <c:pt idx="1658">
                  <c:v>42501</c:v>
                </c:pt>
                <c:pt idx="1659">
                  <c:v>42502</c:v>
                </c:pt>
                <c:pt idx="1660">
                  <c:v>42503</c:v>
                </c:pt>
                <c:pt idx="1661">
                  <c:v>42506</c:v>
                </c:pt>
                <c:pt idx="1662">
                  <c:v>42507</c:v>
                </c:pt>
                <c:pt idx="1663">
                  <c:v>42508</c:v>
                </c:pt>
                <c:pt idx="1664">
                  <c:v>42509</c:v>
                </c:pt>
                <c:pt idx="1665">
                  <c:v>42510</c:v>
                </c:pt>
                <c:pt idx="1666">
                  <c:v>42513</c:v>
                </c:pt>
                <c:pt idx="1667">
                  <c:v>42514</c:v>
                </c:pt>
                <c:pt idx="1668">
                  <c:v>42515</c:v>
                </c:pt>
                <c:pt idx="1669">
                  <c:v>42516</c:v>
                </c:pt>
                <c:pt idx="1670">
                  <c:v>42517</c:v>
                </c:pt>
                <c:pt idx="1671">
                  <c:v>42520</c:v>
                </c:pt>
                <c:pt idx="1672">
                  <c:v>42521</c:v>
                </c:pt>
                <c:pt idx="1673">
                  <c:v>42522</c:v>
                </c:pt>
                <c:pt idx="1674">
                  <c:v>42523</c:v>
                </c:pt>
                <c:pt idx="1675">
                  <c:v>42524</c:v>
                </c:pt>
                <c:pt idx="1676">
                  <c:v>42527</c:v>
                </c:pt>
                <c:pt idx="1677">
                  <c:v>42528</c:v>
                </c:pt>
                <c:pt idx="1678">
                  <c:v>42529</c:v>
                </c:pt>
                <c:pt idx="1679">
                  <c:v>42530</c:v>
                </c:pt>
                <c:pt idx="1680">
                  <c:v>42531</c:v>
                </c:pt>
                <c:pt idx="1681">
                  <c:v>42534</c:v>
                </c:pt>
                <c:pt idx="1682">
                  <c:v>42535</c:v>
                </c:pt>
                <c:pt idx="1683">
                  <c:v>42536</c:v>
                </c:pt>
                <c:pt idx="1684">
                  <c:v>42537</c:v>
                </c:pt>
                <c:pt idx="1685">
                  <c:v>42538</c:v>
                </c:pt>
                <c:pt idx="1686">
                  <c:v>42541</c:v>
                </c:pt>
                <c:pt idx="1687">
                  <c:v>42542</c:v>
                </c:pt>
                <c:pt idx="1688">
                  <c:v>42543</c:v>
                </c:pt>
                <c:pt idx="1689">
                  <c:v>42544</c:v>
                </c:pt>
                <c:pt idx="1690">
                  <c:v>42545</c:v>
                </c:pt>
                <c:pt idx="1691">
                  <c:v>42548</c:v>
                </c:pt>
                <c:pt idx="1692">
                  <c:v>42549</c:v>
                </c:pt>
                <c:pt idx="1693">
                  <c:v>42550</c:v>
                </c:pt>
                <c:pt idx="1694">
                  <c:v>42551</c:v>
                </c:pt>
                <c:pt idx="1695">
                  <c:v>42552</c:v>
                </c:pt>
                <c:pt idx="1696">
                  <c:v>42555</c:v>
                </c:pt>
                <c:pt idx="1697">
                  <c:v>42556</c:v>
                </c:pt>
                <c:pt idx="1698">
                  <c:v>42557</c:v>
                </c:pt>
                <c:pt idx="1699">
                  <c:v>42558</c:v>
                </c:pt>
                <c:pt idx="1700">
                  <c:v>42559</c:v>
                </c:pt>
                <c:pt idx="1701">
                  <c:v>42562</c:v>
                </c:pt>
                <c:pt idx="1702">
                  <c:v>42563</c:v>
                </c:pt>
                <c:pt idx="1703">
                  <c:v>42564</c:v>
                </c:pt>
                <c:pt idx="1704">
                  <c:v>42565</c:v>
                </c:pt>
                <c:pt idx="1705">
                  <c:v>42566</c:v>
                </c:pt>
                <c:pt idx="1706">
                  <c:v>42569</c:v>
                </c:pt>
                <c:pt idx="1707">
                  <c:v>42570</c:v>
                </c:pt>
                <c:pt idx="1708">
                  <c:v>42571</c:v>
                </c:pt>
                <c:pt idx="1709">
                  <c:v>42572</c:v>
                </c:pt>
                <c:pt idx="1710">
                  <c:v>42573</c:v>
                </c:pt>
                <c:pt idx="1711">
                  <c:v>42576</c:v>
                </c:pt>
                <c:pt idx="1712">
                  <c:v>42577</c:v>
                </c:pt>
                <c:pt idx="1713">
                  <c:v>42578</c:v>
                </c:pt>
                <c:pt idx="1714">
                  <c:v>42579</c:v>
                </c:pt>
                <c:pt idx="1715">
                  <c:v>42580</c:v>
                </c:pt>
                <c:pt idx="1716">
                  <c:v>42583</c:v>
                </c:pt>
                <c:pt idx="1717">
                  <c:v>42584</c:v>
                </c:pt>
                <c:pt idx="1718">
                  <c:v>42585</c:v>
                </c:pt>
                <c:pt idx="1719">
                  <c:v>42586</c:v>
                </c:pt>
                <c:pt idx="1720">
                  <c:v>42587</c:v>
                </c:pt>
                <c:pt idx="1721">
                  <c:v>42590</c:v>
                </c:pt>
                <c:pt idx="1722">
                  <c:v>42591</c:v>
                </c:pt>
                <c:pt idx="1723">
                  <c:v>42592</c:v>
                </c:pt>
                <c:pt idx="1724">
                  <c:v>42593</c:v>
                </c:pt>
                <c:pt idx="1725">
                  <c:v>42594</c:v>
                </c:pt>
                <c:pt idx="1726">
                  <c:v>42597</c:v>
                </c:pt>
                <c:pt idx="1727">
                  <c:v>42598</c:v>
                </c:pt>
                <c:pt idx="1728">
                  <c:v>42599</c:v>
                </c:pt>
                <c:pt idx="1729">
                  <c:v>42600</c:v>
                </c:pt>
                <c:pt idx="1730">
                  <c:v>42601</c:v>
                </c:pt>
                <c:pt idx="1731">
                  <c:v>42604</c:v>
                </c:pt>
                <c:pt idx="1732">
                  <c:v>42605</c:v>
                </c:pt>
                <c:pt idx="1733">
                  <c:v>42606</c:v>
                </c:pt>
                <c:pt idx="1734">
                  <c:v>42607</c:v>
                </c:pt>
                <c:pt idx="1735">
                  <c:v>42608</c:v>
                </c:pt>
                <c:pt idx="1736">
                  <c:v>42611</c:v>
                </c:pt>
                <c:pt idx="1737">
                  <c:v>42612</c:v>
                </c:pt>
                <c:pt idx="1738">
                  <c:v>42613</c:v>
                </c:pt>
                <c:pt idx="1739">
                  <c:v>42614</c:v>
                </c:pt>
                <c:pt idx="1740">
                  <c:v>42615</c:v>
                </c:pt>
                <c:pt idx="1741">
                  <c:v>42618</c:v>
                </c:pt>
                <c:pt idx="1742">
                  <c:v>42619</c:v>
                </c:pt>
                <c:pt idx="1743">
                  <c:v>42620</c:v>
                </c:pt>
                <c:pt idx="1744">
                  <c:v>42621</c:v>
                </c:pt>
                <c:pt idx="1745">
                  <c:v>42622</c:v>
                </c:pt>
                <c:pt idx="1746">
                  <c:v>42625</c:v>
                </c:pt>
                <c:pt idx="1747">
                  <c:v>42626</c:v>
                </c:pt>
                <c:pt idx="1748">
                  <c:v>42627</c:v>
                </c:pt>
                <c:pt idx="1749">
                  <c:v>42628</c:v>
                </c:pt>
                <c:pt idx="1750">
                  <c:v>42629</c:v>
                </c:pt>
                <c:pt idx="1751">
                  <c:v>42632</c:v>
                </c:pt>
                <c:pt idx="1752">
                  <c:v>42633</c:v>
                </c:pt>
                <c:pt idx="1753">
                  <c:v>42634</c:v>
                </c:pt>
                <c:pt idx="1754">
                  <c:v>42635</c:v>
                </c:pt>
                <c:pt idx="1755">
                  <c:v>42636</c:v>
                </c:pt>
                <c:pt idx="1756">
                  <c:v>42639</c:v>
                </c:pt>
                <c:pt idx="1757">
                  <c:v>42640</c:v>
                </c:pt>
                <c:pt idx="1758">
                  <c:v>42641</c:v>
                </c:pt>
                <c:pt idx="1759">
                  <c:v>42642</c:v>
                </c:pt>
                <c:pt idx="1760">
                  <c:v>42643</c:v>
                </c:pt>
                <c:pt idx="1761">
                  <c:v>42646</c:v>
                </c:pt>
                <c:pt idx="1762">
                  <c:v>42647</c:v>
                </c:pt>
                <c:pt idx="1763">
                  <c:v>42648</c:v>
                </c:pt>
                <c:pt idx="1764">
                  <c:v>42649</c:v>
                </c:pt>
                <c:pt idx="1765">
                  <c:v>42650</c:v>
                </c:pt>
                <c:pt idx="1766">
                  <c:v>42653</c:v>
                </c:pt>
                <c:pt idx="1767">
                  <c:v>42654</c:v>
                </c:pt>
                <c:pt idx="1768">
                  <c:v>42655</c:v>
                </c:pt>
                <c:pt idx="1769">
                  <c:v>42656</c:v>
                </c:pt>
                <c:pt idx="1770">
                  <c:v>42657</c:v>
                </c:pt>
                <c:pt idx="1771">
                  <c:v>42660</c:v>
                </c:pt>
                <c:pt idx="1772">
                  <c:v>42661</c:v>
                </c:pt>
                <c:pt idx="1773">
                  <c:v>42662</c:v>
                </c:pt>
                <c:pt idx="1774">
                  <c:v>42663</c:v>
                </c:pt>
                <c:pt idx="1775">
                  <c:v>42664</c:v>
                </c:pt>
                <c:pt idx="1776">
                  <c:v>42667</c:v>
                </c:pt>
                <c:pt idx="1777">
                  <c:v>42668</c:v>
                </c:pt>
                <c:pt idx="1778">
                  <c:v>42669</c:v>
                </c:pt>
                <c:pt idx="1779">
                  <c:v>42670</c:v>
                </c:pt>
                <c:pt idx="1780">
                  <c:v>42671</c:v>
                </c:pt>
                <c:pt idx="1781">
                  <c:v>42674</c:v>
                </c:pt>
                <c:pt idx="1782">
                  <c:v>42675</c:v>
                </c:pt>
                <c:pt idx="1783">
                  <c:v>42676</c:v>
                </c:pt>
                <c:pt idx="1784">
                  <c:v>42677</c:v>
                </c:pt>
                <c:pt idx="1785">
                  <c:v>42678</c:v>
                </c:pt>
                <c:pt idx="1786">
                  <c:v>42681</c:v>
                </c:pt>
                <c:pt idx="1787">
                  <c:v>42682</c:v>
                </c:pt>
                <c:pt idx="1788">
                  <c:v>42683</c:v>
                </c:pt>
                <c:pt idx="1789">
                  <c:v>42684</c:v>
                </c:pt>
                <c:pt idx="1790">
                  <c:v>42685</c:v>
                </c:pt>
                <c:pt idx="1791">
                  <c:v>42688</c:v>
                </c:pt>
                <c:pt idx="1792">
                  <c:v>42689</c:v>
                </c:pt>
                <c:pt idx="1793">
                  <c:v>42690</c:v>
                </c:pt>
                <c:pt idx="1794">
                  <c:v>42691</c:v>
                </c:pt>
                <c:pt idx="1795">
                  <c:v>42692</c:v>
                </c:pt>
                <c:pt idx="1796">
                  <c:v>42695</c:v>
                </c:pt>
                <c:pt idx="1797">
                  <c:v>42696</c:v>
                </c:pt>
                <c:pt idx="1798">
                  <c:v>42697</c:v>
                </c:pt>
                <c:pt idx="1799">
                  <c:v>42698</c:v>
                </c:pt>
                <c:pt idx="1800">
                  <c:v>42699</c:v>
                </c:pt>
                <c:pt idx="1801">
                  <c:v>42702</c:v>
                </c:pt>
                <c:pt idx="1802">
                  <c:v>42703</c:v>
                </c:pt>
                <c:pt idx="1803">
                  <c:v>42704</c:v>
                </c:pt>
                <c:pt idx="1804">
                  <c:v>42705</c:v>
                </c:pt>
                <c:pt idx="1805">
                  <c:v>42706</c:v>
                </c:pt>
                <c:pt idx="1806">
                  <c:v>42709</c:v>
                </c:pt>
                <c:pt idx="1807">
                  <c:v>42710</c:v>
                </c:pt>
                <c:pt idx="1808">
                  <c:v>42711</c:v>
                </c:pt>
                <c:pt idx="1809">
                  <c:v>42712</c:v>
                </c:pt>
                <c:pt idx="1810">
                  <c:v>42713</c:v>
                </c:pt>
                <c:pt idx="1811">
                  <c:v>42716</c:v>
                </c:pt>
                <c:pt idx="1812">
                  <c:v>42717</c:v>
                </c:pt>
                <c:pt idx="1813">
                  <c:v>42718</c:v>
                </c:pt>
                <c:pt idx="1814">
                  <c:v>42719</c:v>
                </c:pt>
                <c:pt idx="1815">
                  <c:v>42720</c:v>
                </c:pt>
                <c:pt idx="1816">
                  <c:v>42723</c:v>
                </c:pt>
                <c:pt idx="1817">
                  <c:v>42724</c:v>
                </c:pt>
                <c:pt idx="1818">
                  <c:v>42725</c:v>
                </c:pt>
                <c:pt idx="1819">
                  <c:v>42726</c:v>
                </c:pt>
                <c:pt idx="1820">
                  <c:v>42727</c:v>
                </c:pt>
                <c:pt idx="1821">
                  <c:v>42730</c:v>
                </c:pt>
                <c:pt idx="1822">
                  <c:v>42731</c:v>
                </c:pt>
                <c:pt idx="1823">
                  <c:v>42732</c:v>
                </c:pt>
                <c:pt idx="1824">
                  <c:v>42733</c:v>
                </c:pt>
                <c:pt idx="1825">
                  <c:v>42734</c:v>
                </c:pt>
                <c:pt idx="1826">
                  <c:v>42737</c:v>
                </c:pt>
                <c:pt idx="1827">
                  <c:v>42738</c:v>
                </c:pt>
                <c:pt idx="1828">
                  <c:v>42739</c:v>
                </c:pt>
                <c:pt idx="1829">
                  <c:v>42740</c:v>
                </c:pt>
                <c:pt idx="1830">
                  <c:v>42741</c:v>
                </c:pt>
                <c:pt idx="1831">
                  <c:v>42744</c:v>
                </c:pt>
                <c:pt idx="1832">
                  <c:v>42745</c:v>
                </c:pt>
                <c:pt idx="1833">
                  <c:v>42746</c:v>
                </c:pt>
                <c:pt idx="1834">
                  <c:v>42747</c:v>
                </c:pt>
                <c:pt idx="1835">
                  <c:v>42748</c:v>
                </c:pt>
                <c:pt idx="1836">
                  <c:v>42751</c:v>
                </c:pt>
                <c:pt idx="1837">
                  <c:v>42752</c:v>
                </c:pt>
                <c:pt idx="1838">
                  <c:v>42753</c:v>
                </c:pt>
                <c:pt idx="1839">
                  <c:v>42754</c:v>
                </c:pt>
                <c:pt idx="1840">
                  <c:v>42755</c:v>
                </c:pt>
                <c:pt idx="1841">
                  <c:v>42758</c:v>
                </c:pt>
                <c:pt idx="1842">
                  <c:v>42759</c:v>
                </c:pt>
                <c:pt idx="1843">
                  <c:v>42760</c:v>
                </c:pt>
                <c:pt idx="1844">
                  <c:v>42761</c:v>
                </c:pt>
                <c:pt idx="1845">
                  <c:v>42762</c:v>
                </c:pt>
                <c:pt idx="1846">
                  <c:v>42765</c:v>
                </c:pt>
                <c:pt idx="1847">
                  <c:v>42766</c:v>
                </c:pt>
                <c:pt idx="1848">
                  <c:v>42767</c:v>
                </c:pt>
                <c:pt idx="1849">
                  <c:v>42768</c:v>
                </c:pt>
                <c:pt idx="1850">
                  <c:v>42769</c:v>
                </c:pt>
                <c:pt idx="1851">
                  <c:v>42772</c:v>
                </c:pt>
                <c:pt idx="1852">
                  <c:v>42773</c:v>
                </c:pt>
                <c:pt idx="1853">
                  <c:v>42774</c:v>
                </c:pt>
                <c:pt idx="1854">
                  <c:v>42775</c:v>
                </c:pt>
                <c:pt idx="1855">
                  <c:v>42776</c:v>
                </c:pt>
                <c:pt idx="1856">
                  <c:v>42779</c:v>
                </c:pt>
                <c:pt idx="1857">
                  <c:v>42780</c:v>
                </c:pt>
                <c:pt idx="1858">
                  <c:v>42781</c:v>
                </c:pt>
                <c:pt idx="1859">
                  <c:v>42782</c:v>
                </c:pt>
                <c:pt idx="1860">
                  <c:v>42783</c:v>
                </c:pt>
                <c:pt idx="1861">
                  <c:v>42786</c:v>
                </c:pt>
                <c:pt idx="1862">
                  <c:v>42787</c:v>
                </c:pt>
                <c:pt idx="1863">
                  <c:v>42788</c:v>
                </c:pt>
                <c:pt idx="1864">
                  <c:v>42789</c:v>
                </c:pt>
                <c:pt idx="1865">
                  <c:v>42790</c:v>
                </c:pt>
                <c:pt idx="1866">
                  <c:v>42793</c:v>
                </c:pt>
                <c:pt idx="1867">
                  <c:v>42794</c:v>
                </c:pt>
                <c:pt idx="1868">
                  <c:v>42795</c:v>
                </c:pt>
                <c:pt idx="1869">
                  <c:v>42796</c:v>
                </c:pt>
                <c:pt idx="1870">
                  <c:v>42797</c:v>
                </c:pt>
                <c:pt idx="1871">
                  <c:v>42800</c:v>
                </c:pt>
                <c:pt idx="1872">
                  <c:v>42801</c:v>
                </c:pt>
                <c:pt idx="1873">
                  <c:v>42802</c:v>
                </c:pt>
                <c:pt idx="1874">
                  <c:v>42803</c:v>
                </c:pt>
                <c:pt idx="1875">
                  <c:v>42804</c:v>
                </c:pt>
                <c:pt idx="1876">
                  <c:v>42807</c:v>
                </c:pt>
                <c:pt idx="1877">
                  <c:v>42808</c:v>
                </c:pt>
                <c:pt idx="1878">
                  <c:v>42809</c:v>
                </c:pt>
                <c:pt idx="1879">
                  <c:v>42810</c:v>
                </c:pt>
                <c:pt idx="1880">
                  <c:v>42811</c:v>
                </c:pt>
                <c:pt idx="1881">
                  <c:v>42814</c:v>
                </c:pt>
                <c:pt idx="1882">
                  <c:v>42815</c:v>
                </c:pt>
                <c:pt idx="1883">
                  <c:v>42816</c:v>
                </c:pt>
                <c:pt idx="1884">
                  <c:v>42817</c:v>
                </c:pt>
                <c:pt idx="1885">
                  <c:v>42818</c:v>
                </c:pt>
                <c:pt idx="1886">
                  <c:v>42821</c:v>
                </c:pt>
                <c:pt idx="1887">
                  <c:v>42822</c:v>
                </c:pt>
                <c:pt idx="1888">
                  <c:v>42823</c:v>
                </c:pt>
                <c:pt idx="1889">
                  <c:v>42824</c:v>
                </c:pt>
                <c:pt idx="1890">
                  <c:v>42825</c:v>
                </c:pt>
                <c:pt idx="1891">
                  <c:v>42828</c:v>
                </c:pt>
                <c:pt idx="1892">
                  <c:v>42829</c:v>
                </c:pt>
                <c:pt idx="1893">
                  <c:v>42830</c:v>
                </c:pt>
                <c:pt idx="1894">
                  <c:v>42831</c:v>
                </c:pt>
                <c:pt idx="1895">
                  <c:v>42832</c:v>
                </c:pt>
                <c:pt idx="1896">
                  <c:v>42835</c:v>
                </c:pt>
                <c:pt idx="1897">
                  <c:v>42836</c:v>
                </c:pt>
                <c:pt idx="1898">
                  <c:v>42837</c:v>
                </c:pt>
                <c:pt idx="1899">
                  <c:v>42838</c:v>
                </c:pt>
                <c:pt idx="1900">
                  <c:v>42839</c:v>
                </c:pt>
                <c:pt idx="1901">
                  <c:v>42842</c:v>
                </c:pt>
                <c:pt idx="1902">
                  <c:v>42843</c:v>
                </c:pt>
                <c:pt idx="1903">
                  <c:v>42844</c:v>
                </c:pt>
                <c:pt idx="1904">
                  <c:v>42845</c:v>
                </c:pt>
                <c:pt idx="1905">
                  <c:v>42846</c:v>
                </c:pt>
                <c:pt idx="1906">
                  <c:v>42849</c:v>
                </c:pt>
                <c:pt idx="1907">
                  <c:v>42850</c:v>
                </c:pt>
                <c:pt idx="1908">
                  <c:v>42851</c:v>
                </c:pt>
                <c:pt idx="1909">
                  <c:v>42852</c:v>
                </c:pt>
                <c:pt idx="1910">
                  <c:v>42853</c:v>
                </c:pt>
                <c:pt idx="1911">
                  <c:v>42856</c:v>
                </c:pt>
                <c:pt idx="1912">
                  <c:v>42857</c:v>
                </c:pt>
                <c:pt idx="1913">
                  <c:v>42858</c:v>
                </c:pt>
                <c:pt idx="1914">
                  <c:v>42859</c:v>
                </c:pt>
                <c:pt idx="1915">
                  <c:v>42860</c:v>
                </c:pt>
                <c:pt idx="1916">
                  <c:v>42863</c:v>
                </c:pt>
                <c:pt idx="1917">
                  <c:v>42864</c:v>
                </c:pt>
                <c:pt idx="1918">
                  <c:v>42865</c:v>
                </c:pt>
                <c:pt idx="1919">
                  <c:v>42866</c:v>
                </c:pt>
                <c:pt idx="1920">
                  <c:v>42867</c:v>
                </c:pt>
                <c:pt idx="1921">
                  <c:v>42870</c:v>
                </c:pt>
                <c:pt idx="1922">
                  <c:v>42871</c:v>
                </c:pt>
                <c:pt idx="1923">
                  <c:v>42872</c:v>
                </c:pt>
                <c:pt idx="1924">
                  <c:v>42873</c:v>
                </c:pt>
                <c:pt idx="1925">
                  <c:v>42874</c:v>
                </c:pt>
                <c:pt idx="1926">
                  <c:v>42877</c:v>
                </c:pt>
                <c:pt idx="1927">
                  <c:v>42878</c:v>
                </c:pt>
                <c:pt idx="1928">
                  <c:v>42879</c:v>
                </c:pt>
                <c:pt idx="1929">
                  <c:v>42880</c:v>
                </c:pt>
                <c:pt idx="1930">
                  <c:v>42881</c:v>
                </c:pt>
                <c:pt idx="1931">
                  <c:v>42884</c:v>
                </c:pt>
                <c:pt idx="1932">
                  <c:v>42885</c:v>
                </c:pt>
                <c:pt idx="1933">
                  <c:v>42886</c:v>
                </c:pt>
                <c:pt idx="1934">
                  <c:v>42887</c:v>
                </c:pt>
                <c:pt idx="1935">
                  <c:v>42888</c:v>
                </c:pt>
                <c:pt idx="1936">
                  <c:v>42891</c:v>
                </c:pt>
                <c:pt idx="1937">
                  <c:v>42892</c:v>
                </c:pt>
                <c:pt idx="1938">
                  <c:v>42893</c:v>
                </c:pt>
                <c:pt idx="1939">
                  <c:v>42894</c:v>
                </c:pt>
                <c:pt idx="1940">
                  <c:v>42895</c:v>
                </c:pt>
                <c:pt idx="1941">
                  <c:v>42898</c:v>
                </c:pt>
                <c:pt idx="1942">
                  <c:v>42899</c:v>
                </c:pt>
                <c:pt idx="1943">
                  <c:v>42900</c:v>
                </c:pt>
                <c:pt idx="1944">
                  <c:v>42901</c:v>
                </c:pt>
                <c:pt idx="1945">
                  <c:v>42902</c:v>
                </c:pt>
                <c:pt idx="1946">
                  <c:v>42905</c:v>
                </c:pt>
                <c:pt idx="1947">
                  <c:v>42906</c:v>
                </c:pt>
                <c:pt idx="1948">
                  <c:v>42907</c:v>
                </c:pt>
                <c:pt idx="1949">
                  <c:v>42908</c:v>
                </c:pt>
                <c:pt idx="1950">
                  <c:v>42909</c:v>
                </c:pt>
                <c:pt idx="1951">
                  <c:v>42912</c:v>
                </c:pt>
                <c:pt idx="1952">
                  <c:v>42913</c:v>
                </c:pt>
                <c:pt idx="1953">
                  <c:v>42914</c:v>
                </c:pt>
                <c:pt idx="1954">
                  <c:v>42915</c:v>
                </c:pt>
                <c:pt idx="1955">
                  <c:v>42916</c:v>
                </c:pt>
                <c:pt idx="1956">
                  <c:v>42919</c:v>
                </c:pt>
                <c:pt idx="1957">
                  <c:v>42920</c:v>
                </c:pt>
                <c:pt idx="1958">
                  <c:v>42921</c:v>
                </c:pt>
                <c:pt idx="1959">
                  <c:v>42922</c:v>
                </c:pt>
                <c:pt idx="1960">
                  <c:v>42923</c:v>
                </c:pt>
                <c:pt idx="1961">
                  <c:v>42926</c:v>
                </c:pt>
                <c:pt idx="1962">
                  <c:v>42927</c:v>
                </c:pt>
                <c:pt idx="1963">
                  <c:v>42928</c:v>
                </c:pt>
                <c:pt idx="1964">
                  <c:v>42929</c:v>
                </c:pt>
                <c:pt idx="1965">
                  <c:v>42930</c:v>
                </c:pt>
                <c:pt idx="1966">
                  <c:v>42933</c:v>
                </c:pt>
                <c:pt idx="1967">
                  <c:v>42934</c:v>
                </c:pt>
                <c:pt idx="1968">
                  <c:v>42935</c:v>
                </c:pt>
                <c:pt idx="1969">
                  <c:v>42936</c:v>
                </c:pt>
                <c:pt idx="1970">
                  <c:v>42937</c:v>
                </c:pt>
                <c:pt idx="1971">
                  <c:v>42940</c:v>
                </c:pt>
                <c:pt idx="1972">
                  <c:v>42941</c:v>
                </c:pt>
                <c:pt idx="1973">
                  <c:v>42942</c:v>
                </c:pt>
                <c:pt idx="1974">
                  <c:v>42943</c:v>
                </c:pt>
                <c:pt idx="1975">
                  <c:v>42944</c:v>
                </c:pt>
                <c:pt idx="1976">
                  <c:v>42947</c:v>
                </c:pt>
                <c:pt idx="1977">
                  <c:v>42948</c:v>
                </c:pt>
                <c:pt idx="1978">
                  <c:v>42949</c:v>
                </c:pt>
                <c:pt idx="1979">
                  <c:v>42950</c:v>
                </c:pt>
                <c:pt idx="1980">
                  <c:v>42951</c:v>
                </c:pt>
                <c:pt idx="1981">
                  <c:v>42954</c:v>
                </c:pt>
                <c:pt idx="1982">
                  <c:v>42955</c:v>
                </c:pt>
                <c:pt idx="1983">
                  <c:v>42956</c:v>
                </c:pt>
                <c:pt idx="1984">
                  <c:v>42957</c:v>
                </c:pt>
                <c:pt idx="1985">
                  <c:v>42958</c:v>
                </c:pt>
                <c:pt idx="1986">
                  <c:v>42961</c:v>
                </c:pt>
                <c:pt idx="1987">
                  <c:v>42962</c:v>
                </c:pt>
                <c:pt idx="1988">
                  <c:v>42963</c:v>
                </c:pt>
                <c:pt idx="1989">
                  <c:v>42964</c:v>
                </c:pt>
                <c:pt idx="1990">
                  <c:v>42965</c:v>
                </c:pt>
                <c:pt idx="1991">
                  <c:v>42968</c:v>
                </c:pt>
                <c:pt idx="1992">
                  <c:v>42969</c:v>
                </c:pt>
                <c:pt idx="1993">
                  <c:v>42970</c:v>
                </c:pt>
                <c:pt idx="1994">
                  <c:v>42971</c:v>
                </c:pt>
                <c:pt idx="1995">
                  <c:v>42972</c:v>
                </c:pt>
                <c:pt idx="1996">
                  <c:v>42975</c:v>
                </c:pt>
                <c:pt idx="1997">
                  <c:v>42976</c:v>
                </c:pt>
                <c:pt idx="1998">
                  <c:v>42977</c:v>
                </c:pt>
                <c:pt idx="1999">
                  <c:v>42978</c:v>
                </c:pt>
                <c:pt idx="2000">
                  <c:v>42979</c:v>
                </c:pt>
                <c:pt idx="2001">
                  <c:v>42982</c:v>
                </c:pt>
                <c:pt idx="2002">
                  <c:v>42983</c:v>
                </c:pt>
                <c:pt idx="2003">
                  <c:v>42984</c:v>
                </c:pt>
                <c:pt idx="2004">
                  <c:v>42985</c:v>
                </c:pt>
                <c:pt idx="2005">
                  <c:v>42986</c:v>
                </c:pt>
                <c:pt idx="2006">
                  <c:v>42989</c:v>
                </c:pt>
                <c:pt idx="2007">
                  <c:v>42990</c:v>
                </c:pt>
                <c:pt idx="2008">
                  <c:v>42991</c:v>
                </c:pt>
                <c:pt idx="2009">
                  <c:v>42992</c:v>
                </c:pt>
                <c:pt idx="2010">
                  <c:v>42993</c:v>
                </c:pt>
                <c:pt idx="2011">
                  <c:v>42996</c:v>
                </c:pt>
                <c:pt idx="2012">
                  <c:v>42997</c:v>
                </c:pt>
                <c:pt idx="2013">
                  <c:v>42998</c:v>
                </c:pt>
                <c:pt idx="2014">
                  <c:v>42999</c:v>
                </c:pt>
                <c:pt idx="2015">
                  <c:v>43000</c:v>
                </c:pt>
                <c:pt idx="2016">
                  <c:v>43003</c:v>
                </c:pt>
                <c:pt idx="2017">
                  <c:v>43004</c:v>
                </c:pt>
                <c:pt idx="2018">
                  <c:v>43005</c:v>
                </c:pt>
                <c:pt idx="2019">
                  <c:v>43006</c:v>
                </c:pt>
                <c:pt idx="2020">
                  <c:v>43007</c:v>
                </c:pt>
                <c:pt idx="2021">
                  <c:v>43010</c:v>
                </c:pt>
                <c:pt idx="2022">
                  <c:v>43011</c:v>
                </c:pt>
                <c:pt idx="2023">
                  <c:v>43012</c:v>
                </c:pt>
                <c:pt idx="2024">
                  <c:v>43013</c:v>
                </c:pt>
                <c:pt idx="2025">
                  <c:v>43014</c:v>
                </c:pt>
                <c:pt idx="2026">
                  <c:v>43017</c:v>
                </c:pt>
                <c:pt idx="2027">
                  <c:v>43018</c:v>
                </c:pt>
                <c:pt idx="2028">
                  <c:v>43019</c:v>
                </c:pt>
                <c:pt idx="2029">
                  <c:v>43020</c:v>
                </c:pt>
                <c:pt idx="2030">
                  <c:v>43021</c:v>
                </c:pt>
                <c:pt idx="2031">
                  <c:v>43024</c:v>
                </c:pt>
                <c:pt idx="2032">
                  <c:v>43025</c:v>
                </c:pt>
                <c:pt idx="2033">
                  <c:v>43026</c:v>
                </c:pt>
                <c:pt idx="2034">
                  <c:v>43027</c:v>
                </c:pt>
                <c:pt idx="2035">
                  <c:v>43028</c:v>
                </c:pt>
                <c:pt idx="2036">
                  <c:v>43031</c:v>
                </c:pt>
                <c:pt idx="2037">
                  <c:v>43032</c:v>
                </c:pt>
                <c:pt idx="2038">
                  <c:v>43033</c:v>
                </c:pt>
                <c:pt idx="2039">
                  <c:v>43034</c:v>
                </c:pt>
                <c:pt idx="2040">
                  <c:v>43035</c:v>
                </c:pt>
                <c:pt idx="2041">
                  <c:v>43038</c:v>
                </c:pt>
                <c:pt idx="2042">
                  <c:v>43039</c:v>
                </c:pt>
                <c:pt idx="2043">
                  <c:v>43040</c:v>
                </c:pt>
                <c:pt idx="2044">
                  <c:v>43041</c:v>
                </c:pt>
                <c:pt idx="2045">
                  <c:v>43042</c:v>
                </c:pt>
                <c:pt idx="2046">
                  <c:v>43045</c:v>
                </c:pt>
                <c:pt idx="2047">
                  <c:v>43046</c:v>
                </c:pt>
                <c:pt idx="2048">
                  <c:v>43047</c:v>
                </c:pt>
                <c:pt idx="2049">
                  <c:v>43048</c:v>
                </c:pt>
                <c:pt idx="2050">
                  <c:v>43049</c:v>
                </c:pt>
                <c:pt idx="2051">
                  <c:v>43052</c:v>
                </c:pt>
                <c:pt idx="2052">
                  <c:v>43053</c:v>
                </c:pt>
                <c:pt idx="2053">
                  <c:v>43054</c:v>
                </c:pt>
                <c:pt idx="2054">
                  <c:v>43055</c:v>
                </c:pt>
                <c:pt idx="2055">
                  <c:v>43056</c:v>
                </c:pt>
                <c:pt idx="2056">
                  <c:v>43059</c:v>
                </c:pt>
                <c:pt idx="2057">
                  <c:v>43060</c:v>
                </c:pt>
                <c:pt idx="2058">
                  <c:v>43061</c:v>
                </c:pt>
                <c:pt idx="2059">
                  <c:v>43062</c:v>
                </c:pt>
                <c:pt idx="2060">
                  <c:v>43063</c:v>
                </c:pt>
                <c:pt idx="2061">
                  <c:v>43066</c:v>
                </c:pt>
                <c:pt idx="2062">
                  <c:v>43067</c:v>
                </c:pt>
                <c:pt idx="2063">
                  <c:v>43068</c:v>
                </c:pt>
                <c:pt idx="2064">
                  <c:v>43069</c:v>
                </c:pt>
                <c:pt idx="2065">
                  <c:v>43070</c:v>
                </c:pt>
                <c:pt idx="2066">
                  <c:v>43073</c:v>
                </c:pt>
                <c:pt idx="2067">
                  <c:v>43074</c:v>
                </c:pt>
                <c:pt idx="2068">
                  <c:v>43075</c:v>
                </c:pt>
                <c:pt idx="2069">
                  <c:v>43076</c:v>
                </c:pt>
                <c:pt idx="2070">
                  <c:v>43077</c:v>
                </c:pt>
                <c:pt idx="2071">
                  <c:v>43080</c:v>
                </c:pt>
                <c:pt idx="2072">
                  <c:v>43081</c:v>
                </c:pt>
                <c:pt idx="2073">
                  <c:v>43082</c:v>
                </c:pt>
                <c:pt idx="2074">
                  <c:v>43083</c:v>
                </c:pt>
                <c:pt idx="2075">
                  <c:v>43084</c:v>
                </c:pt>
                <c:pt idx="2076">
                  <c:v>43087</c:v>
                </c:pt>
                <c:pt idx="2077">
                  <c:v>43088</c:v>
                </c:pt>
                <c:pt idx="2078">
                  <c:v>43089</c:v>
                </c:pt>
                <c:pt idx="2079">
                  <c:v>43090</c:v>
                </c:pt>
                <c:pt idx="2080">
                  <c:v>43091</c:v>
                </c:pt>
                <c:pt idx="2081">
                  <c:v>43094</c:v>
                </c:pt>
                <c:pt idx="2082">
                  <c:v>43095</c:v>
                </c:pt>
                <c:pt idx="2083">
                  <c:v>43096</c:v>
                </c:pt>
                <c:pt idx="2084">
                  <c:v>43097</c:v>
                </c:pt>
                <c:pt idx="2085">
                  <c:v>43098</c:v>
                </c:pt>
                <c:pt idx="2086">
                  <c:v>43101</c:v>
                </c:pt>
                <c:pt idx="2087">
                  <c:v>43102</c:v>
                </c:pt>
                <c:pt idx="2088">
                  <c:v>43103</c:v>
                </c:pt>
                <c:pt idx="2089">
                  <c:v>43104</c:v>
                </c:pt>
                <c:pt idx="2090">
                  <c:v>43105</c:v>
                </c:pt>
                <c:pt idx="2091">
                  <c:v>43108</c:v>
                </c:pt>
                <c:pt idx="2092">
                  <c:v>43109</c:v>
                </c:pt>
                <c:pt idx="2093">
                  <c:v>43110</c:v>
                </c:pt>
                <c:pt idx="2094">
                  <c:v>43111</c:v>
                </c:pt>
                <c:pt idx="2095">
                  <c:v>43112</c:v>
                </c:pt>
                <c:pt idx="2096">
                  <c:v>43115</c:v>
                </c:pt>
                <c:pt idx="2097">
                  <c:v>43116</c:v>
                </c:pt>
                <c:pt idx="2098">
                  <c:v>43117</c:v>
                </c:pt>
                <c:pt idx="2099">
                  <c:v>43118</c:v>
                </c:pt>
                <c:pt idx="2100">
                  <c:v>43119</c:v>
                </c:pt>
                <c:pt idx="2101">
                  <c:v>43122</c:v>
                </c:pt>
                <c:pt idx="2102">
                  <c:v>43123</c:v>
                </c:pt>
                <c:pt idx="2103">
                  <c:v>43124</c:v>
                </c:pt>
                <c:pt idx="2104">
                  <c:v>43125</c:v>
                </c:pt>
                <c:pt idx="2105">
                  <c:v>43126</c:v>
                </c:pt>
                <c:pt idx="2106">
                  <c:v>43129</c:v>
                </c:pt>
                <c:pt idx="2107">
                  <c:v>43130</c:v>
                </c:pt>
                <c:pt idx="2108">
                  <c:v>43131</c:v>
                </c:pt>
                <c:pt idx="2109">
                  <c:v>43132</c:v>
                </c:pt>
                <c:pt idx="2110">
                  <c:v>43133</c:v>
                </c:pt>
                <c:pt idx="2111">
                  <c:v>43136</c:v>
                </c:pt>
                <c:pt idx="2112">
                  <c:v>43137</c:v>
                </c:pt>
                <c:pt idx="2113">
                  <c:v>43138</c:v>
                </c:pt>
                <c:pt idx="2114">
                  <c:v>43139</c:v>
                </c:pt>
                <c:pt idx="2115">
                  <c:v>43140</c:v>
                </c:pt>
                <c:pt idx="2116">
                  <c:v>43143</c:v>
                </c:pt>
                <c:pt idx="2117">
                  <c:v>43144</c:v>
                </c:pt>
                <c:pt idx="2118">
                  <c:v>43145</c:v>
                </c:pt>
                <c:pt idx="2119">
                  <c:v>43146</c:v>
                </c:pt>
                <c:pt idx="2120">
                  <c:v>43147</c:v>
                </c:pt>
                <c:pt idx="2121">
                  <c:v>43150</c:v>
                </c:pt>
                <c:pt idx="2122">
                  <c:v>43151</c:v>
                </c:pt>
                <c:pt idx="2123">
                  <c:v>43152</c:v>
                </c:pt>
                <c:pt idx="2124">
                  <c:v>43153</c:v>
                </c:pt>
                <c:pt idx="2125">
                  <c:v>43154</c:v>
                </c:pt>
                <c:pt idx="2126">
                  <c:v>43157</c:v>
                </c:pt>
                <c:pt idx="2127">
                  <c:v>43158</c:v>
                </c:pt>
                <c:pt idx="2128">
                  <c:v>43159</c:v>
                </c:pt>
                <c:pt idx="2129">
                  <c:v>43160</c:v>
                </c:pt>
                <c:pt idx="2130">
                  <c:v>43161</c:v>
                </c:pt>
                <c:pt idx="2131">
                  <c:v>43164</c:v>
                </c:pt>
                <c:pt idx="2132">
                  <c:v>43165</c:v>
                </c:pt>
                <c:pt idx="2133">
                  <c:v>43166</c:v>
                </c:pt>
                <c:pt idx="2134">
                  <c:v>43167</c:v>
                </c:pt>
                <c:pt idx="2135">
                  <c:v>43168</c:v>
                </c:pt>
                <c:pt idx="2136">
                  <c:v>43171</c:v>
                </c:pt>
                <c:pt idx="2137">
                  <c:v>43172</c:v>
                </c:pt>
                <c:pt idx="2138">
                  <c:v>43173</c:v>
                </c:pt>
                <c:pt idx="2139">
                  <c:v>43174</c:v>
                </c:pt>
                <c:pt idx="2140">
                  <c:v>43175</c:v>
                </c:pt>
                <c:pt idx="2141">
                  <c:v>43178</c:v>
                </c:pt>
                <c:pt idx="2142">
                  <c:v>43179</c:v>
                </c:pt>
                <c:pt idx="2143">
                  <c:v>43180</c:v>
                </c:pt>
                <c:pt idx="2144">
                  <c:v>43181</c:v>
                </c:pt>
                <c:pt idx="2145">
                  <c:v>43182</c:v>
                </c:pt>
                <c:pt idx="2146">
                  <c:v>43185</c:v>
                </c:pt>
                <c:pt idx="2147">
                  <c:v>43186</c:v>
                </c:pt>
                <c:pt idx="2148">
                  <c:v>43187</c:v>
                </c:pt>
                <c:pt idx="2149">
                  <c:v>43188</c:v>
                </c:pt>
                <c:pt idx="2150">
                  <c:v>43189</c:v>
                </c:pt>
                <c:pt idx="2151">
                  <c:v>43192</c:v>
                </c:pt>
                <c:pt idx="2152">
                  <c:v>43193</c:v>
                </c:pt>
                <c:pt idx="2153">
                  <c:v>43194</c:v>
                </c:pt>
                <c:pt idx="2154">
                  <c:v>43195</c:v>
                </c:pt>
                <c:pt idx="2155">
                  <c:v>43196</c:v>
                </c:pt>
                <c:pt idx="2156">
                  <c:v>43199</c:v>
                </c:pt>
                <c:pt idx="2157">
                  <c:v>43200</c:v>
                </c:pt>
                <c:pt idx="2158">
                  <c:v>43201</c:v>
                </c:pt>
                <c:pt idx="2159">
                  <c:v>43202</c:v>
                </c:pt>
                <c:pt idx="2160">
                  <c:v>43203</c:v>
                </c:pt>
                <c:pt idx="2161">
                  <c:v>43206</c:v>
                </c:pt>
                <c:pt idx="2162">
                  <c:v>43207</c:v>
                </c:pt>
                <c:pt idx="2163">
                  <c:v>43208</c:v>
                </c:pt>
                <c:pt idx="2164">
                  <c:v>43209</c:v>
                </c:pt>
                <c:pt idx="2165">
                  <c:v>43210</c:v>
                </c:pt>
                <c:pt idx="2166">
                  <c:v>43213</c:v>
                </c:pt>
                <c:pt idx="2167">
                  <c:v>43214</c:v>
                </c:pt>
                <c:pt idx="2168">
                  <c:v>43215</c:v>
                </c:pt>
                <c:pt idx="2169">
                  <c:v>43216</c:v>
                </c:pt>
                <c:pt idx="2170">
                  <c:v>43217</c:v>
                </c:pt>
                <c:pt idx="2171">
                  <c:v>43220</c:v>
                </c:pt>
                <c:pt idx="2172">
                  <c:v>43221</c:v>
                </c:pt>
                <c:pt idx="2173">
                  <c:v>43222</c:v>
                </c:pt>
                <c:pt idx="2174">
                  <c:v>43223</c:v>
                </c:pt>
                <c:pt idx="2175">
                  <c:v>43224</c:v>
                </c:pt>
                <c:pt idx="2176">
                  <c:v>43227</c:v>
                </c:pt>
                <c:pt idx="2177">
                  <c:v>43228</c:v>
                </c:pt>
                <c:pt idx="2178">
                  <c:v>43229</c:v>
                </c:pt>
                <c:pt idx="2179">
                  <c:v>43230</c:v>
                </c:pt>
                <c:pt idx="2180">
                  <c:v>43231</c:v>
                </c:pt>
                <c:pt idx="2181">
                  <c:v>43234</c:v>
                </c:pt>
                <c:pt idx="2182">
                  <c:v>43235</c:v>
                </c:pt>
                <c:pt idx="2183">
                  <c:v>43236</c:v>
                </c:pt>
                <c:pt idx="2184">
                  <c:v>43237</c:v>
                </c:pt>
                <c:pt idx="2185">
                  <c:v>43238</c:v>
                </c:pt>
                <c:pt idx="2186">
                  <c:v>43241</c:v>
                </c:pt>
                <c:pt idx="2187">
                  <c:v>43242</c:v>
                </c:pt>
                <c:pt idx="2188">
                  <c:v>43243</c:v>
                </c:pt>
                <c:pt idx="2189">
                  <c:v>43244</c:v>
                </c:pt>
                <c:pt idx="2190">
                  <c:v>43245</c:v>
                </c:pt>
                <c:pt idx="2191">
                  <c:v>43248</c:v>
                </c:pt>
                <c:pt idx="2192">
                  <c:v>43249</c:v>
                </c:pt>
                <c:pt idx="2193">
                  <c:v>43250</c:v>
                </c:pt>
                <c:pt idx="2194">
                  <c:v>43251</c:v>
                </c:pt>
                <c:pt idx="2195">
                  <c:v>43252</c:v>
                </c:pt>
                <c:pt idx="2196">
                  <c:v>43255</c:v>
                </c:pt>
                <c:pt idx="2197">
                  <c:v>43256</c:v>
                </c:pt>
                <c:pt idx="2198">
                  <c:v>43257</c:v>
                </c:pt>
                <c:pt idx="2199">
                  <c:v>43258</c:v>
                </c:pt>
                <c:pt idx="2200">
                  <c:v>43259</c:v>
                </c:pt>
                <c:pt idx="2201">
                  <c:v>43262</c:v>
                </c:pt>
                <c:pt idx="2202">
                  <c:v>43263</c:v>
                </c:pt>
                <c:pt idx="2203">
                  <c:v>43264</c:v>
                </c:pt>
                <c:pt idx="2204">
                  <c:v>43265</c:v>
                </c:pt>
                <c:pt idx="2205">
                  <c:v>43266</c:v>
                </c:pt>
                <c:pt idx="2206">
                  <c:v>43269</c:v>
                </c:pt>
                <c:pt idx="2207">
                  <c:v>43270</c:v>
                </c:pt>
                <c:pt idx="2208">
                  <c:v>43271</c:v>
                </c:pt>
                <c:pt idx="2209">
                  <c:v>43272</c:v>
                </c:pt>
                <c:pt idx="2210">
                  <c:v>43273</c:v>
                </c:pt>
                <c:pt idx="2211">
                  <c:v>43276</c:v>
                </c:pt>
                <c:pt idx="2212">
                  <c:v>43277</c:v>
                </c:pt>
                <c:pt idx="2213">
                  <c:v>43278</c:v>
                </c:pt>
                <c:pt idx="2214">
                  <c:v>43279</c:v>
                </c:pt>
                <c:pt idx="2215">
                  <c:v>43280</c:v>
                </c:pt>
                <c:pt idx="2216">
                  <c:v>43283</c:v>
                </c:pt>
                <c:pt idx="2217">
                  <c:v>43284</c:v>
                </c:pt>
                <c:pt idx="2218">
                  <c:v>43285</c:v>
                </c:pt>
                <c:pt idx="2219">
                  <c:v>43286</c:v>
                </c:pt>
                <c:pt idx="2220">
                  <c:v>43287</c:v>
                </c:pt>
                <c:pt idx="2221">
                  <c:v>43290</c:v>
                </c:pt>
                <c:pt idx="2222">
                  <c:v>43291</c:v>
                </c:pt>
                <c:pt idx="2223">
                  <c:v>43292</c:v>
                </c:pt>
                <c:pt idx="2224">
                  <c:v>43293</c:v>
                </c:pt>
                <c:pt idx="2225">
                  <c:v>43294</c:v>
                </c:pt>
                <c:pt idx="2226">
                  <c:v>43297</c:v>
                </c:pt>
                <c:pt idx="2227">
                  <c:v>43298</c:v>
                </c:pt>
                <c:pt idx="2228">
                  <c:v>43299</c:v>
                </c:pt>
                <c:pt idx="2229">
                  <c:v>43300</c:v>
                </c:pt>
                <c:pt idx="2230">
                  <c:v>43301</c:v>
                </c:pt>
                <c:pt idx="2231">
                  <c:v>43304</c:v>
                </c:pt>
                <c:pt idx="2232">
                  <c:v>43305</c:v>
                </c:pt>
                <c:pt idx="2233">
                  <c:v>43306</c:v>
                </c:pt>
                <c:pt idx="2234">
                  <c:v>43307</c:v>
                </c:pt>
                <c:pt idx="2235">
                  <c:v>43308</c:v>
                </c:pt>
                <c:pt idx="2236">
                  <c:v>43311</c:v>
                </c:pt>
                <c:pt idx="2237">
                  <c:v>43312</c:v>
                </c:pt>
                <c:pt idx="2238">
                  <c:v>43313</c:v>
                </c:pt>
                <c:pt idx="2239">
                  <c:v>43314</c:v>
                </c:pt>
                <c:pt idx="2240">
                  <c:v>43315</c:v>
                </c:pt>
                <c:pt idx="2241">
                  <c:v>43318</c:v>
                </c:pt>
                <c:pt idx="2242">
                  <c:v>43319</c:v>
                </c:pt>
                <c:pt idx="2243">
                  <c:v>43320</c:v>
                </c:pt>
                <c:pt idx="2244">
                  <c:v>43321</c:v>
                </c:pt>
                <c:pt idx="2245">
                  <c:v>43322</c:v>
                </c:pt>
                <c:pt idx="2246">
                  <c:v>43325</c:v>
                </c:pt>
                <c:pt idx="2247">
                  <c:v>43326</c:v>
                </c:pt>
                <c:pt idx="2248">
                  <c:v>43327</c:v>
                </c:pt>
                <c:pt idx="2249">
                  <c:v>43328</c:v>
                </c:pt>
                <c:pt idx="2250">
                  <c:v>43329</c:v>
                </c:pt>
                <c:pt idx="2251">
                  <c:v>43332</c:v>
                </c:pt>
                <c:pt idx="2252">
                  <c:v>43333</c:v>
                </c:pt>
                <c:pt idx="2253">
                  <c:v>43334</c:v>
                </c:pt>
                <c:pt idx="2254">
                  <c:v>43335</c:v>
                </c:pt>
                <c:pt idx="2255">
                  <c:v>43336</c:v>
                </c:pt>
                <c:pt idx="2256">
                  <c:v>43339</c:v>
                </c:pt>
                <c:pt idx="2257">
                  <c:v>43340</c:v>
                </c:pt>
                <c:pt idx="2258">
                  <c:v>43341</c:v>
                </c:pt>
                <c:pt idx="2259">
                  <c:v>43342</c:v>
                </c:pt>
                <c:pt idx="2260">
                  <c:v>43343</c:v>
                </c:pt>
                <c:pt idx="2261">
                  <c:v>43346</c:v>
                </c:pt>
                <c:pt idx="2262">
                  <c:v>43347</c:v>
                </c:pt>
                <c:pt idx="2263">
                  <c:v>43348</c:v>
                </c:pt>
                <c:pt idx="2264">
                  <c:v>43349</c:v>
                </c:pt>
                <c:pt idx="2265">
                  <c:v>43350</c:v>
                </c:pt>
                <c:pt idx="2266">
                  <c:v>43353</c:v>
                </c:pt>
                <c:pt idx="2267">
                  <c:v>43354</c:v>
                </c:pt>
                <c:pt idx="2268">
                  <c:v>43355</c:v>
                </c:pt>
                <c:pt idx="2269">
                  <c:v>43356</c:v>
                </c:pt>
                <c:pt idx="2270">
                  <c:v>43357</c:v>
                </c:pt>
                <c:pt idx="2271">
                  <c:v>43360</c:v>
                </c:pt>
                <c:pt idx="2272">
                  <c:v>43361</c:v>
                </c:pt>
                <c:pt idx="2273">
                  <c:v>43362</c:v>
                </c:pt>
                <c:pt idx="2274">
                  <c:v>43363</c:v>
                </c:pt>
                <c:pt idx="2275">
                  <c:v>43364</c:v>
                </c:pt>
                <c:pt idx="2276">
                  <c:v>43367</c:v>
                </c:pt>
                <c:pt idx="2277">
                  <c:v>43368</c:v>
                </c:pt>
                <c:pt idx="2278">
                  <c:v>43369</c:v>
                </c:pt>
                <c:pt idx="2279">
                  <c:v>43370</c:v>
                </c:pt>
                <c:pt idx="2280">
                  <c:v>43371</c:v>
                </c:pt>
                <c:pt idx="2281">
                  <c:v>43374</c:v>
                </c:pt>
                <c:pt idx="2282">
                  <c:v>43375</c:v>
                </c:pt>
                <c:pt idx="2283">
                  <c:v>43376</c:v>
                </c:pt>
                <c:pt idx="2284">
                  <c:v>43377</c:v>
                </c:pt>
                <c:pt idx="2285">
                  <c:v>43378</c:v>
                </c:pt>
                <c:pt idx="2286">
                  <c:v>43381</c:v>
                </c:pt>
                <c:pt idx="2287">
                  <c:v>43382</c:v>
                </c:pt>
                <c:pt idx="2288">
                  <c:v>43383</c:v>
                </c:pt>
                <c:pt idx="2289">
                  <c:v>43384</c:v>
                </c:pt>
                <c:pt idx="2290">
                  <c:v>43385</c:v>
                </c:pt>
                <c:pt idx="2291">
                  <c:v>43388</c:v>
                </c:pt>
                <c:pt idx="2292">
                  <c:v>43389</c:v>
                </c:pt>
                <c:pt idx="2293">
                  <c:v>43390</c:v>
                </c:pt>
                <c:pt idx="2294">
                  <c:v>43391</c:v>
                </c:pt>
                <c:pt idx="2295">
                  <c:v>43392</c:v>
                </c:pt>
                <c:pt idx="2296">
                  <c:v>43395</c:v>
                </c:pt>
                <c:pt idx="2297">
                  <c:v>43396</c:v>
                </c:pt>
                <c:pt idx="2298">
                  <c:v>43397</c:v>
                </c:pt>
                <c:pt idx="2299">
                  <c:v>43398</c:v>
                </c:pt>
                <c:pt idx="2300">
                  <c:v>43399</c:v>
                </c:pt>
                <c:pt idx="2301">
                  <c:v>43402</c:v>
                </c:pt>
                <c:pt idx="2302">
                  <c:v>43403</c:v>
                </c:pt>
                <c:pt idx="2303">
                  <c:v>43404</c:v>
                </c:pt>
                <c:pt idx="2304">
                  <c:v>43405</c:v>
                </c:pt>
                <c:pt idx="2305">
                  <c:v>43406</c:v>
                </c:pt>
                <c:pt idx="2306">
                  <c:v>43409</c:v>
                </c:pt>
                <c:pt idx="2307">
                  <c:v>43410</c:v>
                </c:pt>
                <c:pt idx="2308">
                  <c:v>43411</c:v>
                </c:pt>
                <c:pt idx="2309">
                  <c:v>43412</c:v>
                </c:pt>
                <c:pt idx="2310">
                  <c:v>43413</c:v>
                </c:pt>
                <c:pt idx="2311">
                  <c:v>43416</c:v>
                </c:pt>
                <c:pt idx="2312">
                  <c:v>43417</c:v>
                </c:pt>
                <c:pt idx="2313">
                  <c:v>43418</c:v>
                </c:pt>
                <c:pt idx="2314">
                  <c:v>43419</c:v>
                </c:pt>
                <c:pt idx="2315">
                  <c:v>43420</c:v>
                </c:pt>
                <c:pt idx="2316">
                  <c:v>43423</c:v>
                </c:pt>
                <c:pt idx="2317">
                  <c:v>43424</c:v>
                </c:pt>
                <c:pt idx="2318">
                  <c:v>43425</c:v>
                </c:pt>
                <c:pt idx="2319">
                  <c:v>43426</c:v>
                </c:pt>
                <c:pt idx="2320">
                  <c:v>43427</c:v>
                </c:pt>
                <c:pt idx="2321">
                  <c:v>43430</c:v>
                </c:pt>
                <c:pt idx="2322">
                  <c:v>43431</c:v>
                </c:pt>
                <c:pt idx="2323">
                  <c:v>43432</c:v>
                </c:pt>
                <c:pt idx="2324">
                  <c:v>43433</c:v>
                </c:pt>
                <c:pt idx="2325">
                  <c:v>43434</c:v>
                </c:pt>
                <c:pt idx="2326">
                  <c:v>43437</c:v>
                </c:pt>
                <c:pt idx="2327">
                  <c:v>43438</c:v>
                </c:pt>
                <c:pt idx="2328">
                  <c:v>43439</c:v>
                </c:pt>
                <c:pt idx="2329">
                  <c:v>43440</c:v>
                </c:pt>
                <c:pt idx="2330">
                  <c:v>43441</c:v>
                </c:pt>
                <c:pt idx="2331">
                  <c:v>43444</c:v>
                </c:pt>
                <c:pt idx="2332">
                  <c:v>43445</c:v>
                </c:pt>
                <c:pt idx="2333">
                  <c:v>43446</c:v>
                </c:pt>
                <c:pt idx="2334">
                  <c:v>43447</c:v>
                </c:pt>
                <c:pt idx="2335">
                  <c:v>43448</c:v>
                </c:pt>
                <c:pt idx="2336">
                  <c:v>43451</c:v>
                </c:pt>
                <c:pt idx="2337">
                  <c:v>43452</c:v>
                </c:pt>
                <c:pt idx="2338">
                  <c:v>43453</c:v>
                </c:pt>
                <c:pt idx="2339">
                  <c:v>43454</c:v>
                </c:pt>
                <c:pt idx="2340">
                  <c:v>43455</c:v>
                </c:pt>
                <c:pt idx="2341">
                  <c:v>43458</c:v>
                </c:pt>
                <c:pt idx="2342">
                  <c:v>43459</c:v>
                </c:pt>
                <c:pt idx="2343">
                  <c:v>43460</c:v>
                </c:pt>
                <c:pt idx="2344">
                  <c:v>43461</c:v>
                </c:pt>
                <c:pt idx="2345">
                  <c:v>43462</c:v>
                </c:pt>
                <c:pt idx="2346">
                  <c:v>43465</c:v>
                </c:pt>
                <c:pt idx="2347">
                  <c:v>43466</c:v>
                </c:pt>
                <c:pt idx="2348">
                  <c:v>43467</c:v>
                </c:pt>
                <c:pt idx="2349">
                  <c:v>43468</c:v>
                </c:pt>
                <c:pt idx="2350">
                  <c:v>43469</c:v>
                </c:pt>
                <c:pt idx="2351">
                  <c:v>43472</c:v>
                </c:pt>
                <c:pt idx="2352">
                  <c:v>43473</c:v>
                </c:pt>
                <c:pt idx="2353">
                  <c:v>43474</c:v>
                </c:pt>
                <c:pt idx="2354">
                  <c:v>43475</c:v>
                </c:pt>
                <c:pt idx="2355">
                  <c:v>43476</c:v>
                </c:pt>
                <c:pt idx="2356">
                  <c:v>43479</c:v>
                </c:pt>
                <c:pt idx="2357">
                  <c:v>43480</c:v>
                </c:pt>
                <c:pt idx="2358">
                  <c:v>43481</c:v>
                </c:pt>
                <c:pt idx="2359">
                  <c:v>43482</c:v>
                </c:pt>
                <c:pt idx="2360">
                  <c:v>43483</c:v>
                </c:pt>
                <c:pt idx="2361">
                  <c:v>43486</c:v>
                </c:pt>
                <c:pt idx="2362">
                  <c:v>43487</c:v>
                </c:pt>
                <c:pt idx="2363">
                  <c:v>43488</c:v>
                </c:pt>
                <c:pt idx="2364">
                  <c:v>43489</c:v>
                </c:pt>
                <c:pt idx="2365">
                  <c:v>43490</c:v>
                </c:pt>
                <c:pt idx="2366">
                  <c:v>43493</c:v>
                </c:pt>
                <c:pt idx="2367">
                  <c:v>43494</c:v>
                </c:pt>
                <c:pt idx="2368">
                  <c:v>43495</c:v>
                </c:pt>
                <c:pt idx="2369">
                  <c:v>43496</c:v>
                </c:pt>
                <c:pt idx="2370">
                  <c:v>43497</c:v>
                </c:pt>
                <c:pt idx="2371">
                  <c:v>43500</c:v>
                </c:pt>
                <c:pt idx="2372">
                  <c:v>43501</c:v>
                </c:pt>
                <c:pt idx="2373">
                  <c:v>43502</c:v>
                </c:pt>
                <c:pt idx="2374">
                  <c:v>43503</c:v>
                </c:pt>
                <c:pt idx="2375">
                  <c:v>43504</c:v>
                </c:pt>
                <c:pt idx="2376">
                  <c:v>43507</c:v>
                </c:pt>
                <c:pt idx="2377">
                  <c:v>43508</c:v>
                </c:pt>
                <c:pt idx="2378">
                  <c:v>43509</c:v>
                </c:pt>
                <c:pt idx="2379">
                  <c:v>43510</c:v>
                </c:pt>
                <c:pt idx="2380">
                  <c:v>43511</c:v>
                </c:pt>
                <c:pt idx="2381">
                  <c:v>43514</c:v>
                </c:pt>
                <c:pt idx="2382">
                  <c:v>43515</c:v>
                </c:pt>
                <c:pt idx="2383">
                  <c:v>43516</c:v>
                </c:pt>
                <c:pt idx="2384">
                  <c:v>43517</c:v>
                </c:pt>
                <c:pt idx="2385">
                  <c:v>43518</c:v>
                </c:pt>
                <c:pt idx="2386">
                  <c:v>43521</c:v>
                </c:pt>
                <c:pt idx="2387">
                  <c:v>43522</c:v>
                </c:pt>
                <c:pt idx="2388">
                  <c:v>43523</c:v>
                </c:pt>
                <c:pt idx="2389">
                  <c:v>43524</c:v>
                </c:pt>
                <c:pt idx="2390">
                  <c:v>43525</c:v>
                </c:pt>
                <c:pt idx="2391">
                  <c:v>43528</c:v>
                </c:pt>
                <c:pt idx="2392">
                  <c:v>43529</c:v>
                </c:pt>
                <c:pt idx="2393">
                  <c:v>43530</c:v>
                </c:pt>
                <c:pt idx="2394">
                  <c:v>43531</c:v>
                </c:pt>
                <c:pt idx="2395">
                  <c:v>43532</c:v>
                </c:pt>
                <c:pt idx="2396">
                  <c:v>43535</c:v>
                </c:pt>
                <c:pt idx="2397">
                  <c:v>43536</c:v>
                </c:pt>
                <c:pt idx="2398">
                  <c:v>43537</c:v>
                </c:pt>
                <c:pt idx="2399">
                  <c:v>43538</c:v>
                </c:pt>
                <c:pt idx="2400">
                  <c:v>43539</c:v>
                </c:pt>
                <c:pt idx="2401">
                  <c:v>43542</c:v>
                </c:pt>
                <c:pt idx="2402">
                  <c:v>43543</c:v>
                </c:pt>
                <c:pt idx="2403">
                  <c:v>43544</c:v>
                </c:pt>
                <c:pt idx="2404">
                  <c:v>43545</c:v>
                </c:pt>
                <c:pt idx="2405">
                  <c:v>43546</c:v>
                </c:pt>
                <c:pt idx="2406">
                  <c:v>43549</c:v>
                </c:pt>
                <c:pt idx="2407">
                  <c:v>43550</c:v>
                </c:pt>
                <c:pt idx="2408">
                  <c:v>43551</c:v>
                </c:pt>
                <c:pt idx="2409">
                  <c:v>43552</c:v>
                </c:pt>
                <c:pt idx="2410">
                  <c:v>43553</c:v>
                </c:pt>
                <c:pt idx="2411">
                  <c:v>43556</c:v>
                </c:pt>
                <c:pt idx="2412">
                  <c:v>43557</c:v>
                </c:pt>
                <c:pt idx="2413">
                  <c:v>43558</c:v>
                </c:pt>
                <c:pt idx="2414">
                  <c:v>43559</c:v>
                </c:pt>
                <c:pt idx="2415">
                  <c:v>43560</c:v>
                </c:pt>
                <c:pt idx="2416">
                  <c:v>43563</c:v>
                </c:pt>
                <c:pt idx="2417">
                  <c:v>43564</c:v>
                </c:pt>
                <c:pt idx="2418">
                  <c:v>43565</c:v>
                </c:pt>
                <c:pt idx="2419">
                  <c:v>43566</c:v>
                </c:pt>
                <c:pt idx="2420">
                  <c:v>43567</c:v>
                </c:pt>
                <c:pt idx="2421">
                  <c:v>43570</c:v>
                </c:pt>
                <c:pt idx="2422">
                  <c:v>43571</c:v>
                </c:pt>
                <c:pt idx="2423">
                  <c:v>43572</c:v>
                </c:pt>
                <c:pt idx="2424">
                  <c:v>43573</c:v>
                </c:pt>
                <c:pt idx="2425">
                  <c:v>43574</c:v>
                </c:pt>
                <c:pt idx="2426">
                  <c:v>43577</c:v>
                </c:pt>
                <c:pt idx="2427">
                  <c:v>43578</c:v>
                </c:pt>
                <c:pt idx="2428">
                  <c:v>43579</c:v>
                </c:pt>
                <c:pt idx="2429">
                  <c:v>43580</c:v>
                </c:pt>
                <c:pt idx="2430">
                  <c:v>43581</c:v>
                </c:pt>
                <c:pt idx="2431">
                  <c:v>43584</c:v>
                </c:pt>
                <c:pt idx="2432">
                  <c:v>43585</c:v>
                </c:pt>
                <c:pt idx="2433">
                  <c:v>43586</c:v>
                </c:pt>
                <c:pt idx="2434">
                  <c:v>43587</c:v>
                </c:pt>
                <c:pt idx="2435">
                  <c:v>43588</c:v>
                </c:pt>
                <c:pt idx="2436">
                  <c:v>43591</c:v>
                </c:pt>
                <c:pt idx="2437">
                  <c:v>43592</c:v>
                </c:pt>
                <c:pt idx="2438">
                  <c:v>43593</c:v>
                </c:pt>
                <c:pt idx="2439">
                  <c:v>43594</c:v>
                </c:pt>
                <c:pt idx="2440">
                  <c:v>43595</c:v>
                </c:pt>
                <c:pt idx="2441">
                  <c:v>43598</c:v>
                </c:pt>
                <c:pt idx="2442">
                  <c:v>43599</c:v>
                </c:pt>
                <c:pt idx="2443">
                  <c:v>43600</c:v>
                </c:pt>
                <c:pt idx="2444">
                  <c:v>43601</c:v>
                </c:pt>
                <c:pt idx="2445">
                  <c:v>43602</c:v>
                </c:pt>
                <c:pt idx="2446">
                  <c:v>43605</c:v>
                </c:pt>
                <c:pt idx="2447">
                  <c:v>43606</c:v>
                </c:pt>
                <c:pt idx="2448">
                  <c:v>43607</c:v>
                </c:pt>
                <c:pt idx="2449">
                  <c:v>43608</c:v>
                </c:pt>
                <c:pt idx="2450">
                  <c:v>43609</c:v>
                </c:pt>
                <c:pt idx="2451">
                  <c:v>43612</c:v>
                </c:pt>
                <c:pt idx="2452">
                  <c:v>43613</c:v>
                </c:pt>
                <c:pt idx="2453">
                  <c:v>43614</c:v>
                </c:pt>
                <c:pt idx="2454">
                  <c:v>43615</c:v>
                </c:pt>
                <c:pt idx="2455">
                  <c:v>43616</c:v>
                </c:pt>
                <c:pt idx="2456">
                  <c:v>43619</c:v>
                </c:pt>
                <c:pt idx="2457">
                  <c:v>43620</c:v>
                </c:pt>
                <c:pt idx="2458">
                  <c:v>43621</c:v>
                </c:pt>
                <c:pt idx="2459">
                  <c:v>43622</c:v>
                </c:pt>
                <c:pt idx="2460">
                  <c:v>43623</c:v>
                </c:pt>
                <c:pt idx="2461">
                  <c:v>43626</c:v>
                </c:pt>
                <c:pt idx="2462">
                  <c:v>43627</c:v>
                </c:pt>
                <c:pt idx="2463">
                  <c:v>43628</c:v>
                </c:pt>
                <c:pt idx="2464">
                  <c:v>43629</c:v>
                </c:pt>
                <c:pt idx="2465">
                  <c:v>43630</c:v>
                </c:pt>
                <c:pt idx="2466">
                  <c:v>43633</c:v>
                </c:pt>
                <c:pt idx="2467">
                  <c:v>43634</c:v>
                </c:pt>
                <c:pt idx="2468">
                  <c:v>43635</c:v>
                </c:pt>
                <c:pt idx="2469">
                  <c:v>43636</c:v>
                </c:pt>
                <c:pt idx="2470">
                  <c:v>43637</c:v>
                </c:pt>
                <c:pt idx="2471">
                  <c:v>43640</c:v>
                </c:pt>
                <c:pt idx="2472">
                  <c:v>43641</c:v>
                </c:pt>
                <c:pt idx="2473">
                  <c:v>43642</c:v>
                </c:pt>
                <c:pt idx="2474">
                  <c:v>43643</c:v>
                </c:pt>
                <c:pt idx="2475">
                  <c:v>43644</c:v>
                </c:pt>
                <c:pt idx="2476">
                  <c:v>43647</c:v>
                </c:pt>
                <c:pt idx="2477">
                  <c:v>43648</c:v>
                </c:pt>
                <c:pt idx="2478">
                  <c:v>43649</c:v>
                </c:pt>
                <c:pt idx="2479">
                  <c:v>43650</c:v>
                </c:pt>
                <c:pt idx="2480">
                  <c:v>43651</c:v>
                </c:pt>
                <c:pt idx="2481">
                  <c:v>43654</c:v>
                </c:pt>
                <c:pt idx="2482">
                  <c:v>43655</c:v>
                </c:pt>
                <c:pt idx="2483">
                  <c:v>43656</c:v>
                </c:pt>
                <c:pt idx="2484">
                  <c:v>43657</c:v>
                </c:pt>
                <c:pt idx="2485">
                  <c:v>43658</c:v>
                </c:pt>
                <c:pt idx="2486">
                  <c:v>43661</c:v>
                </c:pt>
                <c:pt idx="2487">
                  <c:v>43662</c:v>
                </c:pt>
                <c:pt idx="2488">
                  <c:v>43663</c:v>
                </c:pt>
                <c:pt idx="2489">
                  <c:v>43664</c:v>
                </c:pt>
                <c:pt idx="2490">
                  <c:v>43665</c:v>
                </c:pt>
                <c:pt idx="2491">
                  <c:v>43668</c:v>
                </c:pt>
                <c:pt idx="2492">
                  <c:v>43669</c:v>
                </c:pt>
                <c:pt idx="2493">
                  <c:v>43670</c:v>
                </c:pt>
                <c:pt idx="2494">
                  <c:v>43671</c:v>
                </c:pt>
                <c:pt idx="2495">
                  <c:v>43672</c:v>
                </c:pt>
                <c:pt idx="2496">
                  <c:v>43675</c:v>
                </c:pt>
                <c:pt idx="2497">
                  <c:v>43676</c:v>
                </c:pt>
                <c:pt idx="2498">
                  <c:v>43677</c:v>
                </c:pt>
                <c:pt idx="2499">
                  <c:v>43678</c:v>
                </c:pt>
                <c:pt idx="2500">
                  <c:v>43679</c:v>
                </c:pt>
                <c:pt idx="2501">
                  <c:v>43682</c:v>
                </c:pt>
                <c:pt idx="2502">
                  <c:v>43683</c:v>
                </c:pt>
                <c:pt idx="2503">
                  <c:v>43684</c:v>
                </c:pt>
                <c:pt idx="2504">
                  <c:v>43685</c:v>
                </c:pt>
                <c:pt idx="2505">
                  <c:v>43686</c:v>
                </c:pt>
                <c:pt idx="2506">
                  <c:v>43689</c:v>
                </c:pt>
                <c:pt idx="2507">
                  <c:v>43690</c:v>
                </c:pt>
                <c:pt idx="2508">
                  <c:v>43691</c:v>
                </c:pt>
                <c:pt idx="2509">
                  <c:v>43692</c:v>
                </c:pt>
                <c:pt idx="2510">
                  <c:v>43693</c:v>
                </c:pt>
                <c:pt idx="2511">
                  <c:v>43696</c:v>
                </c:pt>
                <c:pt idx="2512">
                  <c:v>43697</c:v>
                </c:pt>
                <c:pt idx="2513">
                  <c:v>43698</c:v>
                </c:pt>
                <c:pt idx="2514">
                  <c:v>43699</c:v>
                </c:pt>
                <c:pt idx="2515">
                  <c:v>43700</c:v>
                </c:pt>
                <c:pt idx="2516">
                  <c:v>43703</c:v>
                </c:pt>
                <c:pt idx="2517">
                  <c:v>43704</c:v>
                </c:pt>
                <c:pt idx="2518">
                  <c:v>43705</c:v>
                </c:pt>
                <c:pt idx="2519">
                  <c:v>43706</c:v>
                </c:pt>
                <c:pt idx="2520">
                  <c:v>43707</c:v>
                </c:pt>
                <c:pt idx="2521">
                  <c:v>43710</c:v>
                </c:pt>
                <c:pt idx="2522">
                  <c:v>43711</c:v>
                </c:pt>
                <c:pt idx="2523">
                  <c:v>43712</c:v>
                </c:pt>
                <c:pt idx="2524">
                  <c:v>43713</c:v>
                </c:pt>
                <c:pt idx="2525">
                  <c:v>43714</c:v>
                </c:pt>
                <c:pt idx="2526">
                  <c:v>43717</c:v>
                </c:pt>
                <c:pt idx="2527">
                  <c:v>43718</c:v>
                </c:pt>
                <c:pt idx="2528">
                  <c:v>43719</c:v>
                </c:pt>
                <c:pt idx="2529">
                  <c:v>43720</c:v>
                </c:pt>
                <c:pt idx="2530">
                  <c:v>43721</c:v>
                </c:pt>
                <c:pt idx="2531">
                  <c:v>43724</c:v>
                </c:pt>
                <c:pt idx="2532">
                  <c:v>43725</c:v>
                </c:pt>
                <c:pt idx="2533">
                  <c:v>43726</c:v>
                </c:pt>
                <c:pt idx="2534">
                  <c:v>43727</c:v>
                </c:pt>
                <c:pt idx="2535">
                  <c:v>43728</c:v>
                </c:pt>
                <c:pt idx="2536">
                  <c:v>43731</c:v>
                </c:pt>
                <c:pt idx="2537">
                  <c:v>43732</c:v>
                </c:pt>
                <c:pt idx="2538">
                  <c:v>43733</c:v>
                </c:pt>
                <c:pt idx="2539">
                  <c:v>43734</c:v>
                </c:pt>
                <c:pt idx="2540">
                  <c:v>43735</c:v>
                </c:pt>
                <c:pt idx="2541">
                  <c:v>43738</c:v>
                </c:pt>
                <c:pt idx="2542">
                  <c:v>43739</c:v>
                </c:pt>
                <c:pt idx="2543">
                  <c:v>43740</c:v>
                </c:pt>
                <c:pt idx="2544">
                  <c:v>43741</c:v>
                </c:pt>
                <c:pt idx="2545">
                  <c:v>43742</c:v>
                </c:pt>
                <c:pt idx="2546">
                  <c:v>43745</c:v>
                </c:pt>
                <c:pt idx="2547">
                  <c:v>43746</c:v>
                </c:pt>
                <c:pt idx="2548">
                  <c:v>43747</c:v>
                </c:pt>
                <c:pt idx="2549">
                  <c:v>43748</c:v>
                </c:pt>
                <c:pt idx="2550">
                  <c:v>43749</c:v>
                </c:pt>
                <c:pt idx="2551">
                  <c:v>43752</c:v>
                </c:pt>
                <c:pt idx="2552">
                  <c:v>43753</c:v>
                </c:pt>
                <c:pt idx="2553">
                  <c:v>43754</c:v>
                </c:pt>
                <c:pt idx="2554">
                  <c:v>43755</c:v>
                </c:pt>
                <c:pt idx="2555">
                  <c:v>43756</c:v>
                </c:pt>
                <c:pt idx="2556">
                  <c:v>43759</c:v>
                </c:pt>
                <c:pt idx="2557">
                  <c:v>43760</c:v>
                </c:pt>
                <c:pt idx="2558">
                  <c:v>43761</c:v>
                </c:pt>
                <c:pt idx="2559">
                  <c:v>43762</c:v>
                </c:pt>
                <c:pt idx="2560">
                  <c:v>43763</c:v>
                </c:pt>
                <c:pt idx="2561">
                  <c:v>43766</c:v>
                </c:pt>
                <c:pt idx="2562">
                  <c:v>43767</c:v>
                </c:pt>
                <c:pt idx="2563">
                  <c:v>43768</c:v>
                </c:pt>
                <c:pt idx="2564">
                  <c:v>43769</c:v>
                </c:pt>
                <c:pt idx="2565">
                  <c:v>43770</c:v>
                </c:pt>
                <c:pt idx="2566">
                  <c:v>43773</c:v>
                </c:pt>
                <c:pt idx="2567">
                  <c:v>43774</c:v>
                </c:pt>
                <c:pt idx="2568">
                  <c:v>43775</c:v>
                </c:pt>
                <c:pt idx="2569">
                  <c:v>43776</c:v>
                </c:pt>
                <c:pt idx="2570">
                  <c:v>43777</c:v>
                </c:pt>
                <c:pt idx="2571">
                  <c:v>43780</c:v>
                </c:pt>
                <c:pt idx="2572">
                  <c:v>43781</c:v>
                </c:pt>
                <c:pt idx="2573">
                  <c:v>43782</c:v>
                </c:pt>
                <c:pt idx="2574">
                  <c:v>43783</c:v>
                </c:pt>
                <c:pt idx="2575">
                  <c:v>43784</c:v>
                </c:pt>
                <c:pt idx="2576">
                  <c:v>43787</c:v>
                </c:pt>
                <c:pt idx="2577">
                  <c:v>43788</c:v>
                </c:pt>
                <c:pt idx="2578">
                  <c:v>43789</c:v>
                </c:pt>
                <c:pt idx="2579">
                  <c:v>43790</c:v>
                </c:pt>
                <c:pt idx="2580">
                  <c:v>43791</c:v>
                </c:pt>
                <c:pt idx="2581">
                  <c:v>43794</c:v>
                </c:pt>
                <c:pt idx="2582">
                  <c:v>43795</c:v>
                </c:pt>
                <c:pt idx="2583">
                  <c:v>43796</c:v>
                </c:pt>
                <c:pt idx="2584">
                  <c:v>43797</c:v>
                </c:pt>
                <c:pt idx="2585">
                  <c:v>43798</c:v>
                </c:pt>
                <c:pt idx="2586">
                  <c:v>43801</c:v>
                </c:pt>
                <c:pt idx="2587">
                  <c:v>43802</c:v>
                </c:pt>
                <c:pt idx="2588">
                  <c:v>43803</c:v>
                </c:pt>
                <c:pt idx="2589">
                  <c:v>43804</c:v>
                </c:pt>
                <c:pt idx="2590">
                  <c:v>43805</c:v>
                </c:pt>
                <c:pt idx="2591">
                  <c:v>43808</c:v>
                </c:pt>
                <c:pt idx="2592">
                  <c:v>43809</c:v>
                </c:pt>
                <c:pt idx="2593">
                  <c:v>43810</c:v>
                </c:pt>
                <c:pt idx="2594">
                  <c:v>43811</c:v>
                </c:pt>
                <c:pt idx="2595">
                  <c:v>43812</c:v>
                </c:pt>
                <c:pt idx="2596">
                  <c:v>43815</c:v>
                </c:pt>
                <c:pt idx="2597">
                  <c:v>43816</c:v>
                </c:pt>
                <c:pt idx="2598">
                  <c:v>43817</c:v>
                </c:pt>
                <c:pt idx="2599">
                  <c:v>43818</c:v>
                </c:pt>
                <c:pt idx="2600">
                  <c:v>43819</c:v>
                </c:pt>
                <c:pt idx="2601">
                  <c:v>43822</c:v>
                </c:pt>
                <c:pt idx="2602">
                  <c:v>43823</c:v>
                </c:pt>
                <c:pt idx="2603">
                  <c:v>43824</c:v>
                </c:pt>
                <c:pt idx="2604">
                  <c:v>43825</c:v>
                </c:pt>
                <c:pt idx="2605">
                  <c:v>43826</c:v>
                </c:pt>
                <c:pt idx="2606">
                  <c:v>43829</c:v>
                </c:pt>
                <c:pt idx="2607">
                  <c:v>43830</c:v>
                </c:pt>
                <c:pt idx="2608">
                  <c:v>43831</c:v>
                </c:pt>
                <c:pt idx="2609">
                  <c:v>43832</c:v>
                </c:pt>
                <c:pt idx="2610">
                  <c:v>43833</c:v>
                </c:pt>
                <c:pt idx="2611">
                  <c:v>43836</c:v>
                </c:pt>
                <c:pt idx="2612">
                  <c:v>43837</c:v>
                </c:pt>
                <c:pt idx="2613">
                  <c:v>43838</c:v>
                </c:pt>
                <c:pt idx="2614">
                  <c:v>43839</c:v>
                </c:pt>
                <c:pt idx="2615">
                  <c:v>43840</c:v>
                </c:pt>
                <c:pt idx="2616">
                  <c:v>43843</c:v>
                </c:pt>
                <c:pt idx="2617">
                  <c:v>43844</c:v>
                </c:pt>
                <c:pt idx="2618">
                  <c:v>43845</c:v>
                </c:pt>
                <c:pt idx="2619">
                  <c:v>43846</c:v>
                </c:pt>
                <c:pt idx="2620">
                  <c:v>43847</c:v>
                </c:pt>
                <c:pt idx="2621">
                  <c:v>43850</c:v>
                </c:pt>
                <c:pt idx="2622">
                  <c:v>43851</c:v>
                </c:pt>
                <c:pt idx="2623">
                  <c:v>43852</c:v>
                </c:pt>
                <c:pt idx="2624">
                  <c:v>43853</c:v>
                </c:pt>
                <c:pt idx="2625">
                  <c:v>43854</c:v>
                </c:pt>
                <c:pt idx="2626">
                  <c:v>43857</c:v>
                </c:pt>
                <c:pt idx="2627">
                  <c:v>43858</c:v>
                </c:pt>
                <c:pt idx="2628">
                  <c:v>43859</c:v>
                </c:pt>
                <c:pt idx="2629">
                  <c:v>43860</c:v>
                </c:pt>
                <c:pt idx="2630">
                  <c:v>43861</c:v>
                </c:pt>
                <c:pt idx="2631">
                  <c:v>43864</c:v>
                </c:pt>
                <c:pt idx="2632">
                  <c:v>43865</c:v>
                </c:pt>
                <c:pt idx="2633">
                  <c:v>43866</c:v>
                </c:pt>
                <c:pt idx="2634">
                  <c:v>43867</c:v>
                </c:pt>
                <c:pt idx="2635">
                  <c:v>43868</c:v>
                </c:pt>
                <c:pt idx="2636">
                  <c:v>43871</c:v>
                </c:pt>
                <c:pt idx="2637">
                  <c:v>43872</c:v>
                </c:pt>
                <c:pt idx="2638">
                  <c:v>43873</c:v>
                </c:pt>
                <c:pt idx="2639">
                  <c:v>43874</c:v>
                </c:pt>
                <c:pt idx="2640">
                  <c:v>43875</c:v>
                </c:pt>
                <c:pt idx="2641">
                  <c:v>43878</c:v>
                </c:pt>
                <c:pt idx="2642">
                  <c:v>43879</c:v>
                </c:pt>
                <c:pt idx="2643">
                  <c:v>43880</c:v>
                </c:pt>
                <c:pt idx="2644">
                  <c:v>43881</c:v>
                </c:pt>
                <c:pt idx="2645">
                  <c:v>43882</c:v>
                </c:pt>
                <c:pt idx="2646">
                  <c:v>43885</c:v>
                </c:pt>
                <c:pt idx="2647">
                  <c:v>43886</c:v>
                </c:pt>
                <c:pt idx="2648">
                  <c:v>43887</c:v>
                </c:pt>
                <c:pt idx="2649">
                  <c:v>43888</c:v>
                </c:pt>
                <c:pt idx="2650">
                  <c:v>43889</c:v>
                </c:pt>
                <c:pt idx="2651">
                  <c:v>43892</c:v>
                </c:pt>
                <c:pt idx="2652">
                  <c:v>43893</c:v>
                </c:pt>
                <c:pt idx="2653">
                  <c:v>43894</c:v>
                </c:pt>
                <c:pt idx="2654">
                  <c:v>43895</c:v>
                </c:pt>
                <c:pt idx="2655">
                  <c:v>43896</c:v>
                </c:pt>
                <c:pt idx="2656">
                  <c:v>43899</c:v>
                </c:pt>
                <c:pt idx="2657">
                  <c:v>43900</c:v>
                </c:pt>
                <c:pt idx="2658">
                  <c:v>43901</c:v>
                </c:pt>
                <c:pt idx="2659">
                  <c:v>43902</c:v>
                </c:pt>
                <c:pt idx="2660">
                  <c:v>43903</c:v>
                </c:pt>
                <c:pt idx="2661">
                  <c:v>43906</c:v>
                </c:pt>
                <c:pt idx="2662">
                  <c:v>43907</c:v>
                </c:pt>
                <c:pt idx="2663">
                  <c:v>43908</c:v>
                </c:pt>
                <c:pt idx="2664">
                  <c:v>43909</c:v>
                </c:pt>
                <c:pt idx="2665">
                  <c:v>43910</c:v>
                </c:pt>
                <c:pt idx="2666">
                  <c:v>43913</c:v>
                </c:pt>
                <c:pt idx="2667">
                  <c:v>43914</c:v>
                </c:pt>
                <c:pt idx="2668">
                  <c:v>43915</c:v>
                </c:pt>
                <c:pt idx="2669">
                  <c:v>43916</c:v>
                </c:pt>
                <c:pt idx="2670">
                  <c:v>43917</c:v>
                </c:pt>
                <c:pt idx="2671">
                  <c:v>43920</c:v>
                </c:pt>
                <c:pt idx="2672">
                  <c:v>43921</c:v>
                </c:pt>
              </c:numCache>
            </c:numRef>
          </c:cat>
          <c:val>
            <c:numRef>
              <c:f>Hoja1!$C$2:$C$2674</c:f>
              <c:numCache>
                <c:formatCode>#,##0.00</c:formatCode>
                <c:ptCount val="2673"/>
                <c:pt idx="0">
                  <c:v>55.125</c:v>
                </c:pt>
                <c:pt idx="1">
                  <c:v>57.854999999999997</c:v>
                </c:pt>
                <c:pt idx="2">
                  <c:v>58.274999999999999</c:v>
                </c:pt>
                <c:pt idx="3">
                  <c:v>59.43</c:v>
                </c:pt>
                <c:pt idx="4">
                  <c:v>60.165000000000006</c:v>
                </c:pt>
                <c:pt idx="5">
                  <c:v>59.43</c:v>
                </c:pt>
                <c:pt idx="6">
                  <c:v>56.91</c:v>
                </c:pt>
                <c:pt idx="7">
                  <c:v>54.809999999999995</c:v>
                </c:pt>
                <c:pt idx="8">
                  <c:v>52.5</c:v>
                </c:pt>
                <c:pt idx="9">
                  <c:v>50.82</c:v>
                </c:pt>
                <c:pt idx="10">
                  <c:v>49.35</c:v>
                </c:pt>
                <c:pt idx="11">
                  <c:v>49.35</c:v>
                </c:pt>
                <c:pt idx="12">
                  <c:v>50.82</c:v>
                </c:pt>
                <c:pt idx="13">
                  <c:v>52.92</c:v>
                </c:pt>
                <c:pt idx="14">
                  <c:v>53.97</c:v>
                </c:pt>
                <c:pt idx="15">
                  <c:v>53.34</c:v>
                </c:pt>
                <c:pt idx="16">
                  <c:v>53.76</c:v>
                </c:pt>
                <c:pt idx="17">
                  <c:v>54.18</c:v>
                </c:pt>
                <c:pt idx="18">
                  <c:v>55.65</c:v>
                </c:pt>
                <c:pt idx="19">
                  <c:v>55.23</c:v>
                </c:pt>
                <c:pt idx="20">
                  <c:v>54.915000000000006</c:v>
                </c:pt>
                <c:pt idx="21">
                  <c:v>55.754999999999995</c:v>
                </c:pt>
                <c:pt idx="22">
                  <c:v>58.379999999999995</c:v>
                </c:pt>
                <c:pt idx="23">
                  <c:v>58.905000000000001</c:v>
                </c:pt>
                <c:pt idx="24">
                  <c:v>56.594999999999999</c:v>
                </c:pt>
                <c:pt idx="25">
                  <c:v>55.86</c:v>
                </c:pt>
                <c:pt idx="26">
                  <c:v>56.07</c:v>
                </c:pt>
                <c:pt idx="27">
                  <c:v>56.28</c:v>
                </c:pt>
                <c:pt idx="28">
                  <c:v>54.809999999999995</c:v>
                </c:pt>
                <c:pt idx="29">
                  <c:v>52.709999999999994</c:v>
                </c:pt>
                <c:pt idx="30">
                  <c:v>51.555</c:v>
                </c:pt>
                <c:pt idx="31">
                  <c:v>51.555</c:v>
                </c:pt>
                <c:pt idx="32">
                  <c:v>52.08</c:v>
                </c:pt>
                <c:pt idx="33">
                  <c:v>51.24</c:v>
                </c:pt>
                <c:pt idx="34">
                  <c:v>51.24</c:v>
                </c:pt>
                <c:pt idx="35">
                  <c:v>52.290000000000006</c:v>
                </c:pt>
                <c:pt idx="36">
                  <c:v>52.395000000000003</c:v>
                </c:pt>
                <c:pt idx="37">
                  <c:v>52.709999999999994</c:v>
                </c:pt>
                <c:pt idx="38">
                  <c:v>53.234999999999999</c:v>
                </c:pt>
                <c:pt idx="39">
                  <c:v>52.184999999999995</c:v>
                </c:pt>
                <c:pt idx="40">
                  <c:v>51.03</c:v>
                </c:pt>
                <c:pt idx="41">
                  <c:v>49.77</c:v>
                </c:pt>
                <c:pt idx="42">
                  <c:v>49.454999999999998</c:v>
                </c:pt>
                <c:pt idx="43">
                  <c:v>49.77</c:v>
                </c:pt>
                <c:pt idx="44">
                  <c:v>49.454999999999998</c:v>
                </c:pt>
                <c:pt idx="45">
                  <c:v>50.504999999999995</c:v>
                </c:pt>
                <c:pt idx="46">
                  <c:v>49.559999999999995</c:v>
                </c:pt>
                <c:pt idx="47">
                  <c:v>48.93</c:v>
                </c:pt>
                <c:pt idx="48">
                  <c:v>48.93</c:v>
                </c:pt>
                <c:pt idx="49">
                  <c:v>47.354999999999997</c:v>
                </c:pt>
                <c:pt idx="50">
                  <c:v>47.25</c:v>
                </c:pt>
                <c:pt idx="51">
                  <c:v>45.78</c:v>
                </c:pt>
                <c:pt idx="52">
                  <c:v>46.620000000000005</c:v>
                </c:pt>
                <c:pt idx="53">
                  <c:v>47.25</c:v>
                </c:pt>
                <c:pt idx="54">
                  <c:v>46.83</c:v>
                </c:pt>
                <c:pt idx="55">
                  <c:v>46.934999999999995</c:v>
                </c:pt>
                <c:pt idx="56">
                  <c:v>47.040000000000006</c:v>
                </c:pt>
                <c:pt idx="57">
                  <c:v>47.67</c:v>
                </c:pt>
                <c:pt idx="58">
                  <c:v>47.040000000000006</c:v>
                </c:pt>
                <c:pt idx="59">
                  <c:v>46.41</c:v>
                </c:pt>
                <c:pt idx="60">
                  <c:v>45.465000000000003</c:v>
                </c:pt>
                <c:pt idx="61">
                  <c:v>46.2</c:v>
                </c:pt>
                <c:pt idx="62">
                  <c:v>45.884999999999998</c:v>
                </c:pt>
                <c:pt idx="63">
                  <c:v>46.41</c:v>
                </c:pt>
                <c:pt idx="64">
                  <c:v>47.25</c:v>
                </c:pt>
                <c:pt idx="65">
                  <c:v>47.25</c:v>
                </c:pt>
                <c:pt idx="66">
                  <c:v>48.3</c:v>
                </c:pt>
                <c:pt idx="67">
                  <c:v>48.615000000000002</c:v>
                </c:pt>
                <c:pt idx="68">
                  <c:v>48.615000000000002</c:v>
                </c:pt>
                <c:pt idx="69">
                  <c:v>48.09</c:v>
                </c:pt>
                <c:pt idx="70">
                  <c:v>47.67</c:v>
                </c:pt>
                <c:pt idx="71">
                  <c:v>48.09</c:v>
                </c:pt>
                <c:pt idx="72">
                  <c:v>47.67</c:v>
                </c:pt>
                <c:pt idx="73">
                  <c:v>47.67</c:v>
                </c:pt>
                <c:pt idx="74">
                  <c:v>48.195</c:v>
                </c:pt>
                <c:pt idx="75">
                  <c:v>47.459999999999994</c:v>
                </c:pt>
                <c:pt idx="76">
                  <c:v>46.515000000000001</c:v>
                </c:pt>
                <c:pt idx="77">
                  <c:v>46.934999999999995</c:v>
                </c:pt>
                <c:pt idx="78">
                  <c:v>47.145000000000003</c:v>
                </c:pt>
                <c:pt idx="79">
                  <c:v>46.725000000000001</c:v>
                </c:pt>
                <c:pt idx="80">
                  <c:v>46.725000000000001</c:v>
                </c:pt>
                <c:pt idx="81">
                  <c:v>47.774999999999999</c:v>
                </c:pt>
                <c:pt idx="82">
                  <c:v>47.774999999999999</c:v>
                </c:pt>
                <c:pt idx="83">
                  <c:v>47.67</c:v>
                </c:pt>
                <c:pt idx="84">
                  <c:v>47.879999999999995</c:v>
                </c:pt>
                <c:pt idx="85">
                  <c:v>47.879999999999995</c:v>
                </c:pt>
                <c:pt idx="86">
                  <c:v>48.3</c:v>
                </c:pt>
                <c:pt idx="87">
                  <c:v>47.879999999999995</c:v>
                </c:pt>
                <c:pt idx="88">
                  <c:v>47.459999999999994</c:v>
                </c:pt>
                <c:pt idx="89">
                  <c:v>45.78</c:v>
                </c:pt>
                <c:pt idx="90">
                  <c:v>45.78</c:v>
                </c:pt>
                <c:pt idx="91">
                  <c:v>46.620000000000005</c:v>
                </c:pt>
                <c:pt idx="92">
                  <c:v>47.25</c:v>
                </c:pt>
                <c:pt idx="93">
                  <c:v>47.25</c:v>
                </c:pt>
                <c:pt idx="94">
                  <c:v>47.459999999999994</c:v>
                </c:pt>
                <c:pt idx="95">
                  <c:v>46.934999999999995</c:v>
                </c:pt>
                <c:pt idx="96">
                  <c:v>45.254999999999995</c:v>
                </c:pt>
                <c:pt idx="97">
                  <c:v>45.254999999999995</c:v>
                </c:pt>
                <c:pt idx="98">
                  <c:v>43.89</c:v>
                </c:pt>
                <c:pt idx="99">
                  <c:v>42.42</c:v>
                </c:pt>
                <c:pt idx="100">
                  <c:v>42.42</c:v>
                </c:pt>
                <c:pt idx="101">
                  <c:v>42.104999999999997</c:v>
                </c:pt>
                <c:pt idx="102">
                  <c:v>41.265000000000001</c:v>
                </c:pt>
                <c:pt idx="103">
                  <c:v>42.945</c:v>
                </c:pt>
                <c:pt idx="104">
                  <c:v>44.204999999999998</c:v>
                </c:pt>
                <c:pt idx="105">
                  <c:v>45.57</c:v>
                </c:pt>
                <c:pt idx="106">
                  <c:v>45.57</c:v>
                </c:pt>
                <c:pt idx="107">
                  <c:v>46.305</c:v>
                </c:pt>
                <c:pt idx="108">
                  <c:v>46.2</c:v>
                </c:pt>
                <c:pt idx="109">
                  <c:v>46.41</c:v>
                </c:pt>
                <c:pt idx="110">
                  <c:v>45.465000000000003</c:v>
                </c:pt>
                <c:pt idx="111">
                  <c:v>45.045000000000002</c:v>
                </c:pt>
                <c:pt idx="112">
                  <c:v>44.415000000000006</c:v>
                </c:pt>
                <c:pt idx="113">
                  <c:v>45.15</c:v>
                </c:pt>
                <c:pt idx="114">
                  <c:v>45.57</c:v>
                </c:pt>
                <c:pt idx="115">
                  <c:v>44.309999999999995</c:v>
                </c:pt>
                <c:pt idx="116">
                  <c:v>44.73</c:v>
                </c:pt>
                <c:pt idx="117">
                  <c:v>43.995000000000005</c:v>
                </c:pt>
                <c:pt idx="118">
                  <c:v>43.575000000000003</c:v>
                </c:pt>
                <c:pt idx="119">
                  <c:v>42.84</c:v>
                </c:pt>
                <c:pt idx="120">
                  <c:v>42.84</c:v>
                </c:pt>
                <c:pt idx="121">
                  <c:v>42.734999999999999</c:v>
                </c:pt>
                <c:pt idx="122">
                  <c:v>42.315000000000005</c:v>
                </c:pt>
                <c:pt idx="123">
                  <c:v>40.949999999999996</c:v>
                </c:pt>
                <c:pt idx="124">
                  <c:v>41.055</c:v>
                </c:pt>
                <c:pt idx="125">
                  <c:v>42.84</c:v>
                </c:pt>
                <c:pt idx="126">
                  <c:v>42.209999999999994</c:v>
                </c:pt>
                <c:pt idx="127">
                  <c:v>41.58</c:v>
                </c:pt>
                <c:pt idx="128">
                  <c:v>41.79</c:v>
                </c:pt>
                <c:pt idx="129">
                  <c:v>40.425000000000004</c:v>
                </c:pt>
                <c:pt idx="130">
                  <c:v>40.425000000000004</c:v>
                </c:pt>
                <c:pt idx="131">
                  <c:v>40.425000000000004</c:v>
                </c:pt>
                <c:pt idx="132">
                  <c:v>40.425000000000004</c:v>
                </c:pt>
                <c:pt idx="133">
                  <c:v>40.425000000000004</c:v>
                </c:pt>
                <c:pt idx="134">
                  <c:v>42</c:v>
                </c:pt>
                <c:pt idx="135">
                  <c:v>42.104999999999997</c:v>
                </c:pt>
                <c:pt idx="136">
                  <c:v>40.32</c:v>
                </c:pt>
                <c:pt idx="137">
                  <c:v>41.79</c:v>
                </c:pt>
                <c:pt idx="138">
                  <c:v>42</c:v>
                </c:pt>
                <c:pt idx="139">
                  <c:v>42</c:v>
                </c:pt>
                <c:pt idx="140">
                  <c:v>41.79</c:v>
                </c:pt>
                <c:pt idx="141">
                  <c:v>41.895000000000003</c:v>
                </c:pt>
                <c:pt idx="142">
                  <c:v>41.79</c:v>
                </c:pt>
                <c:pt idx="143">
                  <c:v>41.895000000000003</c:v>
                </c:pt>
                <c:pt idx="144">
                  <c:v>43.26</c:v>
                </c:pt>
                <c:pt idx="145">
                  <c:v>44.1</c:v>
                </c:pt>
                <c:pt idx="146">
                  <c:v>44.52</c:v>
                </c:pt>
                <c:pt idx="147">
                  <c:v>44.52</c:v>
                </c:pt>
                <c:pt idx="148">
                  <c:v>45.15</c:v>
                </c:pt>
                <c:pt idx="149">
                  <c:v>45.674999999999997</c:v>
                </c:pt>
                <c:pt idx="150">
                  <c:v>45.254999999999995</c:v>
                </c:pt>
                <c:pt idx="151">
                  <c:v>46.620000000000005</c:v>
                </c:pt>
                <c:pt idx="152">
                  <c:v>46.725000000000001</c:v>
                </c:pt>
                <c:pt idx="153">
                  <c:v>46.41</c:v>
                </c:pt>
                <c:pt idx="154">
                  <c:v>46.515000000000001</c:v>
                </c:pt>
                <c:pt idx="155">
                  <c:v>46.725000000000001</c:v>
                </c:pt>
                <c:pt idx="156">
                  <c:v>46.620000000000005</c:v>
                </c:pt>
                <c:pt idx="157">
                  <c:v>46.515000000000001</c:v>
                </c:pt>
                <c:pt idx="158">
                  <c:v>45.15</c:v>
                </c:pt>
                <c:pt idx="159">
                  <c:v>43.995000000000005</c:v>
                </c:pt>
                <c:pt idx="160">
                  <c:v>43.784999999999997</c:v>
                </c:pt>
                <c:pt idx="161">
                  <c:v>43.5246</c:v>
                </c:pt>
                <c:pt idx="162">
                  <c:v>44.1</c:v>
                </c:pt>
                <c:pt idx="163">
                  <c:v>43.995000000000005</c:v>
                </c:pt>
                <c:pt idx="164">
                  <c:v>43.68</c:v>
                </c:pt>
                <c:pt idx="165">
                  <c:v>43.575000000000003</c:v>
                </c:pt>
                <c:pt idx="166">
                  <c:v>44.1</c:v>
                </c:pt>
                <c:pt idx="167">
                  <c:v>43.995000000000005</c:v>
                </c:pt>
                <c:pt idx="168">
                  <c:v>44.1</c:v>
                </c:pt>
                <c:pt idx="169">
                  <c:v>44.940000000000005</c:v>
                </c:pt>
                <c:pt idx="170">
                  <c:v>45.15</c:v>
                </c:pt>
                <c:pt idx="171">
                  <c:v>44.834999999999994</c:v>
                </c:pt>
                <c:pt idx="172">
                  <c:v>44.73</c:v>
                </c:pt>
                <c:pt idx="173">
                  <c:v>45.36</c:v>
                </c:pt>
                <c:pt idx="174">
                  <c:v>45.57</c:v>
                </c:pt>
                <c:pt idx="175">
                  <c:v>45.674999999999997</c:v>
                </c:pt>
                <c:pt idx="176">
                  <c:v>45.674999999999997</c:v>
                </c:pt>
                <c:pt idx="177">
                  <c:v>45.674999999999997</c:v>
                </c:pt>
                <c:pt idx="178">
                  <c:v>46.305</c:v>
                </c:pt>
                <c:pt idx="179">
                  <c:v>46.41</c:v>
                </c:pt>
                <c:pt idx="180">
                  <c:v>46.83</c:v>
                </c:pt>
                <c:pt idx="181">
                  <c:v>47.459999999999994</c:v>
                </c:pt>
                <c:pt idx="182">
                  <c:v>47.67</c:v>
                </c:pt>
                <c:pt idx="183">
                  <c:v>48.195</c:v>
                </c:pt>
                <c:pt idx="184">
                  <c:v>47.984999999999999</c:v>
                </c:pt>
                <c:pt idx="185">
                  <c:v>47.879999999999995</c:v>
                </c:pt>
                <c:pt idx="186">
                  <c:v>47.984999999999999</c:v>
                </c:pt>
                <c:pt idx="187">
                  <c:v>47.879999999999995</c:v>
                </c:pt>
                <c:pt idx="188">
                  <c:v>48.09</c:v>
                </c:pt>
                <c:pt idx="189">
                  <c:v>48.3</c:v>
                </c:pt>
                <c:pt idx="190">
                  <c:v>48.72</c:v>
                </c:pt>
                <c:pt idx="191">
                  <c:v>48.51</c:v>
                </c:pt>
                <c:pt idx="192">
                  <c:v>48.93</c:v>
                </c:pt>
                <c:pt idx="193">
                  <c:v>49.454999999999998</c:v>
                </c:pt>
                <c:pt idx="194">
                  <c:v>50.61</c:v>
                </c:pt>
                <c:pt idx="195">
                  <c:v>52.290000000000006</c:v>
                </c:pt>
                <c:pt idx="196">
                  <c:v>52.709999999999994</c:v>
                </c:pt>
                <c:pt idx="197">
                  <c:v>53.445</c:v>
                </c:pt>
                <c:pt idx="198">
                  <c:v>53.655000000000001</c:v>
                </c:pt>
                <c:pt idx="199">
                  <c:v>53.129999999999995</c:v>
                </c:pt>
                <c:pt idx="200">
                  <c:v>52.709999999999994</c:v>
                </c:pt>
                <c:pt idx="201">
                  <c:v>52.709999999999994</c:v>
                </c:pt>
                <c:pt idx="202">
                  <c:v>51.975000000000001</c:v>
                </c:pt>
                <c:pt idx="203">
                  <c:v>52.184999999999995</c:v>
                </c:pt>
                <c:pt idx="204">
                  <c:v>51.66</c:v>
                </c:pt>
                <c:pt idx="205">
                  <c:v>50.715000000000003</c:v>
                </c:pt>
                <c:pt idx="206">
                  <c:v>50.61</c:v>
                </c:pt>
                <c:pt idx="207">
                  <c:v>48.51</c:v>
                </c:pt>
                <c:pt idx="208">
                  <c:v>49.35</c:v>
                </c:pt>
                <c:pt idx="209">
                  <c:v>49.98</c:v>
                </c:pt>
                <c:pt idx="210">
                  <c:v>51.344999999999999</c:v>
                </c:pt>
                <c:pt idx="211">
                  <c:v>51.45</c:v>
                </c:pt>
                <c:pt idx="212">
                  <c:v>51.45</c:v>
                </c:pt>
                <c:pt idx="213">
                  <c:v>51.03</c:v>
                </c:pt>
                <c:pt idx="214">
                  <c:v>51.870000000000005</c:v>
                </c:pt>
                <c:pt idx="215">
                  <c:v>51.870000000000005</c:v>
                </c:pt>
                <c:pt idx="216">
                  <c:v>53.234999999999999</c:v>
                </c:pt>
                <c:pt idx="217">
                  <c:v>53.76</c:v>
                </c:pt>
                <c:pt idx="218">
                  <c:v>54.284999999999997</c:v>
                </c:pt>
                <c:pt idx="219">
                  <c:v>53.76</c:v>
                </c:pt>
                <c:pt idx="220">
                  <c:v>53.34</c:v>
                </c:pt>
                <c:pt idx="221">
                  <c:v>53.655000000000001</c:v>
                </c:pt>
                <c:pt idx="222">
                  <c:v>53.171999999999997</c:v>
                </c:pt>
                <c:pt idx="223">
                  <c:v>53.865000000000002</c:v>
                </c:pt>
                <c:pt idx="224">
                  <c:v>53.76</c:v>
                </c:pt>
                <c:pt idx="225">
                  <c:v>53.234999999999999</c:v>
                </c:pt>
                <c:pt idx="226">
                  <c:v>52.815000000000005</c:v>
                </c:pt>
                <c:pt idx="227">
                  <c:v>51.24</c:v>
                </c:pt>
                <c:pt idx="228">
                  <c:v>49.245000000000005</c:v>
                </c:pt>
                <c:pt idx="229">
                  <c:v>50.4</c:v>
                </c:pt>
                <c:pt idx="230">
                  <c:v>50.924999999999997</c:v>
                </c:pt>
                <c:pt idx="231">
                  <c:v>51.03</c:v>
                </c:pt>
                <c:pt idx="232">
                  <c:v>51.555</c:v>
                </c:pt>
                <c:pt idx="233">
                  <c:v>53.024999999999999</c:v>
                </c:pt>
                <c:pt idx="234">
                  <c:v>53.024999999999999</c:v>
                </c:pt>
                <c:pt idx="235">
                  <c:v>53.024999999999999</c:v>
                </c:pt>
                <c:pt idx="236">
                  <c:v>53.76</c:v>
                </c:pt>
                <c:pt idx="237">
                  <c:v>53.34</c:v>
                </c:pt>
                <c:pt idx="238">
                  <c:v>52.290000000000006</c:v>
                </c:pt>
                <c:pt idx="239">
                  <c:v>52.604999999999997</c:v>
                </c:pt>
                <c:pt idx="240">
                  <c:v>52.815000000000005</c:v>
                </c:pt>
                <c:pt idx="241">
                  <c:v>52.604999999999997</c:v>
                </c:pt>
                <c:pt idx="242">
                  <c:v>52.08</c:v>
                </c:pt>
                <c:pt idx="243">
                  <c:v>51.66</c:v>
                </c:pt>
                <c:pt idx="244">
                  <c:v>52.815000000000005</c:v>
                </c:pt>
                <c:pt idx="245">
                  <c:v>53.024999999999999</c:v>
                </c:pt>
                <c:pt idx="246">
                  <c:v>54.075000000000003</c:v>
                </c:pt>
                <c:pt idx="247">
                  <c:v>54.704999999999998</c:v>
                </c:pt>
                <c:pt idx="248">
                  <c:v>55.02</c:v>
                </c:pt>
                <c:pt idx="249">
                  <c:v>54.704999999999998</c:v>
                </c:pt>
                <c:pt idx="250">
                  <c:v>55.125</c:v>
                </c:pt>
                <c:pt idx="251">
                  <c:v>55.334999999999994</c:v>
                </c:pt>
                <c:pt idx="252">
                  <c:v>55.545000000000002</c:v>
                </c:pt>
                <c:pt idx="253">
                  <c:v>55.86</c:v>
                </c:pt>
                <c:pt idx="254">
                  <c:v>56.28</c:v>
                </c:pt>
                <c:pt idx="255">
                  <c:v>56.28</c:v>
                </c:pt>
                <c:pt idx="256">
                  <c:v>55.86</c:v>
                </c:pt>
                <c:pt idx="257">
                  <c:v>56.28</c:v>
                </c:pt>
                <c:pt idx="258">
                  <c:v>55.965000000000003</c:v>
                </c:pt>
                <c:pt idx="259">
                  <c:v>55.754999999999995</c:v>
                </c:pt>
                <c:pt idx="260">
                  <c:v>55.545000000000002</c:v>
                </c:pt>
                <c:pt idx="261">
                  <c:v>56.49</c:v>
                </c:pt>
                <c:pt idx="262">
                  <c:v>55.545000000000002</c:v>
                </c:pt>
                <c:pt idx="263">
                  <c:v>55.754999999999995</c:v>
                </c:pt>
                <c:pt idx="264">
                  <c:v>55.334999999999994</c:v>
                </c:pt>
                <c:pt idx="265">
                  <c:v>55.86</c:v>
                </c:pt>
                <c:pt idx="266">
                  <c:v>57.120000000000005</c:v>
                </c:pt>
                <c:pt idx="267">
                  <c:v>57.33</c:v>
                </c:pt>
                <c:pt idx="268">
                  <c:v>57.540000000000006</c:v>
                </c:pt>
                <c:pt idx="269">
                  <c:v>56.805</c:v>
                </c:pt>
                <c:pt idx="270">
                  <c:v>56.91</c:v>
                </c:pt>
                <c:pt idx="271">
                  <c:v>56.91</c:v>
                </c:pt>
                <c:pt idx="272">
                  <c:v>57.120000000000005</c:v>
                </c:pt>
                <c:pt idx="273">
                  <c:v>56.91</c:v>
                </c:pt>
                <c:pt idx="274">
                  <c:v>56.7</c:v>
                </c:pt>
                <c:pt idx="275">
                  <c:v>56.91</c:v>
                </c:pt>
                <c:pt idx="276">
                  <c:v>57.120000000000005</c:v>
                </c:pt>
                <c:pt idx="277">
                  <c:v>56.49</c:v>
                </c:pt>
                <c:pt idx="278">
                  <c:v>56.49</c:v>
                </c:pt>
                <c:pt idx="279">
                  <c:v>55.86</c:v>
                </c:pt>
                <c:pt idx="280">
                  <c:v>56.07</c:v>
                </c:pt>
                <c:pt idx="281">
                  <c:v>56.7</c:v>
                </c:pt>
                <c:pt idx="282">
                  <c:v>56.28</c:v>
                </c:pt>
                <c:pt idx="283">
                  <c:v>55.965000000000003</c:v>
                </c:pt>
                <c:pt idx="284">
                  <c:v>56.07</c:v>
                </c:pt>
                <c:pt idx="285">
                  <c:v>55.965000000000003</c:v>
                </c:pt>
                <c:pt idx="286">
                  <c:v>55.86</c:v>
                </c:pt>
                <c:pt idx="287">
                  <c:v>56.49</c:v>
                </c:pt>
                <c:pt idx="288">
                  <c:v>56.49</c:v>
                </c:pt>
                <c:pt idx="289">
                  <c:v>55.125</c:v>
                </c:pt>
                <c:pt idx="290">
                  <c:v>54.704999999999998</c:v>
                </c:pt>
                <c:pt idx="291">
                  <c:v>56.28</c:v>
                </c:pt>
                <c:pt idx="292">
                  <c:v>56.28</c:v>
                </c:pt>
                <c:pt idx="293">
                  <c:v>57.225000000000001</c:v>
                </c:pt>
                <c:pt idx="294">
                  <c:v>58.379999999999995</c:v>
                </c:pt>
                <c:pt idx="295">
                  <c:v>56.7</c:v>
                </c:pt>
                <c:pt idx="296">
                  <c:v>56.7</c:v>
                </c:pt>
                <c:pt idx="297">
                  <c:v>58.379999999999995</c:v>
                </c:pt>
                <c:pt idx="298">
                  <c:v>58.274999999999999</c:v>
                </c:pt>
                <c:pt idx="299">
                  <c:v>60.9</c:v>
                </c:pt>
                <c:pt idx="300">
                  <c:v>68.459999999999994</c:v>
                </c:pt>
                <c:pt idx="301">
                  <c:v>65.52</c:v>
                </c:pt>
                <c:pt idx="302">
                  <c:v>60.48</c:v>
                </c:pt>
                <c:pt idx="303">
                  <c:v>60.165000000000006</c:v>
                </c:pt>
                <c:pt idx="304">
                  <c:v>56.7</c:v>
                </c:pt>
                <c:pt idx="305">
                  <c:v>56.7</c:v>
                </c:pt>
                <c:pt idx="306">
                  <c:v>56.6496</c:v>
                </c:pt>
                <c:pt idx="307">
                  <c:v>55.440000000000005</c:v>
                </c:pt>
                <c:pt idx="308">
                  <c:v>56.594999999999999</c:v>
                </c:pt>
                <c:pt idx="309">
                  <c:v>56.384999999999998</c:v>
                </c:pt>
                <c:pt idx="310">
                  <c:v>56.49</c:v>
                </c:pt>
                <c:pt idx="311">
                  <c:v>56.91</c:v>
                </c:pt>
                <c:pt idx="312">
                  <c:v>55.86</c:v>
                </c:pt>
                <c:pt idx="313">
                  <c:v>56.91</c:v>
                </c:pt>
                <c:pt idx="314">
                  <c:v>61.11</c:v>
                </c:pt>
                <c:pt idx="315">
                  <c:v>61.11</c:v>
                </c:pt>
                <c:pt idx="316">
                  <c:v>61.53</c:v>
                </c:pt>
                <c:pt idx="317">
                  <c:v>61.634999999999998</c:v>
                </c:pt>
                <c:pt idx="318">
                  <c:v>59.64</c:v>
                </c:pt>
                <c:pt idx="319">
                  <c:v>59.01</c:v>
                </c:pt>
                <c:pt idx="320">
                  <c:v>56.7</c:v>
                </c:pt>
                <c:pt idx="321">
                  <c:v>56.7</c:v>
                </c:pt>
                <c:pt idx="322">
                  <c:v>56.7</c:v>
                </c:pt>
                <c:pt idx="323">
                  <c:v>56.384999999999998</c:v>
                </c:pt>
                <c:pt idx="324">
                  <c:v>57.225000000000001</c:v>
                </c:pt>
                <c:pt idx="325">
                  <c:v>58.274999999999999</c:v>
                </c:pt>
                <c:pt idx="326">
                  <c:v>58.17</c:v>
                </c:pt>
                <c:pt idx="327">
                  <c:v>59.01</c:v>
                </c:pt>
                <c:pt idx="328">
                  <c:v>58.379999999999995</c:v>
                </c:pt>
                <c:pt idx="329">
                  <c:v>58.8</c:v>
                </c:pt>
                <c:pt idx="330">
                  <c:v>59.85</c:v>
                </c:pt>
                <c:pt idx="331">
                  <c:v>59.484599999999993</c:v>
                </c:pt>
                <c:pt idx="332">
                  <c:v>58.434599999999996</c:v>
                </c:pt>
                <c:pt idx="333">
                  <c:v>58.8</c:v>
                </c:pt>
                <c:pt idx="334">
                  <c:v>60.059999999999995</c:v>
                </c:pt>
                <c:pt idx="335">
                  <c:v>60.059999999999995</c:v>
                </c:pt>
                <c:pt idx="336">
                  <c:v>59.01</c:v>
                </c:pt>
                <c:pt idx="337">
                  <c:v>59.22</c:v>
                </c:pt>
                <c:pt idx="338">
                  <c:v>62.16</c:v>
                </c:pt>
                <c:pt idx="339">
                  <c:v>61.74</c:v>
                </c:pt>
                <c:pt idx="340">
                  <c:v>61.74</c:v>
                </c:pt>
                <c:pt idx="341">
                  <c:v>62.004599999999996</c:v>
                </c:pt>
                <c:pt idx="342">
                  <c:v>61.844999999999999</c:v>
                </c:pt>
                <c:pt idx="343">
                  <c:v>64.47</c:v>
                </c:pt>
                <c:pt idx="344">
                  <c:v>66.674999999999997</c:v>
                </c:pt>
                <c:pt idx="345">
                  <c:v>66.149999999999991</c:v>
                </c:pt>
                <c:pt idx="346">
                  <c:v>67.305000000000007</c:v>
                </c:pt>
                <c:pt idx="347">
                  <c:v>67.094999999999999</c:v>
                </c:pt>
                <c:pt idx="348">
                  <c:v>66.045000000000002</c:v>
                </c:pt>
                <c:pt idx="349">
                  <c:v>61.74</c:v>
                </c:pt>
                <c:pt idx="350">
                  <c:v>61.53</c:v>
                </c:pt>
                <c:pt idx="351">
                  <c:v>64.89</c:v>
                </c:pt>
                <c:pt idx="352">
                  <c:v>64.995000000000005</c:v>
                </c:pt>
                <c:pt idx="353">
                  <c:v>62.8446</c:v>
                </c:pt>
                <c:pt idx="354">
                  <c:v>63.524999999999999</c:v>
                </c:pt>
                <c:pt idx="355">
                  <c:v>64.260000000000005</c:v>
                </c:pt>
                <c:pt idx="356">
                  <c:v>64.260000000000005</c:v>
                </c:pt>
                <c:pt idx="357">
                  <c:v>62.684999999999995</c:v>
                </c:pt>
                <c:pt idx="358">
                  <c:v>63.629999999999995</c:v>
                </c:pt>
                <c:pt idx="359">
                  <c:v>63.104999999999997</c:v>
                </c:pt>
                <c:pt idx="360">
                  <c:v>62.790000000000006</c:v>
                </c:pt>
                <c:pt idx="361">
                  <c:v>61.95</c:v>
                </c:pt>
                <c:pt idx="362">
                  <c:v>62.475000000000001</c:v>
                </c:pt>
                <c:pt idx="363">
                  <c:v>62.58</c:v>
                </c:pt>
                <c:pt idx="364">
                  <c:v>61.794600000000003</c:v>
                </c:pt>
                <c:pt idx="365">
                  <c:v>62.895000000000003</c:v>
                </c:pt>
                <c:pt idx="366">
                  <c:v>62.895000000000003</c:v>
                </c:pt>
                <c:pt idx="367">
                  <c:v>63.524999999999999</c:v>
                </c:pt>
                <c:pt idx="368">
                  <c:v>63.629999999999995</c:v>
                </c:pt>
                <c:pt idx="369">
                  <c:v>64.05</c:v>
                </c:pt>
                <c:pt idx="370">
                  <c:v>64.05</c:v>
                </c:pt>
                <c:pt idx="371">
                  <c:v>63.209999999999994</c:v>
                </c:pt>
                <c:pt idx="372">
                  <c:v>64.05</c:v>
                </c:pt>
                <c:pt idx="373">
                  <c:v>64.524600000000007</c:v>
                </c:pt>
                <c:pt idx="374">
                  <c:v>65.31</c:v>
                </c:pt>
                <c:pt idx="375">
                  <c:v>64.89</c:v>
                </c:pt>
                <c:pt idx="376">
                  <c:v>63.945</c:v>
                </c:pt>
                <c:pt idx="377">
                  <c:v>65.100000000000009</c:v>
                </c:pt>
                <c:pt idx="378">
                  <c:v>63.84</c:v>
                </c:pt>
                <c:pt idx="379">
                  <c:v>64.260000000000005</c:v>
                </c:pt>
                <c:pt idx="380">
                  <c:v>64.05</c:v>
                </c:pt>
                <c:pt idx="381">
                  <c:v>64.05</c:v>
                </c:pt>
                <c:pt idx="382">
                  <c:v>64.260000000000005</c:v>
                </c:pt>
                <c:pt idx="383">
                  <c:v>64.784999999999997</c:v>
                </c:pt>
                <c:pt idx="384">
                  <c:v>63</c:v>
                </c:pt>
                <c:pt idx="385">
                  <c:v>62.684999999999995</c:v>
                </c:pt>
                <c:pt idx="386">
                  <c:v>61.844999999999999</c:v>
                </c:pt>
                <c:pt idx="387">
                  <c:v>61.74</c:v>
                </c:pt>
                <c:pt idx="388">
                  <c:v>61.8996</c:v>
                </c:pt>
                <c:pt idx="389">
                  <c:v>62.370000000000005</c:v>
                </c:pt>
                <c:pt idx="390">
                  <c:v>63.315000000000005</c:v>
                </c:pt>
                <c:pt idx="391">
                  <c:v>63.315000000000005</c:v>
                </c:pt>
                <c:pt idx="392">
                  <c:v>62.790000000000006</c:v>
                </c:pt>
                <c:pt idx="393">
                  <c:v>62.895000000000003</c:v>
                </c:pt>
                <c:pt idx="394">
                  <c:v>64.155000000000001</c:v>
                </c:pt>
                <c:pt idx="395">
                  <c:v>64.155000000000001</c:v>
                </c:pt>
                <c:pt idx="396">
                  <c:v>63.84</c:v>
                </c:pt>
                <c:pt idx="397">
                  <c:v>64.209599999999995</c:v>
                </c:pt>
                <c:pt idx="398">
                  <c:v>64.155000000000001</c:v>
                </c:pt>
                <c:pt idx="399">
                  <c:v>63.84</c:v>
                </c:pt>
                <c:pt idx="400">
                  <c:v>64.419600000000003</c:v>
                </c:pt>
                <c:pt idx="401">
                  <c:v>63.524999999999999</c:v>
                </c:pt>
                <c:pt idx="402">
                  <c:v>64.155000000000001</c:v>
                </c:pt>
                <c:pt idx="403">
                  <c:v>63.945</c:v>
                </c:pt>
                <c:pt idx="404">
                  <c:v>64.209599999999995</c:v>
                </c:pt>
                <c:pt idx="405">
                  <c:v>64.260000000000005</c:v>
                </c:pt>
                <c:pt idx="406">
                  <c:v>64.05</c:v>
                </c:pt>
                <c:pt idx="407">
                  <c:v>64.47</c:v>
                </c:pt>
                <c:pt idx="408">
                  <c:v>64.680000000000007</c:v>
                </c:pt>
                <c:pt idx="409">
                  <c:v>65.204999999999998</c:v>
                </c:pt>
                <c:pt idx="410">
                  <c:v>65.31</c:v>
                </c:pt>
                <c:pt idx="411">
                  <c:v>65.784599999999998</c:v>
                </c:pt>
                <c:pt idx="412">
                  <c:v>65.94</c:v>
                </c:pt>
                <c:pt idx="413">
                  <c:v>65.679599999999994</c:v>
                </c:pt>
                <c:pt idx="414">
                  <c:v>63.209999999999994</c:v>
                </c:pt>
                <c:pt idx="415">
                  <c:v>63.84</c:v>
                </c:pt>
                <c:pt idx="416">
                  <c:v>60.48</c:v>
                </c:pt>
                <c:pt idx="417">
                  <c:v>59.954999999999998</c:v>
                </c:pt>
                <c:pt idx="418">
                  <c:v>62.949599999999997</c:v>
                </c:pt>
                <c:pt idx="419">
                  <c:v>63.629999999999995</c:v>
                </c:pt>
                <c:pt idx="420">
                  <c:v>63.84</c:v>
                </c:pt>
                <c:pt idx="421">
                  <c:v>64.7346</c:v>
                </c:pt>
                <c:pt idx="422">
                  <c:v>64.05</c:v>
                </c:pt>
                <c:pt idx="423">
                  <c:v>64.89</c:v>
                </c:pt>
                <c:pt idx="424">
                  <c:v>64.05</c:v>
                </c:pt>
                <c:pt idx="425">
                  <c:v>64.260000000000005</c:v>
                </c:pt>
                <c:pt idx="426">
                  <c:v>64.364999999999995</c:v>
                </c:pt>
                <c:pt idx="427">
                  <c:v>64.155000000000001</c:v>
                </c:pt>
                <c:pt idx="428">
                  <c:v>64.419600000000003</c:v>
                </c:pt>
                <c:pt idx="429">
                  <c:v>64.47</c:v>
                </c:pt>
                <c:pt idx="430">
                  <c:v>64.89</c:v>
                </c:pt>
                <c:pt idx="431">
                  <c:v>64.944599999999994</c:v>
                </c:pt>
                <c:pt idx="432">
                  <c:v>65.4696</c:v>
                </c:pt>
                <c:pt idx="433">
                  <c:v>65.94</c:v>
                </c:pt>
                <c:pt idx="434">
                  <c:v>66.149999999999991</c:v>
                </c:pt>
                <c:pt idx="435">
                  <c:v>65.73</c:v>
                </c:pt>
                <c:pt idx="436">
                  <c:v>65.73</c:v>
                </c:pt>
                <c:pt idx="437">
                  <c:v>65.52</c:v>
                </c:pt>
                <c:pt idx="438">
                  <c:v>66.78</c:v>
                </c:pt>
                <c:pt idx="439">
                  <c:v>66.885000000000005</c:v>
                </c:pt>
                <c:pt idx="440">
                  <c:v>66.465000000000003</c:v>
                </c:pt>
                <c:pt idx="441">
                  <c:v>66.569999999999993</c:v>
                </c:pt>
                <c:pt idx="442">
                  <c:v>67.094999999999999</c:v>
                </c:pt>
                <c:pt idx="443">
                  <c:v>67.515000000000001</c:v>
                </c:pt>
                <c:pt idx="444">
                  <c:v>68.144999999999996</c:v>
                </c:pt>
                <c:pt idx="445">
                  <c:v>67.515000000000001</c:v>
                </c:pt>
                <c:pt idx="446">
                  <c:v>65.73</c:v>
                </c:pt>
                <c:pt idx="447">
                  <c:v>66.254999999999995</c:v>
                </c:pt>
                <c:pt idx="448">
                  <c:v>64.47</c:v>
                </c:pt>
                <c:pt idx="449">
                  <c:v>63.104999999999997</c:v>
                </c:pt>
                <c:pt idx="450">
                  <c:v>63.209999999999994</c:v>
                </c:pt>
                <c:pt idx="451">
                  <c:v>63</c:v>
                </c:pt>
                <c:pt idx="452">
                  <c:v>64.680000000000007</c:v>
                </c:pt>
                <c:pt idx="453">
                  <c:v>63.84</c:v>
                </c:pt>
                <c:pt idx="454">
                  <c:v>64.05</c:v>
                </c:pt>
                <c:pt idx="455">
                  <c:v>63.315000000000005</c:v>
                </c:pt>
                <c:pt idx="456">
                  <c:v>61.844999999999999</c:v>
                </c:pt>
                <c:pt idx="457">
                  <c:v>60.429599999999994</c:v>
                </c:pt>
                <c:pt idx="458">
                  <c:v>61.32</c:v>
                </c:pt>
                <c:pt idx="459">
                  <c:v>60.795000000000002</c:v>
                </c:pt>
                <c:pt idx="460">
                  <c:v>60.059999999999995</c:v>
                </c:pt>
                <c:pt idx="461">
                  <c:v>60.48</c:v>
                </c:pt>
                <c:pt idx="462">
                  <c:v>61.32</c:v>
                </c:pt>
                <c:pt idx="463">
                  <c:v>61.95</c:v>
                </c:pt>
                <c:pt idx="464">
                  <c:v>63.264600000000002</c:v>
                </c:pt>
                <c:pt idx="465">
                  <c:v>64.260000000000005</c:v>
                </c:pt>
                <c:pt idx="466">
                  <c:v>62.790000000000006</c:v>
                </c:pt>
                <c:pt idx="467">
                  <c:v>62.634599999999992</c:v>
                </c:pt>
                <c:pt idx="468">
                  <c:v>60.48</c:v>
                </c:pt>
                <c:pt idx="469">
                  <c:v>61.215000000000003</c:v>
                </c:pt>
                <c:pt idx="470">
                  <c:v>61.95</c:v>
                </c:pt>
                <c:pt idx="471">
                  <c:v>62.370000000000005</c:v>
                </c:pt>
                <c:pt idx="472">
                  <c:v>61.844999999999999</c:v>
                </c:pt>
                <c:pt idx="473">
                  <c:v>61.424999999999997</c:v>
                </c:pt>
                <c:pt idx="474">
                  <c:v>62.424599999999998</c:v>
                </c:pt>
                <c:pt idx="475">
                  <c:v>62.58</c:v>
                </c:pt>
                <c:pt idx="476">
                  <c:v>61.74</c:v>
                </c:pt>
                <c:pt idx="477">
                  <c:v>60.849599999999995</c:v>
                </c:pt>
                <c:pt idx="478">
                  <c:v>60.795000000000002</c:v>
                </c:pt>
                <c:pt idx="479">
                  <c:v>60.584999999999994</c:v>
                </c:pt>
                <c:pt idx="480">
                  <c:v>60.584999999999994</c:v>
                </c:pt>
                <c:pt idx="481">
                  <c:v>60.690000000000005</c:v>
                </c:pt>
                <c:pt idx="482">
                  <c:v>61.1646</c:v>
                </c:pt>
                <c:pt idx="483">
                  <c:v>60.9</c:v>
                </c:pt>
                <c:pt idx="484">
                  <c:v>62.265000000000001</c:v>
                </c:pt>
                <c:pt idx="485">
                  <c:v>62.58</c:v>
                </c:pt>
                <c:pt idx="486">
                  <c:v>60.954599999999999</c:v>
                </c:pt>
                <c:pt idx="487">
                  <c:v>61.844999999999999</c:v>
                </c:pt>
                <c:pt idx="488">
                  <c:v>61.8996</c:v>
                </c:pt>
                <c:pt idx="489">
                  <c:v>61.11</c:v>
                </c:pt>
                <c:pt idx="490">
                  <c:v>61.004999999999995</c:v>
                </c:pt>
                <c:pt idx="491">
                  <c:v>60.690000000000005</c:v>
                </c:pt>
                <c:pt idx="492">
                  <c:v>60.9</c:v>
                </c:pt>
                <c:pt idx="493">
                  <c:v>60.9</c:v>
                </c:pt>
                <c:pt idx="494">
                  <c:v>60.9</c:v>
                </c:pt>
                <c:pt idx="495">
                  <c:v>60.9</c:v>
                </c:pt>
                <c:pt idx="496">
                  <c:v>61.11</c:v>
                </c:pt>
                <c:pt idx="497">
                  <c:v>61.004999999999995</c:v>
                </c:pt>
                <c:pt idx="498">
                  <c:v>60.9</c:v>
                </c:pt>
                <c:pt idx="499">
                  <c:v>60.744599999999998</c:v>
                </c:pt>
                <c:pt idx="500">
                  <c:v>60.48</c:v>
                </c:pt>
                <c:pt idx="501">
                  <c:v>60.375</c:v>
                </c:pt>
                <c:pt idx="502">
                  <c:v>60.744599999999998</c:v>
                </c:pt>
                <c:pt idx="503">
                  <c:v>60.534599999999998</c:v>
                </c:pt>
                <c:pt idx="504">
                  <c:v>60.165000000000006</c:v>
                </c:pt>
                <c:pt idx="505">
                  <c:v>60.165000000000006</c:v>
                </c:pt>
                <c:pt idx="506">
                  <c:v>59.01</c:v>
                </c:pt>
                <c:pt idx="507">
                  <c:v>58.8</c:v>
                </c:pt>
                <c:pt idx="508">
                  <c:v>57.015000000000001</c:v>
                </c:pt>
                <c:pt idx="509">
                  <c:v>56.28</c:v>
                </c:pt>
                <c:pt idx="510">
                  <c:v>55.86</c:v>
                </c:pt>
                <c:pt idx="511">
                  <c:v>55.754999999999995</c:v>
                </c:pt>
                <c:pt idx="512">
                  <c:v>55.86</c:v>
                </c:pt>
                <c:pt idx="513">
                  <c:v>56.28</c:v>
                </c:pt>
                <c:pt idx="514">
                  <c:v>56.7</c:v>
                </c:pt>
                <c:pt idx="515">
                  <c:v>57.120000000000005</c:v>
                </c:pt>
                <c:pt idx="516">
                  <c:v>57.120000000000005</c:v>
                </c:pt>
                <c:pt idx="517">
                  <c:v>58.17</c:v>
                </c:pt>
                <c:pt idx="518">
                  <c:v>58.379999999999995</c:v>
                </c:pt>
                <c:pt idx="519">
                  <c:v>58.379999999999995</c:v>
                </c:pt>
                <c:pt idx="520">
                  <c:v>57.120000000000005</c:v>
                </c:pt>
                <c:pt idx="521">
                  <c:v>57.120000000000005</c:v>
                </c:pt>
                <c:pt idx="522">
                  <c:v>58.695</c:v>
                </c:pt>
                <c:pt idx="523">
                  <c:v>57.434999999999995</c:v>
                </c:pt>
                <c:pt idx="524">
                  <c:v>56.594999999999999</c:v>
                </c:pt>
                <c:pt idx="525">
                  <c:v>55.440000000000005</c:v>
                </c:pt>
                <c:pt idx="526">
                  <c:v>53.55</c:v>
                </c:pt>
                <c:pt idx="527">
                  <c:v>52.709999999999994</c:v>
                </c:pt>
                <c:pt idx="528">
                  <c:v>50.559599999999996</c:v>
                </c:pt>
                <c:pt idx="529">
                  <c:v>52.08</c:v>
                </c:pt>
                <c:pt idx="530">
                  <c:v>53.97</c:v>
                </c:pt>
                <c:pt idx="531">
                  <c:v>53.97</c:v>
                </c:pt>
                <c:pt idx="532">
                  <c:v>54.18</c:v>
                </c:pt>
                <c:pt idx="533">
                  <c:v>54.284999999999997</c:v>
                </c:pt>
                <c:pt idx="534">
                  <c:v>53.709599999999995</c:v>
                </c:pt>
                <c:pt idx="535">
                  <c:v>53.76</c:v>
                </c:pt>
                <c:pt idx="536">
                  <c:v>53.76</c:v>
                </c:pt>
                <c:pt idx="537">
                  <c:v>53.129999999999995</c:v>
                </c:pt>
                <c:pt idx="538">
                  <c:v>53.34</c:v>
                </c:pt>
                <c:pt idx="539">
                  <c:v>54.0246</c:v>
                </c:pt>
                <c:pt idx="540">
                  <c:v>54.284999999999997</c:v>
                </c:pt>
                <c:pt idx="541">
                  <c:v>54.39</c:v>
                </c:pt>
                <c:pt idx="542">
                  <c:v>54.39</c:v>
                </c:pt>
                <c:pt idx="543">
                  <c:v>53.655000000000001</c:v>
                </c:pt>
                <c:pt idx="544">
                  <c:v>52.709999999999994</c:v>
                </c:pt>
                <c:pt idx="545">
                  <c:v>52.869599999999998</c:v>
                </c:pt>
                <c:pt idx="546">
                  <c:v>52.290000000000006</c:v>
                </c:pt>
                <c:pt idx="547">
                  <c:v>52.08</c:v>
                </c:pt>
                <c:pt idx="548">
                  <c:v>51.819600000000001</c:v>
                </c:pt>
                <c:pt idx="549">
                  <c:v>51.66</c:v>
                </c:pt>
                <c:pt idx="550">
                  <c:v>50.4</c:v>
                </c:pt>
                <c:pt idx="551">
                  <c:v>50.4</c:v>
                </c:pt>
                <c:pt idx="552">
                  <c:v>49.98</c:v>
                </c:pt>
                <c:pt idx="553">
                  <c:v>49.614600000000003</c:v>
                </c:pt>
                <c:pt idx="554">
                  <c:v>49.245000000000005</c:v>
                </c:pt>
                <c:pt idx="555">
                  <c:v>49.559999999999995</c:v>
                </c:pt>
                <c:pt idx="556">
                  <c:v>49.559999999999995</c:v>
                </c:pt>
                <c:pt idx="557">
                  <c:v>50.084999999999994</c:v>
                </c:pt>
                <c:pt idx="558">
                  <c:v>50.924999999999997</c:v>
                </c:pt>
                <c:pt idx="559">
                  <c:v>50.82</c:v>
                </c:pt>
                <c:pt idx="560">
                  <c:v>52.395000000000003</c:v>
                </c:pt>
                <c:pt idx="561">
                  <c:v>52.08</c:v>
                </c:pt>
                <c:pt idx="562">
                  <c:v>51.66</c:v>
                </c:pt>
                <c:pt idx="563">
                  <c:v>51.189599999999999</c:v>
                </c:pt>
                <c:pt idx="564">
                  <c:v>51.66</c:v>
                </c:pt>
                <c:pt idx="565">
                  <c:v>51.66</c:v>
                </c:pt>
                <c:pt idx="566">
                  <c:v>51.294600000000003</c:v>
                </c:pt>
                <c:pt idx="567">
                  <c:v>51.555</c:v>
                </c:pt>
                <c:pt idx="568">
                  <c:v>52.815000000000005</c:v>
                </c:pt>
                <c:pt idx="569">
                  <c:v>54.704999999999998</c:v>
                </c:pt>
                <c:pt idx="570">
                  <c:v>55.86</c:v>
                </c:pt>
                <c:pt idx="571">
                  <c:v>53.865000000000002</c:v>
                </c:pt>
                <c:pt idx="572">
                  <c:v>52.92</c:v>
                </c:pt>
                <c:pt idx="573">
                  <c:v>52.395000000000003</c:v>
                </c:pt>
                <c:pt idx="574">
                  <c:v>52.08</c:v>
                </c:pt>
                <c:pt idx="575">
                  <c:v>52.92</c:v>
                </c:pt>
                <c:pt idx="576">
                  <c:v>53.234999999999999</c:v>
                </c:pt>
                <c:pt idx="577">
                  <c:v>52.815000000000005</c:v>
                </c:pt>
                <c:pt idx="578">
                  <c:v>53.234999999999999</c:v>
                </c:pt>
                <c:pt idx="579">
                  <c:v>53.34</c:v>
                </c:pt>
                <c:pt idx="580">
                  <c:v>53.76</c:v>
                </c:pt>
                <c:pt idx="581">
                  <c:v>53.76</c:v>
                </c:pt>
                <c:pt idx="582">
                  <c:v>53.97</c:v>
                </c:pt>
                <c:pt idx="583">
                  <c:v>53.394599999999997</c:v>
                </c:pt>
                <c:pt idx="584">
                  <c:v>53.394599999999997</c:v>
                </c:pt>
                <c:pt idx="585">
                  <c:v>51.765000000000001</c:v>
                </c:pt>
                <c:pt idx="586">
                  <c:v>51.24</c:v>
                </c:pt>
                <c:pt idx="587">
                  <c:v>50.6646</c:v>
                </c:pt>
                <c:pt idx="588">
                  <c:v>50.139600000000002</c:v>
                </c:pt>
                <c:pt idx="589">
                  <c:v>50.084999999999994</c:v>
                </c:pt>
                <c:pt idx="590">
                  <c:v>50.084999999999994</c:v>
                </c:pt>
                <c:pt idx="591">
                  <c:v>49.98</c:v>
                </c:pt>
                <c:pt idx="592">
                  <c:v>49.98</c:v>
                </c:pt>
                <c:pt idx="593">
                  <c:v>50.4</c:v>
                </c:pt>
                <c:pt idx="594">
                  <c:v>50.82</c:v>
                </c:pt>
                <c:pt idx="595">
                  <c:v>50.82</c:v>
                </c:pt>
                <c:pt idx="596">
                  <c:v>50.82</c:v>
                </c:pt>
                <c:pt idx="597">
                  <c:v>50.82</c:v>
                </c:pt>
                <c:pt idx="598">
                  <c:v>50.190000000000005</c:v>
                </c:pt>
                <c:pt idx="599">
                  <c:v>49.77</c:v>
                </c:pt>
                <c:pt idx="600">
                  <c:v>50.084999999999994</c:v>
                </c:pt>
                <c:pt idx="601">
                  <c:v>49.875</c:v>
                </c:pt>
                <c:pt idx="602">
                  <c:v>49.929599999999994</c:v>
                </c:pt>
                <c:pt idx="603">
                  <c:v>49.77</c:v>
                </c:pt>
                <c:pt idx="604">
                  <c:v>49.559999999999995</c:v>
                </c:pt>
                <c:pt idx="605">
                  <c:v>49.14</c:v>
                </c:pt>
                <c:pt idx="606">
                  <c:v>48.3</c:v>
                </c:pt>
                <c:pt idx="607">
                  <c:v>47.514600000000002</c:v>
                </c:pt>
                <c:pt idx="608">
                  <c:v>45.57</c:v>
                </c:pt>
                <c:pt idx="609">
                  <c:v>43.575000000000003</c:v>
                </c:pt>
                <c:pt idx="610">
                  <c:v>43.05</c:v>
                </c:pt>
                <c:pt idx="611">
                  <c:v>41.79</c:v>
                </c:pt>
                <c:pt idx="612">
                  <c:v>41.265000000000001</c:v>
                </c:pt>
                <c:pt idx="613">
                  <c:v>41.949599999999997</c:v>
                </c:pt>
                <c:pt idx="614">
                  <c:v>43.05</c:v>
                </c:pt>
                <c:pt idx="615">
                  <c:v>43.05</c:v>
                </c:pt>
                <c:pt idx="616">
                  <c:v>41.949599999999997</c:v>
                </c:pt>
                <c:pt idx="617">
                  <c:v>41.16</c:v>
                </c:pt>
                <c:pt idx="618">
                  <c:v>39.534599999999998</c:v>
                </c:pt>
                <c:pt idx="619">
                  <c:v>39.375</c:v>
                </c:pt>
                <c:pt idx="620">
                  <c:v>39.164999999999999</c:v>
                </c:pt>
                <c:pt idx="621">
                  <c:v>39.429600000000001</c:v>
                </c:pt>
                <c:pt idx="622">
                  <c:v>38.324999999999996</c:v>
                </c:pt>
                <c:pt idx="623">
                  <c:v>35.019599999999997</c:v>
                </c:pt>
                <c:pt idx="624">
                  <c:v>34.965000000000003</c:v>
                </c:pt>
                <c:pt idx="625">
                  <c:v>35.384999999999998</c:v>
                </c:pt>
                <c:pt idx="626">
                  <c:v>35.384999999999998</c:v>
                </c:pt>
                <c:pt idx="627">
                  <c:v>34.965000000000003</c:v>
                </c:pt>
                <c:pt idx="628">
                  <c:v>32.865000000000002</c:v>
                </c:pt>
                <c:pt idx="629">
                  <c:v>31.814999999999998</c:v>
                </c:pt>
                <c:pt idx="630">
                  <c:v>29.925000000000001</c:v>
                </c:pt>
                <c:pt idx="631">
                  <c:v>30.345000000000002</c:v>
                </c:pt>
                <c:pt idx="632">
                  <c:v>33.2346</c:v>
                </c:pt>
                <c:pt idx="633">
                  <c:v>32.865000000000002</c:v>
                </c:pt>
                <c:pt idx="634">
                  <c:v>32.2896</c:v>
                </c:pt>
                <c:pt idx="635">
                  <c:v>32.234999999999999</c:v>
                </c:pt>
                <c:pt idx="636">
                  <c:v>31.92</c:v>
                </c:pt>
                <c:pt idx="637">
                  <c:v>31.92</c:v>
                </c:pt>
                <c:pt idx="638">
                  <c:v>32.024999999999999</c:v>
                </c:pt>
                <c:pt idx="639">
                  <c:v>32.814599999999999</c:v>
                </c:pt>
                <c:pt idx="640">
                  <c:v>33.704999999999998</c:v>
                </c:pt>
                <c:pt idx="641">
                  <c:v>33.6</c:v>
                </c:pt>
                <c:pt idx="642">
                  <c:v>34.965000000000003</c:v>
                </c:pt>
                <c:pt idx="643">
                  <c:v>34.229999999999997</c:v>
                </c:pt>
                <c:pt idx="644">
                  <c:v>33.549599999999998</c:v>
                </c:pt>
                <c:pt idx="645">
                  <c:v>34.074599999999997</c:v>
                </c:pt>
                <c:pt idx="646">
                  <c:v>33.284999999999997</c:v>
                </c:pt>
                <c:pt idx="647">
                  <c:v>33.654599999999995</c:v>
                </c:pt>
                <c:pt idx="648">
                  <c:v>33.074999999999996</c:v>
                </c:pt>
                <c:pt idx="649">
                  <c:v>33.18</c:v>
                </c:pt>
                <c:pt idx="650">
                  <c:v>34.65</c:v>
                </c:pt>
                <c:pt idx="651">
                  <c:v>33.18</c:v>
                </c:pt>
                <c:pt idx="652">
                  <c:v>34.335000000000001</c:v>
                </c:pt>
                <c:pt idx="653">
                  <c:v>34.335000000000001</c:v>
                </c:pt>
                <c:pt idx="654">
                  <c:v>34.335000000000001</c:v>
                </c:pt>
                <c:pt idx="655">
                  <c:v>34.335000000000001</c:v>
                </c:pt>
                <c:pt idx="656">
                  <c:v>34.965000000000003</c:v>
                </c:pt>
                <c:pt idx="657">
                  <c:v>34.335000000000001</c:v>
                </c:pt>
                <c:pt idx="658">
                  <c:v>35.384999999999998</c:v>
                </c:pt>
                <c:pt idx="659">
                  <c:v>36.119999999999997</c:v>
                </c:pt>
                <c:pt idx="660">
                  <c:v>37.064999999999998</c:v>
                </c:pt>
                <c:pt idx="661">
                  <c:v>37.695</c:v>
                </c:pt>
                <c:pt idx="662">
                  <c:v>38.43</c:v>
                </c:pt>
                <c:pt idx="663">
                  <c:v>39.06</c:v>
                </c:pt>
                <c:pt idx="664">
                  <c:v>40.059599999999996</c:v>
                </c:pt>
                <c:pt idx="665">
                  <c:v>39.479999999999997</c:v>
                </c:pt>
                <c:pt idx="666">
                  <c:v>38.324999999999996</c:v>
                </c:pt>
                <c:pt idx="667">
                  <c:v>38.01</c:v>
                </c:pt>
                <c:pt idx="668">
                  <c:v>37.800000000000004</c:v>
                </c:pt>
                <c:pt idx="669">
                  <c:v>37.644599999999997</c:v>
                </c:pt>
                <c:pt idx="670">
                  <c:v>37.800000000000004</c:v>
                </c:pt>
                <c:pt idx="671">
                  <c:v>36.96</c:v>
                </c:pt>
                <c:pt idx="672">
                  <c:v>36.435000000000002</c:v>
                </c:pt>
                <c:pt idx="673">
                  <c:v>36.75</c:v>
                </c:pt>
                <c:pt idx="674">
                  <c:v>35.8596</c:v>
                </c:pt>
                <c:pt idx="675">
                  <c:v>37.644599999999997</c:v>
                </c:pt>
                <c:pt idx="676">
                  <c:v>37.854599999999998</c:v>
                </c:pt>
                <c:pt idx="677">
                  <c:v>39.009599999999999</c:v>
                </c:pt>
                <c:pt idx="678">
                  <c:v>39.270000000000003</c:v>
                </c:pt>
                <c:pt idx="679">
                  <c:v>39.479999999999997</c:v>
                </c:pt>
                <c:pt idx="680">
                  <c:v>39.375</c:v>
                </c:pt>
                <c:pt idx="681">
                  <c:v>39.639600000000002</c:v>
                </c:pt>
                <c:pt idx="682">
                  <c:v>39.795000000000002</c:v>
                </c:pt>
                <c:pt idx="683">
                  <c:v>39.69</c:v>
                </c:pt>
                <c:pt idx="684">
                  <c:v>39.585000000000001</c:v>
                </c:pt>
                <c:pt idx="685">
                  <c:v>39.06</c:v>
                </c:pt>
                <c:pt idx="686">
                  <c:v>38.324999999999996</c:v>
                </c:pt>
                <c:pt idx="687">
                  <c:v>38.589599999999997</c:v>
                </c:pt>
                <c:pt idx="688">
                  <c:v>37.959599999999995</c:v>
                </c:pt>
                <c:pt idx="689">
                  <c:v>35.594999999999999</c:v>
                </c:pt>
                <c:pt idx="690">
                  <c:v>33.81</c:v>
                </c:pt>
                <c:pt idx="691">
                  <c:v>34.020000000000003</c:v>
                </c:pt>
                <c:pt idx="692">
                  <c:v>35.384999999999998</c:v>
                </c:pt>
                <c:pt idx="693">
                  <c:v>36.75</c:v>
                </c:pt>
                <c:pt idx="694">
                  <c:v>37.905000000000001</c:v>
                </c:pt>
                <c:pt idx="695">
                  <c:v>38.22</c:v>
                </c:pt>
                <c:pt idx="696">
                  <c:v>38.22</c:v>
                </c:pt>
                <c:pt idx="697">
                  <c:v>39.69</c:v>
                </c:pt>
                <c:pt idx="698">
                  <c:v>41.58</c:v>
                </c:pt>
                <c:pt idx="699">
                  <c:v>40.32</c:v>
                </c:pt>
                <c:pt idx="700">
                  <c:v>39.479999999999997</c:v>
                </c:pt>
                <c:pt idx="701">
                  <c:v>38.64</c:v>
                </c:pt>
                <c:pt idx="702">
                  <c:v>39.164999999999999</c:v>
                </c:pt>
                <c:pt idx="703">
                  <c:v>39.164999999999999</c:v>
                </c:pt>
                <c:pt idx="704">
                  <c:v>38.379599999999996</c:v>
                </c:pt>
                <c:pt idx="705">
                  <c:v>38.22</c:v>
                </c:pt>
                <c:pt idx="706">
                  <c:v>36.119999999999997</c:v>
                </c:pt>
                <c:pt idx="707">
                  <c:v>36.54</c:v>
                </c:pt>
                <c:pt idx="708">
                  <c:v>36.225000000000001</c:v>
                </c:pt>
                <c:pt idx="709">
                  <c:v>37.064999999999998</c:v>
                </c:pt>
                <c:pt idx="710">
                  <c:v>37.224600000000002</c:v>
                </c:pt>
                <c:pt idx="711">
                  <c:v>36.54</c:v>
                </c:pt>
                <c:pt idx="712">
                  <c:v>36.75</c:v>
                </c:pt>
                <c:pt idx="713">
                  <c:v>36.75</c:v>
                </c:pt>
                <c:pt idx="714">
                  <c:v>38.43</c:v>
                </c:pt>
                <c:pt idx="715">
                  <c:v>38.43</c:v>
                </c:pt>
                <c:pt idx="716">
                  <c:v>39.164999999999999</c:v>
                </c:pt>
                <c:pt idx="717">
                  <c:v>40.11</c:v>
                </c:pt>
                <c:pt idx="718">
                  <c:v>39.585000000000001</c:v>
                </c:pt>
                <c:pt idx="719">
                  <c:v>40.74</c:v>
                </c:pt>
                <c:pt idx="720">
                  <c:v>40.005000000000003</c:v>
                </c:pt>
                <c:pt idx="721">
                  <c:v>40.11</c:v>
                </c:pt>
                <c:pt idx="722">
                  <c:v>40.74</c:v>
                </c:pt>
                <c:pt idx="723">
                  <c:v>39.585000000000001</c:v>
                </c:pt>
                <c:pt idx="724">
                  <c:v>39.795000000000002</c:v>
                </c:pt>
                <c:pt idx="725">
                  <c:v>39.534599999999998</c:v>
                </c:pt>
                <c:pt idx="726">
                  <c:v>39.009599999999999</c:v>
                </c:pt>
                <c:pt idx="727">
                  <c:v>39.270000000000003</c:v>
                </c:pt>
                <c:pt idx="728">
                  <c:v>40.11</c:v>
                </c:pt>
                <c:pt idx="729">
                  <c:v>40.425000000000004</c:v>
                </c:pt>
                <c:pt idx="730">
                  <c:v>40.74</c:v>
                </c:pt>
                <c:pt idx="731">
                  <c:v>40.005000000000003</c:v>
                </c:pt>
                <c:pt idx="732">
                  <c:v>39.9</c:v>
                </c:pt>
                <c:pt idx="733">
                  <c:v>40.53</c:v>
                </c:pt>
                <c:pt idx="734">
                  <c:v>40.8996</c:v>
                </c:pt>
                <c:pt idx="735">
                  <c:v>41.8446</c:v>
                </c:pt>
                <c:pt idx="736">
                  <c:v>42</c:v>
                </c:pt>
                <c:pt idx="737">
                  <c:v>41.79</c:v>
                </c:pt>
                <c:pt idx="738">
                  <c:v>41.37</c:v>
                </c:pt>
                <c:pt idx="739">
                  <c:v>41.79</c:v>
                </c:pt>
                <c:pt idx="740">
                  <c:v>40.689599999999999</c:v>
                </c:pt>
                <c:pt idx="741">
                  <c:v>39.479999999999997</c:v>
                </c:pt>
                <c:pt idx="742">
                  <c:v>40.11</c:v>
                </c:pt>
                <c:pt idx="743">
                  <c:v>39.324599999999997</c:v>
                </c:pt>
                <c:pt idx="744">
                  <c:v>38.2746</c:v>
                </c:pt>
                <c:pt idx="745">
                  <c:v>38.01</c:v>
                </c:pt>
                <c:pt idx="746">
                  <c:v>37.5396</c:v>
                </c:pt>
                <c:pt idx="747">
                  <c:v>37.119599999999998</c:v>
                </c:pt>
                <c:pt idx="748">
                  <c:v>37.905000000000001</c:v>
                </c:pt>
                <c:pt idx="749">
                  <c:v>36.75</c:v>
                </c:pt>
                <c:pt idx="750">
                  <c:v>36.75</c:v>
                </c:pt>
                <c:pt idx="751">
                  <c:v>36.645000000000003</c:v>
                </c:pt>
                <c:pt idx="752">
                  <c:v>35.28</c:v>
                </c:pt>
                <c:pt idx="753">
                  <c:v>35.754599999999996</c:v>
                </c:pt>
                <c:pt idx="754">
                  <c:v>35.754599999999996</c:v>
                </c:pt>
                <c:pt idx="755">
                  <c:v>35.754599999999996</c:v>
                </c:pt>
                <c:pt idx="756">
                  <c:v>35.439599999999999</c:v>
                </c:pt>
                <c:pt idx="757">
                  <c:v>34.9146</c:v>
                </c:pt>
                <c:pt idx="758">
                  <c:v>34.494599999999998</c:v>
                </c:pt>
                <c:pt idx="759">
                  <c:v>34.704599999999999</c:v>
                </c:pt>
                <c:pt idx="760">
                  <c:v>35.124599999999994</c:v>
                </c:pt>
                <c:pt idx="761">
                  <c:v>34.704599999999999</c:v>
                </c:pt>
                <c:pt idx="762">
                  <c:v>33.39</c:v>
                </c:pt>
                <c:pt idx="763">
                  <c:v>31.764599999999998</c:v>
                </c:pt>
                <c:pt idx="764">
                  <c:v>30.66</c:v>
                </c:pt>
                <c:pt idx="765">
                  <c:v>30.45</c:v>
                </c:pt>
                <c:pt idx="766">
                  <c:v>29.925000000000001</c:v>
                </c:pt>
                <c:pt idx="767">
                  <c:v>30.714599999999997</c:v>
                </c:pt>
                <c:pt idx="768">
                  <c:v>30.45</c:v>
                </c:pt>
                <c:pt idx="769">
                  <c:v>30.714599999999997</c:v>
                </c:pt>
                <c:pt idx="770">
                  <c:v>32.024999999999999</c:v>
                </c:pt>
                <c:pt idx="771">
                  <c:v>32.655000000000001</c:v>
                </c:pt>
                <c:pt idx="772">
                  <c:v>33.18</c:v>
                </c:pt>
                <c:pt idx="773">
                  <c:v>34.229999999999997</c:v>
                </c:pt>
                <c:pt idx="774">
                  <c:v>34.65</c:v>
                </c:pt>
                <c:pt idx="775">
                  <c:v>34.9146</c:v>
                </c:pt>
                <c:pt idx="776">
                  <c:v>34.9146</c:v>
                </c:pt>
                <c:pt idx="777">
                  <c:v>34.9146</c:v>
                </c:pt>
                <c:pt idx="778">
                  <c:v>36.54</c:v>
                </c:pt>
                <c:pt idx="779">
                  <c:v>37.17</c:v>
                </c:pt>
                <c:pt idx="780">
                  <c:v>37.064999999999998</c:v>
                </c:pt>
                <c:pt idx="781">
                  <c:v>37.064999999999998</c:v>
                </c:pt>
                <c:pt idx="782">
                  <c:v>37.064999999999998</c:v>
                </c:pt>
                <c:pt idx="783">
                  <c:v>36.645000000000003</c:v>
                </c:pt>
                <c:pt idx="784">
                  <c:v>34.125</c:v>
                </c:pt>
                <c:pt idx="785">
                  <c:v>35.07</c:v>
                </c:pt>
                <c:pt idx="786">
                  <c:v>35.229599999999998</c:v>
                </c:pt>
                <c:pt idx="787">
                  <c:v>35.07</c:v>
                </c:pt>
                <c:pt idx="788">
                  <c:v>34.545000000000002</c:v>
                </c:pt>
                <c:pt idx="789">
                  <c:v>33.81</c:v>
                </c:pt>
                <c:pt idx="790">
                  <c:v>33.284999999999997</c:v>
                </c:pt>
                <c:pt idx="791">
                  <c:v>33.444600000000001</c:v>
                </c:pt>
                <c:pt idx="792">
                  <c:v>33.39</c:v>
                </c:pt>
                <c:pt idx="793">
                  <c:v>33.18</c:v>
                </c:pt>
                <c:pt idx="794">
                  <c:v>33.81</c:v>
                </c:pt>
                <c:pt idx="795">
                  <c:v>34.809599999999996</c:v>
                </c:pt>
                <c:pt idx="796">
                  <c:v>34.809599999999996</c:v>
                </c:pt>
                <c:pt idx="797">
                  <c:v>36.435000000000002</c:v>
                </c:pt>
                <c:pt idx="798">
                  <c:v>36.225000000000001</c:v>
                </c:pt>
                <c:pt idx="799">
                  <c:v>36.119999999999997</c:v>
                </c:pt>
                <c:pt idx="800">
                  <c:v>36.015000000000001</c:v>
                </c:pt>
                <c:pt idx="801">
                  <c:v>35.28</c:v>
                </c:pt>
                <c:pt idx="802">
                  <c:v>35.8596</c:v>
                </c:pt>
                <c:pt idx="803">
                  <c:v>36.015000000000001</c:v>
                </c:pt>
                <c:pt idx="804">
                  <c:v>35.805</c:v>
                </c:pt>
                <c:pt idx="805">
                  <c:v>36.909599999999998</c:v>
                </c:pt>
                <c:pt idx="806">
                  <c:v>36.069600000000001</c:v>
                </c:pt>
                <c:pt idx="807">
                  <c:v>36.54</c:v>
                </c:pt>
                <c:pt idx="808">
                  <c:v>36.225000000000001</c:v>
                </c:pt>
                <c:pt idx="809">
                  <c:v>35.175000000000004</c:v>
                </c:pt>
                <c:pt idx="810">
                  <c:v>35.384999999999998</c:v>
                </c:pt>
                <c:pt idx="811">
                  <c:v>35.699999999999996</c:v>
                </c:pt>
                <c:pt idx="812">
                  <c:v>36.119999999999997</c:v>
                </c:pt>
                <c:pt idx="813">
                  <c:v>35.909999999999997</c:v>
                </c:pt>
                <c:pt idx="814">
                  <c:v>36.174599999999998</c:v>
                </c:pt>
                <c:pt idx="815">
                  <c:v>36.489599999999996</c:v>
                </c:pt>
                <c:pt idx="816">
                  <c:v>36.489599999999996</c:v>
                </c:pt>
                <c:pt idx="817">
                  <c:v>36.909599999999998</c:v>
                </c:pt>
                <c:pt idx="818">
                  <c:v>36.854999999999997</c:v>
                </c:pt>
                <c:pt idx="819">
                  <c:v>35.49</c:v>
                </c:pt>
                <c:pt idx="820">
                  <c:v>36.435000000000002</c:v>
                </c:pt>
                <c:pt idx="821">
                  <c:v>36.54</c:v>
                </c:pt>
                <c:pt idx="822">
                  <c:v>36.015000000000001</c:v>
                </c:pt>
                <c:pt idx="823">
                  <c:v>36.225000000000001</c:v>
                </c:pt>
                <c:pt idx="824">
                  <c:v>36.225000000000001</c:v>
                </c:pt>
                <c:pt idx="825">
                  <c:v>35.439599999999999</c:v>
                </c:pt>
                <c:pt idx="826">
                  <c:v>35.384999999999998</c:v>
                </c:pt>
                <c:pt idx="827">
                  <c:v>35.594999999999999</c:v>
                </c:pt>
                <c:pt idx="828">
                  <c:v>35.384999999999998</c:v>
                </c:pt>
                <c:pt idx="829">
                  <c:v>35.8596</c:v>
                </c:pt>
                <c:pt idx="830">
                  <c:v>36.225000000000001</c:v>
                </c:pt>
                <c:pt idx="831">
                  <c:v>36.33</c:v>
                </c:pt>
                <c:pt idx="832">
                  <c:v>36.5946</c:v>
                </c:pt>
                <c:pt idx="833">
                  <c:v>36.854999999999997</c:v>
                </c:pt>
                <c:pt idx="834">
                  <c:v>37.380000000000003</c:v>
                </c:pt>
                <c:pt idx="835">
                  <c:v>37.749599999999994</c:v>
                </c:pt>
                <c:pt idx="836">
                  <c:v>37.905000000000001</c:v>
                </c:pt>
                <c:pt idx="837">
                  <c:v>38.324999999999996</c:v>
                </c:pt>
                <c:pt idx="838">
                  <c:v>38.4846</c:v>
                </c:pt>
                <c:pt idx="839">
                  <c:v>38.22</c:v>
                </c:pt>
                <c:pt idx="840">
                  <c:v>39.009599999999999</c:v>
                </c:pt>
                <c:pt idx="841">
                  <c:v>39.375</c:v>
                </c:pt>
                <c:pt idx="842">
                  <c:v>40.689599999999999</c:v>
                </c:pt>
                <c:pt idx="843">
                  <c:v>40.479599999999998</c:v>
                </c:pt>
                <c:pt idx="844">
                  <c:v>40.1646</c:v>
                </c:pt>
                <c:pt idx="845">
                  <c:v>40.1646</c:v>
                </c:pt>
                <c:pt idx="846">
                  <c:v>39.375</c:v>
                </c:pt>
                <c:pt idx="847">
                  <c:v>39.06</c:v>
                </c:pt>
                <c:pt idx="848">
                  <c:v>38.22</c:v>
                </c:pt>
                <c:pt idx="849">
                  <c:v>37.905000000000001</c:v>
                </c:pt>
                <c:pt idx="850">
                  <c:v>38.534999999999997</c:v>
                </c:pt>
                <c:pt idx="851">
                  <c:v>38.85</c:v>
                </c:pt>
                <c:pt idx="852">
                  <c:v>39.375</c:v>
                </c:pt>
                <c:pt idx="853">
                  <c:v>39.2196</c:v>
                </c:pt>
                <c:pt idx="854">
                  <c:v>39.479999999999997</c:v>
                </c:pt>
                <c:pt idx="855">
                  <c:v>40.479599999999998</c:v>
                </c:pt>
                <c:pt idx="856">
                  <c:v>39.795000000000002</c:v>
                </c:pt>
                <c:pt idx="857">
                  <c:v>39.585000000000001</c:v>
                </c:pt>
                <c:pt idx="858">
                  <c:v>39.375</c:v>
                </c:pt>
                <c:pt idx="859">
                  <c:v>40.059599999999996</c:v>
                </c:pt>
                <c:pt idx="860">
                  <c:v>39.69</c:v>
                </c:pt>
                <c:pt idx="861">
                  <c:v>39.795000000000002</c:v>
                </c:pt>
                <c:pt idx="862">
                  <c:v>39.270000000000003</c:v>
                </c:pt>
                <c:pt idx="863">
                  <c:v>39.9</c:v>
                </c:pt>
                <c:pt idx="864">
                  <c:v>40.74</c:v>
                </c:pt>
                <c:pt idx="865">
                  <c:v>40.479599999999998</c:v>
                </c:pt>
                <c:pt idx="866">
                  <c:v>40.74</c:v>
                </c:pt>
                <c:pt idx="867">
                  <c:v>39.69</c:v>
                </c:pt>
                <c:pt idx="868">
                  <c:v>39.06</c:v>
                </c:pt>
                <c:pt idx="869">
                  <c:v>39.375</c:v>
                </c:pt>
                <c:pt idx="870">
                  <c:v>40.32</c:v>
                </c:pt>
                <c:pt idx="871">
                  <c:v>40.53</c:v>
                </c:pt>
                <c:pt idx="872">
                  <c:v>40.005000000000003</c:v>
                </c:pt>
                <c:pt idx="873">
                  <c:v>40.844999999999999</c:v>
                </c:pt>
                <c:pt idx="874">
                  <c:v>40.215000000000003</c:v>
                </c:pt>
                <c:pt idx="875">
                  <c:v>39.9</c:v>
                </c:pt>
                <c:pt idx="876">
                  <c:v>39.270000000000003</c:v>
                </c:pt>
                <c:pt idx="877">
                  <c:v>39.110399999999998</c:v>
                </c:pt>
                <c:pt idx="878">
                  <c:v>39.110399999999998</c:v>
                </c:pt>
                <c:pt idx="879">
                  <c:v>39.479999999999997</c:v>
                </c:pt>
                <c:pt idx="880">
                  <c:v>40.005000000000003</c:v>
                </c:pt>
                <c:pt idx="881">
                  <c:v>39.744599999999998</c:v>
                </c:pt>
                <c:pt idx="882">
                  <c:v>39.484200000000001</c:v>
                </c:pt>
                <c:pt idx="883">
                  <c:v>38.534999999999997</c:v>
                </c:pt>
                <c:pt idx="884">
                  <c:v>38.43</c:v>
                </c:pt>
                <c:pt idx="885">
                  <c:v>38.43</c:v>
                </c:pt>
                <c:pt idx="886">
                  <c:v>38.43</c:v>
                </c:pt>
                <c:pt idx="887">
                  <c:v>38.64</c:v>
                </c:pt>
                <c:pt idx="888">
                  <c:v>37.749599999999994</c:v>
                </c:pt>
                <c:pt idx="889">
                  <c:v>38.01</c:v>
                </c:pt>
                <c:pt idx="890">
                  <c:v>37.484999999999999</c:v>
                </c:pt>
                <c:pt idx="891">
                  <c:v>38.064599999999999</c:v>
                </c:pt>
                <c:pt idx="892">
                  <c:v>37.905000000000001</c:v>
                </c:pt>
                <c:pt idx="893">
                  <c:v>37.800000000000004</c:v>
                </c:pt>
                <c:pt idx="894">
                  <c:v>38.324999999999996</c:v>
                </c:pt>
                <c:pt idx="895">
                  <c:v>38.115000000000002</c:v>
                </c:pt>
                <c:pt idx="896">
                  <c:v>37.274999999999999</c:v>
                </c:pt>
                <c:pt idx="897">
                  <c:v>36.854999999999997</c:v>
                </c:pt>
                <c:pt idx="898">
                  <c:v>36.275399999999998</c:v>
                </c:pt>
                <c:pt idx="899">
                  <c:v>36.435000000000002</c:v>
                </c:pt>
                <c:pt idx="900">
                  <c:v>35.909999999999997</c:v>
                </c:pt>
                <c:pt idx="901">
                  <c:v>35.07</c:v>
                </c:pt>
                <c:pt idx="902">
                  <c:v>34.65</c:v>
                </c:pt>
                <c:pt idx="903">
                  <c:v>34.335000000000001</c:v>
                </c:pt>
                <c:pt idx="904">
                  <c:v>34.229999999999997</c:v>
                </c:pt>
                <c:pt idx="905">
                  <c:v>34.86</c:v>
                </c:pt>
                <c:pt idx="906">
                  <c:v>35.699999999999996</c:v>
                </c:pt>
                <c:pt idx="907">
                  <c:v>35.594999999999999</c:v>
                </c:pt>
                <c:pt idx="908">
                  <c:v>35.229599999999998</c:v>
                </c:pt>
                <c:pt idx="909">
                  <c:v>35.594999999999999</c:v>
                </c:pt>
                <c:pt idx="910">
                  <c:v>35.594999999999999</c:v>
                </c:pt>
                <c:pt idx="911">
                  <c:v>35.909999999999997</c:v>
                </c:pt>
                <c:pt idx="912">
                  <c:v>36.225000000000001</c:v>
                </c:pt>
                <c:pt idx="913">
                  <c:v>37.064999999999998</c:v>
                </c:pt>
                <c:pt idx="914">
                  <c:v>37.064999999999998</c:v>
                </c:pt>
                <c:pt idx="915">
                  <c:v>37.224600000000002</c:v>
                </c:pt>
                <c:pt idx="916">
                  <c:v>37.380000000000003</c:v>
                </c:pt>
                <c:pt idx="917">
                  <c:v>37.749599999999994</c:v>
                </c:pt>
                <c:pt idx="918">
                  <c:v>39.164999999999999</c:v>
                </c:pt>
                <c:pt idx="919">
                  <c:v>38.534999999999997</c:v>
                </c:pt>
                <c:pt idx="920">
                  <c:v>39.215400000000002</c:v>
                </c:pt>
                <c:pt idx="921">
                  <c:v>39.164999999999999</c:v>
                </c:pt>
                <c:pt idx="922">
                  <c:v>39.270000000000003</c:v>
                </c:pt>
                <c:pt idx="923">
                  <c:v>39.744599999999998</c:v>
                </c:pt>
                <c:pt idx="924">
                  <c:v>40.74</c:v>
                </c:pt>
                <c:pt idx="925">
                  <c:v>40.32</c:v>
                </c:pt>
                <c:pt idx="926">
                  <c:v>39.639600000000002</c:v>
                </c:pt>
                <c:pt idx="927">
                  <c:v>39.270000000000003</c:v>
                </c:pt>
                <c:pt idx="928">
                  <c:v>38.954999999999998</c:v>
                </c:pt>
                <c:pt idx="929">
                  <c:v>38.690400000000004</c:v>
                </c:pt>
                <c:pt idx="930">
                  <c:v>38.5854</c:v>
                </c:pt>
                <c:pt idx="931">
                  <c:v>39.164999999999999</c:v>
                </c:pt>
                <c:pt idx="932">
                  <c:v>39.534599999999998</c:v>
                </c:pt>
                <c:pt idx="933">
                  <c:v>39.849600000000002</c:v>
                </c:pt>
                <c:pt idx="934">
                  <c:v>40.794599999999996</c:v>
                </c:pt>
                <c:pt idx="935">
                  <c:v>40.844999999999999</c:v>
                </c:pt>
                <c:pt idx="936">
                  <c:v>40.425000000000004</c:v>
                </c:pt>
                <c:pt idx="937">
                  <c:v>40.374599999999994</c:v>
                </c:pt>
                <c:pt idx="938">
                  <c:v>41.895000000000003</c:v>
                </c:pt>
                <c:pt idx="939">
                  <c:v>42</c:v>
                </c:pt>
                <c:pt idx="940">
                  <c:v>42.84</c:v>
                </c:pt>
                <c:pt idx="941">
                  <c:v>43.155000000000001</c:v>
                </c:pt>
                <c:pt idx="942">
                  <c:v>43.209599999999995</c:v>
                </c:pt>
                <c:pt idx="943">
                  <c:v>43.8354</c:v>
                </c:pt>
                <c:pt idx="944">
                  <c:v>44.309999999999995</c:v>
                </c:pt>
                <c:pt idx="945">
                  <c:v>45.15</c:v>
                </c:pt>
                <c:pt idx="946">
                  <c:v>45.78</c:v>
                </c:pt>
                <c:pt idx="947">
                  <c:v>45.36</c:v>
                </c:pt>
                <c:pt idx="948">
                  <c:v>46.515000000000001</c:v>
                </c:pt>
                <c:pt idx="949">
                  <c:v>46.779599999999995</c:v>
                </c:pt>
                <c:pt idx="950">
                  <c:v>47.619599999999998</c:v>
                </c:pt>
                <c:pt idx="951">
                  <c:v>46.83</c:v>
                </c:pt>
                <c:pt idx="952">
                  <c:v>47.774999999999999</c:v>
                </c:pt>
                <c:pt idx="953">
                  <c:v>49.034999999999997</c:v>
                </c:pt>
                <c:pt idx="954">
                  <c:v>49.454999999999998</c:v>
                </c:pt>
                <c:pt idx="955">
                  <c:v>49.454999999999998</c:v>
                </c:pt>
                <c:pt idx="956">
                  <c:v>49.454999999999998</c:v>
                </c:pt>
                <c:pt idx="957">
                  <c:v>49.77</c:v>
                </c:pt>
                <c:pt idx="958">
                  <c:v>49.77</c:v>
                </c:pt>
                <c:pt idx="959">
                  <c:v>48.0396</c:v>
                </c:pt>
                <c:pt idx="960">
                  <c:v>47.984999999999999</c:v>
                </c:pt>
                <c:pt idx="961">
                  <c:v>47.040000000000006</c:v>
                </c:pt>
                <c:pt idx="962">
                  <c:v>45.254999999999995</c:v>
                </c:pt>
                <c:pt idx="963">
                  <c:v>46.515000000000001</c:v>
                </c:pt>
                <c:pt idx="964">
                  <c:v>48.405000000000001</c:v>
                </c:pt>
                <c:pt idx="965">
                  <c:v>47.984999999999999</c:v>
                </c:pt>
                <c:pt idx="966">
                  <c:v>47.774999999999999</c:v>
                </c:pt>
                <c:pt idx="967">
                  <c:v>46.725000000000001</c:v>
                </c:pt>
                <c:pt idx="968">
                  <c:v>47.720400000000005</c:v>
                </c:pt>
                <c:pt idx="969">
                  <c:v>46.2</c:v>
                </c:pt>
                <c:pt idx="970">
                  <c:v>46.094999999999999</c:v>
                </c:pt>
                <c:pt idx="971">
                  <c:v>45.36</c:v>
                </c:pt>
                <c:pt idx="972">
                  <c:v>44.415000000000006</c:v>
                </c:pt>
                <c:pt idx="973">
                  <c:v>43.365000000000002</c:v>
                </c:pt>
                <c:pt idx="974">
                  <c:v>43.575000000000003</c:v>
                </c:pt>
                <c:pt idx="975">
                  <c:v>44.52</c:v>
                </c:pt>
                <c:pt idx="976">
                  <c:v>44.834999999999994</c:v>
                </c:pt>
                <c:pt idx="977">
                  <c:v>45.465000000000003</c:v>
                </c:pt>
                <c:pt idx="978">
                  <c:v>45.57</c:v>
                </c:pt>
                <c:pt idx="979">
                  <c:v>46.094999999999999</c:v>
                </c:pt>
                <c:pt idx="980">
                  <c:v>46.044600000000003</c:v>
                </c:pt>
                <c:pt idx="981">
                  <c:v>45.834599999999995</c:v>
                </c:pt>
                <c:pt idx="982">
                  <c:v>46.515000000000001</c:v>
                </c:pt>
                <c:pt idx="983">
                  <c:v>46.044600000000003</c:v>
                </c:pt>
                <c:pt idx="984">
                  <c:v>47.619599999999998</c:v>
                </c:pt>
                <c:pt idx="985">
                  <c:v>47.774999999999999</c:v>
                </c:pt>
                <c:pt idx="986">
                  <c:v>48.0396</c:v>
                </c:pt>
                <c:pt idx="987">
                  <c:v>48.405000000000001</c:v>
                </c:pt>
                <c:pt idx="988">
                  <c:v>49.034999999999997</c:v>
                </c:pt>
                <c:pt idx="989">
                  <c:v>48.3</c:v>
                </c:pt>
                <c:pt idx="990">
                  <c:v>48.615000000000002</c:v>
                </c:pt>
                <c:pt idx="991">
                  <c:v>48.405000000000001</c:v>
                </c:pt>
                <c:pt idx="992">
                  <c:v>48.405000000000001</c:v>
                </c:pt>
                <c:pt idx="993">
                  <c:v>48.09</c:v>
                </c:pt>
                <c:pt idx="994">
                  <c:v>47.984999999999999</c:v>
                </c:pt>
                <c:pt idx="995">
                  <c:v>48.3</c:v>
                </c:pt>
                <c:pt idx="996">
                  <c:v>49.14</c:v>
                </c:pt>
                <c:pt idx="997">
                  <c:v>48.984599999999993</c:v>
                </c:pt>
                <c:pt idx="998">
                  <c:v>49.14</c:v>
                </c:pt>
                <c:pt idx="999">
                  <c:v>49.14</c:v>
                </c:pt>
                <c:pt idx="1000">
                  <c:v>48.825000000000003</c:v>
                </c:pt>
                <c:pt idx="1001">
                  <c:v>49.0854</c:v>
                </c:pt>
                <c:pt idx="1002">
                  <c:v>48.93</c:v>
                </c:pt>
                <c:pt idx="1003">
                  <c:v>50.135399999999997</c:v>
                </c:pt>
                <c:pt idx="1004">
                  <c:v>49.14</c:v>
                </c:pt>
                <c:pt idx="1005">
                  <c:v>49.614600000000003</c:v>
                </c:pt>
                <c:pt idx="1006">
                  <c:v>49.875</c:v>
                </c:pt>
                <c:pt idx="1007">
                  <c:v>49.614600000000003</c:v>
                </c:pt>
                <c:pt idx="1008">
                  <c:v>50.190000000000005</c:v>
                </c:pt>
                <c:pt idx="1009">
                  <c:v>50.135399999999997</c:v>
                </c:pt>
                <c:pt idx="1010">
                  <c:v>49.77</c:v>
                </c:pt>
                <c:pt idx="1011">
                  <c:v>49.824599999999997</c:v>
                </c:pt>
                <c:pt idx="1012">
                  <c:v>49.875</c:v>
                </c:pt>
                <c:pt idx="1013">
                  <c:v>50.244599999999998</c:v>
                </c:pt>
                <c:pt idx="1014">
                  <c:v>50.454599999999999</c:v>
                </c:pt>
                <c:pt idx="1015">
                  <c:v>50.295000000000002</c:v>
                </c:pt>
                <c:pt idx="1016">
                  <c:v>49.404599999999995</c:v>
                </c:pt>
                <c:pt idx="1017">
                  <c:v>48.72</c:v>
                </c:pt>
                <c:pt idx="1018">
                  <c:v>48.72</c:v>
                </c:pt>
                <c:pt idx="1019">
                  <c:v>48.72</c:v>
                </c:pt>
                <c:pt idx="1020">
                  <c:v>48.72</c:v>
                </c:pt>
                <c:pt idx="1021">
                  <c:v>50.454599999999999</c:v>
                </c:pt>
                <c:pt idx="1022">
                  <c:v>51.765000000000001</c:v>
                </c:pt>
                <c:pt idx="1023">
                  <c:v>53.024999999999999</c:v>
                </c:pt>
                <c:pt idx="1024">
                  <c:v>52.92</c:v>
                </c:pt>
                <c:pt idx="1025">
                  <c:v>53.445</c:v>
                </c:pt>
                <c:pt idx="1026">
                  <c:v>54.809999999999995</c:v>
                </c:pt>
                <c:pt idx="1027">
                  <c:v>54.965400000000002</c:v>
                </c:pt>
                <c:pt idx="1028">
                  <c:v>55.125</c:v>
                </c:pt>
                <c:pt idx="1029">
                  <c:v>55.23</c:v>
                </c:pt>
                <c:pt idx="1030">
                  <c:v>54.915000000000006</c:v>
                </c:pt>
                <c:pt idx="1031">
                  <c:v>54.809999999999995</c:v>
                </c:pt>
                <c:pt idx="1032">
                  <c:v>54.284999999999997</c:v>
                </c:pt>
                <c:pt idx="1033">
                  <c:v>54.18</c:v>
                </c:pt>
                <c:pt idx="1034">
                  <c:v>52.449599999999997</c:v>
                </c:pt>
                <c:pt idx="1035">
                  <c:v>52.815000000000005</c:v>
                </c:pt>
                <c:pt idx="1036">
                  <c:v>52.5</c:v>
                </c:pt>
                <c:pt idx="1037">
                  <c:v>53.079599999999999</c:v>
                </c:pt>
                <c:pt idx="1038">
                  <c:v>53.079599999999999</c:v>
                </c:pt>
                <c:pt idx="1039">
                  <c:v>53.104799999999997</c:v>
                </c:pt>
                <c:pt idx="1040">
                  <c:v>53.445</c:v>
                </c:pt>
                <c:pt idx="1041">
                  <c:v>53.445</c:v>
                </c:pt>
                <c:pt idx="1042">
                  <c:v>52.92</c:v>
                </c:pt>
                <c:pt idx="1043">
                  <c:v>52.92</c:v>
                </c:pt>
                <c:pt idx="1044">
                  <c:v>52.869599999999998</c:v>
                </c:pt>
                <c:pt idx="1045">
                  <c:v>51.765000000000001</c:v>
                </c:pt>
                <c:pt idx="1046">
                  <c:v>51.975000000000001</c:v>
                </c:pt>
                <c:pt idx="1047">
                  <c:v>52.290000000000006</c:v>
                </c:pt>
                <c:pt idx="1048">
                  <c:v>53.6004</c:v>
                </c:pt>
                <c:pt idx="1049">
                  <c:v>53.76</c:v>
                </c:pt>
                <c:pt idx="1050">
                  <c:v>53.709599999999995</c:v>
                </c:pt>
                <c:pt idx="1051">
                  <c:v>53.234999999999999</c:v>
                </c:pt>
                <c:pt idx="1052">
                  <c:v>52.760399999999997</c:v>
                </c:pt>
                <c:pt idx="1053">
                  <c:v>54.18</c:v>
                </c:pt>
                <c:pt idx="1054">
                  <c:v>55.02</c:v>
                </c:pt>
                <c:pt idx="1055">
                  <c:v>58.17</c:v>
                </c:pt>
                <c:pt idx="1056">
                  <c:v>58.17</c:v>
                </c:pt>
                <c:pt idx="1057">
                  <c:v>62.2104</c:v>
                </c:pt>
                <c:pt idx="1058">
                  <c:v>63</c:v>
                </c:pt>
                <c:pt idx="1059">
                  <c:v>63.84</c:v>
                </c:pt>
                <c:pt idx="1060">
                  <c:v>64.415400000000005</c:v>
                </c:pt>
                <c:pt idx="1061">
                  <c:v>63</c:v>
                </c:pt>
                <c:pt idx="1062">
                  <c:v>63.84</c:v>
                </c:pt>
                <c:pt idx="1063">
                  <c:v>68.459999999999994</c:v>
                </c:pt>
                <c:pt idx="1064">
                  <c:v>69.825000000000003</c:v>
                </c:pt>
                <c:pt idx="1065">
                  <c:v>66.569999999999993</c:v>
                </c:pt>
                <c:pt idx="1066">
                  <c:v>64.364999999999995</c:v>
                </c:pt>
                <c:pt idx="1067">
                  <c:v>64.575000000000003</c:v>
                </c:pt>
                <c:pt idx="1068">
                  <c:v>65.52</c:v>
                </c:pt>
                <c:pt idx="1069">
                  <c:v>65.31</c:v>
                </c:pt>
                <c:pt idx="1070">
                  <c:v>69.930000000000007</c:v>
                </c:pt>
                <c:pt idx="1071">
                  <c:v>71.504999999999995</c:v>
                </c:pt>
                <c:pt idx="1072">
                  <c:v>63</c:v>
                </c:pt>
                <c:pt idx="1073">
                  <c:v>61.32</c:v>
                </c:pt>
                <c:pt idx="1074">
                  <c:v>61.424999999999997</c:v>
                </c:pt>
                <c:pt idx="1075">
                  <c:v>65.415000000000006</c:v>
                </c:pt>
                <c:pt idx="1076">
                  <c:v>65.415000000000006</c:v>
                </c:pt>
                <c:pt idx="1077">
                  <c:v>68.040000000000006</c:v>
                </c:pt>
                <c:pt idx="1078">
                  <c:v>65.94</c:v>
                </c:pt>
                <c:pt idx="1079">
                  <c:v>58.640400000000007</c:v>
                </c:pt>
                <c:pt idx="1080">
                  <c:v>56.7</c:v>
                </c:pt>
                <c:pt idx="1081">
                  <c:v>54.3354</c:v>
                </c:pt>
                <c:pt idx="1082">
                  <c:v>51.24</c:v>
                </c:pt>
                <c:pt idx="1083">
                  <c:v>49.034999999999997</c:v>
                </c:pt>
                <c:pt idx="1084">
                  <c:v>46.83</c:v>
                </c:pt>
                <c:pt idx="1085">
                  <c:v>47.040000000000006</c:v>
                </c:pt>
                <c:pt idx="1086">
                  <c:v>47.459999999999994</c:v>
                </c:pt>
                <c:pt idx="1087">
                  <c:v>46.044600000000003</c:v>
                </c:pt>
                <c:pt idx="1088">
                  <c:v>44.625</c:v>
                </c:pt>
                <c:pt idx="1089">
                  <c:v>44.73</c:v>
                </c:pt>
                <c:pt idx="1090">
                  <c:v>45.78</c:v>
                </c:pt>
                <c:pt idx="1091">
                  <c:v>45.254999999999995</c:v>
                </c:pt>
                <c:pt idx="1092">
                  <c:v>45.99</c:v>
                </c:pt>
                <c:pt idx="1093">
                  <c:v>45.36</c:v>
                </c:pt>
                <c:pt idx="1094">
                  <c:v>45.36</c:v>
                </c:pt>
                <c:pt idx="1095">
                  <c:v>44.364600000000003</c:v>
                </c:pt>
                <c:pt idx="1096">
                  <c:v>44.045400000000001</c:v>
                </c:pt>
                <c:pt idx="1097">
                  <c:v>44.52</c:v>
                </c:pt>
                <c:pt idx="1098">
                  <c:v>43.47</c:v>
                </c:pt>
                <c:pt idx="1099">
                  <c:v>43.575000000000003</c:v>
                </c:pt>
                <c:pt idx="1100">
                  <c:v>43.995000000000005</c:v>
                </c:pt>
                <c:pt idx="1101">
                  <c:v>43.26</c:v>
                </c:pt>
                <c:pt idx="1102">
                  <c:v>43.47</c:v>
                </c:pt>
                <c:pt idx="1103">
                  <c:v>43.629599999999996</c:v>
                </c:pt>
                <c:pt idx="1104">
                  <c:v>44.154599999999995</c:v>
                </c:pt>
                <c:pt idx="1105">
                  <c:v>44.415000000000006</c:v>
                </c:pt>
                <c:pt idx="1106">
                  <c:v>44.574599999999997</c:v>
                </c:pt>
                <c:pt idx="1107">
                  <c:v>44.73</c:v>
                </c:pt>
                <c:pt idx="1108">
                  <c:v>44.309999999999995</c:v>
                </c:pt>
                <c:pt idx="1109">
                  <c:v>44.940000000000005</c:v>
                </c:pt>
                <c:pt idx="1110">
                  <c:v>45.4146</c:v>
                </c:pt>
                <c:pt idx="1111">
                  <c:v>45.254999999999995</c:v>
                </c:pt>
                <c:pt idx="1112">
                  <c:v>45.99</c:v>
                </c:pt>
                <c:pt idx="1113">
                  <c:v>46.569600000000001</c:v>
                </c:pt>
                <c:pt idx="1114">
                  <c:v>46.41</c:v>
                </c:pt>
                <c:pt idx="1115">
                  <c:v>46.989600000000003</c:v>
                </c:pt>
                <c:pt idx="1116">
                  <c:v>47.040000000000006</c:v>
                </c:pt>
                <c:pt idx="1117">
                  <c:v>47.459999999999994</c:v>
                </c:pt>
                <c:pt idx="1118">
                  <c:v>47.25</c:v>
                </c:pt>
                <c:pt idx="1119">
                  <c:v>47.354999999999997</c:v>
                </c:pt>
                <c:pt idx="1120">
                  <c:v>47.354999999999997</c:v>
                </c:pt>
                <c:pt idx="1121">
                  <c:v>47.145000000000003</c:v>
                </c:pt>
                <c:pt idx="1122">
                  <c:v>46.569600000000001</c:v>
                </c:pt>
                <c:pt idx="1123">
                  <c:v>46.934999999999995</c:v>
                </c:pt>
                <c:pt idx="1124">
                  <c:v>47.145000000000003</c:v>
                </c:pt>
                <c:pt idx="1125">
                  <c:v>46.620000000000005</c:v>
                </c:pt>
                <c:pt idx="1126">
                  <c:v>46.094999999999999</c:v>
                </c:pt>
                <c:pt idx="1127">
                  <c:v>46.359599999999993</c:v>
                </c:pt>
                <c:pt idx="1128">
                  <c:v>45.674999999999997</c:v>
                </c:pt>
                <c:pt idx="1129">
                  <c:v>44.940000000000005</c:v>
                </c:pt>
                <c:pt idx="1130">
                  <c:v>45.045000000000002</c:v>
                </c:pt>
                <c:pt idx="1131">
                  <c:v>44.309999999999995</c:v>
                </c:pt>
                <c:pt idx="1132">
                  <c:v>44.309999999999995</c:v>
                </c:pt>
                <c:pt idx="1133">
                  <c:v>43.89</c:v>
                </c:pt>
                <c:pt idx="1134">
                  <c:v>43.944600000000001</c:v>
                </c:pt>
                <c:pt idx="1135">
                  <c:v>43.5246</c:v>
                </c:pt>
                <c:pt idx="1136">
                  <c:v>43.784999999999997</c:v>
                </c:pt>
                <c:pt idx="1137">
                  <c:v>43.47</c:v>
                </c:pt>
                <c:pt idx="1138">
                  <c:v>42.84</c:v>
                </c:pt>
                <c:pt idx="1139">
                  <c:v>42.104999999999997</c:v>
                </c:pt>
                <c:pt idx="1140">
                  <c:v>42.945</c:v>
                </c:pt>
                <c:pt idx="1141">
                  <c:v>42.524999999999999</c:v>
                </c:pt>
                <c:pt idx="1142">
                  <c:v>43.26</c:v>
                </c:pt>
                <c:pt idx="1143">
                  <c:v>43.575000000000003</c:v>
                </c:pt>
                <c:pt idx="1144">
                  <c:v>43.995000000000005</c:v>
                </c:pt>
                <c:pt idx="1145">
                  <c:v>44.255400000000002</c:v>
                </c:pt>
                <c:pt idx="1146">
                  <c:v>44.255400000000002</c:v>
                </c:pt>
                <c:pt idx="1147">
                  <c:v>44.574599999999997</c:v>
                </c:pt>
                <c:pt idx="1148">
                  <c:v>44.259599999999992</c:v>
                </c:pt>
                <c:pt idx="1149">
                  <c:v>44.204999999999998</c:v>
                </c:pt>
                <c:pt idx="1150">
                  <c:v>43.8354</c:v>
                </c:pt>
                <c:pt idx="1151">
                  <c:v>43.47</c:v>
                </c:pt>
                <c:pt idx="1152">
                  <c:v>43.47</c:v>
                </c:pt>
                <c:pt idx="1153">
                  <c:v>42.104999999999997</c:v>
                </c:pt>
                <c:pt idx="1154">
                  <c:v>42.315000000000005</c:v>
                </c:pt>
                <c:pt idx="1155">
                  <c:v>42.42</c:v>
                </c:pt>
                <c:pt idx="1156">
                  <c:v>42.84</c:v>
                </c:pt>
                <c:pt idx="1157">
                  <c:v>42.734999999999999</c:v>
                </c:pt>
                <c:pt idx="1158">
                  <c:v>42.42</c:v>
                </c:pt>
                <c:pt idx="1159">
                  <c:v>42.945</c:v>
                </c:pt>
                <c:pt idx="1160">
                  <c:v>43.5246</c:v>
                </c:pt>
                <c:pt idx="1161">
                  <c:v>43.575000000000003</c:v>
                </c:pt>
                <c:pt idx="1162">
                  <c:v>43.839600000000004</c:v>
                </c:pt>
                <c:pt idx="1163">
                  <c:v>44.940000000000005</c:v>
                </c:pt>
                <c:pt idx="1164">
                  <c:v>45.465000000000003</c:v>
                </c:pt>
                <c:pt idx="1165">
                  <c:v>45.674999999999997</c:v>
                </c:pt>
                <c:pt idx="1166">
                  <c:v>45.36</c:v>
                </c:pt>
                <c:pt idx="1167">
                  <c:v>45.36</c:v>
                </c:pt>
                <c:pt idx="1168">
                  <c:v>45.465000000000003</c:v>
                </c:pt>
                <c:pt idx="1169">
                  <c:v>45.045000000000002</c:v>
                </c:pt>
                <c:pt idx="1170">
                  <c:v>44.885399999999997</c:v>
                </c:pt>
                <c:pt idx="1171">
                  <c:v>44.625</c:v>
                </c:pt>
                <c:pt idx="1172">
                  <c:v>44.415000000000006</c:v>
                </c:pt>
                <c:pt idx="1173">
                  <c:v>43.89</c:v>
                </c:pt>
                <c:pt idx="1174">
                  <c:v>43.68</c:v>
                </c:pt>
                <c:pt idx="1175">
                  <c:v>43.68</c:v>
                </c:pt>
                <c:pt idx="1176">
                  <c:v>43.575000000000003</c:v>
                </c:pt>
                <c:pt idx="1177">
                  <c:v>43.314599999999999</c:v>
                </c:pt>
                <c:pt idx="1178">
                  <c:v>43.155000000000001</c:v>
                </c:pt>
                <c:pt idx="1179">
                  <c:v>43.784999999999997</c:v>
                </c:pt>
                <c:pt idx="1180">
                  <c:v>43.314599999999999</c:v>
                </c:pt>
                <c:pt idx="1181">
                  <c:v>43.5246</c:v>
                </c:pt>
                <c:pt idx="1182">
                  <c:v>43.365000000000002</c:v>
                </c:pt>
                <c:pt idx="1183">
                  <c:v>43.47</c:v>
                </c:pt>
                <c:pt idx="1184">
                  <c:v>43.5246</c:v>
                </c:pt>
                <c:pt idx="1185">
                  <c:v>43.415400000000005</c:v>
                </c:pt>
                <c:pt idx="1186">
                  <c:v>43.419600000000003</c:v>
                </c:pt>
                <c:pt idx="1187">
                  <c:v>43.625399999999999</c:v>
                </c:pt>
                <c:pt idx="1188">
                  <c:v>43.575000000000003</c:v>
                </c:pt>
                <c:pt idx="1189">
                  <c:v>43.415400000000005</c:v>
                </c:pt>
                <c:pt idx="1190">
                  <c:v>43.68</c:v>
                </c:pt>
                <c:pt idx="1191">
                  <c:v>43.26</c:v>
                </c:pt>
                <c:pt idx="1192">
                  <c:v>42.84</c:v>
                </c:pt>
                <c:pt idx="1193">
                  <c:v>42.84</c:v>
                </c:pt>
                <c:pt idx="1194">
                  <c:v>42.470400000000005</c:v>
                </c:pt>
                <c:pt idx="1195">
                  <c:v>42.209999999999994</c:v>
                </c:pt>
                <c:pt idx="1196">
                  <c:v>40.584599999999995</c:v>
                </c:pt>
                <c:pt idx="1197">
                  <c:v>41.630400000000002</c:v>
                </c:pt>
                <c:pt idx="1198">
                  <c:v>41.949599999999997</c:v>
                </c:pt>
                <c:pt idx="1199">
                  <c:v>42.629999999999995</c:v>
                </c:pt>
                <c:pt idx="1200">
                  <c:v>42.999600000000001</c:v>
                </c:pt>
                <c:pt idx="1201">
                  <c:v>43.415400000000005</c:v>
                </c:pt>
                <c:pt idx="1202">
                  <c:v>43.314599999999999</c:v>
                </c:pt>
                <c:pt idx="1203">
                  <c:v>43.26</c:v>
                </c:pt>
                <c:pt idx="1204">
                  <c:v>42.42</c:v>
                </c:pt>
                <c:pt idx="1205">
                  <c:v>43.05</c:v>
                </c:pt>
                <c:pt idx="1206">
                  <c:v>42.734999999999999</c:v>
                </c:pt>
                <c:pt idx="1207">
                  <c:v>42.999600000000001</c:v>
                </c:pt>
                <c:pt idx="1208">
                  <c:v>42.890400000000007</c:v>
                </c:pt>
                <c:pt idx="1209">
                  <c:v>42.894599999999997</c:v>
                </c:pt>
                <c:pt idx="1210">
                  <c:v>42.579599999999999</c:v>
                </c:pt>
                <c:pt idx="1211">
                  <c:v>42.684599999999996</c:v>
                </c:pt>
                <c:pt idx="1212">
                  <c:v>42.84</c:v>
                </c:pt>
                <c:pt idx="1213">
                  <c:v>42.629999999999995</c:v>
                </c:pt>
                <c:pt idx="1214">
                  <c:v>42.84</c:v>
                </c:pt>
                <c:pt idx="1215">
                  <c:v>43.05</c:v>
                </c:pt>
                <c:pt idx="1216">
                  <c:v>43.05</c:v>
                </c:pt>
                <c:pt idx="1217">
                  <c:v>42.734999999999999</c:v>
                </c:pt>
                <c:pt idx="1218">
                  <c:v>43.5246</c:v>
                </c:pt>
                <c:pt idx="1219">
                  <c:v>43.995000000000005</c:v>
                </c:pt>
                <c:pt idx="1220">
                  <c:v>44.309999999999995</c:v>
                </c:pt>
                <c:pt idx="1221">
                  <c:v>44.574599999999997</c:v>
                </c:pt>
                <c:pt idx="1222">
                  <c:v>44.574599999999997</c:v>
                </c:pt>
                <c:pt idx="1223">
                  <c:v>44.885399999999997</c:v>
                </c:pt>
                <c:pt idx="1224">
                  <c:v>45.15</c:v>
                </c:pt>
                <c:pt idx="1225">
                  <c:v>45.4146</c:v>
                </c:pt>
                <c:pt idx="1226">
                  <c:v>46.1496</c:v>
                </c:pt>
                <c:pt idx="1227">
                  <c:v>46.569600000000001</c:v>
                </c:pt>
                <c:pt idx="1228">
                  <c:v>45.57</c:v>
                </c:pt>
                <c:pt idx="1229">
                  <c:v>45.515400000000007</c:v>
                </c:pt>
                <c:pt idx="1230">
                  <c:v>45.254999999999995</c:v>
                </c:pt>
                <c:pt idx="1231">
                  <c:v>44.792999999999999</c:v>
                </c:pt>
                <c:pt idx="1232">
                  <c:v>44.834999999999994</c:v>
                </c:pt>
                <c:pt idx="1233">
                  <c:v>44.4696</c:v>
                </c:pt>
                <c:pt idx="1234">
                  <c:v>43.47</c:v>
                </c:pt>
                <c:pt idx="1235">
                  <c:v>43.419600000000003</c:v>
                </c:pt>
                <c:pt idx="1236">
                  <c:v>43.47</c:v>
                </c:pt>
                <c:pt idx="1237">
                  <c:v>43.155000000000001</c:v>
                </c:pt>
                <c:pt idx="1238">
                  <c:v>44.154599999999995</c:v>
                </c:pt>
                <c:pt idx="1239">
                  <c:v>44.675400000000003</c:v>
                </c:pt>
                <c:pt idx="1240">
                  <c:v>44.784599999999998</c:v>
                </c:pt>
                <c:pt idx="1241">
                  <c:v>44.52</c:v>
                </c:pt>
                <c:pt idx="1242">
                  <c:v>44.255400000000002</c:v>
                </c:pt>
                <c:pt idx="1243">
                  <c:v>43.575000000000003</c:v>
                </c:pt>
                <c:pt idx="1244">
                  <c:v>40.53</c:v>
                </c:pt>
                <c:pt idx="1245">
                  <c:v>39.69</c:v>
                </c:pt>
                <c:pt idx="1246">
                  <c:v>39.744599999999998</c:v>
                </c:pt>
                <c:pt idx="1247">
                  <c:v>37.800000000000004</c:v>
                </c:pt>
                <c:pt idx="1248">
                  <c:v>37.590000000000003</c:v>
                </c:pt>
                <c:pt idx="1249">
                  <c:v>38.43</c:v>
                </c:pt>
                <c:pt idx="1250">
                  <c:v>38.115000000000002</c:v>
                </c:pt>
                <c:pt idx="1251">
                  <c:v>37.274999999999999</c:v>
                </c:pt>
                <c:pt idx="1252">
                  <c:v>36.119999999999997</c:v>
                </c:pt>
                <c:pt idx="1253">
                  <c:v>35.384999999999998</c:v>
                </c:pt>
                <c:pt idx="1254">
                  <c:v>35.909999999999997</c:v>
                </c:pt>
                <c:pt idx="1255">
                  <c:v>36.015000000000001</c:v>
                </c:pt>
                <c:pt idx="1256">
                  <c:v>36.54</c:v>
                </c:pt>
                <c:pt idx="1257">
                  <c:v>36.645000000000003</c:v>
                </c:pt>
                <c:pt idx="1258">
                  <c:v>38.01</c:v>
                </c:pt>
                <c:pt idx="1259">
                  <c:v>37.695</c:v>
                </c:pt>
                <c:pt idx="1260">
                  <c:v>37.380000000000003</c:v>
                </c:pt>
                <c:pt idx="1261">
                  <c:v>37.380000000000003</c:v>
                </c:pt>
                <c:pt idx="1262">
                  <c:v>36.54</c:v>
                </c:pt>
                <c:pt idx="1263">
                  <c:v>36.435000000000002</c:v>
                </c:pt>
                <c:pt idx="1264">
                  <c:v>35.28</c:v>
                </c:pt>
                <c:pt idx="1265">
                  <c:v>35.124599999999994</c:v>
                </c:pt>
                <c:pt idx="1266">
                  <c:v>35.229599999999998</c:v>
                </c:pt>
                <c:pt idx="1267">
                  <c:v>35.384999999999998</c:v>
                </c:pt>
                <c:pt idx="1268">
                  <c:v>35.699999999999996</c:v>
                </c:pt>
                <c:pt idx="1269">
                  <c:v>33.6</c:v>
                </c:pt>
                <c:pt idx="1270">
                  <c:v>33.914999999999999</c:v>
                </c:pt>
                <c:pt idx="1271">
                  <c:v>33.18</c:v>
                </c:pt>
                <c:pt idx="1272">
                  <c:v>32.130000000000003</c:v>
                </c:pt>
                <c:pt idx="1273">
                  <c:v>30.24</c:v>
                </c:pt>
                <c:pt idx="1274">
                  <c:v>31.29</c:v>
                </c:pt>
                <c:pt idx="1275">
                  <c:v>31.604999999999997</c:v>
                </c:pt>
                <c:pt idx="1276">
                  <c:v>32.024999999999999</c:v>
                </c:pt>
                <c:pt idx="1277">
                  <c:v>31.764599999999998</c:v>
                </c:pt>
                <c:pt idx="1278">
                  <c:v>31.554599999999997</c:v>
                </c:pt>
                <c:pt idx="1279">
                  <c:v>31.554599999999997</c:v>
                </c:pt>
                <c:pt idx="1280">
                  <c:v>31.554599999999997</c:v>
                </c:pt>
                <c:pt idx="1281">
                  <c:v>28.454999999999998</c:v>
                </c:pt>
                <c:pt idx="1282">
                  <c:v>26.984999999999999</c:v>
                </c:pt>
                <c:pt idx="1283">
                  <c:v>26.46</c:v>
                </c:pt>
                <c:pt idx="1284">
                  <c:v>25.725000000000001</c:v>
                </c:pt>
                <c:pt idx="1285">
                  <c:v>24.57</c:v>
                </c:pt>
                <c:pt idx="1286">
                  <c:v>21.104999999999997</c:v>
                </c:pt>
                <c:pt idx="1287">
                  <c:v>21.84</c:v>
                </c:pt>
                <c:pt idx="1288">
                  <c:v>21.84</c:v>
                </c:pt>
                <c:pt idx="1289">
                  <c:v>22.470000000000002</c:v>
                </c:pt>
                <c:pt idx="1290">
                  <c:v>23.204999999999998</c:v>
                </c:pt>
                <c:pt idx="1291">
                  <c:v>23.465399999999999</c:v>
                </c:pt>
                <c:pt idx="1292">
                  <c:v>22.995000000000001</c:v>
                </c:pt>
                <c:pt idx="1293">
                  <c:v>22.995000000000001</c:v>
                </c:pt>
                <c:pt idx="1294">
                  <c:v>22.364999999999998</c:v>
                </c:pt>
                <c:pt idx="1295">
                  <c:v>23.520000000000003</c:v>
                </c:pt>
                <c:pt idx="1296">
                  <c:v>22.995000000000001</c:v>
                </c:pt>
                <c:pt idx="1297">
                  <c:v>23.414999999999999</c:v>
                </c:pt>
                <c:pt idx="1298">
                  <c:v>21.63</c:v>
                </c:pt>
                <c:pt idx="1299">
                  <c:v>21.63</c:v>
                </c:pt>
                <c:pt idx="1300">
                  <c:v>21.21</c:v>
                </c:pt>
                <c:pt idx="1301">
                  <c:v>20.58</c:v>
                </c:pt>
                <c:pt idx="1302">
                  <c:v>20.16</c:v>
                </c:pt>
                <c:pt idx="1303">
                  <c:v>19.32</c:v>
                </c:pt>
                <c:pt idx="1304">
                  <c:v>19.32</c:v>
                </c:pt>
                <c:pt idx="1305">
                  <c:v>20.37</c:v>
                </c:pt>
                <c:pt idx="1306">
                  <c:v>19.425000000000001</c:v>
                </c:pt>
                <c:pt idx="1307">
                  <c:v>18.585000000000001</c:v>
                </c:pt>
                <c:pt idx="1308">
                  <c:v>18.585000000000001</c:v>
                </c:pt>
                <c:pt idx="1309">
                  <c:v>18.744600000000002</c:v>
                </c:pt>
                <c:pt idx="1310">
                  <c:v>18.795000000000002</c:v>
                </c:pt>
                <c:pt idx="1311">
                  <c:v>18.795000000000002</c:v>
                </c:pt>
                <c:pt idx="1312">
                  <c:v>18.954600000000003</c:v>
                </c:pt>
                <c:pt idx="1313">
                  <c:v>19.844999999999999</c:v>
                </c:pt>
                <c:pt idx="1314">
                  <c:v>19.004999999999999</c:v>
                </c:pt>
                <c:pt idx="1315">
                  <c:v>20.37</c:v>
                </c:pt>
                <c:pt idx="1316">
                  <c:v>20.37</c:v>
                </c:pt>
                <c:pt idx="1317">
                  <c:v>20.37</c:v>
                </c:pt>
                <c:pt idx="1318">
                  <c:v>21.474599999999999</c:v>
                </c:pt>
                <c:pt idx="1319">
                  <c:v>21.63</c:v>
                </c:pt>
                <c:pt idx="1320">
                  <c:v>21.42</c:v>
                </c:pt>
                <c:pt idx="1321">
                  <c:v>21.159600000000001</c:v>
                </c:pt>
                <c:pt idx="1322">
                  <c:v>20.895</c:v>
                </c:pt>
                <c:pt idx="1323">
                  <c:v>19.95</c:v>
                </c:pt>
                <c:pt idx="1324">
                  <c:v>19.739999999999998</c:v>
                </c:pt>
                <c:pt idx="1325">
                  <c:v>21.054600000000004</c:v>
                </c:pt>
                <c:pt idx="1326">
                  <c:v>21.054600000000004</c:v>
                </c:pt>
                <c:pt idx="1327">
                  <c:v>23.310000000000002</c:v>
                </c:pt>
                <c:pt idx="1328">
                  <c:v>21.264599999999998</c:v>
                </c:pt>
                <c:pt idx="1329">
                  <c:v>22.154999999999998</c:v>
                </c:pt>
                <c:pt idx="1330">
                  <c:v>23.1</c:v>
                </c:pt>
                <c:pt idx="1331">
                  <c:v>23.520000000000003</c:v>
                </c:pt>
                <c:pt idx="1332">
                  <c:v>23.045399999999997</c:v>
                </c:pt>
                <c:pt idx="1333">
                  <c:v>23.310000000000002</c:v>
                </c:pt>
                <c:pt idx="1334">
                  <c:v>24.099599999999999</c:v>
                </c:pt>
                <c:pt idx="1335">
                  <c:v>24.99</c:v>
                </c:pt>
                <c:pt idx="1336">
                  <c:v>24.99</c:v>
                </c:pt>
                <c:pt idx="1337">
                  <c:v>26.774999999999999</c:v>
                </c:pt>
                <c:pt idx="1338">
                  <c:v>25.2</c:v>
                </c:pt>
                <c:pt idx="1339">
                  <c:v>25.095000000000002</c:v>
                </c:pt>
                <c:pt idx="1340">
                  <c:v>24.885000000000002</c:v>
                </c:pt>
                <c:pt idx="1341">
                  <c:v>24.834600000000002</c:v>
                </c:pt>
                <c:pt idx="1342">
                  <c:v>25.044600000000003</c:v>
                </c:pt>
                <c:pt idx="1343">
                  <c:v>25.515000000000001</c:v>
                </c:pt>
                <c:pt idx="1344">
                  <c:v>25.250399999999999</c:v>
                </c:pt>
                <c:pt idx="1345">
                  <c:v>25.83</c:v>
                </c:pt>
                <c:pt idx="1346">
                  <c:v>25.515000000000001</c:v>
                </c:pt>
                <c:pt idx="1347">
                  <c:v>25.83</c:v>
                </c:pt>
                <c:pt idx="1348">
                  <c:v>25.41</c:v>
                </c:pt>
                <c:pt idx="1349">
                  <c:v>25.095000000000002</c:v>
                </c:pt>
                <c:pt idx="1350">
                  <c:v>24.675000000000001</c:v>
                </c:pt>
                <c:pt idx="1351">
                  <c:v>23.625</c:v>
                </c:pt>
                <c:pt idx="1352">
                  <c:v>22.574999999999999</c:v>
                </c:pt>
                <c:pt idx="1353">
                  <c:v>22.730399999999999</c:v>
                </c:pt>
                <c:pt idx="1354">
                  <c:v>22.8354</c:v>
                </c:pt>
                <c:pt idx="1355">
                  <c:v>22.26</c:v>
                </c:pt>
                <c:pt idx="1356">
                  <c:v>21.734999999999999</c:v>
                </c:pt>
                <c:pt idx="1357">
                  <c:v>21.314999999999998</c:v>
                </c:pt>
                <c:pt idx="1358">
                  <c:v>21.524999999999999</c:v>
                </c:pt>
                <c:pt idx="1359">
                  <c:v>21</c:v>
                </c:pt>
                <c:pt idx="1360">
                  <c:v>21.104999999999997</c:v>
                </c:pt>
                <c:pt idx="1361">
                  <c:v>21.42</c:v>
                </c:pt>
                <c:pt idx="1362">
                  <c:v>21.734999999999999</c:v>
                </c:pt>
                <c:pt idx="1363">
                  <c:v>22.26</c:v>
                </c:pt>
                <c:pt idx="1364">
                  <c:v>23.520000000000003</c:v>
                </c:pt>
                <c:pt idx="1365">
                  <c:v>23.045399999999997</c:v>
                </c:pt>
                <c:pt idx="1366">
                  <c:v>22.05</c:v>
                </c:pt>
                <c:pt idx="1367">
                  <c:v>21.84</c:v>
                </c:pt>
                <c:pt idx="1368">
                  <c:v>22.415399999999998</c:v>
                </c:pt>
                <c:pt idx="1369">
                  <c:v>21.63</c:v>
                </c:pt>
                <c:pt idx="1370">
                  <c:v>21.63</c:v>
                </c:pt>
                <c:pt idx="1371">
                  <c:v>22.26</c:v>
                </c:pt>
                <c:pt idx="1372">
                  <c:v>22.68</c:v>
                </c:pt>
                <c:pt idx="1373">
                  <c:v>21.734999999999999</c:v>
                </c:pt>
                <c:pt idx="1374">
                  <c:v>22.154999999999998</c:v>
                </c:pt>
                <c:pt idx="1375">
                  <c:v>22.05</c:v>
                </c:pt>
                <c:pt idx="1376">
                  <c:v>22.730399999999999</c:v>
                </c:pt>
                <c:pt idx="1377">
                  <c:v>22.9404</c:v>
                </c:pt>
                <c:pt idx="1378">
                  <c:v>23.729999999999997</c:v>
                </c:pt>
                <c:pt idx="1379">
                  <c:v>24.465</c:v>
                </c:pt>
                <c:pt idx="1380">
                  <c:v>23.679600000000004</c:v>
                </c:pt>
                <c:pt idx="1381">
                  <c:v>23.625</c:v>
                </c:pt>
                <c:pt idx="1382">
                  <c:v>22.995000000000001</c:v>
                </c:pt>
                <c:pt idx="1383">
                  <c:v>22.785</c:v>
                </c:pt>
                <c:pt idx="1384">
                  <c:v>23.679600000000004</c:v>
                </c:pt>
                <c:pt idx="1385">
                  <c:v>23.784600000000001</c:v>
                </c:pt>
                <c:pt idx="1386">
                  <c:v>23.625</c:v>
                </c:pt>
                <c:pt idx="1387">
                  <c:v>23.5746</c:v>
                </c:pt>
                <c:pt idx="1388">
                  <c:v>23.1</c:v>
                </c:pt>
                <c:pt idx="1389">
                  <c:v>23.045399999999997</c:v>
                </c:pt>
                <c:pt idx="1390">
                  <c:v>22.8354</c:v>
                </c:pt>
                <c:pt idx="1391">
                  <c:v>21.6846</c:v>
                </c:pt>
                <c:pt idx="1392">
                  <c:v>22.154999999999998</c:v>
                </c:pt>
                <c:pt idx="1393">
                  <c:v>21.314999999999998</c:v>
                </c:pt>
                <c:pt idx="1394">
                  <c:v>20.684999999999999</c:v>
                </c:pt>
                <c:pt idx="1395">
                  <c:v>20.474999999999998</c:v>
                </c:pt>
                <c:pt idx="1396">
                  <c:v>20.474999999999998</c:v>
                </c:pt>
                <c:pt idx="1397">
                  <c:v>21.369600000000002</c:v>
                </c:pt>
                <c:pt idx="1398">
                  <c:v>21.369600000000002</c:v>
                </c:pt>
                <c:pt idx="1399">
                  <c:v>20.000399999999999</c:v>
                </c:pt>
                <c:pt idx="1400">
                  <c:v>20.000399999999999</c:v>
                </c:pt>
                <c:pt idx="1401">
                  <c:v>19.374600000000001</c:v>
                </c:pt>
                <c:pt idx="1402">
                  <c:v>18.690000000000001</c:v>
                </c:pt>
                <c:pt idx="1403">
                  <c:v>18.5304</c:v>
                </c:pt>
                <c:pt idx="1404">
                  <c:v>18.48</c:v>
                </c:pt>
                <c:pt idx="1405">
                  <c:v>17.165399999999998</c:v>
                </c:pt>
                <c:pt idx="1406">
                  <c:v>17.165399999999998</c:v>
                </c:pt>
                <c:pt idx="1407">
                  <c:v>14.280000000000001</c:v>
                </c:pt>
                <c:pt idx="1408">
                  <c:v>13.965</c:v>
                </c:pt>
                <c:pt idx="1409">
                  <c:v>14.280000000000001</c:v>
                </c:pt>
                <c:pt idx="1410">
                  <c:v>17.064600000000002</c:v>
                </c:pt>
                <c:pt idx="1411">
                  <c:v>18.164999999999999</c:v>
                </c:pt>
                <c:pt idx="1412">
                  <c:v>18.585000000000001</c:v>
                </c:pt>
                <c:pt idx="1413">
                  <c:v>16.854600000000001</c:v>
                </c:pt>
                <c:pt idx="1414">
                  <c:v>14.7</c:v>
                </c:pt>
                <c:pt idx="1415">
                  <c:v>13.23</c:v>
                </c:pt>
                <c:pt idx="1416">
                  <c:v>13.704600000000001</c:v>
                </c:pt>
                <c:pt idx="1417">
                  <c:v>15.54</c:v>
                </c:pt>
                <c:pt idx="1418">
                  <c:v>16.484999999999999</c:v>
                </c:pt>
                <c:pt idx="1419">
                  <c:v>16.59</c:v>
                </c:pt>
                <c:pt idx="1420">
                  <c:v>16.8</c:v>
                </c:pt>
                <c:pt idx="1421">
                  <c:v>14.7</c:v>
                </c:pt>
                <c:pt idx="1422">
                  <c:v>14.805</c:v>
                </c:pt>
                <c:pt idx="1423">
                  <c:v>14.7</c:v>
                </c:pt>
                <c:pt idx="1424">
                  <c:v>14.544600000000003</c:v>
                </c:pt>
                <c:pt idx="1425">
                  <c:v>13.65</c:v>
                </c:pt>
                <c:pt idx="1426">
                  <c:v>13.545</c:v>
                </c:pt>
                <c:pt idx="1427">
                  <c:v>14.805</c:v>
                </c:pt>
                <c:pt idx="1428">
                  <c:v>15.435</c:v>
                </c:pt>
                <c:pt idx="1429">
                  <c:v>15.2796</c:v>
                </c:pt>
                <c:pt idx="1430">
                  <c:v>15.489600000000001</c:v>
                </c:pt>
                <c:pt idx="1431">
                  <c:v>15.645</c:v>
                </c:pt>
                <c:pt idx="1432">
                  <c:v>16.59</c:v>
                </c:pt>
                <c:pt idx="1433">
                  <c:v>15.75</c:v>
                </c:pt>
                <c:pt idx="1434">
                  <c:v>16.484999999999999</c:v>
                </c:pt>
                <c:pt idx="1435">
                  <c:v>16.484999999999999</c:v>
                </c:pt>
                <c:pt idx="1436">
                  <c:v>15.54</c:v>
                </c:pt>
                <c:pt idx="1437">
                  <c:v>15.384600000000001</c:v>
                </c:pt>
                <c:pt idx="1438">
                  <c:v>15.855</c:v>
                </c:pt>
                <c:pt idx="1439">
                  <c:v>17.324999999999999</c:v>
                </c:pt>
                <c:pt idx="1440">
                  <c:v>17.114999999999998</c:v>
                </c:pt>
                <c:pt idx="1441">
                  <c:v>16.329600000000003</c:v>
                </c:pt>
                <c:pt idx="1442">
                  <c:v>16.38</c:v>
                </c:pt>
                <c:pt idx="1443">
                  <c:v>16.434600000000003</c:v>
                </c:pt>
                <c:pt idx="1444">
                  <c:v>17.010000000000002</c:v>
                </c:pt>
                <c:pt idx="1445">
                  <c:v>16.38</c:v>
                </c:pt>
                <c:pt idx="1446">
                  <c:v>16.59</c:v>
                </c:pt>
                <c:pt idx="1447">
                  <c:v>16.5396</c:v>
                </c:pt>
                <c:pt idx="1448">
                  <c:v>17.010000000000002</c:v>
                </c:pt>
                <c:pt idx="1449">
                  <c:v>16.854600000000001</c:v>
                </c:pt>
                <c:pt idx="1450">
                  <c:v>16.749600000000001</c:v>
                </c:pt>
                <c:pt idx="1451">
                  <c:v>16.115400000000001</c:v>
                </c:pt>
                <c:pt idx="1452">
                  <c:v>16.170000000000002</c:v>
                </c:pt>
                <c:pt idx="1453">
                  <c:v>16.065000000000001</c:v>
                </c:pt>
                <c:pt idx="1454">
                  <c:v>16.220399999999998</c:v>
                </c:pt>
                <c:pt idx="1455">
                  <c:v>15.645</c:v>
                </c:pt>
                <c:pt idx="1456">
                  <c:v>15.12</c:v>
                </c:pt>
                <c:pt idx="1457">
                  <c:v>15.54</c:v>
                </c:pt>
                <c:pt idx="1458">
                  <c:v>15.435</c:v>
                </c:pt>
                <c:pt idx="1459">
                  <c:v>15.384600000000001</c:v>
                </c:pt>
                <c:pt idx="1460">
                  <c:v>15.384600000000001</c:v>
                </c:pt>
                <c:pt idx="1461">
                  <c:v>15.855</c:v>
                </c:pt>
                <c:pt idx="1462">
                  <c:v>15.435</c:v>
                </c:pt>
                <c:pt idx="1463">
                  <c:v>15.96</c:v>
                </c:pt>
                <c:pt idx="1464">
                  <c:v>15.645</c:v>
                </c:pt>
                <c:pt idx="1465">
                  <c:v>16.170000000000002</c:v>
                </c:pt>
                <c:pt idx="1466">
                  <c:v>15.96</c:v>
                </c:pt>
                <c:pt idx="1467">
                  <c:v>15.96</c:v>
                </c:pt>
                <c:pt idx="1468">
                  <c:v>15.75</c:v>
                </c:pt>
                <c:pt idx="1469">
                  <c:v>16.275000000000002</c:v>
                </c:pt>
                <c:pt idx="1470">
                  <c:v>15.645</c:v>
                </c:pt>
                <c:pt idx="1471">
                  <c:v>15.1746</c:v>
                </c:pt>
                <c:pt idx="1472">
                  <c:v>15.069600000000001</c:v>
                </c:pt>
                <c:pt idx="1473">
                  <c:v>14.594999999999999</c:v>
                </c:pt>
                <c:pt idx="1474">
                  <c:v>15.384600000000001</c:v>
                </c:pt>
                <c:pt idx="1475">
                  <c:v>17.22</c:v>
                </c:pt>
                <c:pt idx="1476">
                  <c:v>18.900000000000002</c:v>
                </c:pt>
                <c:pt idx="1477">
                  <c:v>17.535</c:v>
                </c:pt>
                <c:pt idx="1478">
                  <c:v>17.8794</c:v>
                </c:pt>
                <c:pt idx="1479">
                  <c:v>18.48</c:v>
                </c:pt>
                <c:pt idx="1480">
                  <c:v>18.059999999999999</c:v>
                </c:pt>
                <c:pt idx="1481">
                  <c:v>18.059999999999999</c:v>
                </c:pt>
                <c:pt idx="1482">
                  <c:v>18.27</c:v>
                </c:pt>
                <c:pt idx="1483">
                  <c:v>18.164999999999999</c:v>
                </c:pt>
                <c:pt idx="1484">
                  <c:v>18.744600000000002</c:v>
                </c:pt>
                <c:pt idx="1485">
                  <c:v>18.585000000000001</c:v>
                </c:pt>
                <c:pt idx="1486">
                  <c:v>18.429600000000001</c:v>
                </c:pt>
                <c:pt idx="1487">
                  <c:v>18.690000000000001</c:v>
                </c:pt>
                <c:pt idx="1488">
                  <c:v>19.324199999999998</c:v>
                </c:pt>
                <c:pt idx="1489">
                  <c:v>19.425000000000001</c:v>
                </c:pt>
                <c:pt idx="1490">
                  <c:v>19.11</c:v>
                </c:pt>
                <c:pt idx="1491">
                  <c:v>19.689600000000002</c:v>
                </c:pt>
                <c:pt idx="1492">
                  <c:v>19.689600000000002</c:v>
                </c:pt>
                <c:pt idx="1493">
                  <c:v>20.055</c:v>
                </c:pt>
                <c:pt idx="1494">
                  <c:v>20.055</c:v>
                </c:pt>
                <c:pt idx="1495">
                  <c:v>20.055</c:v>
                </c:pt>
                <c:pt idx="1496">
                  <c:v>19.689600000000002</c:v>
                </c:pt>
                <c:pt idx="1497">
                  <c:v>19.794600000000003</c:v>
                </c:pt>
                <c:pt idx="1498">
                  <c:v>19.32</c:v>
                </c:pt>
                <c:pt idx="1499">
                  <c:v>19.479600000000001</c:v>
                </c:pt>
                <c:pt idx="1500">
                  <c:v>19.635000000000002</c:v>
                </c:pt>
                <c:pt idx="1501">
                  <c:v>20.37</c:v>
                </c:pt>
                <c:pt idx="1502">
                  <c:v>21</c:v>
                </c:pt>
                <c:pt idx="1503">
                  <c:v>20.474999999999998</c:v>
                </c:pt>
                <c:pt idx="1504">
                  <c:v>20.895</c:v>
                </c:pt>
                <c:pt idx="1505">
                  <c:v>20.474999999999998</c:v>
                </c:pt>
                <c:pt idx="1506">
                  <c:v>19.425000000000001</c:v>
                </c:pt>
                <c:pt idx="1507">
                  <c:v>19.004999999999999</c:v>
                </c:pt>
                <c:pt idx="1508">
                  <c:v>18.690000000000001</c:v>
                </c:pt>
                <c:pt idx="1509">
                  <c:v>18.009599999999999</c:v>
                </c:pt>
                <c:pt idx="1510">
                  <c:v>18.27</c:v>
                </c:pt>
                <c:pt idx="1511">
                  <c:v>17.5854</c:v>
                </c:pt>
                <c:pt idx="1512">
                  <c:v>17.4846</c:v>
                </c:pt>
                <c:pt idx="1513">
                  <c:v>17.43</c:v>
                </c:pt>
                <c:pt idx="1514">
                  <c:v>17.589600000000001</c:v>
                </c:pt>
                <c:pt idx="1515">
                  <c:v>17.480399999999999</c:v>
                </c:pt>
                <c:pt idx="1516">
                  <c:v>17.324999999999999</c:v>
                </c:pt>
                <c:pt idx="1517">
                  <c:v>17.010000000000002</c:v>
                </c:pt>
                <c:pt idx="1518">
                  <c:v>18.059999999999999</c:v>
                </c:pt>
                <c:pt idx="1519">
                  <c:v>18.164999999999999</c:v>
                </c:pt>
                <c:pt idx="1520">
                  <c:v>18.585000000000001</c:v>
                </c:pt>
                <c:pt idx="1521">
                  <c:v>18.639600000000002</c:v>
                </c:pt>
                <c:pt idx="1522">
                  <c:v>19.269600000000001</c:v>
                </c:pt>
                <c:pt idx="1523">
                  <c:v>19.004999999999999</c:v>
                </c:pt>
                <c:pt idx="1524">
                  <c:v>18.900000000000002</c:v>
                </c:pt>
                <c:pt idx="1525">
                  <c:v>18.2196</c:v>
                </c:pt>
                <c:pt idx="1526">
                  <c:v>18.27</c:v>
                </c:pt>
                <c:pt idx="1527">
                  <c:v>18.27</c:v>
                </c:pt>
                <c:pt idx="1528">
                  <c:v>17.904600000000002</c:v>
                </c:pt>
                <c:pt idx="1529">
                  <c:v>17.270399999999999</c:v>
                </c:pt>
                <c:pt idx="1530">
                  <c:v>16.8</c:v>
                </c:pt>
                <c:pt idx="1531">
                  <c:v>16.959600000000002</c:v>
                </c:pt>
                <c:pt idx="1532">
                  <c:v>16.8</c:v>
                </c:pt>
                <c:pt idx="1533">
                  <c:v>16.749600000000001</c:v>
                </c:pt>
                <c:pt idx="1534">
                  <c:v>17.169600000000003</c:v>
                </c:pt>
                <c:pt idx="1535">
                  <c:v>17.169600000000003</c:v>
                </c:pt>
                <c:pt idx="1536">
                  <c:v>17.3796</c:v>
                </c:pt>
                <c:pt idx="1537">
                  <c:v>18.059999999999999</c:v>
                </c:pt>
                <c:pt idx="1538">
                  <c:v>17.745000000000001</c:v>
                </c:pt>
                <c:pt idx="1539">
                  <c:v>17.745000000000001</c:v>
                </c:pt>
                <c:pt idx="1540">
                  <c:v>17.745000000000001</c:v>
                </c:pt>
                <c:pt idx="1541">
                  <c:v>17.745000000000001</c:v>
                </c:pt>
                <c:pt idx="1542">
                  <c:v>17.954999999999998</c:v>
                </c:pt>
                <c:pt idx="1543">
                  <c:v>18.009599999999999</c:v>
                </c:pt>
                <c:pt idx="1544">
                  <c:v>18.164999999999999</c:v>
                </c:pt>
                <c:pt idx="1545">
                  <c:v>17.849999999999998</c:v>
                </c:pt>
                <c:pt idx="1546">
                  <c:v>17.114999999999998</c:v>
                </c:pt>
                <c:pt idx="1547">
                  <c:v>17.010000000000002</c:v>
                </c:pt>
                <c:pt idx="1548">
                  <c:v>16.484999999999999</c:v>
                </c:pt>
                <c:pt idx="1549">
                  <c:v>16.484999999999999</c:v>
                </c:pt>
                <c:pt idx="1550">
                  <c:v>15.75</c:v>
                </c:pt>
                <c:pt idx="1551">
                  <c:v>15.225</c:v>
                </c:pt>
                <c:pt idx="1552">
                  <c:v>14.805</c:v>
                </c:pt>
                <c:pt idx="1553">
                  <c:v>14.385000000000002</c:v>
                </c:pt>
                <c:pt idx="1554">
                  <c:v>14.334600000000002</c:v>
                </c:pt>
                <c:pt idx="1555">
                  <c:v>14.7</c:v>
                </c:pt>
                <c:pt idx="1556">
                  <c:v>14.594999999999999</c:v>
                </c:pt>
                <c:pt idx="1557">
                  <c:v>14.7546</c:v>
                </c:pt>
                <c:pt idx="1558">
                  <c:v>15.54</c:v>
                </c:pt>
                <c:pt idx="1559">
                  <c:v>15.54</c:v>
                </c:pt>
                <c:pt idx="1560">
                  <c:v>15.54</c:v>
                </c:pt>
                <c:pt idx="1561">
                  <c:v>15.54</c:v>
                </c:pt>
                <c:pt idx="1562">
                  <c:v>16.065000000000001</c:v>
                </c:pt>
                <c:pt idx="1563">
                  <c:v>15.6996</c:v>
                </c:pt>
                <c:pt idx="1564">
                  <c:v>15.6996</c:v>
                </c:pt>
                <c:pt idx="1565">
                  <c:v>15.6996</c:v>
                </c:pt>
                <c:pt idx="1566">
                  <c:v>16.484999999999999</c:v>
                </c:pt>
                <c:pt idx="1567">
                  <c:v>16.224600000000002</c:v>
                </c:pt>
                <c:pt idx="1568">
                  <c:v>15.1746</c:v>
                </c:pt>
                <c:pt idx="1569">
                  <c:v>14.8596</c:v>
                </c:pt>
                <c:pt idx="1570">
                  <c:v>14.124600000000001</c:v>
                </c:pt>
                <c:pt idx="1571">
                  <c:v>13.545</c:v>
                </c:pt>
                <c:pt idx="1572">
                  <c:v>13.44</c:v>
                </c:pt>
                <c:pt idx="1573">
                  <c:v>13.860000000000001</c:v>
                </c:pt>
                <c:pt idx="1574">
                  <c:v>13.599600000000001</c:v>
                </c:pt>
                <c:pt idx="1575">
                  <c:v>12.444600000000001</c:v>
                </c:pt>
                <c:pt idx="1576">
                  <c:v>12.444600000000001</c:v>
                </c:pt>
                <c:pt idx="1577">
                  <c:v>12.285</c:v>
                </c:pt>
                <c:pt idx="1578">
                  <c:v>12.494999999999999</c:v>
                </c:pt>
                <c:pt idx="1579">
                  <c:v>12.759600000000001</c:v>
                </c:pt>
                <c:pt idx="1580">
                  <c:v>13.860000000000001</c:v>
                </c:pt>
                <c:pt idx="1581">
                  <c:v>13.23</c:v>
                </c:pt>
                <c:pt idx="1582">
                  <c:v>13.02</c:v>
                </c:pt>
                <c:pt idx="1583">
                  <c:v>13.860000000000001</c:v>
                </c:pt>
                <c:pt idx="1584">
                  <c:v>14.439600000000002</c:v>
                </c:pt>
                <c:pt idx="1585">
                  <c:v>15.12</c:v>
                </c:pt>
                <c:pt idx="1586">
                  <c:v>14.385000000000002</c:v>
                </c:pt>
                <c:pt idx="1587">
                  <c:v>14.229600000000001</c:v>
                </c:pt>
                <c:pt idx="1588">
                  <c:v>15.225</c:v>
                </c:pt>
                <c:pt idx="1589">
                  <c:v>15.12</c:v>
                </c:pt>
                <c:pt idx="1590">
                  <c:v>15.384600000000001</c:v>
                </c:pt>
                <c:pt idx="1591">
                  <c:v>15.33</c:v>
                </c:pt>
                <c:pt idx="1592">
                  <c:v>14.91</c:v>
                </c:pt>
                <c:pt idx="1593">
                  <c:v>15.435</c:v>
                </c:pt>
                <c:pt idx="1594">
                  <c:v>14.544600000000003</c:v>
                </c:pt>
                <c:pt idx="1595">
                  <c:v>15.645</c:v>
                </c:pt>
                <c:pt idx="1596">
                  <c:v>15.645</c:v>
                </c:pt>
                <c:pt idx="1597">
                  <c:v>15.2796</c:v>
                </c:pt>
                <c:pt idx="1598">
                  <c:v>15.75</c:v>
                </c:pt>
                <c:pt idx="1599">
                  <c:v>15.909600000000001</c:v>
                </c:pt>
                <c:pt idx="1600">
                  <c:v>15.96</c:v>
                </c:pt>
                <c:pt idx="1601">
                  <c:v>16.484999999999999</c:v>
                </c:pt>
                <c:pt idx="1602">
                  <c:v>16.275000000000002</c:v>
                </c:pt>
                <c:pt idx="1603">
                  <c:v>16.8</c:v>
                </c:pt>
                <c:pt idx="1604">
                  <c:v>17.22</c:v>
                </c:pt>
                <c:pt idx="1605">
                  <c:v>17.745000000000001</c:v>
                </c:pt>
                <c:pt idx="1606">
                  <c:v>17.799600000000002</c:v>
                </c:pt>
                <c:pt idx="1607">
                  <c:v>17.954999999999998</c:v>
                </c:pt>
                <c:pt idx="1608">
                  <c:v>18.164999999999999</c:v>
                </c:pt>
                <c:pt idx="1609">
                  <c:v>18.114599999999999</c:v>
                </c:pt>
                <c:pt idx="1610">
                  <c:v>19.004999999999999</c:v>
                </c:pt>
                <c:pt idx="1611">
                  <c:v>19.95</c:v>
                </c:pt>
                <c:pt idx="1612">
                  <c:v>19.53</c:v>
                </c:pt>
                <c:pt idx="1613">
                  <c:v>20.055</c:v>
                </c:pt>
                <c:pt idx="1614">
                  <c:v>19.844999999999999</c:v>
                </c:pt>
                <c:pt idx="1615">
                  <c:v>19.895399999999999</c:v>
                </c:pt>
                <c:pt idx="1616">
                  <c:v>19.215</c:v>
                </c:pt>
                <c:pt idx="1617">
                  <c:v>18.795000000000002</c:v>
                </c:pt>
                <c:pt idx="1618">
                  <c:v>19.32</c:v>
                </c:pt>
                <c:pt idx="1619">
                  <c:v>19.739999999999998</c:v>
                </c:pt>
                <c:pt idx="1620">
                  <c:v>19.425000000000001</c:v>
                </c:pt>
                <c:pt idx="1621">
                  <c:v>19.32</c:v>
                </c:pt>
                <c:pt idx="1622">
                  <c:v>19.1646</c:v>
                </c:pt>
                <c:pt idx="1623">
                  <c:v>18.795000000000002</c:v>
                </c:pt>
                <c:pt idx="1624">
                  <c:v>18.635400000000001</c:v>
                </c:pt>
                <c:pt idx="1625">
                  <c:v>18.635400000000001</c:v>
                </c:pt>
                <c:pt idx="1626">
                  <c:v>18.3246</c:v>
                </c:pt>
                <c:pt idx="1627">
                  <c:v>18.164999999999999</c:v>
                </c:pt>
                <c:pt idx="1628">
                  <c:v>18.27</c:v>
                </c:pt>
                <c:pt idx="1629">
                  <c:v>18.585000000000001</c:v>
                </c:pt>
                <c:pt idx="1630">
                  <c:v>18.27</c:v>
                </c:pt>
                <c:pt idx="1631">
                  <c:v>17.849999999999998</c:v>
                </c:pt>
                <c:pt idx="1632">
                  <c:v>17.849999999999998</c:v>
                </c:pt>
                <c:pt idx="1633">
                  <c:v>18.009599999999999</c:v>
                </c:pt>
                <c:pt idx="1634">
                  <c:v>17.904600000000002</c:v>
                </c:pt>
                <c:pt idx="1635">
                  <c:v>18.690000000000001</c:v>
                </c:pt>
                <c:pt idx="1636">
                  <c:v>19.004999999999999</c:v>
                </c:pt>
                <c:pt idx="1637">
                  <c:v>19.425000000000001</c:v>
                </c:pt>
                <c:pt idx="1638">
                  <c:v>19.004999999999999</c:v>
                </c:pt>
                <c:pt idx="1639">
                  <c:v>19.11</c:v>
                </c:pt>
                <c:pt idx="1640">
                  <c:v>19.11</c:v>
                </c:pt>
                <c:pt idx="1641">
                  <c:v>18.639600000000002</c:v>
                </c:pt>
                <c:pt idx="1642">
                  <c:v>18.795000000000002</c:v>
                </c:pt>
                <c:pt idx="1643">
                  <c:v>19.374600000000001</c:v>
                </c:pt>
                <c:pt idx="1644">
                  <c:v>19.32</c:v>
                </c:pt>
                <c:pt idx="1645">
                  <c:v>19.794600000000003</c:v>
                </c:pt>
                <c:pt idx="1646">
                  <c:v>19.739999999999998</c:v>
                </c:pt>
                <c:pt idx="1647">
                  <c:v>20.37</c:v>
                </c:pt>
                <c:pt idx="1648">
                  <c:v>20.8446</c:v>
                </c:pt>
                <c:pt idx="1649">
                  <c:v>20.8446</c:v>
                </c:pt>
                <c:pt idx="1650">
                  <c:v>20.79</c:v>
                </c:pt>
                <c:pt idx="1651">
                  <c:v>20.79</c:v>
                </c:pt>
                <c:pt idx="1652">
                  <c:v>20.634599999999999</c:v>
                </c:pt>
                <c:pt idx="1653">
                  <c:v>20.895</c:v>
                </c:pt>
                <c:pt idx="1654">
                  <c:v>20.79</c:v>
                </c:pt>
                <c:pt idx="1655">
                  <c:v>20.9496</c:v>
                </c:pt>
                <c:pt idx="1656">
                  <c:v>19.95</c:v>
                </c:pt>
                <c:pt idx="1657">
                  <c:v>20.739599999999999</c:v>
                </c:pt>
                <c:pt idx="1658">
                  <c:v>21.945</c:v>
                </c:pt>
                <c:pt idx="1659">
                  <c:v>22.574999999999999</c:v>
                </c:pt>
                <c:pt idx="1660">
                  <c:v>23.204999999999998</c:v>
                </c:pt>
                <c:pt idx="1661">
                  <c:v>23.994600000000002</c:v>
                </c:pt>
                <c:pt idx="1662">
                  <c:v>23.889599999999998</c:v>
                </c:pt>
                <c:pt idx="1663">
                  <c:v>23.465399999999999</c:v>
                </c:pt>
                <c:pt idx="1664">
                  <c:v>22.89</c:v>
                </c:pt>
                <c:pt idx="1665">
                  <c:v>22.154999999999998</c:v>
                </c:pt>
                <c:pt idx="1666">
                  <c:v>21.734999999999999</c:v>
                </c:pt>
                <c:pt idx="1667">
                  <c:v>21.734999999999999</c:v>
                </c:pt>
                <c:pt idx="1668">
                  <c:v>22.625399999999999</c:v>
                </c:pt>
                <c:pt idx="1669">
                  <c:v>22.625399999999999</c:v>
                </c:pt>
                <c:pt idx="1670">
                  <c:v>23.625</c:v>
                </c:pt>
                <c:pt idx="1671">
                  <c:v>23.625</c:v>
                </c:pt>
                <c:pt idx="1672">
                  <c:v>22.629600000000003</c:v>
                </c:pt>
                <c:pt idx="1673">
                  <c:v>20.8446</c:v>
                </c:pt>
                <c:pt idx="1674">
                  <c:v>20.58</c:v>
                </c:pt>
                <c:pt idx="1675">
                  <c:v>19.95</c:v>
                </c:pt>
                <c:pt idx="1676">
                  <c:v>20.055</c:v>
                </c:pt>
                <c:pt idx="1677">
                  <c:v>20.37</c:v>
                </c:pt>
                <c:pt idx="1678">
                  <c:v>21.264599999999998</c:v>
                </c:pt>
                <c:pt idx="1679">
                  <c:v>21.21</c:v>
                </c:pt>
                <c:pt idx="1680">
                  <c:v>20.214600000000001</c:v>
                </c:pt>
                <c:pt idx="1681">
                  <c:v>19.95</c:v>
                </c:pt>
                <c:pt idx="1682">
                  <c:v>20.055</c:v>
                </c:pt>
                <c:pt idx="1683">
                  <c:v>20.319600000000001</c:v>
                </c:pt>
                <c:pt idx="1684">
                  <c:v>19.844999999999999</c:v>
                </c:pt>
                <c:pt idx="1685">
                  <c:v>20.474999999999998</c:v>
                </c:pt>
                <c:pt idx="1686">
                  <c:v>21.369600000000002</c:v>
                </c:pt>
                <c:pt idx="1687">
                  <c:v>22.26</c:v>
                </c:pt>
                <c:pt idx="1688">
                  <c:v>22.05</c:v>
                </c:pt>
                <c:pt idx="1689">
                  <c:v>22.470000000000002</c:v>
                </c:pt>
                <c:pt idx="1690">
                  <c:v>21.999600000000001</c:v>
                </c:pt>
                <c:pt idx="1691">
                  <c:v>21.63</c:v>
                </c:pt>
                <c:pt idx="1692">
                  <c:v>21.945</c:v>
                </c:pt>
                <c:pt idx="1693">
                  <c:v>22.154999999999998</c:v>
                </c:pt>
                <c:pt idx="1694">
                  <c:v>21.579600000000003</c:v>
                </c:pt>
                <c:pt idx="1695">
                  <c:v>21.734999999999999</c:v>
                </c:pt>
                <c:pt idx="1696">
                  <c:v>21.734999999999999</c:v>
                </c:pt>
                <c:pt idx="1697">
                  <c:v>20.58</c:v>
                </c:pt>
                <c:pt idx="1698">
                  <c:v>20.474999999999998</c:v>
                </c:pt>
                <c:pt idx="1699">
                  <c:v>20.055</c:v>
                </c:pt>
                <c:pt idx="1700">
                  <c:v>20.424600000000002</c:v>
                </c:pt>
                <c:pt idx="1701">
                  <c:v>20.37</c:v>
                </c:pt>
                <c:pt idx="1702">
                  <c:v>21</c:v>
                </c:pt>
                <c:pt idx="1703">
                  <c:v>20.1096</c:v>
                </c:pt>
                <c:pt idx="1704">
                  <c:v>20.424600000000002</c:v>
                </c:pt>
                <c:pt idx="1705">
                  <c:v>19.95</c:v>
                </c:pt>
                <c:pt idx="1706">
                  <c:v>20.0046</c:v>
                </c:pt>
                <c:pt idx="1707">
                  <c:v>19.95</c:v>
                </c:pt>
                <c:pt idx="1708">
                  <c:v>20.214600000000001</c:v>
                </c:pt>
                <c:pt idx="1709">
                  <c:v>19.8996</c:v>
                </c:pt>
                <c:pt idx="1710">
                  <c:v>19.739999999999998</c:v>
                </c:pt>
                <c:pt idx="1711">
                  <c:v>19.32</c:v>
                </c:pt>
                <c:pt idx="1712">
                  <c:v>19.004999999999999</c:v>
                </c:pt>
                <c:pt idx="1713">
                  <c:v>17.904600000000002</c:v>
                </c:pt>
                <c:pt idx="1714">
                  <c:v>17.535</c:v>
                </c:pt>
                <c:pt idx="1715">
                  <c:v>17.954999999999998</c:v>
                </c:pt>
                <c:pt idx="1716">
                  <c:v>17.64</c:v>
                </c:pt>
                <c:pt idx="1717">
                  <c:v>17.324999999999999</c:v>
                </c:pt>
                <c:pt idx="1718">
                  <c:v>18.164999999999999</c:v>
                </c:pt>
                <c:pt idx="1719">
                  <c:v>17.745000000000001</c:v>
                </c:pt>
                <c:pt idx="1720">
                  <c:v>18.059999999999999</c:v>
                </c:pt>
                <c:pt idx="1721">
                  <c:v>18.48</c:v>
                </c:pt>
                <c:pt idx="1722">
                  <c:v>18.114599999999999</c:v>
                </c:pt>
                <c:pt idx="1723">
                  <c:v>17.43</c:v>
                </c:pt>
                <c:pt idx="1724">
                  <c:v>17.904600000000002</c:v>
                </c:pt>
                <c:pt idx="1725">
                  <c:v>18.534600000000001</c:v>
                </c:pt>
                <c:pt idx="1726">
                  <c:v>18.744600000000002</c:v>
                </c:pt>
                <c:pt idx="1727">
                  <c:v>18.900000000000002</c:v>
                </c:pt>
                <c:pt idx="1728">
                  <c:v>18.795000000000002</c:v>
                </c:pt>
                <c:pt idx="1729">
                  <c:v>19.425000000000001</c:v>
                </c:pt>
                <c:pt idx="1730">
                  <c:v>19.215</c:v>
                </c:pt>
                <c:pt idx="1731">
                  <c:v>18.954600000000003</c:v>
                </c:pt>
                <c:pt idx="1732">
                  <c:v>19.53</c:v>
                </c:pt>
                <c:pt idx="1733">
                  <c:v>19.425000000000001</c:v>
                </c:pt>
                <c:pt idx="1734">
                  <c:v>19.8996</c:v>
                </c:pt>
                <c:pt idx="1735">
                  <c:v>19.794600000000003</c:v>
                </c:pt>
                <c:pt idx="1736">
                  <c:v>19.95</c:v>
                </c:pt>
                <c:pt idx="1737">
                  <c:v>19.739999999999998</c:v>
                </c:pt>
                <c:pt idx="1738">
                  <c:v>18.48</c:v>
                </c:pt>
                <c:pt idx="1739">
                  <c:v>18.3246</c:v>
                </c:pt>
                <c:pt idx="1740">
                  <c:v>19.11</c:v>
                </c:pt>
                <c:pt idx="1741">
                  <c:v>19.11</c:v>
                </c:pt>
                <c:pt idx="1742">
                  <c:v>19.269600000000001</c:v>
                </c:pt>
                <c:pt idx="1743">
                  <c:v>19.584600000000002</c:v>
                </c:pt>
                <c:pt idx="1744">
                  <c:v>20.684999999999999</c:v>
                </c:pt>
                <c:pt idx="1745">
                  <c:v>19.95</c:v>
                </c:pt>
                <c:pt idx="1746">
                  <c:v>20.265000000000001</c:v>
                </c:pt>
                <c:pt idx="1747">
                  <c:v>20.055</c:v>
                </c:pt>
                <c:pt idx="1748">
                  <c:v>20.16</c:v>
                </c:pt>
                <c:pt idx="1749">
                  <c:v>21.054600000000004</c:v>
                </c:pt>
                <c:pt idx="1750">
                  <c:v>20.79</c:v>
                </c:pt>
                <c:pt idx="1751">
                  <c:v>21.104999999999997</c:v>
                </c:pt>
                <c:pt idx="1752">
                  <c:v>21.369600000000002</c:v>
                </c:pt>
                <c:pt idx="1753">
                  <c:v>22.05</c:v>
                </c:pt>
                <c:pt idx="1754">
                  <c:v>22.26</c:v>
                </c:pt>
                <c:pt idx="1755">
                  <c:v>21.999600000000001</c:v>
                </c:pt>
                <c:pt idx="1756">
                  <c:v>22.154999999999998</c:v>
                </c:pt>
                <c:pt idx="1757">
                  <c:v>21.369600000000002</c:v>
                </c:pt>
                <c:pt idx="1758">
                  <c:v>21.7896</c:v>
                </c:pt>
                <c:pt idx="1759">
                  <c:v>22.364999999999998</c:v>
                </c:pt>
                <c:pt idx="1760">
                  <c:v>22.89</c:v>
                </c:pt>
                <c:pt idx="1761">
                  <c:v>23.1</c:v>
                </c:pt>
                <c:pt idx="1762">
                  <c:v>23.259600000000002</c:v>
                </c:pt>
                <c:pt idx="1763">
                  <c:v>23.465399999999999</c:v>
                </c:pt>
                <c:pt idx="1764">
                  <c:v>24.099599999999999</c:v>
                </c:pt>
                <c:pt idx="1765">
                  <c:v>24.045000000000002</c:v>
                </c:pt>
                <c:pt idx="1766">
                  <c:v>24.729599999999998</c:v>
                </c:pt>
                <c:pt idx="1767">
                  <c:v>24.36</c:v>
                </c:pt>
                <c:pt idx="1768">
                  <c:v>24.15</c:v>
                </c:pt>
                <c:pt idx="1769">
                  <c:v>24.4146</c:v>
                </c:pt>
                <c:pt idx="1770">
                  <c:v>24.204600000000003</c:v>
                </c:pt>
                <c:pt idx="1771">
                  <c:v>24.36</c:v>
                </c:pt>
                <c:pt idx="1772">
                  <c:v>24.675000000000001</c:v>
                </c:pt>
                <c:pt idx="1773">
                  <c:v>25.41</c:v>
                </c:pt>
                <c:pt idx="1774">
                  <c:v>24.675000000000001</c:v>
                </c:pt>
                <c:pt idx="1775">
                  <c:v>24.939599999999999</c:v>
                </c:pt>
                <c:pt idx="1776">
                  <c:v>24.99</c:v>
                </c:pt>
                <c:pt idx="1777">
                  <c:v>24.519600000000001</c:v>
                </c:pt>
                <c:pt idx="1778">
                  <c:v>24.045000000000002</c:v>
                </c:pt>
                <c:pt idx="1779">
                  <c:v>24.099599999999999</c:v>
                </c:pt>
                <c:pt idx="1780">
                  <c:v>23.835000000000001</c:v>
                </c:pt>
                <c:pt idx="1781">
                  <c:v>23.150400000000001</c:v>
                </c:pt>
                <c:pt idx="1782">
                  <c:v>23.625</c:v>
                </c:pt>
                <c:pt idx="1783">
                  <c:v>23.310000000000002</c:v>
                </c:pt>
                <c:pt idx="1784">
                  <c:v>23.204999999999998</c:v>
                </c:pt>
                <c:pt idx="1785">
                  <c:v>22.9404</c:v>
                </c:pt>
                <c:pt idx="1786">
                  <c:v>22.364999999999998</c:v>
                </c:pt>
                <c:pt idx="1787">
                  <c:v>21.84</c:v>
                </c:pt>
                <c:pt idx="1788">
                  <c:v>21.734999999999999</c:v>
                </c:pt>
                <c:pt idx="1789">
                  <c:v>21.63</c:v>
                </c:pt>
                <c:pt idx="1790">
                  <c:v>21.524999999999999</c:v>
                </c:pt>
                <c:pt idx="1791">
                  <c:v>21.21</c:v>
                </c:pt>
                <c:pt idx="1792">
                  <c:v>21.734999999999999</c:v>
                </c:pt>
                <c:pt idx="1793">
                  <c:v>21.314999999999998</c:v>
                </c:pt>
                <c:pt idx="1794">
                  <c:v>20.895</c:v>
                </c:pt>
                <c:pt idx="1795">
                  <c:v>21.42</c:v>
                </c:pt>
                <c:pt idx="1796">
                  <c:v>22.154999999999998</c:v>
                </c:pt>
                <c:pt idx="1797">
                  <c:v>22.26</c:v>
                </c:pt>
                <c:pt idx="1798">
                  <c:v>22.26</c:v>
                </c:pt>
                <c:pt idx="1799">
                  <c:v>22.26</c:v>
                </c:pt>
                <c:pt idx="1800">
                  <c:v>22.26</c:v>
                </c:pt>
                <c:pt idx="1801">
                  <c:v>22.574999999999999</c:v>
                </c:pt>
                <c:pt idx="1802">
                  <c:v>22.419600000000003</c:v>
                </c:pt>
                <c:pt idx="1803">
                  <c:v>23.835000000000001</c:v>
                </c:pt>
                <c:pt idx="1804">
                  <c:v>24.99</c:v>
                </c:pt>
                <c:pt idx="1805">
                  <c:v>25.254600000000003</c:v>
                </c:pt>
                <c:pt idx="1806">
                  <c:v>25.725000000000001</c:v>
                </c:pt>
                <c:pt idx="1807">
                  <c:v>25.674600000000002</c:v>
                </c:pt>
                <c:pt idx="1808">
                  <c:v>25.5654</c:v>
                </c:pt>
                <c:pt idx="1809">
                  <c:v>25.985400000000002</c:v>
                </c:pt>
                <c:pt idx="1810">
                  <c:v>25.935000000000002</c:v>
                </c:pt>
                <c:pt idx="1811">
                  <c:v>26.25</c:v>
                </c:pt>
                <c:pt idx="1812">
                  <c:v>25.989599999999999</c:v>
                </c:pt>
                <c:pt idx="1813">
                  <c:v>25.725000000000001</c:v>
                </c:pt>
                <c:pt idx="1814">
                  <c:v>25.989599999999999</c:v>
                </c:pt>
                <c:pt idx="1815">
                  <c:v>26.25</c:v>
                </c:pt>
                <c:pt idx="1816">
                  <c:v>26.25</c:v>
                </c:pt>
                <c:pt idx="1817">
                  <c:v>26.67</c:v>
                </c:pt>
                <c:pt idx="1818">
                  <c:v>26.774999999999999</c:v>
                </c:pt>
                <c:pt idx="1819">
                  <c:v>26.984999999999999</c:v>
                </c:pt>
                <c:pt idx="1820">
                  <c:v>27.09</c:v>
                </c:pt>
                <c:pt idx="1821">
                  <c:v>27.09</c:v>
                </c:pt>
                <c:pt idx="1822">
                  <c:v>27.459599999999998</c:v>
                </c:pt>
                <c:pt idx="1823">
                  <c:v>28.715400000000002</c:v>
                </c:pt>
                <c:pt idx="1824">
                  <c:v>29.82</c:v>
                </c:pt>
                <c:pt idx="1825">
                  <c:v>29.295000000000002</c:v>
                </c:pt>
                <c:pt idx="1826">
                  <c:v>29.295000000000002</c:v>
                </c:pt>
                <c:pt idx="1827">
                  <c:v>28.875</c:v>
                </c:pt>
                <c:pt idx="1828">
                  <c:v>28.979999999999997</c:v>
                </c:pt>
                <c:pt idx="1829">
                  <c:v>29.189999999999998</c:v>
                </c:pt>
                <c:pt idx="1830">
                  <c:v>29.82</c:v>
                </c:pt>
                <c:pt idx="1831">
                  <c:v>29.295000000000002</c:v>
                </c:pt>
                <c:pt idx="1832">
                  <c:v>29.189999999999998</c:v>
                </c:pt>
                <c:pt idx="1833">
                  <c:v>30.45</c:v>
                </c:pt>
                <c:pt idx="1834">
                  <c:v>30.66</c:v>
                </c:pt>
                <c:pt idx="1835">
                  <c:v>30.345000000000002</c:v>
                </c:pt>
                <c:pt idx="1836">
                  <c:v>30.345000000000002</c:v>
                </c:pt>
                <c:pt idx="1837">
                  <c:v>30.45</c:v>
                </c:pt>
                <c:pt idx="1838">
                  <c:v>30.24</c:v>
                </c:pt>
                <c:pt idx="1839">
                  <c:v>31.08</c:v>
                </c:pt>
                <c:pt idx="1840">
                  <c:v>31.395000000000003</c:v>
                </c:pt>
                <c:pt idx="1841">
                  <c:v>31.92</c:v>
                </c:pt>
                <c:pt idx="1842">
                  <c:v>31.71</c:v>
                </c:pt>
                <c:pt idx="1843">
                  <c:v>32.184599999999996</c:v>
                </c:pt>
                <c:pt idx="1844">
                  <c:v>33.18</c:v>
                </c:pt>
                <c:pt idx="1845">
                  <c:v>34.179600000000001</c:v>
                </c:pt>
                <c:pt idx="1846">
                  <c:v>33.914999999999999</c:v>
                </c:pt>
                <c:pt idx="1847">
                  <c:v>33.914999999999999</c:v>
                </c:pt>
                <c:pt idx="1848">
                  <c:v>38.64</c:v>
                </c:pt>
                <c:pt idx="1849">
                  <c:v>39.164999999999999</c:v>
                </c:pt>
                <c:pt idx="1850">
                  <c:v>37.380000000000003</c:v>
                </c:pt>
                <c:pt idx="1851">
                  <c:v>37.380000000000003</c:v>
                </c:pt>
                <c:pt idx="1852">
                  <c:v>32.97</c:v>
                </c:pt>
                <c:pt idx="1853">
                  <c:v>34.65</c:v>
                </c:pt>
                <c:pt idx="1854">
                  <c:v>34.335000000000001</c:v>
                </c:pt>
                <c:pt idx="1855">
                  <c:v>34.229999999999997</c:v>
                </c:pt>
                <c:pt idx="1856">
                  <c:v>32.865000000000002</c:v>
                </c:pt>
                <c:pt idx="1857">
                  <c:v>34.44</c:v>
                </c:pt>
                <c:pt idx="1858">
                  <c:v>34.704599999999999</c:v>
                </c:pt>
                <c:pt idx="1859">
                  <c:v>32.915400000000005</c:v>
                </c:pt>
                <c:pt idx="1860">
                  <c:v>31.604999999999997</c:v>
                </c:pt>
                <c:pt idx="1861">
                  <c:v>31.604999999999997</c:v>
                </c:pt>
                <c:pt idx="1862">
                  <c:v>30.3996</c:v>
                </c:pt>
                <c:pt idx="1863">
                  <c:v>28.664999999999999</c:v>
                </c:pt>
                <c:pt idx="1864">
                  <c:v>28.14</c:v>
                </c:pt>
                <c:pt idx="1865">
                  <c:v>27.404999999999998</c:v>
                </c:pt>
                <c:pt idx="1866">
                  <c:v>27.564599999999999</c:v>
                </c:pt>
                <c:pt idx="1867">
                  <c:v>27.404999999999998</c:v>
                </c:pt>
                <c:pt idx="1868">
                  <c:v>25.62</c:v>
                </c:pt>
                <c:pt idx="1869">
                  <c:v>24.465</c:v>
                </c:pt>
                <c:pt idx="1870">
                  <c:v>25.41</c:v>
                </c:pt>
                <c:pt idx="1871">
                  <c:v>26.145000000000003</c:v>
                </c:pt>
                <c:pt idx="1872">
                  <c:v>26.67</c:v>
                </c:pt>
                <c:pt idx="1873">
                  <c:v>26.67</c:v>
                </c:pt>
                <c:pt idx="1874">
                  <c:v>27.09</c:v>
                </c:pt>
                <c:pt idx="1875">
                  <c:v>27.404999999999998</c:v>
                </c:pt>
                <c:pt idx="1876">
                  <c:v>28.089599999999997</c:v>
                </c:pt>
                <c:pt idx="1877">
                  <c:v>28.035</c:v>
                </c:pt>
                <c:pt idx="1878">
                  <c:v>26.1996</c:v>
                </c:pt>
                <c:pt idx="1879">
                  <c:v>25.62</c:v>
                </c:pt>
                <c:pt idx="1880">
                  <c:v>24.885000000000002</c:v>
                </c:pt>
                <c:pt idx="1881">
                  <c:v>24.624600000000001</c:v>
                </c:pt>
                <c:pt idx="1882">
                  <c:v>25.254600000000003</c:v>
                </c:pt>
                <c:pt idx="1883">
                  <c:v>24.675000000000001</c:v>
                </c:pt>
                <c:pt idx="1884">
                  <c:v>24.254999999999999</c:v>
                </c:pt>
                <c:pt idx="1885">
                  <c:v>23.835000000000001</c:v>
                </c:pt>
                <c:pt idx="1886">
                  <c:v>23.784600000000001</c:v>
                </c:pt>
                <c:pt idx="1887">
                  <c:v>24.675000000000001</c:v>
                </c:pt>
                <c:pt idx="1888">
                  <c:v>25.884600000000002</c:v>
                </c:pt>
                <c:pt idx="1889">
                  <c:v>25.725000000000001</c:v>
                </c:pt>
                <c:pt idx="1890">
                  <c:v>25.62</c:v>
                </c:pt>
                <c:pt idx="1891">
                  <c:v>25.775400000000001</c:v>
                </c:pt>
                <c:pt idx="1892">
                  <c:v>26.094600000000003</c:v>
                </c:pt>
                <c:pt idx="1893">
                  <c:v>26.67</c:v>
                </c:pt>
                <c:pt idx="1894">
                  <c:v>27.039599999999997</c:v>
                </c:pt>
                <c:pt idx="1895">
                  <c:v>27.459599999999998</c:v>
                </c:pt>
                <c:pt idx="1896">
                  <c:v>27.934200000000001</c:v>
                </c:pt>
                <c:pt idx="1897">
                  <c:v>28.194600000000001</c:v>
                </c:pt>
                <c:pt idx="1898">
                  <c:v>28.664999999999999</c:v>
                </c:pt>
                <c:pt idx="1899">
                  <c:v>28.7196</c:v>
                </c:pt>
                <c:pt idx="1900">
                  <c:v>28.7196</c:v>
                </c:pt>
                <c:pt idx="1901">
                  <c:v>28.560000000000002</c:v>
                </c:pt>
                <c:pt idx="1902">
                  <c:v>28.7196</c:v>
                </c:pt>
                <c:pt idx="1903">
                  <c:v>28.194600000000001</c:v>
                </c:pt>
                <c:pt idx="1904">
                  <c:v>27.564599999999999</c:v>
                </c:pt>
                <c:pt idx="1905">
                  <c:v>26.619600000000002</c:v>
                </c:pt>
                <c:pt idx="1906">
                  <c:v>26.514599999999998</c:v>
                </c:pt>
                <c:pt idx="1907">
                  <c:v>26.514599999999998</c:v>
                </c:pt>
                <c:pt idx="1908">
                  <c:v>26.1996</c:v>
                </c:pt>
                <c:pt idx="1909">
                  <c:v>25.6494</c:v>
                </c:pt>
                <c:pt idx="1910">
                  <c:v>26.1996</c:v>
                </c:pt>
                <c:pt idx="1911">
                  <c:v>25.250399999999999</c:v>
                </c:pt>
                <c:pt idx="1912">
                  <c:v>24.885000000000002</c:v>
                </c:pt>
                <c:pt idx="1913">
                  <c:v>25.834199999999999</c:v>
                </c:pt>
                <c:pt idx="1914">
                  <c:v>25.729200000000002</c:v>
                </c:pt>
                <c:pt idx="1915">
                  <c:v>26.304600000000004</c:v>
                </c:pt>
                <c:pt idx="1916">
                  <c:v>26.46</c:v>
                </c:pt>
                <c:pt idx="1917">
                  <c:v>26.46</c:v>
                </c:pt>
                <c:pt idx="1918">
                  <c:v>26.9346</c:v>
                </c:pt>
                <c:pt idx="1919">
                  <c:v>26.46</c:v>
                </c:pt>
                <c:pt idx="1920">
                  <c:v>26.145000000000003</c:v>
                </c:pt>
                <c:pt idx="1921">
                  <c:v>26.514599999999998</c:v>
                </c:pt>
                <c:pt idx="1922">
                  <c:v>26.46</c:v>
                </c:pt>
                <c:pt idx="1923">
                  <c:v>27.249599999999997</c:v>
                </c:pt>
                <c:pt idx="1924">
                  <c:v>27.614999999999998</c:v>
                </c:pt>
                <c:pt idx="1925">
                  <c:v>28.14</c:v>
                </c:pt>
                <c:pt idx="1926">
                  <c:v>28.14</c:v>
                </c:pt>
                <c:pt idx="1927">
                  <c:v>27.720000000000002</c:v>
                </c:pt>
                <c:pt idx="1928">
                  <c:v>27.9846</c:v>
                </c:pt>
                <c:pt idx="1929">
                  <c:v>27.51</c:v>
                </c:pt>
                <c:pt idx="1930">
                  <c:v>27.824999999999999</c:v>
                </c:pt>
                <c:pt idx="1931">
                  <c:v>27.824999999999999</c:v>
                </c:pt>
                <c:pt idx="1932">
                  <c:v>27.665400000000002</c:v>
                </c:pt>
                <c:pt idx="1933">
                  <c:v>26.984999999999999</c:v>
                </c:pt>
                <c:pt idx="1934">
                  <c:v>26.145000000000003</c:v>
                </c:pt>
                <c:pt idx="1935">
                  <c:v>25.62</c:v>
                </c:pt>
                <c:pt idx="1936">
                  <c:v>25.305</c:v>
                </c:pt>
                <c:pt idx="1937">
                  <c:v>25.355399999999999</c:v>
                </c:pt>
                <c:pt idx="1938">
                  <c:v>24.465</c:v>
                </c:pt>
                <c:pt idx="1939">
                  <c:v>24.4146</c:v>
                </c:pt>
                <c:pt idx="1940">
                  <c:v>24.99</c:v>
                </c:pt>
                <c:pt idx="1941">
                  <c:v>25.41</c:v>
                </c:pt>
                <c:pt idx="1942">
                  <c:v>25.62</c:v>
                </c:pt>
                <c:pt idx="1943">
                  <c:v>24.729599999999998</c:v>
                </c:pt>
                <c:pt idx="1944">
                  <c:v>24.779999999999998</c:v>
                </c:pt>
                <c:pt idx="1945">
                  <c:v>24.834600000000002</c:v>
                </c:pt>
                <c:pt idx="1946">
                  <c:v>24.675000000000001</c:v>
                </c:pt>
                <c:pt idx="1947">
                  <c:v>24.3096</c:v>
                </c:pt>
                <c:pt idx="1948">
                  <c:v>24.045000000000002</c:v>
                </c:pt>
                <c:pt idx="1949">
                  <c:v>24.15</c:v>
                </c:pt>
                <c:pt idx="1950">
                  <c:v>24.045000000000002</c:v>
                </c:pt>
                <c:pt idx="1951">
                  <c:v>23.889599999999998</c:v>
                </c:pt>
                <c:pt idx="1952">
                  <c:v>24.15</c:v>
                </c:pt>
                <c:pt idx="1953">
                  <c:v>24.099599999999999</c:v>
                </c:pt>
                <c:pt idx="1954">
                  <c:v>24.57</c:v>
                </c:pt>
                <c:pt idx="1955">
                  <c:v>25.145400000000002</c:v>
                </c:pt>
                <c:pt idx="1956">
                  <c:v>26.145000000000003</c:v>
                </c:pt>
                <c:pt idx="1957">
                  <c:v>26.145000000000003</c:v>
                </c:pt>
                <c:pt idx="1958">
                  <c:v>25.2</c:v>
                </c:pt>
                <c:pt idx="1959">
                  <c:v>25.62</c:v>
                </c:pt>
                <c:pt idx="1960">
                  <c:v>25.1496</c:v>
                </c:pt>
                <c:pt idx="1961">
                  <c:v>25.41</c:v>
                </c:pt>
                <c:pt idx="1962">
                  <c:v>26.1996</c:v>
                </c:pt>
                <c:pt idx="1963">
                  <c:v>26.724599999999999</c:v>
                </c:pt>
                <c:pt idx="1964">
                  <c:v>26.829600000000003</c:v>
                </c:pt>
                <c:pt idx="1965">
                  <c:v>26.984999999999999</c:v>
                </c:pt>
                <c:pt idx="1966">
                  <c:v>26.88</c:v>
                </c:pt>
                <c:pt idx="1967">
                  <c:v>27.51</c:v>
                </c:pt>
                <c:pt idx="1968">
                  <c:v>28.035</c:v>
                </c:pt>
                <c:pt idx="1969">
                  <c:v>27.9846</c:v>
                </c:pt>
                <c:pt idx="1970">
                  <c:v>27.720000000000002</c:v>
                </c:pt>
                <c:pt idx="1971">
                  <c:v>28.035</c:v>
                </c:pt>
                <c:pt idx="1972">
                  <c:v>28.664999999999999</c:v>
                </c:pt>
                <c:pt idx="1973">
                  <c:v>30.029999999999998</c:v>
                </c:pt>
                <c:pt idx="1974">
                  <c:v>30.45</c:v>
                </c:pt>
                <c:pt idx="1975">
                  <c:v>30.714599999999997</c:v>
                </c:pt>
                <c:pt idx="1976">
                  <c:v>30.975000000000001</c:v>
                </c:pt>
                <c:pt idx="1977">
                  <c:v>31.185000000000002</c:v>
                </c:pt>
                <c:pt idx="1978">
                  <c:v>31.92</c:v>
                </c:pt>
                <c:pt idx="1979">
                  <c:v>31.445400000000003</c:v>
                </c:pt>
                <c:pt idx="1980">
                  <c:v>31.239599999999996</c:v>
                </c:pt>
                <c:pt idx="1981">
                  <c:v>30.714599999999997</c:v>
                </c:pt>
                <c:pt idx="1982">
                  <c:v>30.395400000000002</c:v>
                </c:pt>
                <c:pt idx="1983">
                  <c:v>32.024999999999999</c:v>
                </c:pt>
                <c:pt idx="1984">
                  <c:v>32.499599999999994</c:v>
                </c:pt>
                <c:pt idx="1985">
                  <c:v>32.550000000000004</c:v>
                </c:pt>
                <c:pt idx="1986">
                  <c:v>31.659599999999998</c:v>
                </c:pt>
                <c:pt idx="1987">
                  <c:v>31.235400000000002</c:v>
                </c:pt>
                <c:pt idx="1988">
                  <c:v>31.3446</c:v>
                </c:pt>
                <c:pt idx="1989">
                  <c:v>31.554599999999997</c:v>
                </c:pt>
                <c:pt idx="1990">
                  <c:v>32.550000000000004</c:v>
                </c:pt>
                <c:pt idx="1991">
                  <c:v>31.814999999999998</c:v>
                </c:pt>
                <c:pt idx="1992">
                  <c:v>31.974599999999999</c:v>
                </c:pt>
                <c:pt idx="1993">
                  <c:v>31.869599999999998</c:v>
                </c:pt>
                <c:pt idx="1994">
                  <c:v>31.92</c:v>
                </c:pt>
                <c:pt idx="1995">
                  <c:v>32.709599999999995</c:v>
                </c:pt>
                <c:pt idx="1996">
                  <c:v>32.709599999999995</c:v>
                </c:pt>
                <c:pt idx="1997">
                  <c:v>32.655000000000001</c:v>
                </c:pt>
                <c:pt idx="1998">
                  <c:v>33.39</c:v>
                </c:pt>
                <c:pt idx="1999">
                  <c:v>33.6</c:v>
                </c:pt>
                <c:pt idx="2000">
                  <c:v>34.44</c:v>
                </c:pt>
                <c:pt idx="2001">
                  <c:v>34.44</c:v>
                </c:pt>
                <c:pt idx="2002">
                  <c:v>34.44</c:v>
                </c:pt>
                <c:pt idx="2003">
                  <c:v>34.755000000000003</c:v>
                </c:pt>
                <c:pt idx="2004">
                  <c:v>34.86</c:v>
                </c:pt>
                <c:pt idx="2005">
                  <c:v>35.07</c:v>
                </c:pt>
                <c:pt idx="2006">
                  <c:v>35.544599999999996</c:v>
                </c:pt>
                <c:pt idx="2007">
                  <c:v>36.119999999999997</c:v>
                </c:pt>
                <c:pt idx="2008">
                  <c:v>36.804600000000001</c:v>
                </c:pt>
                <c:pt idx="2009">
                  <c:v>36.54</c:v>
                </c:pt>
                <c:pt idx="2010">
                  <c:v>36.804600000000001</c:v>
                </c:pt>
                <c:pt idx="2011">
                  <c:v>36.96</c:v>
                </c:pt>
                <c:pt idx="2012">
                  <c:v>36.909599999999998</c:v>
                </c:pt>
                <c:pt idx="2013">
                  <c:v>38.115000000000002</c:v>
                </c:pt>
                <c:pt idx="2014">
                  <c:v>38.954999999999998</c:v>
                </c:pt>
                <c:pt idx="2015">
                  <c:v>38.954999999999998</c:v>
                </c:pt>
                <c:pt idx="2016">
                  <c:v>40.844999999999999</c:v>
                </c:pt>
                <c:pt idx="2017">
                  <c:v>40.53</c:v>
                </c:pt>
                <c:pt idx="2018">
                  <c:v>40.425000000000004</c:v>
                </c:pt>
                <c:pt idx="2019">
                  <c:v>39.479999999999997</c:v>
                </c:pt>
                <c:pt idx="2020">
                  <c:v>39.270000000000003</c:v>
                </c:pt>
                <c:pt idx="2021">
                  <c:v>36.435000000000002</c:v>
                </c:pt>
                <c:pt idx="2022">
                  <c:v>36.489599999999996</c:v>
                </c:pt>
                <c:pt idx="2023">
                  <c:v>38.22</c:v>
                </c:pt>
                <c:pt idx="2024">
                  <c:v>39.324599999999997</c:v>
                </c:pt>
                <c:pt idx="2025">
                  <c:v>39.005400000000002</c:v>
                </c:pt>
                <c:pt idx="2026">
                  <c:v>39.479999999999997</c:v>
                </c:pt>
                <c:pt idx="2027">
                  <c:v>40.374599999999994</c:v>
                </c:pt>
                <c:pt idx="2028">
                  <c:v>39.69</c:v>
                </c:pt>
                <c:pt idx="2029">
                  <c:v>39.110399999999998</c:v>
                </c:pt>
                <c:pt idx="2030">
                  <c:v>39.479999999999997</c:v>
                </c:pt>
                <c:pt idx="2031">
                  <c:v>39.110399999999998</c:v>
                </c:pt>
                <c:pt idx="2032">
                  <c:v>38.795400000000001</c:v>
                </c:pt>
                <c:pt idx="2033">
                  <c:v>38.324999999999996</c:v>
                </c:pt>
                <c:pt idx="2034">
                  <c:v>37.590000000000003</c:v>
                </c:pt>
                <c:pt idx="2035">
                  <c:v>37.905000000000001</c:v>
                </c:pt>
                <c:pt idx="2036">
                  <c:v>38.904599999999995</c:v>
                </c:pt>
                <c:pt idx="2037">
                  <c:v>40.005000000000003</c:v>
                </c:pt>
                <c:pt idx="2038">
                  <c:v>40.53</c:v>
                </c:pt>
                <c:pt idx="2039">
                  <c:v>40.689599999999999</c:v>
                </c:pt>
                <c:pt idx="2040">
                  <c:v>41.37</c:v>
                </c:pt>
                <c:pt idx="2041">
                  <c:v>41.16</c:v>
                </c:pt>
                <c:pt idx="2042">
                  <c:v>40.425000000000004</c:v>
                </c:pt>
                <c:pt idx="2043">
                  <c:v>39.795000000000002</c:v>
                </c:pt>
                <c:pt idx="2044">
                  <c:v>39.69</c:v>
                </c:pt>
                <c:pt idx="2045">
                  <c:v>40.844999999999999</c:v>
                </c:pt>
                <c:pt idx="2046">
                  <c:v>40.895400000000002</c:v>
                </c:pt>
                <c:pt idx="2047">
                  <c:v>39.479999999999997</c:v>
                </c:pt>
                <c:pt idx="2048">
                  <c:v>39.585000000000001</c:v>
                </c:pt>
                <c:pt idx="2049">
                  <c:v>40.425000000000004</c:v>
                </c:pt>
                <c:pt idx="2050">
                  <c:v>40.689599999999999</c:v>
                </c:pt>
                <c:pt idx="2051">
                  <c:v>40.949999999999996</c:v>
                </c:pt>
                <c:pt idx="2052">
                  <c:v>40.584599999999995</c:v>
                </c:pt>
                <c:pt idx="2053">
                  <c:v>41.2104</c:v>
                </c:pt>
                <c:pt idx="2054">
                  <c:v>41.319600000000001</c:v>
                </c:pt>
                <c:pt idx="2055">
                  <c:v>42</c:v>
                </c:pt>
                <c:pt idx="2056">
                  <c:v>41.37</c:v>
                </c:pt>
                <c:pt idx="2057">
                  <c:v>41.475000000000001</c:v>
                </c:pt>
                <c:pt idx="2058">
                  <c:v>42.050400000000003</c:v>
                </c:pt>
                <c:pt idx="2059">
                  <c:v>42.050400000000003</c:v>
                </c:pt>
                <c:pt idx="2060">
                  <c:v>42.050400000000003</c:v>
                </c:pt>
                <c:pt idx="2061">
                  <c:v>42.315000000000005</c:v>
                </c:pt>
                <c:pt idx="2062">
                  <c:v>41.895000000000003</c:v>
                </c:pt>
                <c:pt idx="2063">
                  <c:v>41.37</c:v>
                </c:pt>
                <c:pt idx="2064">
                  <c:v>40.949999999999996</c:v>
                </c:pt>
                <c:pt idx="2065">
                  <c:v>41.58</c:v>
                </c:pt>
                <c:pt idx="2066">
                  <c:v>40.844999999999999</c:v>
                </c:pt>
                <c:pt idx="2067">
                  <c:v>41.529599999999995</c:v>
                </c:pt>
                <c:pt idx="2068">
                  <c:v>40.949999999999996</c:v>
                </c:pt>
                <c:pt idx="2069">
                  <c:v>40.844999999999999</c:v>
                </c:pt>
                <c:pt idx="2070">
                  <c:v>40.949999999999996</c:v>
                </c:pt>
                <c:pt idx="2071">
                  <c:v>40.11</c:v>
                </c:pt>
                <c:pt idx="2072">
                  <c:v>39.005400000000002</c:v>
                </c:pt>
                <c:pt idx="2073">
                  <c:v>38.534999999999997</c:v>
                </c:pt>
                <c:pt idx="2074">
                  <c:v>37.484999999999999</c:v>
                </c:pt>
                <c:pt idx="2075">
                  <c:v>38.115000000000002</c:v>
                </c:pt>
                <c:pt idx="2076">
                  <c:v>38.690400000000004</c:v>
                </c:pt>
                <c:pt idx="2077">
                  <c:v>39.164999999999999</c:v>
                </c:pt>
                <c:pt idx="2078">
                  <c:v>40.269599999999997</c:v>
                </c:pt>
                <c:pt idx="2079">
                  <c:v>40.74</c:v>
                </c:pt>
                <c:pt idx="2080">
                  <c:v>41.055</c:v>
                </c:pt>
                <c:pt idx="2081">
                  <c:v>41.055</c:v>
                </c:pt>
                <c:pt idx="2082">
                  <c:v>41.685000000000002</c:v>
                </c:pt>
                <c:pt idx="2083">
                  <c:v>41.16</c:v>
                </c:pt>
                <c:pt idx="2084">
                  <c:v>41.16</c:v>
                </c:pt>
                <c:pt idx="2085">
                  <c:v>41.265000000000001</c:v>
                </c:pt>
                <c:pt idx="2086">
                  <c:v>41.265000000000001</c:v>
                </c:pt>
                <c:pt idx="2087">
                  <c:v>41.214599999999997</c:v>
                </c:pt>
                <c:pt idx="2088">
                  <c:v>40.844999999999999</c:v>
                </c:pt>
                <c:pt idx="2089">
                  <c:v>39.164999999999999</c:v>
                </c:pt>
                <c:pt idx="2090">
                  <c:v>39.479999999999997</c:v>
                </c:pt>
                <c:pt idx="2091">
                  <c:v>39.639600000000002</c:v>
                </c:pt>
                <c:pt idx="2092">
                  <c:v>39.744599999999998</c:v>
                </c:pt>
                <c:pt idx="2093">
                  <c:v>36.645000000000003</c:v>
                </c:pt>
                <c:pt idx="2094">
                  <c:v>37.695</c:v>
                </c:pt>
                <c:pt idx="2095">
                  <c:v>38.85</c:v>
                </c:pt>
                <c:pt idx="2096">
                  <c:v>38.85</c:v>
                </c:pt>
                <c:pt idx="2097">
                  <c:v>38.85</c:v>
                </c:pt>
                <c:pt idx="2098">
                  <c:v>39.215400000000002</c:v>
                </c:pt>
                <c:pt idx="2099">
                  <c:v>39.270000000000003</c:v>
                </c:pt>
                <c:pt idx="2100">
                  <c:v>38.954999999999998</c:v>
                </c:pt>
                <c:pt idx="2101">
                  <c:v>36.699599999999997</c:v>
                </c:pt>
                <c:pt idx="2102">
                  <c:v>35.699999999999996</c:v>
                </c:pt>
                <c:pt idx="2103">
                  <c:v>36.384599999999999</c:v>
                </c:pt>
                <c:pt idx="2104">
                  <c:v>34.44</c:v>
                </c:pt>
                <c:pt idx="2105">
                  <c:v>34.9146</c:v>
                </c:pt>
                <c:pt idx="2106">
                  <c:v>35.28</c:v>
                </c:pt>
                <c:pt idx="2107">
                  <c:v>36.119999999999997</c:v>
                </c:pt>
                <c:pt idx="2108">
                  <c:v>36.54</c:v>
                </c:pt>
                <c:pt idx="2109">
                  <c:v>36.119999999999997</c:v>
                </c:pt>
                <c:pt idx="2110">
                  <c:v>35.699999999999996</c:v>
                </c:pt>
                <c:pt idx="2111">
                  <c:v>33.704999999999998</c:v>
                </c:pt>
                <c:pt idx="2112">
                  <c:v>33.18</c:v>
                </c:pt>
                <c:pt idx="2113">
                  <c:v>32.079599999999999</c:v>
                </c:pt>
                <c:pt idx="2114">
                  <c:v>34.65</c:v>
                </c:pt>
                <c:pt idx="2115">
                  <c:v>35.49</c:v>
                </c:pt>
                <c:pt idx="2116">
                  <c:v>37.380000000000003</c:v>
                </c:pt>
                <c:pt idx="2117">
                  <c:v>37.224600000000002</c:v>
                </c:pt>
                <c:pt idx="2118">
                  <c:v>38.22</c:v>
                </c:pt>
                <c:pt idx="2119">
                  <c:v>36.75</c:v>
                </c:pt>
                <c:pt idx="2120">
                  <c:v>35.175000000000004</c:v>
                </c:pt>
                <c:pt idx="2121">
                  <c:v>35.175000000000004</c:v>
                </c:pt>
                <c:pt idx="2122">
                  <c:v>36.119999999999997</c:v>
                </c:pt>
                <c:pt idx="2123">
                  <c:v>36.485399999999998</c:v>
                </c:pt>
                <c:pt idx="2124">
                  <c:v>37.695</c:v>
                </c:pt>
                <c:pt idx="2125">
                  <c:v>42.42</c:v>
                </c:pt>
                <c:pt idx="2126">
                  <c:v>42.629999999999995</c:v>
                </c:pt>
                <c:pt idx="2127">
                  <c:v>37.905000000000001</c:v>
                </c:pt>
                <c:pt idx="2128">
                  <c:v>38.22</c:v>
                </c:pt>
                <c:pt idx="2129">
                  <c:v>31.92</c:v>
                </c:pt>
                <c:pt idx="2130">
                  <c:v>31.659599999999998</c:v>
                </c:pt>
                <c:pt idx="2131">
                  <c:v>31.395000000000003</c:v>
                </c:pt>
                <c:pt idx="2132">
                  <c:v>31.395000000000003</c:v>
                </c:pt>
                <c:pt idx="2133">
                  <c:v>30.975000000000001</c:v>
                </c:pt>
                <c:pt idx="2134">
                  <c:v>30.45</c:v>
                </c:pt>
                <c:pt idx="2135">
                  <c:v>31.659599999999998</c:v>
                </c:pt>
                <c:pt idx="2136">
                  <c:v>31.5</c:v>
                </c:pt>
                <c:pt idx="2137">
                  <c:v>33.81</c:v>
                </c:pt>
                <c:pt idx="2138">
                  <c:v>33.81</c:v>
                </c:pt>
                <c:pt idx="2139">
                  <c:v>34.389600000000002</c:v>
                </c:pt>
                <c:pt idx="2140">
                  <c:v>33.864599999999996</c:v>
                </c:pt>
                <c:pt idx="2141">
                  <c:v>32.76</c:v>
                </c:pt>
                <c:pt idx="2142">
                  <c:v>33.18</c:v>
                </c:pt>
                <c:pt idx="2143">
                  <c:v>33.81</c:v>
                </c:pt>
                <c:pt idx="2144">
                  <c:v>34.125</c:v>
                </c:pt>
                <c:pt idx="2145">
                  <c:v>34.44</c:v>
                </c:pt>
                <c:pt idx="2146">
                  <c:v>34.755000000000003</c:v>
                </c:pt>
                <c:pt idx="2147">
                  <c:v>34.229999999999997</c:v>
                </c:pt>
                <c:pt idx="2148">
                  <c:v>33.545400000000001</c:v>
                </c:pt>
                <c:pt idx="2149">
                  <c:v>33.39</c:v>
                </c:pt>
                <c:pt idx="2150">
                  <c:v>33.39</c:v>
                </c:pt>
                <c:pt idx="2151">
                  <c:v>32.550000000000004</c:v>
                </c:pt>
                <c:pt idx="2152">
                  <c:v>32.814599999999999</c:v>
                </c:pt>
                <c:pt idx="2153">
                  <c:v>31.764599999999998</c:v>
                </c:pt>
                <c:pt idx="2154">
                  <c:v>31.5</c:v>
                </c:pt>
                <c:pt idx="2155">
                  <c:v>31.659599999999998</c:v>
                </c:pt>
                <c:pt idx="2156">
                  <c:v>32.130000000000003</c:v>
                </c:pt>
                <c:pt idx="2157">
                  <c:v>33.129599999999996</c:v>
                </c:pt>
                <c:pt idx="2158">
                  <c:v>33.81</c:v>
                </c:pt>
                <c:pt idx="2159">
                  <c:v>34.229999999999997</c:v>
                </c:pt>
                <c:pt idx="2160">
                  <c:v>35.175000000000004</c:v>
                </c:pt>
                <c:pt idx="2161">
                  <c:v>34.020000000000003</c:v>
                </c:pt>
                <c:pt idx="2162">
                  <c:v>34.335000000000001</c:v>
                </c:pt>
                <c:pt idx="2163">
                  <c:v>34.965000000000003</c:v>
                </c:pt>
                <c:pt idx="2164">
                  <c:v>34.755000000000003</c:v>
                </c:pt>
                <c:pt idx="2165">
                  <c:v>34.545000000000002</c:v>
                </c:pt>
                <c:pt idx="2166">
                  <c:v>34.965000000000003</c:v>
                </c:pt>
                <c:pt idx="2167">
                  <c:v>35.594999999999999</c:v>
                </c:pt>
                <c:pt idx="2168">
                  <c:v>36.54</c:v>
                </c:pt>
                <c:pt idx="2169">
                  <c:v>38.115000000000002</c:v>
                </c:pt>
                <c:pt idx="2170">
                  <c:v>39.324599999999997</c:v>
                </c:pt>
                <c:pt idx="2171">
                  <c:v>37.905000000000001</c:v>
                </c:pt>
                <c:pt idx="2172">
                  <c:v>38.115000000000002</c:v>
                </c:pt>
                <c:pt idx="2173">
                  <c:v>38.22</c:v>
                </c:pt>
                <c:pt idx="2174">
                  <c:v>37.5396</c:v>
                </c:pt>
                <c:pt idx="2175">
                  <c:v>36.96</c:v>
                </c:pt>
                <c:pt idx="2176">
                  <c:v>36.75</c:v>
                </c:pt>
                <c:pt idx="2177">
                  <c:v>35.699999999999996</c:v>
                </c:pt>
                <c:pt idx="2178">
                  <c:v>36.854999999999997</c:v>
                </c:pt>
                <c:pt idx="2179">
                  <c:v>37.119599999999998</c:v>
                </c:pt>
                <c:pt idx="2180">
                  <c:v>37.484999999999999</c:v>
                </c:pt>
                <c:pt idx="2181">
                  <c:v>38.22</c:v>
                </c:pt>
                <c:pt idx="2182">
                  <c:v>39.270000000000003</c:v>
                </c:pt>
                <c:pt idx="2183">
                  <c:v>40.374599999999994</c:v>
                </c:pt>
                <c:pt idx="2184">
                  <c:v>40.689599999999999</c:v>
                </c:pt>
                <c:pt idx="2185">
                  <c:v>39.795000000000002</c:v>
                </c:pt>
                <c:pt idx="2186">
                  <c:v>39.795000000000002</c:v>
                </c:pt>
                <c:pt idx="2187">
                  <c:v>39.585000000000001</c:v>
                </c:pt>
                <c:pt idx="2188">
                  <c:v>39.849600000000002</c:v>
                </c:pt>
                <c:pt idx="2189">
                  <c:v>40.1646</c:v>
                </c:pt>
                <c:pt idx="2190">
                  <c:v>39.270000000000003</c:v>
                </c:pt>
                <c:pt idx="2191">
                  <c:v>39.270000000000003</c:v>
                </c:pt>
                <c:pt idx="2192">
                  <c:v>39.114599999999996</c:v>
                </c:pt>
                <c:pt idx="2193">
                  <c:v>39.795000000000002</c:v>
                </c:pt>
                <c:pt idx="2194">
                  <c:v>39.849600000000002</c:v>
                </c:pt>
                <c:pt idx="2195">
                  <c:v>38.64</c:v>
                </c:pt>
                <c:pt idx="2196">
                  <c:v>37.5396</c:v>
                </c:pt>
                <c:pt idx="2197">
                  <c:v>36.96</c:v>
                </c:pt>
                <c:pt idx="2198">
                  <c:v>36.54</c:v>
                </c:pt>
                <c:pt idx="2199">
                  <c:v>37.380000000000003</c:v>
                </c:pt>
                <c:pt idx="2200">
                  <c:v>37.854599999999998</c:v>
                </c:pt>
                <c:pt idx="2201">
                  <c:v>37.644599999999997</c:v>
                </c:pt>
                <c:pt idx="2202">
                  <c:v>37.17</c:v>
                </c:pt>
                <c:pt idx="2203">
                  <c:v>37.17</c:v>
                </c:pt>
                <c:pt idx="2204">
                  <c:v>37.274999999999999</c:v>
                </c:pt>
                <c:pt idx="2205">
                  <c:v>36.015000000000001</c:v>
                </c:pt>
                <c:pt idx="2206">
                  <c:v>36.119999999999997</c:v>
                </c:pt>
                <c:pt idx="2207">
                  <c:v>35.964599999999997</c:v>
                </c:pt>
                <c:pt idx="2208">
                  <c:v>35.805</c:v>
                </c:pt>
                <c:pt idx="2209">
                  <c:v>35.229599999999998</c:v>
                </c:pt>
                <c:pt idx="2210">
                  <c:v>35.909999999999997</c:v>
                </c:pt>
                <c:pt idx="2211">
                  <c:v>35.805</c:v>
                </c:pt>
                <c:pt idx="2212">
                  <c:v>36.590400000000002</c:v>
                </c:pt>
                <c:pt idx="2213">
                  <c:v>37.590000000000003</c:v>
                </c:pt>
                <c:pt idx="2214">
                  <c:v>38.064599999999999</c:v>
                </c:pt>
                <c:pt idx="2215">
                  <c:v>39.534599999999998</c:v>
                </c:pt>
                <c:pt idx="2216">
                  <c:v>40.32</c:v>
                </c:pt>
                <c:pt idx="2217">
                  <c:v>40.949999999999996</c:v>
                </c:pt>
                <c:pt idx="2218">
                  <c:v>40.949999999999996</c:v>
                </c:pt>
                <c:pt idx="2219">
                  <c:v>40.634999999999998</c:v>
                </c:pt>
                <c:pt idx="2220">
                  <c:v>40.479599999999998</c:v>
                </c:pt>
                <c:pt idx="2221">
                  <c:v>40.374599999999994</c:v>
                </c:pt>
                <c:pt idx="2222">
                  <c:v>41.1096</c:v>
                </c:pt>
                <c:pt idx="2223">
                  <c:v>39.585000000000001</c:v>
                </c:pt>
                <c:pt idx="2224">
                  <c:v>39.164999999999999</c:v>
                </c:pt>
                <c:pt idx="2225">
                  <c:v>38.954999999999998</c:v>
                </c:pt>
                <c:pt idx="2226">
                  <c:v>36.854999999999997</c:v>
                </c:pt>
                <c:pt idx="2227">
                  <c:v>36.699599999999997</c:v>
                </c:pt>
                <c:pt idx="2228">
                  <c:v>37.380000000000003</c:v>
                </c:pt>
                <c:pt idx="2229">
                  <c:v>37.224600000000002</c:v>
                </c:pt>
                <c:pt idx="2230">
                  <c:v>38.22</c:v>
                </c:pt>
                <c:pt idx="2231">
                  <c:v>39.06</c:v>
                </c:pt>
                <c:pt idx="2232">
                  <c:v>39.849600000000002</c:v>
                </c:pt>
                <c:pt idx="2233">
                  <c:v>41.16</c:v>
                </c:pt>
                <c:pt idx="2234">
                  <c:v>40.634999999999998</c:v>
                </c:pt>
                <c:pt idx="2235">
                  <c:v>40.634999999999998</c:v>
                </c:pt>
                <c:pt idx="2236">
                  <c:v>40.8996</c:v>
                </c:pt>
                <c:pt idx="2237">
                  <c:v>40.11</c:v>
                </c:pt>
                <c:pt idx="2238">
                  <c:v>39.479999999999997</c:v>
                </c:pt>
                <c:pt idx="2239">
                  <c:v>39.9</c:v>
                </c:pt>
                <c:pt idx="2240">
                  <c:v>40.32</c:v>
                </c:pt>
                <c:pt idx="2241">
                  <c:v>40.949999999999996</c:v>
                </c:pt>
                <c:pt idx="2242">
                  <c:v>41.630400000000002</c:v>
                </c:pt>
                <c:pt idx="2243">
                  <c:v>40.425000000000004</c:v>
                </c:pt>
                <c:pt idx="2244">
                  <c:v>40.74</c:v>
                </c:pt>
                <c:pt idx="2245">
                  <c:v>40.689599999999999</c:v>
                </c:pt>
                <c:pt idx="2246">
                  <c:v>39.69</c:v>
                </c:pt>
                <c:pt idx="2247">
                  <c:v>39.9</c:v>
                </c:pt>
                <c:pt idx="2248">
                  <c:v>39.164999999999999</c:v>
                </c:pt>
                <c:pt idx="2249">
                  <c:v>39.585000000000001</c:v>
                </c:pt>
                <c:pt idx="2250">
                  <c:v>39.69</c:v>
                </c:pt>
                <c:pt idx="2251">
                  <c:v>40.269599999999997</c:v>
                </c:pt>
                <c:pt idx="2252">
                  <c:v>40.479599999999998</c:v>
                </c:pt>
                <c:pt idx="2253">
                  <c:v>41.37</c:v>
                </c:pt>
                <c:pt idx="2254">
                  <c:v>41.79</c:v>
                </c:pt>
                <c:pt idx="2255">
                  <c:v>42.42</c:v>
                </c:pt>
                <c:pt idx="2256">
                  <c:v>42.524999999999999</c:v>
                </c:pt>
                <c:pt idx="2257">
                  <c:v>42.42</c:v>
                </c:pt>
                <c:pt idx="2258">
                  <c:v>43.26</c:v>
                </c:pt>
                <c:pt idx="2259">
                  <c:v>43.47</c:v>
                </c:pt>
                <c:pt idx="2260">
                  <c:v>43.89</c:v>
                </c:pt>
                <c:pt idx="2261">
                  <c:v>43.89</c:v>
                </c:pt>
                <c:pt idx="2262">
                  <c:v>44.1</c:v>
                </c:pt>
                <c:pt idx="2263">
                  <c:v>44.045400000000001</c:v>
                </c:pt>
                <c:pt idx="2264">
                  <c:v>43.68</c:v>
                </c:pt>
                <c:pt idx="2265">
                  <c:v>44.415000000000006</c:v>
                </c:pt>
                <c:pt idx="2266">
                  <c:v>44.255400000000002</c:v>
                </c:pt>
                <c:pt idx="2267">
                  <c:v>45.254999999999995</c:v>
                </c:pt>
                <c:pt idx="2268">
                  <c:v>45.15</c:v>
                </c:pt>
                <c:pt idx="2269">
                  <c:v>44.309999999999995</c:v>
                </c:pt>
                <c:pt idx="2270">
                  <c:v>44.52</c:v>
                </c:pt>
                <c:pt idx="2271">
                  <c:v>44.574599999999997</c:v>
                </c:pt>
                <c:pt idx="2272">
                  <c:v>44.625</c:v>
                </c:pt>
                <c:pt idx="2273">
                  <c:v>44.309999999999995</c:v>
                </c:pt>
                <c:pt idx="2274">
                  <c:v>43.575000000000003</c:v>
                </c:pt>
                <c:pt idx="2275">
                  <c:v>43.734599999999993</c:v>
                </c:pt>
                <c:pt idx="2276">
                  <c:v>44.465400000000002</c:v>
                </c:pt>
                <c:pt idx="2277">
                  <c:v>44.309999999999995</c:v>
                </c:pt>
                <c:pt idx="2278">
                  <c:v>44.1</c:v>
                </c:pt>
                <c:pt idx="2279">
                  <c:v>44.465400000000002</c:v>
                </c:pt>
                <c:pt idx="2280">
                  <c:v>45.254999999999995</c:v>
                </c:pt>
                <c:pt idx="2281">
                  <c:v>46.1496</c:v>
                </c:pt>
                <c:pt idx="2282">
                  <c:v>44.940000000000005</c:v>
                </c:pt>
                <c:pt idx="2283">
                  <c:v>44.52</c:v>
                </c:pt>
                <c:pt idx="2284">
                  <c:v>43.155000000000001</c:v>
                </c:pt>
                <c:pt idx="2285">
                  <c:v>43.68</c:v>
                </c:pt>
                <c:pt idx="2286">
                  <c:v>43.734599999999993</c:v>
                </c:pt>
                <c:pt idx="2287">
                  <c:v>43.89</c:v>
                </c:pt>
                <c:pt idx="2288">
                  <c:v>42.315000000000005</c:v>
                </c:pt>
                <c:pt idx="2289">
                  <c:v>40.479599999999998</c:v>
                </c:pt>
                <c:pt idx="2290">
                  <c:v>40.425000000000004</c:v>
                </c:pt>
                <c:pt idx="2291">
                  <c:v>40.844999999999999</c:v>
                </c:pt>
                <c:pt idx="2292">
                  <c:v>42</c:v>
                </c:pt>
                <c:pt idx="2293">
                  <c:v>41.16</c:v>
                </c:pt>
                <c:pt idx="2294">
                  <c:v>39.479999999999997</c:v>
                </c:pt>
                <c:pt idx="2295">
                  <c:v>39.479999999999997</c:v>
                </c:pt>
                <c:pt idx="2296">
                  <c:v>38.43</c:v>
                </c:pt>
                <c:pt idx="2297">
                  <c:v>34.494599999999998</c:v>
                </c:pt>
                <c:pt idx="2298">
                  <c:v>35.28</c:v>
                </c:pt>
                <c:pt idx="2299">
                  <c:v>35.384999999999998</c:v>
                </c:pt>
                <c:pt idx="2300">
                  <c:v>35.805</c:v>
                </c:pt>
                <c:pt idx="2301">
                  <c:v>36.435000000000002</c:v>
                </c:pt>
                <c:pt idx="2302">
                  <c:v>36.33</c:v>
                </c:pt>
                <c:pt idx="2303">
                  <c:v>35.699999999999996</c:v>
                </c:pt>
                <c:pt idx="2304">
                  <c:v>34.074599999999997</c:v>
                </c:pt>
                <c:pt idx="2305">
                  <c:v>34.44</c:v>
                </c:pt>
                <c:pt idx="2306">
                  <c:v>34.074599999999997</c:v>
                </c:pt>
                <c:pt idx="2307">
                  <c:v>33.860399999999998</c:v>
                </c:pt>
                <c:pt idx="2308">
                  <c:v>32.234999999999999</c:v>
                </c:pt>
                <c:pt idx="2309">
                  <c:v>31.71</c:v>
                </c:pt>
                <c:pt idx="2310">
                  <c:v>30.555</c:v>
                </c:pt>
                <c:pt idx="2311">
                  <c:v>30.24</c:v>
                </c:pt>
                <c:pt idx="2312">
                  <c:v>28.404599999999995</c:v>
                </c:pt>
                <c:pt idx="2313">
                  <c:v>30.3996</c:v>
                </c:pt>
                <c:pt idx="2314">
                  <c:v>32.184599999999996</c:v>
                </c:pt>
                <c:pt idx="2315">
                  <c:v>32.97</c:v>
                </c:pt>
                <c:pt idx="2316">
                  <c:v>32.915400000000005</c:v>
                </c:pt>
                <c:pt idx="2317">
                  <c:v>30.24</c:v>
                </c:pt>
                <c:pt idx="2318">
                  <c:v>30.87</c:v>
                </c:pt>
                <c:pt idx="2319">
                  <c:v>30.87</c:v>
                </c:pt>
                <c:pt idx="2320">
                  <c:v>30.87</c:v>
                </c:pt>
                <c:pt idx="2321">
                  <c:v>28.560000000000002</c:v>
                </c:pt>
                <c:pt idx="2322">
                  <c:v>28.560000000000002</c:v>
                </c:pt>
                <c:pt idx="2323">
                  <c:v>28.454999999999998</c:v>
                </c:pt>
                <c:pt idx="2324">
                  <c:v>29.034599999999998</c:v>
                </c:pt>
                <c:pt idx="2325">
                  <c:v>28.824599999999997</c:v>
                </c:pt>
                <c:pt idx="2326">
                  <c:v>29.82</c:v>
                </c:pt>
                <c:pt idx="2327">
                  <c:v>30.87</c:v>
                </c:pt>
                <c:pt idx="2328">
                  <c:v>31.29</c:v>
                </c:pt>
                <c:pt idx="2329">
                  <c:v>29.979599999999998</c:v>
                </c:pt>
                <c:pt idx="2330">
                  <c:v>30.24</c:v>
                </c:pt>
                <c:pt idx="2331">
                  <c:v>28.715400000000002</c:v>
                </c:pt>
                <c:pt idx="2332">
                  <c:v>28.715400000000002</c:v>
                </c:pt>
                <c:pt idx="2333">
                  <c:v>28.979999999999997</c:v>
                </c:pt>
                <c:pt idx="2334">
                  <c:v>28.979999999999997</c:v>
                </c:pt>
                <c:pt idx="2335">
                  <c:v>28.770000000000003</c:v>
                </c:pt>
                <c:pt idx="2336">
                  <c:v>27.93</c:v>
                </c:pt>
                <c:pt idx="2337">
                  <c:v>26.514599999999998</c:v>
                </c:pt>
                <c:pt idx="2338">
                  <c:v>27.249599999999997</c:v>
                </c:pt>
                <c:pt idx="2339">
                  <c:v>26.724599999999999</c:v>
                </c:pt>
                <c:pt idx="2340">
                  <c:v>26.354999999999997</c:v>
                </c:pt>
                <c:pt idx="2341">
                  <c:v>26.354999999999997</c:v>
                </c:pt>
                <c:pt idx="2342">
                  <c:v>26.354999999999997</c:v>
                </c:pt>
                <c:pt idx="2343">
                  <c:v>26.984999999999999</c:v>
                </c:pt>
                <c:pt idx="2344">
                  <c:v>26.67</c:v>
                </c:pt>
                <c:pt idx="2345">
                  <c:v>26.354999999999997</c:v>
                </c:pt>
                <c:pt idx="2346">
                  <c:v>26.46</c:v>
                </c:pt>
                <c:pt idx="2347">
                  <c:v>26.46</c:v>
                </c:pt>
                <c:pt idx="2348">
                  <c:v>26.88</c:v>
                </c:pt>
                <c:pt idx="2349">
                  <c:v>25.83</c:v>
                </c:pt>
                <c:pt idx="2350">
                  <c:v>26.564999999999998</c:v>
                </c:pt>
                <c:pt idx="2351">
                  <c:v>25.725000000000001</c:v>
                </c:pt>
                <c:pt idx="2352">
                  <c:v>26.1996</c:v>
                </c:pt>
                <c:pt idx="2353">
                  <c:v>27.564599999999999</c:v>
                </c:pt>
                <c:pt idx="2354">
                  <c:v>27.980399999999999</c:v>
                </c:pt>
                <c:pt idx="2355">
                  <c:v>28.560000000000002</c:v>
                </c:pt>
                <c:pt idx="2356">
                  <c:v>28.560000000000002</c:v>
                </c:pt>
                <c:pt idx="2357">
                  <c:v>27.824999999999999</c:v>
                </c:pt>
                <c:pt idx="2358">
                  <c:v>28.1904</c:v>
                </c:pt>
                <c:pt idx="2359">
                  <c:v>28.295400000000004</c:v>
                </c:pt>
                <c:pt idx="2360">
                  <c:v>28.715400000000002</c:v>
                </c:pt>
                <c:pt idx="2361">
                  <c:v>28.715400000000002</c:v>
                </c:pt>
                <c:pt idx="2362">
                  <c:v>28.35</c:v>
                </c:pt>
                <c:pt idx="2363">
                  <c:v>28.14</c:v>
                </c:pt>
                <c:pt idx="2364">
                  <c:v>27.980399999999999</c:v>
                </c:pt>
                <c:pt idx="2365">
                  <c:v>28.35</c:v>
                </c:pt>
                <c:pt idx="2366">
                  <c:v>27.09</c:v>
                </c:pt>
                <c:pt idx="2367">
                  <c:v>27.720000000000002</c:v>
                </c:pt>
                <c:pt idx="2368">
                  <c:v>28.35</c:v>
                </c:pt>
                <c:pt idx="2369">
                  <c:v>28.664999999999999</c:v>
                </c:pt>
                <c:pt idx="2370">
                  <c:v>29.4</c:v>
                </c:pt>
                <c:pt idx="2371">
                  <c:v>28.560000000000002</c:v>
                </c:pt>
                <c:pt idx="2372">
                  <c:v>27.824999999999999</c:v>
                </c:pt>
                <c:pt idx="2373">
                  <c:v>26.25</c:v>
                </c:pt>
                <c:pt idx="2374">
                  <c:v>25.2</c:v>
                </c:pt>
                <c:pt idx="2375">
                  <c:v>25.779600000000002</c:v>
                </c:pt>
                <c:pt idx="2376">
                  <c:v>25.775400000000001</c:v>
                </c:pt>
                <c:pt idx="2377">
                  <c:v>26.829600000000003</c:v>
                </c:pt>
                <c:pt idx="2378">
                  <c:v>26.984999999999999</c:v>
                </c:pt>
                <c:pt idx="2379">
                  <c:v>27.720000000000002</c:v>
                </c:pt>
                <c:pt idx="2380">
                  <c:v>28.979999999999997</c:v>
                </c:pt>
                <c:pt idx="2381">
                  <c:v>28.979999999999997</c:v>
                </c:pt>
                <c:pt idx="2382">
                  <c:v>29.085000000000001</c:v>
                </c:pt>
                <c:pt idx="2383">
                  <c:v>29.82</c:v>
                </c:pt>
                <c:pt idx="2384">
                  <c:v>29.664599999999997</c:v>
                </c:pt>
                <c:pt idx="2385">
                  <c:v>29.715</c:v>
                </c:pt>
                <c:pt idx="2386">
                  <c:v>29.085000000000001</c:v>
                </c:pt>
                <c:pt idx="2387">
                  <c:v>28.979999999999997</c:v>
                </c:pt>
                <c:pt idx="2388">
                  <c:v>28.875</c:v>
                </c:pt>
                <c:pt idx="2389">
                  <c:v>28.454999999999998</c:v>
                </c:pt>
                <c:pt idx="2390">
                  <c:v>27.720000000000002</c:v>
                </c:pt>
                <c:pt idx="2391">
                  <c:v>28.35</c:v>
                </c:pt>
                <c:pt idx="2392">
                  <c:v>28.664999999999999</c:v>
                </c:pt>
                <c:pt idx="2393">
                  <c:v>28.770000000000003</c:v>
                </c:pt>
                <c:pt idx="2394">
                  <c:v>28.770000000000003</c:v>
                </c:pt>
                <c:pt idx="2395">
                  <c:v>28.560000000000002</c:v>
                </c:pt>
                <c:pt idx="2396">
                  <c:v>28.875</c:v>
                </c:pt>
                <c:pt idx="2397">
                  <c:v>28.715400000000002</c:v>
                </c:pt>
                <c:pt idx="2398">
                  <c:v>28.610400000000002</c:v>
                </c:pt>
                <c:pt idx="2399">
                  <c:v>28.824599999999997</c:v>
                </c:pt>
                <c:pt idx="2400">
                  <c:v>28.560000000000002</c:v>
                </c:pt>
                <c:pt idx="2401">
                  <c:v>28.245000000000001</c:v>
                </c:pt>
                <c:pt idx="2402">
                  <c:v>28.35</c:v>
                </c:pt>
                <c:pt idx="2403">
                  <c:v>27.51</c:v>
                </c:pt>
                <c:pt idx="2404">
                  <c:v>26.88</c:v>
                </c:pt>
                <c:pt idx="2405">
                  <c:v>26.67</c:v>
                </c:pt>
                <c:pt idx="2406">
                  <c:v>26.354999999999997</c:v>
                </c:pt>
                <c:pt idx="2407">
                  <c:v>26.774999999999999</c:v>
                </c:pt>
                <c:pt idx="2408">
                  <c:v>26.46</c:v>
                </c:pt>
                <c:pt idx="2409">
                  <c:v>26.25</c:v>
                </c:pt>
                <c:pt idx="2410">
                  <c:v>26.46</c:v>
                </c:pt>
                <c:pt idx="2411">
                  <c:v>26.67</c:v>
                </c:pt>
                <c:pt idx="2412">
                  <c:v>26.409600000000001</c:v>
                </c:pt>
                <c:pt idx="2413">
                  <c:v>25.62</c:v>
                </c:pt>
                <c:pt idx="2414">
                  <c:v>25.41</c:v>
                </c:pt>
                <c:pt idx="2415">
                  <c:v>25.515000000000001</c:v>
                </c:pt>
                <c:pt idx="2416">
                  <c:v>26.090399999999999</c:v>
                </c:pt>
                <c:pt idx="2417">
                  <c:v>26.67</c:v>
                </c:pt>
                <c:pt idx="2418">
                  <c:v>27.980399999999999</c:v>
                </c:pt>
                <c:pt idx="2419">
                  <c:v>27.720000000000002</c:v>
                </c:pt>
                <c:pt idx="2420">
                  <c:v>27.249599999999997</c:v>
                </c:pt>
                <c:pt idx="2421">
                  <c:v>26.04</c:v>
                </c:pt>
                <c:pt idx="2422">
                  <c:v>25.83</c:v>
                </c:pt>
                <c:pt idx="2423">
                  <c:v>25.62</c:v>
                </c:pt>
                <c:pt idx="2424">
                  <c:v>25.515000000000001</c:v>
                </c:pt>
                <c:pt idx="2425">
                  <c:v>25.515000000000001</c:v>
                </c:pt>
                <c:pt idx="2426">
                  <c:v>26.1996</c:v>
                </c:pt>
                <c:pt idx="2427">
                  <c:v>27.09</c:v>
                </c:pt>
                <c:pt idx="2428">
                  <c:v>27.51</c:v>
                </c:pt>
                <c:pt idx="2429">
                  <c:v>27.51</c:v>
                </c:pt>
                <c:pt idx="2430">
                  <c:v>26.774999999999999</c:v>
                </c:pt>
                <c:pt idx="2431">
                  <c:v>26.04</c:v>
                </c:pt>
                <c:pt idx="2432">
                  <c:v>25.880399999999998</c:v>
                </c:pt>
                <c:pt idx="2433">
                  <c:v>25.4604</c:v>
                </c:pt>
                <c:pt idx="2434">
                  <c:v>24.465</c:v>
                </c:pt>
                <c:pt idx="2435">
                  <c:v>24.729599999999998</c:v>
                </c:pt>
                <c:pt idx="2436">
                  <c:v>24.57</c:v>
                </c:pt>
                <c:pt idx="2437">
                  <c:v>24.36</c:v>
                </c:pt>
                <c:pt idx="2438">
                  <c:v>24.99</c:v>
                </c:pt>
                <c:pt idx="2439">
                  <c:v>25.2</c:v>
                </c:pt>
                <c:pt idx="2440">
                  <c:v>25.83</c:v>
                </c:pt>
                <c:pt idx="2441">
                  <c:v>26.04</c:v>
                </c:pt>
                <c:pt idx="2442">
                  <c:v>25.62</c:v>
                </c:pt>
                <c:pt idx="2443">
                  <c:v>24.885000000000002</c:v>
                </c:pt>
                <c:pt idx="2444">
                  <c:v>25.250399999999999</c:v>
                </c:pt>
                <c:pt idx="2445">
                  <c:v>24.15</c:v>
                </c:pt>
                <c:pt idx="2446">
                  <c:v>24.099599999999999</c:v>
                </c:pt>
                <c:pt idx="2447">
                  <c:v>24.200399999999998</c:v>
                </c:pt>
                <c:pt idx="2448">
                  <c:v>23.204999999999998</c:v>
                </c:pt>
                <c:pt idx="2449">
                  <c:v>21.63</c:v>
                </c:pt>
                <c:pt idx="2450">
                  <c:v>22.26</c:v>
                </c:pt>
                <c:pt idx="2451">
                  <c:v>22.26</c:v>
                </c:pt>
                <c:pt idx="2452">
                  <c:v>23.204999999999998</c:v>
                </c:pt>
                <c:pt idx="2453">
                  <c:v>22.68</c:v>
                </c:pt>
                <c:pt idx="2454">
                  <c:v>21.84</c:v>
                </c:pt>
                <c:pt idx="2455">
                  <c:v>20.529600000000002</c:v>
                </c:pt>
                <c:pt idx="2456">
                  <c:v>19.635000000000002</c:v>
                </c:pt>
                <c:pt idx="2457">
                  <c:v>18.27</c:v>
                </c:pt>
                <c:pt idx="2458">
                  <c:v>17.064600000000002</c:v>
                </c:pt>
                <c:pt idx="2459">
                  <c:v>18.48</c:v>
                </c:pt>
                <c:pt idx="2460">
                  <c:v>19.95</c:v>
                </c:pt>
                <c:pt idx="2461">
                  <c:v>17.745000000000001</c:v>
                </c:pt>
                <c:pt idx="2462">
                  <c:v>17.270399999999999</c:v>
                </c:pt>
                <c:pt idx="2463">
                  <c:v>16.644600000000001</c:v>
                </c:pt>
                <c:pt idx="2464">
                  <c:v>17.010000000000002</c:v>
                </c:pt>
                <c:pt idx="2465">
                  <c:v>17.849999999999998</c:v>
                </c:pt>
                <c:pt idx="2466">
                  <c:v>17.22</c:v>
                </c:pt>
                <c:pt idx="2467">
                  <c:v>17.3796</c:v>
                </c:pt>
                <c:pt idx="2468">
                  <c:v>17.270399999999999</c:v>
                </c:pt>
                <c:pt idx="2469">
                  <c:v>18.3246</c:v>
                </c:pt>
                <c:pt idx="2470">
                  <c:v>19.004999999999999</c:v>
                </c:pt>
                <c:pt idx="2471">
                  <c:v>18.690000000000001</c:v>
                </c:pt>
                <c:pt idx="2472">
                  <c:v>18.585000000000001</c:v>
                </c:pt>
                <c:pt idx="2473">
                  <c:v>19.584600000000002</c:v>
                </c:pt>
                <c:pt idx="2474">
                  <c:v>19.425000000000001</c:v>
                </c:pt>
                <c:pt idx="2475">
                  <c:v>19.1646</c:v>
                </c:pt>
                <c:pt idx="2476">
                  <c:v>18.900000000000002</c:v>
                </c:pt>
                <c:pt idx="2477">
                  <c:v>17.849999999999998</c:v>
                </c:pt>
                <c:pt idx="2478">
                  <c:v>18.845399999999998</c:v>
                </c:pt>
                <c:pt idx="2479">
                  <c:v>18.845399999999998</c:v>
                </c:pt>
                <c:pt idx="2480">
                  <c:v>18.845399999999998</c:v>
                </c:pt>
                <c:pt idx="2481">
                  <c:v>18.837</c:v>
                </c:pt>
                <c:pt idx="2482">
                  <c:v>18.3246</c:v>
                </c:pt>
                <c:pt idx="2483">
                  <c:v>19.689600000000002</c:v>
                </c:pt>
                <c:pt idx="2484">
                  <c:v>19.53</c:v>
                </c:pt>
                <c:pt idx="2485">
                  <c:v>19.689600000000002</c:v>
                </c:pt>
                <c:pt idx="2486">
                  <c:v>19.11</c:v>
                </c:pt>
                <c:pt idx="2487">
                  <c:v>19.32</c:v>
                </c:pt>
                <c:pt idx="2488">
                  <c:v>19.95</c:v>
                </c:pt>
                <c:pt idx="2489">
                  <c:v>19.635000000000002</c:v>
                </c:pt>
                <c:pt idx="2490">
                  <c:v>19.32</c:v>
                </c:pt>
                <c:pt idx="2491">
                  <c:v>18.795000000000002</c:v>
                </c:pt>
                <c:pt idx="2492">
                  <c:v>18.27</c:v>
                </c:pt>
                <c:pt idx="2493">
                  <c:v>17.010000000000002</c:v>
                </c:pt>
                <c:pt idx="2494">
                  <c:v>16.8</c:v>
                </c:pt>
                <c:pt idx="2495">
                  <c:v>16.905000000000001</c:v>
                </c:pt>
                <c:pt idx="2496">
                  <c:v>17.010000000000002</c:v>
                </c:pt>
                <c:pt idx="2497">
                  <c:v>17.535</c:v>
                </c:pt>
                <c:pt idx="2498">
                  <c:v>17.43</c:v>
                </c:pt>
                <c:pt idx="2499">
                  <c:v>19.53</c:v>
                </c:pt>
                <c:pt idx="2500">
                  <c:v>19.739999999999998</c:v>
                </c:pt>
                <c:pt idx="2501">
                  <c:v>18.27</c:v>
                </c:pt>
                <c:pt idx="2502">
                  <c:v>17.849999999999998</c:v>
                </c:pt>
                <c:pt idx="2503">
                  <c:v>16.854600000000001</c:v>
                </c:pt>
                <c:pt idx="2504">
                  <c:v>17.324999999999999</c:v>
                </c:pt>
                <c:pt idx="2505">
                  <c:v>18.059999999999999</c:v>
                </c:pt>
                <c:pt idx="2506">
                  <c:v>17.43</c:v>
                </c:pt>
                <c:pt idx="2507">
                  <c:v>17.694600000000001</c:v>
                </c:pt>
                <c:pt idx="2508">
                  <c:v>16.854600000000001</c:v>
                </c:pt>
                <c:pt idx="2509">
                  <c:v>16.329600000000003</c:v>
                </c:pt>
                <c:pt idx="2510">
                  <c:v>16.275000000000002</c:v>
                </c:pt>
                <c:pt idx="2511">
                  <c:v>16.695</c:v>
                </c:pt>
                <c:pt idx="2512">
                  <c:v>16.59</c:v>
                </c:pt>
                <c:pt idx="2513">
                  <c:v>16.434600000000003</c:v>
                </c:pt>
                <c:pt idx="2514">
                  <c:v>17.010000000000002</c:v>
                </c:pt>
                <c:pt idx="2515">
                  <c:v>17.64</c:v>
                </c:pt>
                <c:pt idx="2516">
                  <c:v>17.745000000000001</c:v>
                </c:pt>
                <c:pt idx="2517">
                  <c:v>18.164999999999999</c:v>
                </c:pt>
                <c:pt idx="2518">
                  <c:v>18.27</c:v>
                </c:pt>
                <c:pt idx="2519">
                  <c:v>17.694600000000001</c:v>
                </c:pt>
                <c:pt idx="2520">
                  <c:v>17.324999999999999</c:v>
                </c:pt>
                <c:pt idx="2521">
                  <c:v>17.324999999999999</c:v>
                </c:pt>
                <c:pt idx="2522">
                  <c:v>17.010000000000002</c:v>
                </c:pt>
                <c:pt idx="2523">
                  <c:v>18.059999999999999</c:v>
                </c:pt>
                <c:pt idx="2524">
                  <c:v>18.48</c:v>
                </c:pt>
                <c:pt idx="2525">
                  <c:v>18.27</c:v>
                </c:pt>
                <c:pt idx="2526">
                  <c:v>18.900000000000002</c:v>
                </c:pt>
                <c:pt idx="2527">
                  <c:v>18.375</c:v>
                </c:pt>
                <c:pt idx="2528">
                  <c:v>18.164999999999999</c:v>
                </c:pt>
                <c:pt idx="2529">
                  <c:v>17.745000000000001</c:v>
                </c:pt>
                <c:pt idx="2530">
                  <c:v>17.954999999999998</c:v>
                </c:pt>
                <c:pt idx="2531">
                  <c:v>20.79</c:v>
                </c:pt>
                <c:pt idx="2532">
                  <c:v>19.739999999999998</c:v>
                </c:pt>
                <c:pt idx="2533">
                  <c:v>18.48</c:v>
                </c:pt>
                <c:pt idx="2534">
                  <c:v>19.215</c:v>
                </c:pt>
                <c:pt idx="2535">
                  <c:v>19.004999999999999</c:v>
                </c:pt>
                <c:pt idx="2536">
                  <c:v>19.425000000000001</c:v>
                </c:pt>
                <c:pt idx="2537">
                  <c:v>18.900000000000002</c:v>
                </c:pt>
                <c:pt idx="2538">
                  <c:v>19.269600000000001</c:v>
                </c:pt>
                <c:pt idx="2539">
                  <c:v>19.584600000000002</c:v>
                </c:pt>
                <c:pt idx="2540">
                  <c:v>19.32</c:v>
                </c:pt>
                <c:pt idx="2541">
                  <c:v>19.004999999999999</c:v>
                </c:pt>
                <c:pt idx="2542">
                  <c:v>18.27</c:v>
                </c:pt>
                <c:pt idx="2543">
                  <c:v>17.799600000000002</c:v>
                </c:pt>
                <c:pt idx="2544">
                  <c:v>18.114599999999999</c:v>
                </c:pt>
                <c:pt idx="2545">
                  <c:v>18.900000000000002</c:v>
                </c:pt>
                <c:pt idx="2546">
                  <c:v>19.635000000000002</c:v>
                </c:pt>
                <c:pt idx="2547">
                  <c:v>19.844999999999999</c:v>
                </c:pt>
                <c:pt idx="2548">
                  <c:v>20.37</c:v>
                </c:pt>
                <c:pt idx="2549">
                  <c:v>20.319600000000001</c:v>
                </c:pt>
                <c:pt idx="2550">
                  <c:v>19.794600000000003</c:v>
                </c:pt>
                <c:pt idx="2551">
                  <c:v>19.32</c:v>
                </c:pt>
                <c:pt idx="2552">
                  <c:v>19.1646</c:v>
                </c:pt>
                <c:pt idx="2553">
                  <c:v>19.215</c:v>
                </c:pt>
                <c:pt idx="2554">
                  <c:v>19.53</c:v>
                </c:pt>
                <c:pt idx="2555">
                  <c:v>19.32</c:v>
                </c:pt>
                <c:pt idx="2556">
                  <c:v>19.32</c:v>
                </c:pt>
                <c:pt idx="2557">
                  <c:v>19.425000000000001</c:v>
                </c:pt>
                <c:pt idx="2558">
                  <c:v>19.11</c:v>
                </c:pt>
                <c:pt idx="2559">
                  <c:v>19.215</c:v>
                </c:pt>
                <c:pt idx="2560">
                  <c:v>19.479600000000001</c:v>
                </c:pt>
                <c:pt idx="2561">
                  <c:v>19.689600000000002</c:v>
                </c:pt>
                <c:pt idx="2562">
                  <c:v>20.000399999999999</c:v>
                </c:pt>
                <c:pt idx="2563">
                  <c:v>20.79</c:v>
                </c:pt>
                <c:pt idx="2564">
                  <c:v>21.21</c:v>
                </c:pt>
                <c:pt idx="2565">
                  <c:v>21.84</c:v>
                </c:pt>
                <c:pt idx="2566">
                  <c:v>21.734999999999999</c:v>
                </c:pt>
                <c:pt idx="2567">
                  <c:v>22.05</c:v>
                </c:pt>
                <c:pt idx="2568">
                  <c:v>21.314999999999998</c:v>
                </c:pt>
                <c:pt idx="2569">
                  <c:v>21.6846</c:v>
                </c:pt>
                <c:pt idx="2570">
                  <c:v>21.63</c:v>
                </c:pt>
                <c:pt idx="2571">
                  <c:v>21.999600000000001</c:v>
                </c:pt>
                <c:pt idx="2572">
                  <c:v>22.26</c:v>
                </c:pt>
                <c:pt idx="2573">
                  <c:v>22.470000000000002</c:v>
                </c:pt>
                <c:pt idx="2574">
                  <c:v>23.1</c:v>
                </c:pt>
                <c:pt idx="2575">
                  <c:v>23.1</c:v>
                </c:pt>
                <c:pt idx="2576">
                  <c:v>22.364999999999998</c:v>
                </c:pt>
                <c:pt idx="2577">
                  <c:v>22.05</c:v>
                </c:pt>
                <c:pt idx="2578">
                  <c:v>23.259600000000002</c:v>
                </c:pt>
                <c:pt idx="2579">
                  <c:v>23.520000000000003</c:v>
                </c:pt>
                <c:pt idx="2580">
                  <c:v>23.520000000000003</c:v>
                </c:pt>
                <c:pt idx="2581">
                  <c:v>23.1</c:v>
                </c:pt>
                <c:pt idx="2582">
                  <c:v>23.729999999999997</c:v>
                </c:pt>
                <c:pt idx="2583">
                  <c:v>24.045000000000002</c:v>
                </c:pt>
                <c:pt idx="2584">
                  <c:v>24.045000000000002</c:v>
                </c:pt>
                <c:pt idx="2585">
                  <c:v>24.045000000000002</c:v>
                </c:pt>
                <c:pt idx="2586">
                  <c:v>22.785</c:v>
                </c:pt>
                <c:pt idx="2587">
                  <c:v>22.26</c:v>
                </c:pt>
                <c:pt idx="2588">
                  <c:v>22.470000000000002</c:v>
                </c:pt>
                <c:pt idx="2589">
                  <c:v>21.84</c:v>
                </c:pt>
                <c:pt idx="2590">
                  <c:v>21.734999999999999</c:v>
                </c:pt>
                <c:pt idx="2591">
                  <c:v>21.6846</c:v>
                </c:pt>
                <c:pt idx="2592">
                  <c:v>21.734999999999999</c:v>
                </c:pt>
                <c:pt idx="2593">
                  <c:v>21.63</c:v>
                </c:pt>
                <c:pt idx="2594">
                  <c:v>21.945</c:v>
                </c:pt>
                <c:pt idx="2595">
                  <c:v>21.63</c:v>
                </c:pt>
                <c:pt idx="2596">
                  <c:v>21.734999999999999</c:v>
                </c:pt>
                <c:pt idx="2597">
                  <c:v>21.524999999999999</c:v>
                </c:pt>
                <c:pt idx="2598">
                  <c:v>21.314999999999998</c:v>
                </c:pt>
                <c:pt idx="2599">
                  <c:v>20.58</c:v>
                </c:pt>
                <c:pt idx="2600">
                  <c:v>20.424600000000002</c:v>
                </c:pt>
                <c:pt idx="2601">
                  <c:v>19.95</c:v>
                </c:pt>
                <c:pt idx="2602">
                  <c:v>19.95</c:v>
                </c:pt>
                <c:pt idx="2603">
                  <c:v>19.95</c:v>
                </c:pt>
                <c:pt idx="2604">
                  <c:v>18.795000000000002</c:v>
                </c:pt>
                <c:pt idx="2605">
                  <c:v>18.690000000000001</c:v>
                </c:pt>
                <c:pt idx="2606">
                  <c:v>17.904600000000002</c:v>
                </c:pt>
                <c:pt idx="2607">
                  <c:v>17.43</c:v>
                </c:pt>
                <c:pt idx="2608">
                  <c:v>17.43</c:v>
                </c:pt>
                <c:pt idx="2609">
                  <c:v>17.799600000000002</c:v>
                </c:pt>
                <c:pt idx="2610">
                  <c:v>18.48</c:v>
                </c:pt>
                <c:pt idx="2611">
                  <c:v>18.5304</c:v>
                </c:pt>
                <c:pt idx="2612">
                  <c:v>18.744600000000002</c:v>
                </c:pt>
                <c:pt idx="2613">
                  <c:v>18.2196</c:v>
                </c:pt>
                <c:pt idx="2614">
                  <c:v>18.3246</c:v>
                </c:pt>
                <c:pt idx="2615">
                  <c:v>18.164999999999999</c:v>
                </c:pt>
                <c:pt idx="2616">
                  <c:v>17.954999999999998</c:v>
                </c:pt>
                <c:pt idx="2617">
                  <c:v>17.64</c:v>
                </c:pt>
                <c:pt idx="2618">
                  <c:v>16.959600000000002</c:v>
                </c:pt>
                <c:pt idx="2619">
                  <c:v>16.905000000000001</c:v>
                </c:pt>
                <c:pt idx="2620">
                  <c:v>16.644600000000001</c:v>
                </c:pt>
                <c:pt idx="2621">
                  <c:v>16.644600000000001</c:v>
                </c:pt>
                <c:pt idx="2622">
                  <c:v>16.484999999999999</c:v>
                </c:pt>
                <c:pt idx="2623">
                  <c:v>15.435</c:v>
                </c:pt>
                <c:pt idx="2624">
                  <c:v>14.7</c:v>
                </c:pt>
                <c:pt idx="2625">
                  <c:v>14.7</c:v>
                </c:pt>
                <c:pt idx="2626">
                  <c:v>14.439600000000002</c:v>
                </c:pt>
                <c:pt idx="2627">
                  <c:v>15.2796</c:v>
                </c:pt>
                <c:pt idx="2628">
                  <c:v>16.5396</c:v>
                </c:pt>
                <c:pt idx="2629">
                  <c:v>16.484999999999999</c:v>
                </c:pt>
                <c:pt idx="2630">
                  <c:v>16.38</c:v>
                </c:pt>
                <c:pt idx="2631">
                  <c:v>15.6996</c:v>
                </c:pt>
                <c:pt idx="2632">
                  <c:v>15.645</c:v>
                </c:pt>
                <c:pt idx="2633">
                  <c:v>15.645</c:v>
                </c:pt>
                <c:pt idx="2634">
                  <c:v>15.75</c:v>
                </c:pt>
                <c:pt idx="2635">
                  <c:v>15.96</c:v>
                </c:pt>
                <c:pt idx="2636">
                  <c:v>15.435</c:v>
                </c:pt>
                <c:pt idx="2637">
                  <c:v>15.54</c:v>
                </c:pt>
                <c:pt idx="2638">
                  <c:v>16.119600000000002</c:v>
                </c:pt>
                <c:pt idx="2639">
                  <c:v>16.38</c:v>
                </c:pt>
                <c:pt idx="2640">
                  <c:v>16.38</c:v>
                </c:pt>
                <c:pt idx="2641">
                  <c:v>16.38</c:v>
                </c:pt>
                <c:pt idx="2642">
                  <c:v>16.905000000000001</c:v>
                </c:pt>
                <c:pt idx="2643">
                  <c:v>18.059999999999999</c:v>
                </c:pt>
                <c:pt idx="2644">
                  <c:v>18.635400000000001</c:v>
                </c:pt>
                <c:pt idx="2645">
                  <c:v>18.059999999999999</c:v>
                </c:pt>
                <c:pt idx="2646">
                  <c:v>17.324999999999999</c:v>
                </c:pt>
                <c:pt idx="2647">
                  <c:v>17.114999999999998</c:v>
                </c:pt>
                <c:pt idx="2648">
                  <c:v>16.749600000000001</c:v>
                </c:pt>
                <c:pt idx="2649">
                  <c:v>16.905000000000001</c:v>
                </c:pt>
                <c:pt idx="2650">
                  <c:v>16.905000000000001</c:v>
                </c:pt>
                <c:pt idx="2651">
                  <c:v>17.064600000000002</c:v>
                </c:pt>
                <c:pt idx="2652">
                  <c:v>17.22</c:v>
                </c:pt>
                <c:pt idx="2653">
                  <c:v>17.010000000000002</c:v>
                </c:pt>
                <c:pt idx="2654">
                  <c:v>16.484999999999999</c:v>
                </c:pt>
                <c:pt idx="2655">
                  <c:v>15.435</c:v>
                </c:pt>
                <c:pt idx="2656">
                  <c:v>13.545</c:v>
                </c:pt>
                <c:pt idx="2657">
                  <c:v>15.12</c:v>
                </c:pt>
                <c:pt idx="2658">
                  <c:v>15.435</c:v>
                </c:pt>
                <c:pt idx="2659">
                  <c:v>14.594999999999999</c:v>
                </c:pt>
                <c:pt idx="2660">
                  <c:v>15.54</c:v>
                </c:pt>
                <c:pt idx="2661">
                  <c:v>13.545</c:v>
                </c:pt>
                <c:pt idx="2662">
                  <c:v>12.81</c:v>
                </c:pt>
                <c:pt idx="2663">
                  <c:v>11.760000000000002</c:v>
                </c:pt>
                <c:pt idx="2664">
                  <c:v>11.760000000000002</c:v>
                </c:pt>
                <c:pt idx="2665">
                  <c:v>11.760000000000002</c:v>
                </c:pt>
                <c:pt idx="2666">
                  <c:v>11.760000000000002</c:v>
                </c:pt>
                <c:pt idx="2667">
                  <c:v>11.760000000000002</c:v>
                </c:pt>
                <c:pt idx="2668">
                  <c:v>11.760000000000002</c:v>
                </c:pt>
                <c:pt idx="2669">
                  <c:v>11.760000000000002</c:v>
                </c:pt>
                <c:pt idx="2670">
                  <c:v>11.760000000000002</c:v>
                </c:pt>
                <c:pt idx="2671">
                  <c:v>11.760000000000002</c:v>
                </c:pt>
                <c:pt idx="2672">
                  <c:v>11.760000000000002</c:v>
                </c:pt>
              </c:numCache>
            </c:numRef>
          </c:val>
          <c:smooth val="0"/>
          <c:extLst>
            <c:ext xmlns:c16="http://schemas.microsoft.com/office/drawing/2014/chart" uri="{C3380CC4-5D6E-409C-BE32-E72D297353CC}">
              <c16:uniqueId val="{00000001-8DFF-44E9-A25A-5B92FB99447E}"/>
            </c:ext>
          </c:extLst>
        </c:ser>
        <c:dLbls>
          <c:showLegendKey val="0"/>
          <c:showVal val="0"/>
          <c:showCatName val="0"/>
          <c:showSerName val="0"/>
          <c:showPercent val="0"/>
          <c:showBubbleSize val="0"/>
        </c:dLbls>
        <c:smooth val="0"/>
        <c:axId val="929633040"/>
        <c:axId val="929627472"/>
      </c:lineChart>
      <c:dateAx>
        <c:axId val="929633040"/>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mmm\-yyyy" sourceLinked="0"/>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29627472"/>
        <c:crosses val="autoZero"/>
        <c:auto val="1"/>
        <c:lblOffset val="100"/>
        <c:baseTimeUnit val="days"/>
      </c:dateAx>
      <c:valAx>
        <c:axId val="92962747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29633040"/>
        <c:crosses val="autoZero"/>
        <c:crossBetween val="between"/>
      </c:valAx>
      <c:spPr>
        <a:noFill/>
        <a:ln>
          <a:solidFill>
            <a:schemeClr val="tx1">
              <a:lumMod val="15000"/>
              <a:lumOff val="85000"/>
            </a:schemeClr>
          </a:solidFill>
        </a:ln>
        <a:effectLst/>
      </c:spPr>
    </c:plotArea>
    <c:legend>
      <c:legendPos val="b"/>
      <c:layout>
        <c:manualLayout>
          <c:xMode val="edge"/>
          <c:yMode val="edge"/>
          <c:x val="0.32645132959173667"/>
          <c:y val="0.90340966163013403"/>
          <c:w val="0.39559287702285312"/>
          <c:h val="7.41149050141966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800594506704207E-2"/>
          <c:y val="3.1824188537547433E-2"/>
          <c:w val="0.90213227942488372"/>
          <c:h val="0.60062782684146754"/>
        </c:manualLayout>
      </c:layout>
      <c:lineChart>
        <c:grouping val="standard"/>
        <c:varyColors val="0"/>
        <c:ser>
          <c:idx val="1"/>
          <c:order val="0"/>
          <c:tx>
            <c:strRef>
              <c:f>Hoja1!$C$1</c:f>
              <c:strCache>
                <c:ptCount val="1"/>
                <c:pt idx="0">
                  <c:v>C4 - Butano</c:v>
                </c:pt>
              </c:strCache>
            </c:strRef>
          </c:tx>
          <c:spPr>
            <a:ln w="38100" cap="rnd">
              <a:solidFill>
                <a:srgbClr val="F79646">
                  <a:lumMod val="75000"/>
                </a:srgbClr>
              </a:solidFill>
              <a:round/>
            </a:ln>
            <a:effectLst/>
          </c:spPr>
          <c:marker>
            <c:symbol val="none"/>
          </c:marker>
          <c:cat>
            <c:numRef>
              <c:f>Hoja1!$A$2:$A$23</c:f>
              <c:numCache>
                <c:formatCode>dd\-mmm\-yyyy</c:formatCode>
                <c:ptCount val="22"/>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numCache>
            </c:numRef>
          </c:cat>
          <c:val>
            <c:numRef>
              <c:f>Hoja1!$C$2:$C$23</c:f>
              <c:numCache>
                <c:formatCode>#,##0.00</c:formatCode>
                <c:ptCount val="22"/>
                <c:pt idx="0">
                  <c:v>22.89</c:v>
                </c:pt>
                <c:pt idx="1">
                  <c:v>22.154999999999998</c:v>
                </c:pt>
                <c:pt idx="2">
                  <c:v>21.63</c:v>
                </c:pt>
                <c:pt idx="3">
                  <c:v>21.264599999999998</c:v>
                </c:pt>
                <c:pt idx="4">
                  <c:v>19.689600000000002</c:v>
                </c:pt>
                <c:pt idx="5">
                  <c:v>16.484999999999999</c:v>
                </c:pt>
                <c:pt idx="6">
                  <c:v>15.645</c:v>
                </c:pt>
                <c:pt idx="7">
                  <c:v>15.1746</c:v>
                </c:pt>
                <c:pt idx="8">
                  <c:v>15.225</c:v>
                </c:pt>
                <c:pt idx="9">
                  <c:v>16.695</c:v>
                </c:pt>
                <c:pt idx="10">
                  <c:v>14.805</c:v>
                </c:pt>
                <c:pt idx="11">
                  <c:v>12.81</c:v>
                </c:pt>
                <c:pt idx="12">
                  <c:v>11.34</c:v>
                </c:pt>
                <c:pt idx="13">
                  <c:v>11.34</c:v>
                </c:pt>
                <c:pt idx="14">
                  <c:v>9.8699999999999992</c:v>
                </c:pt>
                <c:pt idx="15">
                  <c:v>8.5259999999999998</c:v>
                </c:pt>
                <c:pt idx="16">
                  <c:v>9.1560000000000006</c:v>
                </c:pt>
                <c:pt idx="17">
                  <c:v>9.66</c:v>
                </c:pt>
                <c:pt idx="18">
                  <c:v>10.29</c:v>
                </c:pt>
                <c:pt idx="19">
                  <c:v>10.416</c:v>
                </c:pt>
                <c:pt idx="20">
                  <c:v>10.416</c:v>
                </c:pt>
                <c:pt idx="21">
                  <c:v>12.18</c:v>
                </c:pt>
              </c:numCache>
            </c:numRef>
          </c:val>
          <c:smooth val="0"/>
          <c:extLst>
            <c:ext xmlns:c16="http://schemas.microsoft.com/office/drawing/2014/chart" uri="{C3380CC4-5D6E-409C-BE32-E72D297353CC}">
              <c16:uniqueId val="{00000000-8CC4-462B-B4FD-7926DF8143D6}"/>
            </c:ext>
          </c:extLst>
        </c:ser>
        <c:ser>
          <c:idx val="0"/>
          <c:order val="1"/>
          <c:tx>
            <c:strRef>
              <c:f>Hoja1!$B$1</c:f>
              <c:strCache>
                <c:ptCount val="1"/>
                <c:pt idx="0">
                  <c:v>C3 - Propano</c:v>
                </c:pt>
              </c:strCache>
            </c:strRef>
          </c:tx>
          <c:spPr>
            <a:ln w="38100" cap="rnd">
              <a:solidFill>
                <a:srgbClr val="9BBB59">
                  <a:lumMod val="75000"/>
                </a:srgbClr>
              </a:solidFill>
              <a:round/>
            </a:ln>
            <a:effectLst/>
          </c:spPr>
          <c:marker>
            <c:symbol val="none"/>
          </c:marker>
          <c:cat>
            <c:numRef>
              <c:f>Hoja1!$A$2:$A$23</c:f>
              <c:numCache>
                <c:formatCode>dd\-mmm\-yyyy</c:formatCode>
                <c:ptCount val="22"/>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numCache>
            </c:numRef>
          </c:cat>
          <c:val>
            <c:numRef>
              <c:f>Hoja1!$B$2:$B$23</c:f>
              <c:numCache>
                <c:formatCode>#,##0.00</c:formatCode>
                <c:ptCount val="22"/>
                <c:pt idx="0">
                  <c:v>17.064600000000002</c:v>
                </c:pt>
                <c:pt idx="1">
                  <c:v>17.22</c:v>
                </c:pt>
                <c:pt idx="2">
                  <c:v>17.010000000000002</c:v>
                </c:pt>
                <c:pt idx="3">
                  <c:v>16.484999999999999</c:v>
                </c:pt>
                <c:pt idx="4">
                  <c:v>15.435</c:v>
                </c:pt>
                <c:pt idx="5">
                  <c:v>13.545</c:v>
                </c:pt>
                <c:pt idx="6">
                  <c:v>15.12</c:v>
                </c:pt>
                <c:pt idx="7">
                  <c:v>15.435</c:v>
                </c:pt>
                <c:pt idx="8">
                  <c:v>14.594999999999999</c:v>
                </c:pt>
                <c:pt idx="9">
                  <c:v>15.54</c:v>
                </c:pt>
                <c:pt idx="10">
                  <c:v>13.545</c:v>
                </c:pt>
                <c:pt idx="11">
                  <c:v>12.81</c:v>
                </c:pt>
                <c:pt idx="12">
                  <c:v>11.760000000000002</c:v>
                </c:pt>
                <c:pt idx="13">
                  <c:v>11.760000000000002</c:v>
                </c:pt>
                <c:pt idx="14">
                  <c:v>9.8699999999999992</c:v>
                </c:pt>
                <c:pt idx="15">
                  <c:v>8.5259999999999998</c:v>
                </c:pt>
                <c:pt idx="16">
                  <c:v>9.1560000000000006</c:v>
                </c:pt>
                <c:pt idx="17">
                  <c:v>9.66</c:v>
                </c:pt>
                <c:pt idx="18">
                  <c:v>10.29</c:v>
                </c:pt>
                <c:pt idx="19">
                  <c:v>10.416</c:v>
                </c:pt>
                <c:pt idx="20">
                  <c:v>10.416</c:v>
                </c:pt>
                <c:pt idx="21">
                  <c:v>12.18</c:v>
                </c:pt>
              </c:numCache>
            </c:numRef>
          </c:val>
          <c:smooth val="0"/>
          <c:extLst>
            <c:ext xmlns:c16="http://schemas.microsoft.com/office/drawing/2014/chart" uri="{C3380CC4-5D6E-409C-BE32-E72D297353CC}">
              <c16:uniqueId val="{00000001-8CC4-462B-B4FD-7926DF8143D6}"/>
            </c:ext>
          </c:extLst>
        </c:ser>
        <c:dLbls>
          <c:showLegendKey val="0"/>
          <c:showVal val="0"/>
          <c:showCatName val="0"/>
          <c:showSerName val="0"/>
          <c:showPercent val="0"/>
          <c:showBubbleSize val="0"/>
        </c:dLbls>
        <c:smooth val="0"/>
        <c:axId val="1473775152"/>
        <c:axId val="1696893552"/>
      </c:lineChart>
      <c:dateAx>
        <c:axId val="1473775152"/>
        <c:scaling>
          <c:orientation val="minMax"/>
        </c:scaling>
        <c:delete val="0"/>
        <c:axPos val="b"/>
        <c:majorGridlines>
          <c:spPr>
            <a:ln w="9525" cap="flat" cmpd="sng" algn="ctr">
              <a:solidFill>
                <a:schemeClr val="bg1">
                  <a:lumMod val="85000"/>
                </a:schemeClr>
              </a:solidFill>
              <a:prstDash val="dash"/>
              <a:round/>
            </a:ln>
            <a:effectLst/>
          </c:spPr>
        </c:majorGridlines>
        <c:numFmt formatCode="d\-mmm" sourceLinked="0"/>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crossAx val="1696893552"/>
        <c:crosses val="autoZero"/>
        <c:auto val="1"/>
        <c:lblOffset val="100"/>
        <c:baseTimeUnit val="days"/>
      </c:dateAx>
      <c:valAx>
        <c:axId val="1696893552"/>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r>
                  <a:rPr lang="es-CO"/>
                  <a:t>USD / Barril</a:t>
                </a:r>
              </a:p>
            </c:rich>
          </c:tx>
          <c:layout>
            <c:manualLayout>
              <c:xMode val="edge"/>
              <c:yMode val="edge"/>
              <c:x val="4.2753313381787093E-3"/>
              <c:y val="0.2484506242424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crossAx val="1473775152"/>
        <c:crosses val="autoZero"/>
        <c:crossBetween val="midCat"/>
      </c:valAx>
      <c:spPr>
        <a:noFill/>
        <a:ln>
          <a:noFill/>
        </a:ln>
        <a:effectLst/>
      </c:spPr>
    </c:plotArea>
    <c:legend>
      <c:legendPos val="b"/>
      <c:layout>
        <c:manualLayout>
          <c:xMode val="edge"/>
          <c:yMode val="edge"/>
          <c:x val="0.33829956270429862"/>
          <c:y val="0.88356430113746864"/>
          <c:w val="0.36772276327793357"/>
          <c:h val="8.2896760039951625E-2"/>
        </c:manualLayout>
      </c:layout>
      <c:overlay val="0"/>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accent3">
              <a:lumMod val="75000"/>
            </a:schemeClr>
          </a:solidFill>
          <a:latin typeface="Arial" panose="020B0604020202020204" pitchFamily="34" charset="0"/>
          <a:cs typeface="Arial" panose="020B0604020202020204" pitchFamily="34" charset="0"/>
        </a:defRPr>
      </a:pPr>
      <a:endParaRPr lang="es-CO"/>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7644124112532"/>
          <c:y val="3.243162172296031E-2"/>
          <c:w val="0.8618069839388931"/>
          <c:h val="0.64842408212486957"/>
        </c:manualLayout>
      </c:layout>
      <c:lineChart>
        <c:grouping val="standard"/>
        <c:varyColors val="0"/>
        <c:ser>
          <c:idx val="2"/>
          <c:order val="0"/>
          <c:tx>
            <c:strRef>
              <c:f>Hoja1!$D$1</c:f>
              <c:strCache>
                <c:ptCount val="1"/>
                <c:pt idx="0">
                  <c:v>GRB mensual</c:v>
                </c:pt>
              </c:strCache>
            </c:strRef>
          </c:tx>
          <c:spPr>
            <a:ln w="22225" cap="rnd">
              <a:solidFill>
                <a:schemeClr val="accent3"/>
              </a:solidFill>
              <a:round/>
            </a:ln>
            <a:effectLst>
              <a:outerShdw blurRad="57150" dist="19050" dir="5400000" algn="ctr" rotWithShape="0">
                <a:srgbClr val="000000">
                  <a:alpha val="63000"/>
                </a:srgbClr>
              </a:outerShdw>
            </a:effectLst>
          </c:spPr>
          <c:marker>
            <c:symbol val="none"/>
          </c:marker>
          <c:dLbls>
            <c:dLbl>
              <c:idx val="126"/>
              <c:layout>
                <c:manualLayout>
                  <c:x val="-4.4484317613355195E-2"/>
                  <c:y val="9.55676635865202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22-4DAB-9B24-3AD05A1E9ADC}"/>
                </c:ext>
              </c:extLst>
            </c:dLbl>
            <c:spPr>
              <a:noFill/>
              <a:ln>
                <a:noFill/>
              </a:ln>
              <a:effectLst/>
            </c:spPr>
            <c:txPr>
              <a:bodyPr rot="0" spcFirstLastPara="1" vertOverflow="ellipsis" vert="horz" wrap="square" anchor="ctr" anchorCtr="1"/>
              <a:lstStyle/>
              <a:p>
                <a:pPr>
                  <a:defRPr sz="9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0"/>
            <c:showCatName val="0"/>
            <c:showSerName val="0"/>
            <c:showPercent val="0"/>
            <c:showBubbleSize val="0"/>
            <c:extLst>
              <c:ext xmlns:c15="http://schemas.microsoft.com/office/drawing/2012/chart" uri="{CE6537A1-D6FC-4f65-9D91-7224C49458BB}">
                <c15:showLeaderLines val="0"/>
              </c:ext>
            </c:extLst>
          </c:dLbls>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Hoja1!$D$2:$D$136</c:f>
              <c:numCache>
                <c:formatCode>#,##0.00</c:formatCode>
                <c:ptCount val="135"/>
                <c:pt idx="0">
                  <c:v>452</c:v>
                </c:pt>
                <c:pt idx="1">
                  <c:v>742</c:v>
                </c:pt>
                <c:pt idx="2">
                  <c:v>715</c:v>
                </c:pt>
                <c:pt idx="3">
                  <c:v>747</c:v>
                </c:pt>
                <c:pt idx="4">
                  <c:v>626</c:v>
                </c:pt>
                <c:pt idx="5">
                  <c:v>643</c:v>
                </c:pt>
                <c:pt idx="6">
                  <c:v>802</c:v>
                </c:pt>
                <c:pt idx="7">
                  <c:v>758</c:v>
                </c:pt>
                <c:pt idx="8">
                  <c:v>834</c:v>
                </c:pt>
                <c:pt idx="9">
                  <c:v>814</c:v>
                </c:pt>
                <c:pt idx="10">
                  <c:v>930</c:v>
                </c:pt>
                <c:pt idx="11">
                  <c:v>1071</c:v>
                </c:pt>
                <c:pt idx="12">
                  <c:v>1217</c:v>
                </c:pt>
                <c:pt idx="13">
                  <c:v>1264</c:v>
                </c:pt>
                <c:pt idx="14">
                  <c:v>1120</c:v>
                </c:pt>
                <c:pt idx="15">
                  <c:v>980</c:v>
                </c:pt>
                <c:pt idx="16">
                  <c:v>1128</c:v>
                </c:pt>
                <c:pt idx="17">
                  <c:v>1003</c:v>
                </c:pt>
                <c:pt idx="18">
                  <c:v>967</c:v>
                </c:pt>
                <c:pt idx="19">
                  <c:v>922</c:v>
                </c:pt>
                <c:pt idx="20">
                  <c:v>929</c:v>
                </c:pt>
                <c:pt idx="21">
                  <c:v>957</c:v>
                </c:pt>
                <c:pt idx="22">
                  <c:v>1066</c:v>
                </c:pt>
                <c:pt idx="23">
                  <c:v>1163</c:v>
                </c:pt>
                <c:pt idx="24">
                  <c:v>1213</c:v>
                </c:pt>
                <c:pt idx="25">
                  <c:v>1173</c:v>
                </c:pt>
                <c:pt idx="26">
                  <c:v>1285</c:v>
                </c:pt>
                <c:pt idx="27">
                  <c:v>1277</c:v>
                </c:pt>
                <c:pt idx="28">
                  <c:v>1241</c:v>
                </c:pt>
                <c:pt idx="29">
                  <c:v>1305</c:v>
                </c:pt>
                <c:pt idx="30">
                  <c:v>1285</c:v>
                </c:pt>
                <c:pt idx="31">
                  <c:v>1295</c:v>
                </c:pt>
                <c:pt idx="32">
                  <c:v>1320</c:v>
                </c:pt>
                <c:pt idx="33">
                  <c:v>1376</c:v>
                </c:pt>
                <c:pt idx="34">
                  <c:v>1242</c:v>
                </c:pt>
                <c:pt idx="35">
                  <c:v>1319</c:v>
                </c:pt>
                <c:pt idx="36">
                  <c:v>1343</c:v>
                </c:pt>
                <c:pt idx="37">
                  <c:v>1168</c:v>
                </c:pt>
                <c:pt idx="38">
                  <c:v>1063</c:v>
                </c:pt>
                <c:pt idx="39">
                  <c:v>1063</c:v>
                </c:pt>
                <c:pt idx="40">
                  <c:v>1059</c:v>
                </c:pt>
                <c:pt idx="41">
                  <c:v>875</c:v>
                </c:pt>
                <c:pt idx="42">
                  <c:v>634</c:v>
                </c:pt>
                <c:pt idx="43">
                  <c:v>702</c:v>
                </c:pt>
                <c:pt idx="44">
                  <c:v>791</c:v>
                </c:pt>
                <c:pt idx="45">
                  <c:v>792</c:v>
                </c:pt>
                <c:pt idx="46">
                  <c:v>836</c:v>
                </c:pt>
                <c:pt idx="47">
                  <c:v>840</c:v>
                </c:pt>
                <c:pt idx="48">
                  <c:v>809</c:v>
                </c:pt>
                <c:pt idx="49">
                  <c:v>810</c:v>
                </c:pt>
                <c:pt idx="50">
                  <c:v>817</c:v>
                </c:pt>
                <c:pt idx="51">
                  <c:v>768</c:v>
                </c:pt>
                <c:pt idx="52">
                  <c:v>753</c:v>
                </c:pt>
                <c:pt idx="53">
                  <c:v>757</c:v>
                </c:pt>
                <c:pt idx="54">
                  <c:v>703</c:v>
                </c:pt>
                <c:pt idx="55">
                  <c:v>757</c:v>
                </c:pt>
                <c:pt idx="56">
                  <c:v>900</c:v>
                </c:pt>
                <c:pt idx="57">
                  <c:v>910</c:v>
                </c:pt>
                <c:pt idx="58">
                  <c:v>953</c:v>
                </c:pt>
                <c:pt idx="59">
                  <c:v>987</c:v>
                </c:pt>
                <c:pt idx="60">
                  <c:v>1016.79</c:v>
                </c:pt>
                <c:pt idx="61">
                  <c:v>1172.9646407790101</c:v>
                </c:pt>
                <c:pt idx="62">
                  <c:v>1208.34766444864</c:v>
                </c:pt>
                <c:pt idx="63">
                  <c:v>870.23</c:v>
                </c:pt>
                <c:pt idx="64">
                  <c:v>874.253339922225</c:v>
                </c:pt>
                <c:pt idx="65">
                  <c:v>804.23</c:v>
                </c:pt>
                <c:pt idx="66">
                  <c:v>810.63484917462597</c:v>
                </c:pt>
                <c:pt idx="67">
                  <c:v>797.50002936065198</c:v>
                </c:pt>
                <c:pt idx="68">
                  <c:v>804.09234290378697</c:v>
                </c:pt>
                <c:pt idx="69">
                  <c:v>901.82476281117795</c:v>
                </c:pt>
                <c:pt idx="70">
                  <c:v>786.70314517883503</c:v>
                </c:pt>
                <c:pt idx="71">
                  <c:v>744.33</c:v>
                </c:pt>
                <c:pt idx="72">
                  <c:v>502.25</c:v>
                </c:pt>
                <c:pt idx="73">
                  <c:v>426.91966456691398</c:v>
                </c:pt>
                <c:pt idx="74">
                  <c:v>519.82000000000005</c:v>
                </c:pt>
                <c:pt idx="75">
                  <c:v>498.556817567861</c:v>
                </c:pt>
                <c:pt idx="76">
                  <c:v>442.10912241971403</c:v>
                </c:pt>
                <c:pt idx="77">
                  <c:v>387.41518964655802</c:v>
                </c:pt>
                <c:pt idx="78">
                  <c:v>751.15587820278904</c:v>
                </c:pt>
                <c:pt idx="79">
                  <c:v>827.37446835438902</c:v>
                </c:pt>
                <c:pt idx="80">
                  <c:v>891.14815504158901</c:v>
                </c:pt>
                <c:pt idx="81">
                  <c:v>896.80221626238904</c:v>
                </c:pt>
                <c:pt idx="82">
                  <c:v>836</c:v>
                </c:pt>
                <c:pt idx="83">
                  <c:v>891.14815504158901</c:v>
                </c:pt>
                <c:pt idx="84">
                  <c:v>904.27132880598901</c:v>
                </c:pt>
                <c:pt idx="85">
                  <c:v>924.86291194850503</c:v>
                </c:pt>
                <c:pt idx="86">
                  <c:v>954.18487692821896</c:v>
                </c:pt>
                <c:pt idx="87">
                  <c:v>876.87875843021902</c:v>
                </c:pt>
                <c:pt idx="88">
                  <c:v>830.21709600101894</c:v>
                </c:pt>
                <c:pt idx="89">
                  <c:v>889.63910557661904</c:v>
                </c:pt>
                <c:pt idx="90">
                  <c:v>531.65965534606198</c:v>
                </c:pt>
                <c:pt idx="91">
                  <c:v>531.645751509413</c:v>
                </c:pt>
                <c:pt idx="92">
                  <c:v>463.56158175937998</c:v>
                </c:pt>
                <c:pt idx="93">
                  <c:v>527.01320857454198</c:v>
                </c:pt>
                <c:pt idx="94">
                  <c:v>681.77105580885495</c:v>
                </c:pt>
                <c:pt idx="95">
                  <c:v>678.59335637336801</c:v>
                </c:pt>
                <c:pt idx="96">
                  <c:v>869.30655855683699</c:v>
                </c:pt>
                <c:pt idx="97">
                  <c:v>961.70384170047203</c:v>
                </c:pt>
                <c:pt idx="98">
                  <c:v>1047.2335621721199</c:v>
                </c:pt>
                <c:pt idx="99">
                  <c:v>686.55934029574098</c:v>
                </c:pt>
                <c:pt idx="100">
                  <c:v>754.51011600889001</c:v>
                </c:pt>
                <c:pt idx="101">
                  <c:v>722.74940775612004</c:v>
                </c:pt>
                <c:pt idx="102">
                  <c:v>679.56965745725097</c:v>
                </c:pt>
                <c:pt idx="103">
                  <c:v>781.83038980666402</c:v>
                </c:pt>
                <c:pt idx="104">
                  <c:v>913.12227692639499</c:v>
                </c:pt>
                <c:pt idx="105">
                  <c:v>1085.24096322329</c:v>
                </c:pt>
                <c:pt idx="106">
                  <c:v>1182.1884980249899</c:v>
                </c:pt>
                <c:pt idx="107">
                  <c:v>1206.03809899423</c:v>
                </c:pt>
                <c:pt idx="108">
                  <c:v>1171.79588446464</c:v>
                </c:pt>
                <c:pt idx="109">
                  <c:v>1038.0422489346399</c:v>
                </c:pt>
                <c:pt idx="110">
                  <c:v>968.57338137014995</c:v>
                </c:pt>
                <c:pt idx="111">
                  <c:v>862.41244504809401</c:v>
                </c:pt>
                <c:pt idx="112">
                  <c:v>910.89009132690398</c:v>
                </c:pt>
                <c:pt idx="113">
                  <c:v>1084.4016431585101</c:v>
                </c:pt>
                <c:pt idx="114">
                  <c:v>1083.1928814646501</c:v>
                </c:pt>
                <c:pt idx="115">
                  <c:v>1216.5648524985199</c:v>
                </c:pt>
                <c:pt idx="116">
                  <c:v>1286.7383071435199</c:v>
                </c:pt>
                <c:pt idx="117">
                  <c:v>1382.24196204551</c:v>
                </c:pt>
                <c:pt idx="118">
                  <c:v>1320.03702982446</c:v>
                </c:pt>
                <c:pt idx="119">
                  <c:v>957.06607462298302</c:v>
                </c:pt>
                <c:pt idx="120">
                  <c:v>857.90349468804914</c:v>
                </c:pt>
                <c:pt idx="121">
                  <c:v>834.33568979358449</c:v>
                </c:pt>
                <c:pt idx="122">
                  <c:v>829.63072645478655</c:v>
                </c:pt>
                <c:pt idx="123">
                  <c:v>816.32030158061002</c:v>
                </c:pt>
                <c:pt idx="124">
                  <c:v>800.17910784108801</c:v>
                </c:pt>
                <c:pt idx="125">
                  <c:v>691.6852250354973</c:v>
                </c:pt>
                <c:pt idx="126">
                  <c:v>420.56408420754451</c:v>
                </c:pt>
                <c:pt idx="127">
                  <c:v>467.95189818907238</c:v>
                </c:pt>
                <c:pt idx="128">
                  <c:v>451.23949011462696</c:v>
                </c:pt>
                <c:pt idx="129">
                  <c:v>535.00762834494321</c:v>
                </c:pt>
                <c:pt idx="130">
                  <c:v>570.33824405849782</c:v>
                </c:pt>
                <c:pt idx="131">
                  <c:v>761.48736384811923</c:v>
                </c:pt>
                <c:pt idx="132">
                  <c:v>626.38</c:v>
                </c:pt>
                <c:pt idx="133">
                  <c:v>594.93608203447025</c:v>
                </c:pt>
                <c:pt idx="134">
                  <c:v>564.01</c:v>
                </c:pt>
              </c:numCache>
            </c:numRef>
          </c:val>
          <c:smooth val="0"/>
          <c:extLst>
            <c:ext xmlns:c16="http://schemas.microsoft.com/office/drawing/2014/chart" uri="{C3380CC4-5D6E-409C-BE32-E72D297353CC}">
              <c16:uniqueId val="{00000001-DF22-4DAB-9B24-3AD05A1E9ADC}"/>
            </c:ext>
          </c:extLst>
        </c:ser>
        <c:ser>
          <c:idx val="1"/>
          <c:order val="1"/>
          <c:tx>
            <c:strRef>
              <c:f>Hoja1!$C$1</c:f>
              <c:strCache>
                <c:ptCount val="1"/>
                <c:pt idx="0">
                  <c:v>GRB promedio trimestral</c:v>
                </c:pt>
              </c:strCache>
            </c:strRef>
          </c:tx>
          <c:spPr>
            <a:ln w="22225" cap="rnd">
              <a:solidFill>
                <a:schemeClr val="accent2"/>
              </a:solidFill>
              <a:round/>
            </a:ln>
            <a:effectLst>
              <a:outerShdw blurRad="57150" dist="19050" dir="5400000" algn="ctr" rotWithShape="0">
                <a:srgbClr val="000000">
                  <a:alpha val="63000"/>
                </a:srgbClr>
              </a:outerShdw>
            </a:effectLst>
          </c:spPr>
          <c:marker>
            <c:symbol val="none"/>
          </c:marker>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Hoja1!$C$2:$C$136</c:f>
              <c:numCache>
                <c:formatCode>#,##0.00</c:formatCode>
                <c:ptCount val="135"/>
                <c:pt idx="0">
                  <c:v>636.33333333333337</c:v>
                </c:pt>
                <c:pt idx="1">
                  <c:v>636.33333333333337</c:v>
                </c:pt>
                <c:pt idx="2">
                  <c:v>636.33333333333337</c:v>
                </c:pt>
                <c:pt idx="3">
                  <c:v>672</c:v>
                </c:pt>
                <c:pt idx="4">
                  <c:v>672</c:v>
                </c:pt>
                <c:pt idx="5">
                  <c:v>672</c:v>
                </c:pt>
                <c:pt idx="6">
                  <c:v>798</c:v>
                </c:pt>
                <c:pt idx="7">
                  <c:v>798</c:v>
                </c:pt>
                <c:pt idx="8">
                  <c:v>798</c:v>
                </c:pt>
                <c:pt idx="9">
                  <c:v>938.33333333333337</c:v>
                </c:pt>
                <c:pt idx="10">
                  <c:v>938.33333333333337</c:v>
                </c:pt>
                <c:pt idx="11">
                  <c:v>938.33333333333337</c:v>
                </c:pt>
                <c:pt idx="12">
                  <c:v>1200.3333333333333</c:v>
                </c:pt>
                <c:pt idx="13">
                  <c:v>1200.3333333333333</c:v>
                </c:pt>
                <c:pt idx="14">
                  <c:v>1200.3333333333333</c:v>
                </c:pt>
                <c:pt idx="15">
                  <c:v>1037</c:v>
                </c:pt>
                <c:pt idx="16">
                  <c:v>1037</c:v>
                </c:pt>
                <c:pt idx="17">
                  <c:v>1037</c:v>
                </c:pt>
                <c:pt idx="18">
                  <c:v>939.33333333333337</c:v>
                </c:pt>
                <c:pt idx="19">
                  <c:v>939.33333333333337</c:v>
                </c:pt>
                <c:pt idx="20">
                  <c:v>939.33333333333337</c:v>
                </c:pt>
                <c:pt idx="21">
                  <c:v>1062</c:v>
                </c:pt>
                <c:pt idx="22">
                  <c:v>1062</c:v>
                </c:pt>
                <c:pt idx="23">
                  <c:v>1062</c:v>
                </c:pt>
                <c:pt idx="24">
                  <c:v>1223.6666666666667</c:v>
                </c:pt>
                <c:pt idx="25">
                  <c:v>1223.6666666666667</c:v>
                </c:pt>
                <c:pt idx="26">
                  <c:v>1223.6666666666667</c:v>
                </c:pt>
                <c:pt idx="27">
                  <c:v>1274.3333333333333</c:v>
                </c:pt>
                <c:pt idx="28">
                  <c:v>1274.3333333333333</c:v>
                </c:pt>
                <c:pt idx="29">
                  <c:v>1274.3333333333333</c:v>
                </c:pt>
                <c:pt idx="30">
                  <c:v>1300</c:v>
                </c:pt>
                <c:pt idx="31">
                  <c:v>1300</c:v>
                </c:pt>
                <c:pt idx="32">
                  <c:v>1300</c:v>
                </c:pt>
                <c:pt idx="33">
                  <c:v>1312.3333333333333</c:v>
                </c:pt>
                <c:pt idx="34">
                  <c:v>1312.3333333333333</c:v>
                </c:pt>
                <c:pt idx="35">
                  <c:v>1312.3333333333333</c:v>
                </c:pt>
                <c:pt idx="36">
                  <c:v>1191.3333333333333</c:v>
                </c:pt>
                <c:pt idx="37">
                  <c:v>1191.3333333333333</c:v>
                </c:pt>
                <c:pt idx="38">
                  <c:v>1191.3333333333333</c:v>
                </c:pt>
                <c:pt idx="39">
                  <c:v>999</c:v>
                </c:pt>
                <c:pt idx="40">
                  <c:v>999</c:v>
                </c:pt>
                <c:pt idx="41">
                  <c:v>999</c:v>
                </c:pt>
                <c:pt idx="42">
                  <c:v>709</c:v>
                </c:pt>
                <c:pt idx="43">
                  <c:v>709</c:v>
                </c:pt>
                <c:pt idx="44">
                  <c:v>709</c:v>
                </c:pt>
                <c:pt idx="45">
                  <c:v>822.66666666666663</c:v>
                </c:pt>
                <c:pt idx="46">
                  <c:v>822.66666666666663</c:v>
                </c:pt>
                <c:pt idx="47">
                  <c:v>822.66666666666663</c:v>
                </c:pt>
                <c:pt idx="48">
                  <c:v>812</c:v>
                </c:pt>
                <c:pt idx="49">
                  <c:v>812</c:v>
                </c:pt>
                <c:pt idx="50">
                  <c:v>812</c:v>
                </c:pt>
                <c:pt idx="51">
                  <c:v>759.33333333333337</c:v>
                </c:pt>
                <c:pt idx="52">
                  <c:v>759.33333333333337</c:v>
                </c:pt>
                <c:pt idx="53">
                  <c:v>759.33333333333337</c:v>
                </c:pt>
                <c:pt idx="54">
                  <c:v>786.66666666666663</c:v>
                </c:pt>
                <c:pt idx="55">
                  <c:v>786.66666666666663</c:v>
                </c:pt>
                <c:pt idx="56">
                  <c:v>786.66666666666663</c:v>
                </c:pt>
                <c:pt idx="57">
                  <c:v>950</c:v>
                </c:pt>
                <c:pt idx="58">
                  <c:v>950</c:v>
                </c:pt>
                <c:pt idx="59">
                  <c:v>950</c:v>
                </c:pt>
                <c:pt idx="60">
                  <c:v>1132.7007684092166</c:v>
                </c:pt>
                <c:pt idx="61">
                  <c:v>1132.7007684092166</c:v>
                </c:pt>
                <c:pt idx="62">
                  <c:v>1132.7007684092166</c:v>
                </c:pt>
                <c:pt idx="63">
                  <c:v>849.57111330740827</c:v>
                </c:pt>
                <c:pt idx="64">
                  <c:v>849.57111330740827</c:v>
                </c:pt>
                <c:pt idx="65">
                  <c:v>849.57111330740827</c:v>
                </c:pt>
                <c:pt idx="66">
                  <c:v>804.07574047968831</c:v>
                </c:pt>
                <c:pt idx="67">
                  <c:v>804.07574047968831</c:v>
                </c:pt>
                <c:pt idx="68">
                  <c:v>804.07574047968831</c:v>
                </c:pt>
                <c:pt idx="69">
                  <c:v>810.95263599667089</c:v>
                </c:pt>
                <c:pt idx="70">
                  <c:v>810.95263599667089</c:v>
                </c:pt>
                <c:pt idx="71">
                  <c:v>810.95263599667089</c:v>
                </c:pt>
                <c:pt idx="72">
                  <c:v>482.99655485563807</c:v>
                </c:pt>
                <c:pt idx="73">
                  <c:v>482.99655485563807</c:v>
                </c:pt>
                <c:pt idx="74">
                  <c:v>482.99655485563807</c:v>
                </c:pt>
                <c:pt idx="75">
                  <c:v>442.69370987804433</c:v>
                </c:pt>
                <c:pt idx="76">
                  <c:v>442.69370987804433</c:v>
                </c:pt>
                <c:pt idx="77">
                  <c:v>442.69370987804433</c:v>
                </c:pt>
                <c:pt idx="78">
                  <c:v>823.22616719958899</c:v>
                </c:pt>
                <c:pt idx="79">
                  <c:v>823.22616719958899</c:v>
                </c:pt>
                <c:pt idx="80">
                  <c:v>823.22616719958899</c:v>
                </c:pt>
                <c:pt idx="81">
                  <c:v>874.65012376799268</c:v>
                </c:pt>
                <c:pt idx="82">
                  <c:v>874.65012376799268</c:v>
                </c:pt>
                <c:pt idx="83">
                  <c:v>874.65012376799268</c:v>
                </c:pt>
                <c:pt idx="84">
                  <c:v>927.77303922757108</c:v>
                </c:pt>
                <c:pt idx="85">
                  <c:v>927.77303922757108</c:v>
                </c:pt>
                <c:pt idx="86">
                  <c:v>927.77303922757108</c:v>
                </c:pt>
                <c:pt idx="87">
                  <c:v>865.57832000261897</c:v>
                </c:pt>
                <c:pt idx="88">
                  <c:v>865.57832000261897</c:v>
                </c:pt>
                <c:pt idx="89">
                  <c:v>865.57832000261897</c:v>
                </c:pt>
                <c:pt idx="90">
                  <c:v>508.95566287161836</c:v>
                </c:pt>
                <c:pt idx="91">
                  <c:v>508.95566287161836</c:v>
                </c:pt>
                <c:pt idx="92">
                  <c:v>508.95566287161836</c:v>
                </c:pt>
                <c:pt idx="93">
                  <c:v>629.12587358558824</c:v>
                </c:pt>
                <c:pt idx="94">
                  <c:v>629.12587358558824</c:v>
                </c:pt>
                <c:pt idx="95">
                  <c:v>629.12587358558824</c:v>
                </c:pt>
                <c:pt idx="96">
                  <c:v>959.41465414314291</c:v>
                </c:pt>
                <c:pt idx="97">
                  <c:v>959.41465414314291</c:v>
                </c:pt>
                <c:pt idx="98">
                  <c:v>959.41465414314291</c:v>
                </c:pt>
                <c:pt idx="99">
                  <c:v>721.27295468691693</c:v>
                </c:pt>
                <c:pt idx="100">
                  <c:v>721.27295468691693</c:v>
                </c:pt>
                <c:pt idx="101">
                  <c:v>721.27295468691693</c:v>
                </c:pt>
                <c:pt idx="102">
                  <c:v>791.50744139676999</c:v>
                </c:pt>
                <c:pt idx="103">
                  <c:v>791.50744139676999</c:v>
                </c:pt>
                <c:pt idx="104">
                  <c:v>791.50744139676999</c:v>
                </c:pt>
                <c:pt idx="105">
                  <c:v>1157.8225200808367</c:v>
                </c:pt>
                <c:pt idx="106">
                  <c:v>1157.8225200808367</c:v>
                </c:pt>
                <c:pt idx="107">
                  <c:v>1157.8225200808367</c:v>
                </c:pt>
                <c:pt idx="108">
                  <c:v>1059.4705049231434</c:v>
                </c:pt>
                <c:pt idx="109">
                  <c:v>1059.4705049231434</c:v>
                </c:pt>
                <c:pt idx="110">
                  <c:v>1059.4705049231434</c:v>
                </c:pt>
                <c:pt idx="111">
                  <c:v>952.56805984450273</c:v>
                </c:pt>
                <c:pt idx="112">
                  <c:v>952.56805984450273</c:v>
                </c:pt>
                <c:pt idx="113">
                  <c:v>952.56805984450273</c:v>
                </c:pt>
                <c:pt idx="114">
                  <c:v>1195.4986803688964</c:v>
                </c:pt>
                <c:pt idx="115">
                  <c:v>1195.4986803688964</c:v>
                </c:pt>
                <c:pt idx="116">
                  <c:v>1195.4986803688964</c:v>
                </c:pt>
                <c:pt idx="117">
                  <c:v>1219.7816888309844</c:v>
                </c:pt>
                <c:pt idx="118">
                  <c:v>1219.7816888309844</c:v>
                </c:pt>
                <c:pt idx="119">
                  <c:v>1219.7816888309844</c:v>
                </c:pt>
                <c:pt idx="120">
                  <c:v>840.62330364547336</c:v>
                </c:pt>
                <c:pt idx="121">
                  <c:v>840.62330364547336</c:v>
                </c:pt>
                <c:pt idx="122">
                  <c:v>840.62330364547336</c:v>
                </c:pt>
                <c:pt idx="123">
                  <c:v>769.39487815239852</c:v>
                </c:pt>
                <c:pt idx="124">
                  <c:v>769.39487815239852</c:v>
                </c:pt>
                <c:pt idx="125">
                  <c:v>769.39487815239852</c:v>
                </c:pt>
                <c:pt idx="126">
                  <c:v>446.58515750374795</c:v>
                </c:pt>
                <c:pt idx="127">
                  <c:v>446.58515750374795</c:v>
                </c:pt>
                <c:pt idx="128">
                  <c:v>446.58515750374795</c:v>
                </c:pt>
                <c:pt idx="129">
                  <c:v>622.27774541718679</c:v>
                </c:pt>
                <c:pt idx="130">
                  <c:v>622.27774541718679</c:v>
                </c:pt>
                <c:pt idx="131">
                  <c:v>622.27774541718679</c:v>
                </c:pt>
                <c:pt idx="132">
                  <c:v>595.10869401149</c:v>
                </c:pt>
                <c:pt idx="133">
                  <c:v>595.10869401149</c:v>
                </c:pt>
                <c:pt idx="134">
                  <c:v>595.10869401149</c:v>
                </c:pt>
              </c:numCache>
            </c:numRef>
          </c:val>
          <c:smooth val="0"/>
          <c:extLst>
            <c:ext xmlns:c16="http://schemas.microsoft.com/office/drawing/2014/chart" uri="{C3380CC4-5D6E-409C-BE32-E72D297353CC}">
              <c16:uniqueId val="{00000002-DF22-4DAB-9B24-3AD05A1E9ADC}"/>
            </c:ext>
          </c:extLst>
        </c:ser>
        <c:ser>
          <c:idx val="0"/>
          <c:order val="2"/>
          <c:tx>
            <c:strRef>
              <c:f>Hoja1!$B$1</c:f>
              <c:strCache>
                <c:ptCount val="1"/>
                <c:pt idx="0">
                  <c:v>Precio trimestral mínimo indexado</c:v>
                </c:pt>
              </c:strCache>
            </c:strRef>
          </c:tx>
          <c:spPr>
            <a:ln w="22225" cap="rnd">
              <a:solidFill>
                <a:schemeClr val="accent6">
                  <a:lumMod val="75000"/>
                </a:schemeClr>
              </a:solidFill>
              <a:round/>
            </a:ln>
            <a:effectLst>
              <a:outerShdw blurRad="57150" dist="19050" dir="5400000" algn="ctr" rotWithShape="0">
                <a:srgbClr val="000000">
                  <a:alpha val="63000"/>
                </a:srgbClr>
              </a:outerShdw>
            </a:effectLst>
          </c:spPr>
          <c:marker>
            <c:symbol val="none"/>
          </c:marker>
          <c:dLbls>
            <c:dLbl>
              <c:idx val="128"/>
              <c:layout>
                <c:manualLayout>
                  <c:x val="-4.4879028321545313E-2"/>
                  <c:y val="5.0067656944183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22-4DAB-9B24-3AD05A1E9ADC}"/>
                </c:ext>
              </c:extLst>
            </c:dLbl>
            <c:spPr>
              <a:noFill/>
              <a:ln>
                <a:noFill/>
              </a:ln>
              <a:effectLst/>
            </c:spPr>
            <c:txPr>
              <a:bodyPr rot="0" spcFirstLastPara="1" vertOverflow="ellipsis" vert="horz" wrap="square" anchor="ctr" anchorCtr="1"/>
              <a:lstStyle/>
              <a:p>
                <a:pPr>
                  <a:defRPr sz="900" b="1" i="0" u="none" strike="noStrike" kern="1200" baseline="0">
                    <a:solidFill>
                      <a:schemeClr val="accent6">
                        <a:lumMod val="75000"/>
                      </a:schemeClr>
                    </a:solidFill>
                    <a:latin typeface="Arial" panose="020B0604020202020204" pitchFamily="34" charset="0"/>
                    <a:ea typeface="+mn-ea"/>
                    <a:cs typeface="Arial" panose="020B060402020202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Hoja1!$B$2:$B$136</c:f>
              <c:numCache>
                <c:formatCode>#,##0.00</c:formatCode>
                <c:ptCount val="135"/>
                <c:pt idx="0">
                  <c:v>327.18973422704693</c:v>
                </c:pt>
                <c:pt idx="1">
                  <c:v>327.18973422704693</c:v>
                </c:pt>
                <c:pt idx="2">
                  <c:v>333.06585472051728</c:v>
                </c:pt>
                <c:pt idx="3">
                  <c:v>334.09417580687466</c:v>
                </c:pt>
                <c:pt idx="4">
                  <c:v>334.13090155995877</c:v>
                </c:pt>
                <c:pt idx="5">
                  <c:v>332.29461390574937</c:v>
                </c:pt>
                <c:pt idx="6">
                  <c:v>329.43000516518254</c:v>
                </c:pt>
                <c:pt idx="7">
                  <c:v>328.43840983190938</c:v>
                </c:pt>
                <c:pt idx="8">
                  <c:v>326.1614131406896</c:v>
                </c:pt>
                <c:pt idx="9">
                  <c:v>323.4437074124595</c:v>
                </c:pt>
                <c:pt idx="10">
                  <c:v>321.12998496815561</c:v>
                </c:pt>
                <c:pt idx="11">
                  <c:v>321.75432277058684</c:v>
                </c:pt>
                <c:pt idx="12">
                  <c:v>324.76583452349041</c:v>
                </c:pt>
                <c:pt idx="13">
                  <c:v>328.76894160966702</c:v>
                </c:pt>
                <c:pt idx="14">
                  <c:v>331.59682459714975</c:v>
                </c:pt>
                <c:pt idx="15">
                  <c:v>333.5065637575276</c:v>
                </c:pt>
                <c:pt idx="16">
                  <c:v>335.0857711401477</c:v>
                </c:pt>
                <c:pt idx="17">
                  <c:v>336.73843002893631</c:v>
                </c:pt>
                <c:pt idx="18">
                  <c:v>336.44462400426272</c:v>
                </c:pt>
                <c:pt idx="19">
                  <c:v>334.42470758463236</c:v>
                </c:pt>
                <c:pt idx="20">
                  <c:v>332.62514568350701</c:v>
                </c:pt>
                <c:pt idx="21">
                  <c:v>330.7888580292975</c:v>
                </c:pt>
                <c:pt idx="22">
                  <c:v>329.65035968368761</c:v>
                </c:pt>
                <c:pt idx="23">
                  <c:v>333.5065637575276</c:v>
                </c:pt>
                <c:pt idx="24">
                  <c:v>338.97870096707186</c:v>
                </c:pt>
                <c:pt idx="25">
                  <c:v>342.98180805324859</c:v>
                </c:pt>
                <c:pt idx="26">
                  <c:v>346.87473788017269</c:v>
                </c:pt>
                <c:pt idx="27">
                  <c:v>350.10660415158139</c:v>
                </c:pt>
                <c:pt idx="28">
                  <c:v>350.84111921326519</c:v>
                </c:pt>
                <c:pt idx="29">
                  <c:v>352.97121289214817</c:v>
                </c:pt>
                <c:pt idx="30">
                  <c:v>352.34687508971695</c:v>
                </c:pt>
                <c:pt idx="31">
                  <c:v>350.3636844231707</c:v>
                </c:pt>
                <c:pt idx="32">
                  <c:v>350.54731318859166</c:v>
                </c:pt>
                <c:pt idx="33">
                  <c:v>352.93448713906395</c:v>
                </c:pt>
                <c:pt idx="34">
                  <c:v>356.64378820056714</c:v>
                </c:pt>
                <c:pt idx="35">
                  <c:v>357.15794874374581</c:v>
                </c:pt>
                <c:pt idx="36">
                  <c:v>357.67210928692447</c:v>
                </c:pt>
                <c:pt idx="37">
                  <c:v>355.87254738579918</c:v>
                </c:pt>
                <c:pt idx="38">
                  <c:v>356.34998217589367</c:v>
                </c:pt>
                <c:pt idx="39">
                  <c:v>355.57874136112559</c:v>
                </c:pt>
                <c:pt idx="40">
                  <c:v>356.31325642280945</c:v>
                </c:pt>
                <c:pt idx="41">
                  <c:v>355.79909587963078</c:v>
                </c:pt>
                <c:pt idx="42">
                  <c:v>349.8862496330762</c:v>
                </c:pt>
                <c:pt idx="43">
                  <c:v>349.26191183064498</c:v>
                </c:pt>
                <c:pt idx="44">
                  <c:v>350.98802222560192</c:v>
                </c:pt>
                <c:pt idx="45">
                  <c:v>353.30174466990587</c:v>
                </c:pt>
                <c:pt idx="46">
                  <c:v>352.6039553613063</c:v>
                </c:pt>
                <c:pt idx="47">
                  <c:v>349.66589511457107</c:v>
                </c:pt>
                <c:pt idx="48">
                  <c:v>347.09509239867782</c:v>
                </c:pt>
                <c:pt idx="49">
                  <c:v>346.91146363325686</c:v>
                </c:pt>
                <c:pt idx="50">
                  <c:v>347.53580143568803</c:v>
                </c:pt>
                <c:pt idx="51">
                  <c:v>348.82120279363471</c:v>
                </c:pt>
                <c:pt idx="52">
                  <c:v>347.71943020110905</c:v>
                </c:pt>
                <c:pt idx="53">
                  <c:v>348.38049375662439</c:v>
                </c:pt>
                <c:pt idx="54">
                  <c:v>349.18846032447664</c:v>
                </c:pt>
                <c:pt idx="55">
                  <c:v>349.18846032447664</c:v>
                </c:pt>
                <c:pt idx="56">
                  <c:v>349.18846032447664</c:v>
                </c:pt>
                <c:pt idx="57">
                  <c:v>348.63757402821381</c:v>
                </c:pt>
                <c:pt idx="58">
                  <c:v>345.9198682999837</c:v>
                </c:pt>
                <c:pt idx="59">
                  <c:v>345.03845022596317</c:v>
                </c:pt>
                <c:pt idx="60">
                  <c:v>345.40570775680504</c:v>
                </c:pt>
                <c:pt idx="61">
                  <c:v>347.71943020110905</c:v>
                </c:pt>
                <c:pt idx="62">
                  <c:v>351.94289180579085</c:v>
                </c:pt>
                <c:pt idx="63">
                  <c:v>357.965915311598</c:v>
                </c:pt>
                <c:pt idx="64">
                  <c:v>359.50839694113398</c:v>
                </c:pt>
                <c:pt idx="65">
                  <c:v>359.06768790412372</c:v>
                </c:pt>
                <c:pt idx="66">
                  <c:v>357.85573805234537</c:v>
                </c:pt>
                <c:pt idx="67">
                  <c:v>357.04777148449324</c:v>
                </c:pt>
                <c:pt idx="68">
                  <c:v>359.50839694113398</c:v>
                </c:pt>
                <c:pt idx="69">
                  <c:v>361.38141034842766</c:v>
                </c:pt>
                <c:pt idx="70">
                  <c:v>362.99734348413199</c:v>
                </c:pt>
                <c:pt idx="71">
                  <c:v>362.70353745945846</c:v>
                </c:pt>
                <c:pt idx="72">
                  <c:v>367.25753084189802</c:v>
                </c:pt>
                <c:pt idx="73">
                  <c:v>369.82833355779127</c:v>
                </c:pt>
                <c:pt idx="74">
                  <c:v>369.49780178003357</c:v>
                </c:pt>
                <c:pt idx="75">
                  <c:v>376.25534034752451</c:v>
                </c:pt>
                <c:pt idx="76">
                  <c:v>374.96993898957783</c:v>
                </c:pt>
                <c:pt idx="77">
                  <c:v>372.47258777985292</c:v>
                </c:pt>
                <c:pt idx="78">
                  <c:v>375.77790555743002</c:v>
                </c:pt>
                <c:pt idx="79">
                  <c:v>380.03809291519605</c:v>
                </c:pt>
                <c:pt idx="80">
                  <c:v>388.44829037147554</c:v>
                </c:pt>
                <c:pt idx="81">
                  <c:v>392.81865498849407</c:v>
                </c:pt>
                <c:pt idx="82">
                  <c:v>392.74520348232573</c:v>
                </c:pt>
                <c:pt idx="83">
                  <c:v>395.13237743279808</c:v>
                </c:pt>
                <c:pt idx="84">
                  <c:v>402.40407654346762</c:v>
                </c:pt>
                <c:pt idx="85">
                  <c:v>406.81116691357039</c:v>
                </c:pt>
                <c:pt idx="86">
                  <c:v>410.15321044423172</c:v>
                </c:pt>
                <c:pt idx="87">
                  <c:v>408.463825802359</c:v>
                </c:pt>
                <c:pt idx="88">
                  <c:v>407.14169869132814</c:v>
                </c:pt>
                <c:pt idx="89">
                  <c:v>409.5655983948846</c:v>
                </c:pt>
                <c:pt idx="90">
                  <c:v>411.98949809844123</c:v>
                </c:pt>
                <c:pt idx="91">
                  <c:v>411.87932083918861</c:v>
                </c:pt>
                <c:pt idx="92">
                  <c:v>407.43550471600162</c:v>
                </c:pt>
                <c:pt idx="93">
                  <c:v>406.11337760497082</c:v>
                </c:pt>
                <c:pt idx="94">
                  <c:v>406.40718362964429</c:v>
                </c:pt>
                <c:pt idx="95">
                  <c:v>410.59391948124198</c:v>
                </c:pt>
                <c:pt idx="96">
                  <c:v>408.90453483936926</c:v>
                </c:pt>
                <c:pt idx="97">
                  <c:v>410.37356496273679</c:v>
                </c:pt>
                <c:pt idx="98">
                  <c:v>409.49214688871626</c:v>
                </c:pt>
                <c:pt idx="99">
                  <c:v>410.70409674049455</c:v>
                </c:pt>
                <c:pt idx="100">
                  <c:v>408.7209060739483</c:v>
                </c:pt>
                <c:pt idx="101">
                  <c:v>408.86780908628504</c:v>
                </c:pt>
                <c:pt idx="102">
                  <c:v>408.53727730852728</c:v>
                </c:pt>
                <c:pt idx="103">
                  <c:v>410.63064523432615</c:v>
                </c:pt>
                <c:pt idx="104">
                  <c:v>411.32843454292578</c:v>
                </c:pt>
                <c:pt idx="105">
                  <c:v>410.88772550591545</c:v>
                </c:pt>
                <c:pt idx="106">
                  <c:v>412.0262238515254</c:v>
                </c:pt>
                <c:pt idx="107">
                  <c:v>415.95587943153373</c:v>
                </c:pt>
                <c:pt idx="108">
                  <c:v>416.50676572779651</c:v>
                </c:pt>
                <c:pt idx="109">
                  <c:v>416.13950819695469</c:v>
                </c:pt>
                <c:pt idx="110">
                  <c:v>417.09437777714351</c:v>
                </c:pt>
                <c:pt idx="111">
                  <c:v>417.49836106106966</c:v>
                </c:pt>
                <c:pt idx="112">
                  <c:v>416.58021723396496</c:v>
                </c:pt>
                <c:pt idx="113">
                  <c:v>420.36296980163644</c:v>
                </c:pt>
                <c:pt idx="114">
                  <c:v>421.1342106164044</c:v>
                </c:pt>
                <c:pt idx="115">
                  <c:v>420.69350157939414</c:v>
                </c:pt>
                <c:pt idx="116">
                  <c:v>421.39129088799376</c:v>
                </c:pt>
                <c:pt idx="117">
                  <c:v>426.38599330744353</c:v>
                </c:pt>
                <c:pt idx="118">
                  <c:v>429.43423081343138</c:v>
                </c:pt>
                <c:pt idx="119">
                  <c:v>429.76476259118903</c:v>
                </c:pt>
                <c:pt idx="120">
                  <c:v>429.36077930726293</c:v>
                </c:pt>
                <c:pt idx="121">
                  <c:v>430.35237464053614</c:v>
                </c:pt>
                <c:pt idx="122">
                  <c:v>431.08688970221988</c:v>
                </c:pt>
                <c:pt idx="123">
                  <c:v>432.7028228379242</c:v>
                </c:pt>
                <c:pt idx="124">
                  <c:v>436.52230115867997</c:v>
                </c:pt>
                <c:pt idx="125">
                  <c:v>441.40682631887722</c:v>
                </c:pt>
                <c:pt idx="126">
                  <c:v>439.82761893625707</c:v>
                </c:pt>
                <c:pt idx="127">
                  <c:v>443.39001698542347</c:v>
                </c:pt>
                <c:pt idx="128">
                  <c:v>446.58515750374795</c:v>
                </c:pt>
                <c:pt idx="129">
                  <c:v>448.89887994805196</c:v>
                </c:pt>
                <c:pt idx="130">
                  <c:v>450.11082979983019</c:v>
                </c:pt>
                <c:pt idx="131">
                  <c:v>449.19268597272543</c:v>
                </c:pt>
                <c:pt idx="132">
                  <c:v>449.37631473814639</c:v>
                </c:pt>
                <c:pt idx="133">
                  <c:v>449.30286323197805</c:v>
                </c:pt>
                <c:pt idx="134">
                  <c:v>449.30286323197805</c:v>
                </c:pt>
              </c:numCache>
            </c:numRef>
          </c:val>
          <c:smooth val="0"/>
          <c:extLst>
            <c:ext xmlns:c16="http://schemas.microsoft.com/office/drawing/2014/chart" uri="{C3380CC4-5D6E-409C-BE32-E72D297353CC}">
              <c16:uniqueId val="{00000004-DF22-4DAB-9B24-3AD05A1E9ADC}"/>
            </c:ext>
          </c:extLst>
        </c:ser>
        <c:dLbls>
          <c:showLegendKey val="0"/>
          <c:showVal val="0"/>
          <c:showCatName val="0"/>
          <c:showSerName val="0"/>
          <c:showPercent val="0"/>
          <c:showBubbleSize val="0"/>
        </c:dLbls>
        <c:smooth val="0"/>
        <c:axId val="1622465200"/>
        <c:axId val="1627075216"/>
      </c:lineChart>
      <c:dateAx>
        <c:axId val="162246520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627075216"/>
        <c:crosses val="autoZero"/>
        <c:auto val="1"/>
        <c:lblOffset val="100"/>
        <c:baseTimeUnit val="months"/>
      </c:dateAx>
      <c:valAx>
        <c:axId val="162707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Pesos por kilogramo</a:t>
                </a:r>
              </a:p>
            </c:rich>
          </c:tx>
          <c:layout>
            <c:manualLayout>
              <c:xMode val="edge"/>
              <c:yMode val="edge"/>
              <c:x val="5.1130606322777414E-3"/>
              <c:y val="0.2266099600890452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62246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rgbClr val="507596"/>
                </a:solidFill>
                <a:latin typeface="+mn-lt"/>
                <a:ea typeface="+mn-ea"/>
                <a:cs typeface="+mn-cs"/>
              </a:defRPr>
            </a:pPr>
            <a:r>
              <a:rPr lang="es-CO" sz="1200" b="1">
                <a:solidFill>
                  <a:srgbClr val="507596"/>
                </a:solidFill>
              </a:rPr>
              <a:t>Precio regulado vs. precio piso</a:t>
            </a: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507596"/>
              </a:solidFill>
              <a:latin typeface="+mn-lt"/>
              <a:ea typeface="+mn-ea"/>
              <a:cs typeface="+mn-cs"/>
            </a:defRPr>
          </a:pPr>
          <a:endParaRPr lang="es-CO"/>
        </a:p>
      </c:txPr>
    </c:title>
    <c:autoTitleDeleted val="0"/>
    <c:plotArea>
      <c:layout>
        <c:manualLayout>
          <c:layoutTarget val="inner"/>
          <c:xMode val="edge"/>
          <c:yMode val="edge"/>
          <c:x val="0.11299309757103149"/>
          <c:y val="0.18374878768523503"/>
          <c:w val="0.87495549948743034"/>
          <c:h val="0.53876217878442789"/>
        </c:manualLayout>
      </c:layout>
      <c:lineChart>
        <c:grouping val="standard"/>
        <c:varyColors val="0"/>
        <c:ser>
          <c:idx val="1"/>
          <c:order val="0"/>
          <c:tx>
            <c:strRef>
              <c:f>Hoja1!$C$1</c:f>
              <c:strCache>
                <c:ptCount val="1"/>
                <c:pt idx="0">
                  <c:v>Propano</c:v>
                </c:pt>
              </c:strCache>
            </c:strRef>
          </c:tx>
          <c:spPr>
            <a:ln w="28575" cap="rnd">
              <a:solidFill>
                <a:schemeClr val="accent2"/>
              </a:solidFill>
              <a:round/>
            </a:ln>
            <a:effectLst/>
          </c:spPr>
          <c:marker>
            <c:symbol val="none"/>
          </c:marker>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Hoja1!$C$2:$C$87</c:f>
              <c:numCache>
                <c:formatCode>0.00</c:formatCode>
                <c:ptCount val="86"/>
                <c:pt idx="0">
                  <c:v>857.69523405000007</c:v>
                </c:pt>
                <c:pt idx="1">
                  <c:v>855.5774680400001</c:v>
                </c:pt>
                <c:pt idx="2">
                  <c:v>847.10640400000011</c:v>
                </c:pt>
                <c:pt idx="3">
                  <c:v>815.33991385000002</c:v>
                </c:pt>
                <c:pt idx="4">
                  <c:v>760.27799759000004</c:v>
                </c:pt>
                <c:pt idx="5">
                  <c:v>641.68310102999999</c:v>
                </c:pt>
                <c:pt idx="6">
                  <c:v>673.44959118000008</c:v>
                </c:pt>
                <c:pt idx="7">
                  <c:v>673.44959118000008</c:v>
                </c:pt>
                <c:pt idx="8">
                  <c:v>614.15214289999994</c:v>
                </c:pt>
                <c:pt idx="9">
                  <c:v>620.50544092999996</c:v>
                </c:pt>
                <c:pt idx="10">
                  <c:v>609.91661087999989</c:v>
                </c:pt>
                <c:pt idx="11">
                  <c:v>567.56129067999996</c:v>
                </c:pt>
                <c:pt idx="12">
                  <c:v>482.85065028000002</c:v>
                </c:pt>
                <c:pt idx="13">
                  <c:v>514.61714042999995</c:v>
                </c:pt>
                <c:pt idx="14">
                  <c:v>497.67501234999997</c:v>
                </c:pt>
                <c:pt idx="15">
                  <c:v>429.90650003000002</c:v>
                </c:pt>
                <c:pt idx="16">
                  <c:v>461.67299018</c:v>
                </c:pt>
                <c:pt idx="17">
                  <c:v>487.08618230000002</c:v>
                </c:pt>
                <c:pt idx="18">
                  <c:v>518.85267245</c:v>
                </c:pt>
                <c:pt idx="19">
                  <c:v>525.20597048000002</c:v>
                </c:pt>
                <c:pt idx="20">
                  <c:v>525.20597048000002</c:v>
                </c:pt>
                <c:pt idx="21">
                  <c:v>614.15214289999994</c:v>
                </c:pt>
                <c:pt idx="22">
                  <c:v>529.19999295000002</c:v>
                </c:pt>
                <c:pt idx="23">
                  <c:v>568.63058066000008</c:v>
                </c:pt>
                <c:pt idx="24">
                  <c:v>620.51293291000002</c:v>
                </c:pt>
                <c:pt idx="25">
                  <c:v>597.68469791999996</c:v>
                </c:pt>
                <c:pt idx="26">
                  <c:v>589.38352155999996</c:v>
                </c:pt>
                <c:pt idx="27">
                  <c:v>622.58822699999996</c:v>
                </c:pt>
                <c:pt idx="28">
                  <c:v>664.09410880000007</c:v>
                </c:pt>
                <c:pt idx="29">
                  <c:v>715.9764610499999</c:v>
                </c:pt>
                <c:pt idx="30">
                  <c:v>736.72940195000001</c:v>
                </c:pt>
                <c:pt idx="31">
                  <c:v>713.90116695999995</c:v>
                </c:pt>
                <c:pt idx="32">
                  <c:v>722.20234331999995</c:v>
                </c:pt>
                <c:pt idx="33">
                  <c:v>798.98822465000001</c:v>
                </c:pt>
                <c:pt idx="34">
                  <c:v>757.48234285000001</c:v>
                </c:pt>
                <c:pt idx="35">
                  <c:v>653.71763835000002</c:v>
                </c:pt>
                <c:pt idx="36">
                  <c:v>736.72940195000001</c:v>
                </c:pt>
                <c:pt idx="37">
                  <c:v>736.72940195000001</c:v>
                </c:pt>
                <c:pt idx="38">
                  <c:v>705.59999060000007</c:v>
                </c:pt>
                <c:pt idx="39">
                  <c:v>680.69646152000007</c:v>
                </c:pt>
                <c:pt idx="40">
                  <c:v>691.07293197000001</c:v>
                </c:pt>
                <c:pt idx="41">
                  <c:v>707.67528469000001</c:v>
                </c:pt>
                <c:pt idx="42">
                  <c:v>693.14822606000007</c:v>
                </c:pt>
                <c:pt idx="43">
                  <c:v>675.00749580000013</c:v>
                </c:pt>
                <c:pt idx="44">
                  <c:v>687.28035936000003</c:v>
                </c:pt>
                <c:pt idx="45">
                  <c:v>767.0539725000001</c:v>
                </c:pt>
                <c:pt idx="46">
                  <c:v>767.0539725000001</c:v>
                </c:pt>
                <c:pt idx="47">
                  <c:v>773.19040428000005</c:v>
                </c:pt>
                <c:pt idx="48">
                  <c:v>777.28135880000002</c:v>
                </c:pt>
                <c:pt idx="49">
                  <c:v>777.28135880000002</c:v>
                </c:pt>
              </c:numCache>
            </c:numRef>
          </c:val>
          <c:smooth val="0"/>
          <c:extLst>
            <c:ext xmlns:c16="http://schemas.microsoft.com/office/drawing/2014/chart" uri="{C3380CC4-5D6E-409C-BE32-E72D297353CC}">
              <c16:uniqueId val="{00000000-2467-4667-AE34-DD9DBF795452}"/>
            </c:ext>
          </c:extLst>
        </c:ser>
        <c:ser>
          <c:idx val="2"/>
          <c:order val="1"/>
          <c:tx>
            <c:strRef>
              <c:f>Hoja1!$D$1</c:f>
              <c:strCache>
                <c:ptCount val="1"/>
                <c:pt idx="0">
                  <c:v>Reficar</c:v>
                </c:pt>
              </c:strCache>
            </c:strRef>
          </c:tx>
          <c:spPr>
            <a:ln w="28575" cap="rnd">
              <a:solidFill>
                <a:schemeClr val="accent3"/>
              </a:solidFill>
              <a:round/>
            </a:ln>
            <a:effectLst/>
          </c:spPr>
          <c:marker>
            <c:symbol val="none"/>
          </c:marker>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Hoja1!$D$2:$D$87</c:f>
              <c:numCache>
                <c:formatCode>General</c:formatCode>
                <c:ptCount val="86"/>
                <c:pt idx="10" formatCode="0.00">
                  <c:v>732.51280791592649</c:v>
                </c:pt>
                <c:pt idx="11" formatCode="0.00">
                  <c:v>732.51280791592649</c:v>
                </c:pt>
                <c:pt idx="12" formatCode="0.00">
                  <c:v>732.51280791592649</c:v>
                </c:pt>
                <c:pt idx="13" formatCode="0.00">
                  <c:v>732.51280791592649</c:v>
                </c:pt>
                <c:pt idx="14" formatCode="0.00">
                  <c:v>732.51280791592649</c:v>
                </c:pt>
                <c:pt idx="15" formatCode="0.00">
                  <c:v>732.51280791592649</c:v>
                </c:pt>
                <c:pt idx="16" formatCode="0.00">
                  <c:v>732.51280791592649</c:v>
                </c:pt>
                <c:pt idx="17" formatCode="0.00">
                  <c:v>732.51280791592649</c:v>
                </c:pt>
                <c:pt idx="18" formatCode="0.00">
                  <c:v>732.51280791592649</c:v>
                </c:pt>
                <c:pt idx="19" formatCode="0.00">
                  <c:v>732.51280791592649</c:v>
                </c:pt>
                <c:pt idx="20" formatCode="0.00">
                  <c:v>732.51280791592649</c:v>
                </c:pt>
                <c:pt idx="21" formatCode="0.00">
                  <c:v>732.51280791592649</c:v>
                </c:pt>
                <c:pt idx="22" formatCode="0.00">
                  <c:v>732.51280791592649</c:v>
                </c:pt>
                <c:pt idx="23" formatCode="0.00">
                  <c:v>732.51280791592649</c:v>
                </c:pt>
                <c:pt idx="24" formatCode="0.00">
                  <c:v>732.51280791592649</c:v>
                </c:pt>
                <c:pt idx="25" formatCode="0.00">
                  <c:v>732.51280791592649</c:v>
                </c:pt>
                <c:pt idx="26" formatCode="0.00">
                  <c:v>732.51280791592649</c:v>
                </c:pt>
                <c:pt idx="27" formatCode="0.00">
                  <c:v>732.51280791592649</c:v>
                </c:pt>
                <c:pt idx="28" formatCode="0.00">
                  <c:v>732.51280791592649</c:v>
                </c:pt>
                <c:pt idx="29" formatCode="0.00">
                  <c:v>732.51280791592649</c:v>
                </c:pt>
                <c:pt idx="30" formatCode="0.00">
                  <c:v>732.51280791592649</c:v>
                </c:pt>
                <c:pt idx="31" formatCode="0.00">
                  <c:v>673.27273905699178</c:v>
                </c:pt>
                <c:pt idx="32" formatCode="0.00">
                  <c:v>673.27273905699178</c:v>
                </c:pt>
                <c:pt idx="33" formatCode="0.00">
                  <c:v>673.27273905699178</c:v>
                </c:pt>
                <c:pt idx="34" formatCode="0.00">
                  <c:v>673.27273905699178</c:v>
                </c:pt>
                <c:pt idx="35" formatCode="0.00">
                  <c:v>673.27273905699178</c:v>
                </c:pt>
                <c:pt idx="36" formatCode="0.00">
                  <c:v>673.27273905699178</c:v>
                </c:pt>
                <c:pt idx="37" formatCode="0.00">
                  <c:v>673.27273905699178</c:v>
                </c:pt>
                <c:pt idx="38" formatCode="0.00">
                  <c:v>673.27273905699178</c:v>
                </c:pt>
                <c:pt idx="39" formatCode="0.00">
                  <c:v>673.27273905699178</c:v>
                </c:pt>
                <c:pt idx="40" formatCode="0.00">
                  <c:v>673.27273905699178</c:v>
                </c:pt>
                <c:pt idx="41" formatCode="0.00">
                  <c:v>673.27273905699178</c:v>
                </c:pt>
                <c:pt idx="42" formatCode="0.00">
                  <c:v>673.27273905699178</c:v>
                </c:pt>
                <c:pt idx="43" formatCode="0.00">
                  <c:v>673.27273905699178</c:v>
                </c:pt>
                <c:pt idx="44" formatCode="0.00">
                  <c:v>673.27273905699178</c:v>
                </c:pt>
                <c:pt idx="45" formatCode="0.00">
                  <c:v>673.27273905699178</c:v>
                </c:pt>
                <c:pt idx="46" formatCode="0.00">
                  <c:v>673.27273905699178</c:v>
                </c:pt>
                <c:pt idx="47" formatCode="0.00">
                  <c:v>673.27273905699178</c:v>
                </c:pt>
                <c:pt idx="48" formatCode="0.00">
                  <c:v>673.27273905699178</c:v>
                </c:pt>
                <c:pt idx="49" formatCode="0.00">
                  <c:v>673.27273905699178</c:v>
                </c:pt>
                <c:pt idx="50" formatCode="0.00">
                  <c:v>673.27273905699178</c:v>
                </c:pt>
                <c:pt idx="51" formatCode="0.00">
                  <c:v>673.27273905699178</c:v>
                </c:pt>
                <c:pt idx="52" formatCode="0.00">
                  <c:v>673.27273905699178</c:v>
                </c:pt>
                <c:pt idx="53" formatCode="0.00">
                  <c:v>659.32542307827407</c:v>
                </c:pt>
                <c:pt idx="54" formatCode="0.00">
                  <c:v>659.32542307827407</c:v>
                </c:pt>
                <c:pt idx="55" formatCode="0.00">
                  <c:v>659.32542307827407</c:v>
                </c:pt>
                <c:pt idx="56" formatCode="0.00">
                  <c:v>659.32542307827407</c:v>
                </c:pt>
                <c:pt idx="57" formatCode="0.00">
                  <c:v>659.32542307827407</c:v>
                </c:pt>
                <c:pt idx="58" formatCode="0.00">
                  <c:v>659.32542307827407</c:v>
                </c:pt>
                <c:pt idx="59" formatCode="0.00">
                  <c:v>659.32542307827407</c:v>
                </c:pt>
                <c:pt idx="60" formatCode="0.00">
                  <c:v>659.32542307827407</c:v>
                </c:pt>
                <c:pt idx="61" formatCode="0.00">
                  <c:v>659.32542307827407</c:v>
                </c:pt>
                <c:pt idx="62" formatCode="0.00">
                  <c:v>659.32542307827407</c:v>
                </c:pt>
                <c:pt idx="63" formatCode="0.00">
                  <c:v>659.32542307827407</c:v>
                </c:pt>
                <c:pt idx="64" formatCode="0.00">
                  <c:v>659.32542307827407</c:v>
                </c:pt>
                <c:pt idx="65" formatCode="0.00">
                  <c:v>659.32542307827407</c:v>
                </c:pt>
                <c:pt idx="66" formatCode="0.00">
                  <c:v>659.32542307827407</c:v>
                </c:pt>
                <c:pt idx="67" formatCode="0.00">
                  <c:v>659.32542307827407</c:v>
                </c:pt>
                <c:pt idx="68" formatCode="0.00">
                  <c:v>659.32542307827407</c:v>
                </c:pt>
                <c:pt idx="69" formatCode="0.00">
                  <c:v>659.32542307827407</c:v>
                </c:pt>
                <c:pt idx="70" formatCode="0.00">
                  <c:v>659.32542307827407</c:v>
                </c:pt>
                <c:pt idx="71" formatCode="0.00">
                  <c:v>659.32542307827407</c:v>
                </c:pt>
                <c:pt idx="72" formatCode="0.00">
                  <c:v>659.32542307827407</c:v>
                </c:pt>
                <c:pt idx="73" formatCode="0.00">
                  <c:v>659.32542307827407</c:v>
                </c:pt>
              </c:numCache>
            </c:numRef>
          </c:val>
          <c:smooth val="0"/>
          <c:extLst>
            <c:ext xmlns:c16="http://schemas.microsoft.com/office/drawing/2014/chart" uri="{C3380CC4-5D6E-409C-BE32-E72D297353CC}">
              <c16:uniqueId val="{00000001-2467-4667-AE34-DD9DBF795452}"/>
            </c:ext>
          </c:extLst>
        </c:ser>
        <c:ser>
          <c:idx val="0"/>
          <c:order val="2"/>
          <c:tx>
            <c:strRef>
              <c:f>Hoja1!$E$1</c:f>
              <c:strCache>
                <c:ptCount val="1"/>
                <c:pt idx="0">
                  <c:v>Interior</c:v>
                </c:pt>
              </c:strCache>
            </c:strRef>
          </c:tx>
          <c:spPr>
            <a:ln w="28575" cap="rnd">
              <a:solidFill>
                <a:schemeClr val="accent1"/>
              </a:solidFill>
              <a:round/>
            </a:ln>
            <a:effectLst/>
          </c:spPr>
          <c:marker>
            <c:symbol val="none"/>
          </c:marker>
          <c:dLbls>
            <c:dLbl>
              <c:idx val="2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67-4667-AE34-DD9DBF795452}"/>
                </c:ext>
              </c:extLst>
            </c:dLbl>
            <c:dLbl>
              <c:idx val="4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67-4667-AE34-DD9DBF795452}"/>
                </c:ext>
              </c:extLst>
            </c:dLbl>
            <c:dLbl>
              <c:idx val="6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67-4667-AE34-DD9DBF795452}"/>
                </c:ext>
              </c:extLst>
            </c:dLbl>
            <c:dLbl>
              <c:idx val="7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67-4667-AE34-DD9DBF79545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1">
                        <a:lumMod val="50000"/>
                      </a:schemeClr>
                    </a:solidFill>
                    <a:latin typeface="+mn-lt"/>
                    <a:ea typeface="+mn-ea"/>
                    <a:cs typeface="+mn-cs"/>
                  </a:defRPr>
                </a:pPr>
                <a:endParaRPr lang="es-CO"/>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Hoja1!$E$2:$E$87</c:f>
              <c:numCache>
                <c:formatCode>General</c:formatCode>
                <c:ptCount val="86"/>
                <c:pt idx="10" formatCode="0.00">
                  <c:v>562.88115775709662</c:v>
                </c:pt>
                <c:pt idx="11" formatCode="0.00">
                  <c:v>562.88115775709662</c:v>
                </c:pt>
                <c:pt idx="12" formatCode="0.00">
                  <c:v>562.88115775709662</c:v>
                </c:pt>
                <c:pt idx="13" formatCode="0.00">
                  <c:v>562.88115775709662</c:v>
                </c:pt>
                <c:pt idx="14" formatCode="0.00">
                  <c:v>562.88115775709662</c:v>
                </c:pt>
                <c:pt idx="15" formatCode="0.00">
                  <c:v>562.88115775709662</c:v>
                </c:pt>
                <c:pt idx="16" formatCode="0.00">
                  <c:v>562.88115775709662</c:v>
                </c:pt>
                <c:pt idx="17" formatCode="0.00">
                  <c:v>562.88115775709662</c:v>
                </c:pt>
                <c:pt idx="18" formatCode="0.00">
                  <c:v>562.88115775709662</c:v>
                </c:pt>
                <c:pt idx="19" formatCode="0.00">
                  <c:v>562.88115775709662</c:v>
                </c:pt>
                <c:pt idx="20" formatCode="0.00">
                  <c:v>562.88115775709662</c:v>
                </c:pt>
                <c:pt idx="21" formatCode="0.00">
                  <c:v>562.88115775709662</c:v>
                </c:pt>
                <c:pt idx="22" formatCode="0.00">
                  <c:v>562.88115775709662</c:v>
                </c:pt>
                <c:pt idx="23" formatCode="0.00">
                  <c:v>562.88115775709662</c:v>
                </c:pt>
                <c:pt idx="24" formatCode="0.00">
                  <c:v>562.88115775709662</c:v>
                </c:pt>
                <c:pt idx="25" formatCode="0.00">
                  <c:v>562.88115775709662</c:v>
                </c:pt>
                <c:pt idx="26" formatCode="0.00">
                  <c:v>562.88115775709662</c:v>
                </c:pt>
                <c:pt idx="27" formatCode="0.00">
                  <c:v>562.88115775709662</c:v>
                </c:pt>
                <c:pt idx="28" formatCode="0.00">
                  <c:v>562.88115775709662</c:v>
                </c:pt>
                <c:pt idx="29" formatCode="0.00">
                  <c:v>562.88115775709662</c:v>
                </c:pt>
                <c:pt idx="30" formatCode="0.00">
                  <c:v>562.88115775709662</c:v>
                </c:pt>
                <c:pt idx="31" formatCode="0.00">
                  <c:v>342.25</c:v>
                </c:pt>
                <c:pt idx="32" formatCode="0.00">
                  <c:v>342.25</c:v>
                </c:pt>
                <c:pt idx="33" formatCode="0.00">
                  <c:v>342.25</c:v>
                </c:pt>
                <c:pt idx="34" formatCode="0.00">
                  <c:v>342.25</c:v>
                </c:pt>
                <c:pt idx="35" formatCode="0.00">
                  <c:v>342.25</c:v>
                </c:pt>
                <c:pt idx="36" formatCode="0.00">
                  <c:v>342.25</c:v>
                </c:pt>
                <c:pt idx="37" formatCode="0.00">
                  <c:v>342.25</c:v>
                </c:pt>
                <c:pt idx="38" formatCode="0.00">
                  <c:v>342.25</c:v>
                </c:pt>
                <c:pt idx="39" formatCode="0.00">
                  <c:v>342.25</c:v>
                </c:pt>
                <c:pt idx="40" formatCode="0.00">
                  <c:v>342.25</c:v>
                </c:pt>
                <c:pt idx="41" formatCode="0.00">
                  <c:v>342.25</c:v>
                </c:pt>
                <c:pt idx="42" formatCode="0.00">
                  <c:v>342.25</c:v>
                </c:pt>
                <c:pt idx="43" formatCode="0.00">
                  <c:v>342.25</c:v>
                </c:pt>
                <c:pt idx="44" formatCode="0.00">
                  <c:v>342.25</c:v>
                </c:pt>
                <c:pt idx="45" formatCode="0.00">
                  <c:v>342.25</c:v>
                </c:pt>
                <c:pt idx="46" formatCode="0.00">
                  <c:v>342.25</c:v>
                </c:pt>
                <c:pt idx="47" formatCode="0.00">
                  <c:v>342.25</c:v>
                </c:pt>
                <c:pt idx="48" formatCode="0.00">
                  <c:v>342.25</c:v>
                </c:pt>
                <c:pt idx="49" formatCode="0.00">
                  <c:v>342.25</c:v>
                </c:pt>
                <c:pt idx="50" formatCode="0.00">
                  <c:v>342.25</c:v>
                </c:pt>
                <c:pt idx="51" formatCode="0.00">
                  <c:v>342.25</c:v>
                </c:pt>
                <c:pt idx="52" formatCode="0.00">
                  <c:v>342.25</c:v>
                </c:pt>
                <c:pt idx="53" formatCode="0.00">
                  <c:v>428.22587331761918</c:v>
                </c:pt>
                <c:pt idx="54" formatCode="0.00">
                  <c:v>428.22587331761918</c:v>
                </c:pt>
                <c:pt idx="55" formatCode="0.00">
                  <c:v>428.22587331761918</c:v>
                </c:pt>
                <c:pt idx="56" formatCode="0.00">
                  <c:v>428.22587331761918</c:v>
                </c:pt>
                <c:pt idx="57" formatCode="0.00">
                  <c:v>428.22587331761918</c:v>
                </c:pt>
                <c:pt idx="58" formatCode="0.00">
                  <c:v>428.22587331761918</c:v>
                </c:pt>
                <c:pt idx="59" formatCode="0.00">
                  <c:v>428.22587331761918</c:v>
                </c:pt>
                <c:pt idx="60" formatCode="0.00">
                  <c:v>428.22587331761918</c:v>
                </c:pt>
                <c:pt idx="61" formatCode="0.00">
                  <c:v>428.22587331761918</c:v>
                </c:pt>
                <c:pt idx="62" formatCode="0.00">
                  <c:v>428.22587331761918</c:v>
                </c:pt>
                <c:pt idx="63" formatCode="0.00">
                  <c:v>428.22587331761918</c:v>
                </c:pt>
                <c:pt idx="64" formatCode="0.00">
                  <c:v>428.22587331761918</c:v>
                </c:pt>
                <c:pt idx="65" formatCode="0.00">
                  <c:v>428.22587331761918</c:v>
                </c:pt>
                <c:pt idx="66" formatCode="0.00">
                  <c:v>428.22587331761918</c:v>
                </c:pt>
                <c:pt idx="67" formatCode="0.00">
                  <c:v>428.22587331761918</c:v>
                </c:pt>
                <c:pt idx="68" formatCode="0.00">
                  <c:v>428.22587331761918</c:v>
                </c:pt>
                <c:pt idx="69" formatCode="0.00">
                  <c:v>428.22587331761918</c:v>
                </c:pt>
                <c:pt idx="70" formatCode="0.00">
                  <c:v>428.22587331761918</c:v>
                </c:pt>
                <c:pt idx="71" formatCode="0.00">
                  <c:v>428.22587331761918</c:v>
                </c:pt>
                <c:pt idx="72" formatCode="0.00">
                  <c:v>428.22587331761918</c:v>
                </c:pt>
                <c:pt idx="73" formatCode="0.00">
                  <c:v>428.22587331761918</c:v>
                </c:pt>
                <c:pt idx="74" formatCode="0.00">
                  <c:v>496.30698886285722</c:v>
                </c:pt>
                <c:pt idx="75" formatCode="0.00">
                  <c:v>496.30698886285722</c:v>
                </c:pt>
                <c:pt idx="76" formatCode="0.00">
                  <c:v>496.30698886285722</c:v>
                </c:pt>
                <c:pt idx="77" formatCode="0.00">
                  <c:v>496.30698886285722</c:v>
                </c:pt>
                <c:pt idx="78" formatCode="0.00">
                  <c:v>496.30698886285722</c:v>
                </c:pt>
                <c:pt idx="79" formatCode="0.00">
                  <c:v>496.30698886285722</c:v>
                </c:pt>
                <c:pt idx="80" formatCode="0.00">
                  <c:v>496.30698886285722</c:v>
                </c:pt>
                <c:pt idx="81" formatCode="0.00">
                  <c:v>496.30698886285722</c:v>
                </c:pt>
                <c:pt idx="82" formatCode="0.00">
                  <c:v>496.30698886285722</c:v>
                </c:pt>
                <c:pt idx="83" formatCode="0.00">
                  <c:v>496.30698886285722</c:v>
                </c:pt>
                <c:pt idx="84" formatCode="0.00">
                  <c:v>496.30698886285722</c:v>
                </c:pt>
                <c:pt idx="85" formatCode="0.00">
                  <c:v>496.30698886285722</c:v>
                </c:pt>
              </c:numCache>
            </c:numRef>
          </c:val>
          <c:smooth val="0"/>
          <c:extLst>
            <c:ext xmlns:c16="http://schemas.microsoft.com/office/drawing/2014/chart" uri="{C3380CC4-5D6E-409C-BE32-E72D297353CC}">
              <c16:uniqueId val="{00000006-2467-4667-AE34-DD9DBF795452}"/>
            </c:ext>
          </c:extLst>
        </c:ser>
        <c:ser>
          <c:idx val="3"/>
          <c:order val="3"/>
          <c:tx>
            <c:strRef>
              <c:f>Hoja1!$F$1</c:f>
              <c:strCache>
                <c:ptCount val="1"/>
                <c:pt idx="0">
                  <c:v>Piso</c:v>
                </c:pt>
              </c:strCache>
            </c:strRef>
          </c:tx>
          <c:spPr>
            <a:ln w="28575" cap="rnd">
              <a:solidFill>
                <a:srgbClr val="C00000"/>
              </a:solidFill>
              <a:prstDash val="sysDot"/>
              <a:round/>
            </a:ln>
            <a:effectLst/>
          </c:spPr>
          <c:marker>
            <c:symbol val="none"/>
          </c:marker>
          <c:dLbls>
            <c:dLbl>
              <c:idx val="3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67-4667-AE34-DD9DBF795452}"/>
                </c:ext>
              </c:extLst>
            </c:dLbl>
            <c:dLbl>
              <c:idx val="5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67-4667-AE34-DD9DBF79545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mn-lt"/>
                    <a:ea typeface="+mn-ea"/>
                    <a:cs typeface="+mn-cs"/>
                  </a:defRPr>
                </a:pPr>
                <a:endParaRPr lang="es-CO"/>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Hoja1!$F$2:$F$87</c:f>
              <c:numCache>
                <c:formatCode>General</c:formatCode>
                <c:ptCount val="86"/>
                <c:pt idx="31" formatCode="0.00">
                  <c:v>450.3898331015298</c:v>
                </c:pt>
                <c:pt idx="32" formatCode="0.00">
                  <c:v>450.3898331015298</c:v>
                </c:pt>
                <c:pt idx="33" formatCode="0.00">
                  <c:v>450.3898331015298</c:v>
                </c:pt>
                <c:pt idx="34" formatCode="0.00">
                  <c:v>450.3898331015298</c:v>
                </c:pt>
                <c:pt idx="35" formatCode="0.00">
                  <c:v>450.3898331015298</c:v>
                </c:pt>
                <c:pt idx="36" formatCode="0.00">
                  <c:v>450.3898331015298</c:v>
                </c:pt>
                <c:pt idx="37" formatCode="0.00">
                  <c:v>450.3898331015298</c:v>
                </c:pt>
                <c:pt idx="38" formatCode="0.00">
                  <c:v>450.3898331015298</c:v>
                </c:pt>
                <c:pt idx="39" formatCode="0.00">
                  <c:v>450.3898331015298</c:v>
                </c:pt>
                <c:pt idx="40" formatCode="0.00">
                  <c:v>450.3898331015298</c:v>
                </c:pt>
                <c:pt idx="41" formatCode="0.00">
                  <c:v>450.3898331015298</c:v>
                </c:pt>
                <c:pt idx="42" formatCode="0.00">
                  <c:v>450.3898331015298</c:v>
                </c:pt>
                <c:pt idx="43" formatCode="0.00">
                  <c:v>450.3898331015298</c:v>
                </c:pt>
                <c:pt idx="44" formatCode="0.00">
                  <c:v>450.3898331015298</c:v>
                </c:pt>
                <c:pt idx="45" formatCode="0.00">
                  <c:v>450.3898331015298</c:v>
                </c:pt>
                <c:pt idx="46" formatCode="0.00">
                  <c:v>450.3898331015298</c:v>
                </c:pt>
                <c:pt idx="47" formatCode="0.00">
                  <c:v>450.3898331015298</c:v>
                </c:pt>
                <c:pt idx="48" formatCode="0.00">
                  <c:v>450.3898331015298</c:v>
                </c:pt>
                <c:pt idx="49" formatCode="0.00">
                  <c:v>450.3898331015298</c:v>
                </c:pt>
                <c:pt idx="50" formatCode="0.00">
                  <c:v>450.3898331015298</c:v>
                </c:pt>
                <c:pt idx="51" formatCode="0.00">
                  <c:v>450.3898331015298</c:v>
                </c:pt>
                <c:pt idx="52" formatCode="0.00">
                  <c:v>450.3898331015298</c:v>
                </c:pt>
                <c:pt idx="53" formatCode="0.00">
                  <c:v>447.90532684283721</c:v>
                </c:pt>
                <c:pt idx="54" formatCode="0.00">
                  <c:v>447.90532684283721</c:v>
                </c:pt>
                <c:pt idx="55" formatCode="0.00">
                  <c:v>447.90532684283721</c:v>
                </c:pt>
                <c:pt idx="56" formatCode="0.00">
                  <c:v>447.90532684283721</c:v>
                </c:pt>
                <c:pt idx="57" formatCode="0.00">
                  <c:v>447.90532684283721</c:v>
                </c:pt>
                <c:pt idx="58" formatCode="0.00">
                  <c:v>447.90532684283721</c:v>
                </c:pt>
                <c:pt idx="59" formatCode="0.00">
                  <c:v>447.90532684283721</c:v>
                </c:pt>
                <c:pt idx="60" formatCode="0.00">
                  <c:v>447.90532684283721</c:v>
                </c:pt>
                <c:pt idx="61" formatCode="0.00">
                  <c:v>447.90532684283721</c:v>
                </c:pt>
                <c:pt idx="62" formatCode="0.00">
                  <c:v>447.90532684283721</c:v>
                </c:pt>
                <c:pt idx="63" formatCode="0.00">
                  <c:v>447.90532684283721</c:v>
                </c:pt>
                <c:pt idx="64" formatCode="0.00">
                  <c:v>447.90532684283721</c:v>
                </c:pt>
                <c:pt idx="65" formatCode="0.00">
                  <c:v>447.90532684283721</c:v>
                </c:pt>
                <c:pt idx="66" formatCode="0.00">
                  <c:v>447.90532684283721</c:v>
                </c:pt>
                <c:pt idx="67" formatCode="0.00">
                  <c:v>447.90532684283721</c:v>
                </c:pt>
                <c:pt idx="68" formatCode="0.00">
                  <c:v>447.90532684283721</c:v>
                </c:pt>
                <c:pt idx="69" formatCode="0.00">
                  <c:v>447.90532684283721</c:v>
                </c:pt>
                <c:pt idx="70" formatCode="0.00">
                  <c:v>447.90532684283721</c:v>
                </c:pt>
                <c:pt idx="71" formatCode="0.00">
                  <c:v>447.90532684283721</c:v>
                </c:pt>
                <c:pt idx="72" formatCode="0.00">
                  <c:v>447.90532684283721</c:v>
                </c:pt>
                <c:pt idx="73" formatCode="0.00">
                  <c:v>447.90532684283721</c:v>
                </c:pt>
              </c:numCache>
            </c:numRef>
          </c:val>
          <c:smooth val="0"/>
          <c:extLst>
            <c:ext xmlns:c16="http://schemas.microsoft.com/office/drawing/2014/chart" uri="{C3380CC4-5D6E-409C-BE32-E72D297353CC}">
              <c16:uniqueId val="{00000009-2467-4667-AE34-DD9DBF795452}"/>
            </c:ext>
          </c:extLst>
        </c:ser>
        <c:dLbls>
          <c:showLegendKey val="0"/>
          <c:showVal val="0"/>
          <c:showCatName val="0"/>
          <c:showSerName val="0"/>
          <c:showPercent val="0"/>
          <c:showBubbleSize val="0"/>
        </c:dLbls>
        <c:smooth val="0"/>
        <c:axId val="256262559"/>
        <c:axId val="261366367"/>
      </c:lineChart>
      <c:dateAx>
        <c:axId val="256262559"/>
        <c:scaling>
          <c:orientation val="minMax"/>
        </c:scaling>
        <c:delete val="0"/>
        <c:axPos val="b"/>
        <c:majorGridlines>
          <c:spPr>
            <a:ln w="9525" cap="flat" cmpd="sng" algn="ctr">
              <a:solidFill>
                <a:schemeClr val="bg2"/>
              </a:solidFill>
              <a:round/>
            </a:ln>
            <a:effectLst/>
          </c:spPr>
        </c:majorGridlines>
        <c:minorGridlines>
          <c:spPr>
            <a:ln w="9525" cap="flat" cmpd="sng" algn="ctr">
              <a:solidFill>
                <a:schemeClr val="tx1"/>
              </a:solidFill>
              <a:round/>
            </a:ln>
            <a:effectLst/>
          </c:spPr>
        </c:minorGridlines>
        <c:numFmt formatCode="d\-mmm"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61366367"/>
        <c:crosses val="autoZero"/>
        <c:auto val="1"/>
        <c:lblOffset val="100"/>
        <c:baseTimeUnit val="days"/>
        <c:minorUnit val="1"/>
        <c:minorTimeUnit val="months"/>
      </c:dateAx>
      <c:valAx>
        <c:axId val="261366367"/>
        <c:scaling>
          <c:orientation val="minMax"/>
          <c:min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sz="1000"/>
                  <a:t>Pesos / kilogramo</a:t>
                </a:r>
              </a:p>
            </c:rich>
          </c:tx>
          <c:layout>
            <c:manualLayout>
              <c:xMode val="edge"/>
              <c:yMode val="edge"/>
              <c:x val="7.9981903892044105E-3"/>
              <c:y val="0.2923035120399683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56262559"/>
        <c:crossesAt val="43892"/>
        <c:crossBetween val="between"/>
      </c:valAx>
      <c:spPr>
        <a:noFill/>
        <a:ln>
          <a:noFill/>
        </a:ln>
        <a:effectLst/>
      </c:spPr>
    </c:plotArea>
    <c:legend>
      <c:legendPos val="b"/>
      <c:layout>
        <c:manualLayout>
          <c:xMode val="edge"/>
          <c:yMode val="edge"/>
          <c:x val="0.19128185543564546"/>
          <c:y val="0.89177149185920568"/>
          <c:w val="0.61743611748803884"/>
          <c:h val="9.28280974631764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dk1">
        <a:lumMod val="65000"/>
        <a:lumOff val="35000"/>
      </a:schemeClr>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0.24125</cdr:x>
      <cdr:y>0.47813</cdr:y>
    </cdr:from>
    <cdr:to>
      <cdr:x>0.98842</cdr:x>
      <cdr:y>0.62971</cdr:y>
    </cdr:to>
    <cdr:sp macro="" textlink="">
      <cdr:nvSpPr>
        <cdr:cNvPr id="3" name="Rectángulo 2">
          <a:extLst xmlns:a="http://schemas.openxmlformats.org/drawingml/2006/main">
            <a:ext uri="{FF2B5EF4-FFF2-40B4-BE49-F238E27FC236}">
              <a16:creationId xmlns:a16="http://schemas.microsoft.com/office/drawing/2014/main" id="{486C11D9-E64B-4018-9149-A2909135A9F3}"/>
            </a:ext>
          </a:extLst>
        </cdr:cNvPr>
        <cdr:cNvSpPr/>
      </cdr:nvSpPr>
      <cdr:spPr>
        <a:xfrm xmlns:a="http://schemas.openxmlformats.org/drawingml/2006/main">
          <a:off x="1433255" y="723816"/>
          <a:ext cx="4438979" cy="229458"/>
        </a:xfrm>
        <a:prstGeom xmlns:a="http://schemas.openxmlformats.org/drawingml/2006/main" prst="rect">
          <a:avLst/>
        </a:prstGeom>
      </cdr:spPr>
      <cdr:txBody>
        <a:bodyPr xmlns:a="http://schemas.openxmlformats.org/drawingml/2006/main" wrap="square">
          <a:spAutoFit/>
        </a:bodyPr>
        <a:lstStyle xmlns:a="http://schemas.openxmlformats.org/drawingml/2006/main">
          <a:defPPr>
            <a:defRPr lang="es-CO"/>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ctr"/>
          <a:r>
            <a:rPr lang="es-CO" sz="900" dirty="0">
              <a:solidFill>
                <a:srgbClr val="000000"/>
              </a:solidFill>
              <a:latin typeface="Arial" panose="020B0604020202020204" pitchFamily="34" charset="0"/>
              <a:cs typeface="Arial" panose="020B0604020202020204" pitchFamily="34" charset="0"/>
            </a:rPr>
            <a:t>TRM 4.065</a:t>
          </a:r>
        </a:p>
        <a:p xmlns:a="http://schemas.openxmlformats.org/drawingml/2006/main">
          <a:pPr algn="r" fontAlgn="ctr"/>
          <a:r>
            <a:rPr lang="es-CO" sz="900" dirty="0">
              <a:solidFill>
                <a:srgbClr val="000000"/>
              </a:solidFill>
              <a:latin typeface="Arial" panose="020B0604020202020204" pitchFamily="34" charset="0"/>
              <a:cs typeface="Arial" panose="020B0604020202020204" pitchFamily="34" charset="0"/>
            </a:rPr>
            <a:t>Precio 15 Abr – 14 May: Reficar </a:t>
          </a:r>
          <a:r>
            <a:rPr lang="es-CO" sz="900" b="1" dirty="0">
              <a:solidFill>
                <a:srgbClr val="000000"/>
              </a:solidFill>
              <a:latin typeface="Arial" panose="020B0604020202020204" pitchFamily="34" charset="0"/>
              <a:cs typeface="Arial" panose="020B0604020202020204" pitchFamily="34" charset="0"/>
            </a:rPr>
            <a:t>$</a:t>
          </a:r>
          <a:r>
            <a:rPr lang="es-CO" sz="900" b="1" dirty="0">
              <a:latin typeface="Arial" panose="020B0604020202020204" pitchFamily="34" charset="0"/>
              <a:cs typeface="Arial" panose="020B0604020202020204" pitchFamily="34" charset="0"/>
            </a:rPr>
            <a:t>659.56 </a:t>
          </a:r>
          <a:r>
            <a:rPr lang="es-CO" sz="900" dirty="0">
              <a:latin typeface="Arial" panose="020B0604020202020204" pitchFamily="34" charset="0"/>
              <a:cs typeface="Arial" panose="020B0604020202020204" pitchFamily="34" charset="0"/>
            </a:rPr>
            <a:t>– GRB </a:t>
          </a:r>
          <a:r>
            <a:rPr lang="es-CO" sz="900" b="1" dirty="0">
              <a:latin typeface="Arial" panose="020B0604020202020204" pitchFamily="34" charset="0"/>
              <a:cs typeface="Arial" panose="020B0604020202020204" pitchFamily="34" charset="0"/>
            </a:rPr>
            <a:t>$342.25</a:t>
          </a:r>
          <a:endParaRPr lang="es-CO" sz="900" dirty="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2" ma:contentTypeDescription="Crear nuevo documento." ma:contentTypeScope="" ma:versionID="db9a6d4052deee2570c253e6c5a6dcd2">
  <xsd:schema xmlns:xsd="http://www.w3.org/2001/XMLSchema" xmlns:xs="http://www.w3.org/2001/XMLSchema" xmlns:p="http://schemas.microsoft.com/office/2006/metadata/properties" xmlns:ns2="52f50d89-700a-49c3-acb1-cc45863f80d1" targetNamespace="http://schemas.microsoft.com/office/2006/metadata/properties" ma:root="true" ma:fieldsID="4b795601ec3ce45db74621e49c9645aa" ns2:_="">
    <xsd:import namespace="52f50d89-700a-49c3-acb1-cc45863f8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8AFEF-4C2E-4238-A13C-338D1C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3A7B7-73EE-4E0D-A26D-652B423FCCEA}">
  <ds:schemaRefs>
    <ds:schemaRef ds:uri="http://schemas.microsoft.com/sharepoint/v3/contenttype/forms"/>
  </ds:schemaRefs>
</ds:datastoreItem>
</file>

<file path=customXml/itemProps4.xml><?xml version="1.0" encoding="utf-8"?>
<ds:datastoreItem xmlns:ds="http://schemas.openxmlformats.org/officeDocument/2006/customXml" ds:itemID="{CF355CC0-989B-4050-8353-4ACED701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17</Pages>
  <Words>5822</Words>
  <Characters>32027</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Luz Stella Rojas Macias</cp:lastModifiedBy>
  <cp:revision>2</cp:revision>
  <cp:lastPrinted>2020-05-29T17:20:00Z</cp:lastPrinted>
  <dcterms:created xsi:type="dcterms:W3CDTF">2020-06-02T14:34:00Z</dcterms:created>
  <dcterms:modified xsi:type="dcterms:W3CDTF">2020-06-02T14:34:00Z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