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70A74" w14:textId="543FA39F" w:rsidR="00625DC6" w:rsidRPr="00E060BE" w:rsidRDefault="00000000" w:rsidP="0005463D">
      <w:pPr>
        <w:pStyle w:val="Encabezado"/>
        <w:tabs>
          <w:tab w:val="clear" w:pos="8504"/>
          <w:tab w:val="left" w:pos="0"/>
          <w:tab w:val="right" w:pos="9356"/>
        </w:tabs>
        <w:ind w:left="0"/>
        <w:jc w:val="center"/>
        <w:rPr>
          <w:rFonts w:ascii="Bookman Old Style" w:hAnsi="Bookman Old Style"/>
          <w:szCs w:val="24"/>
        </w:rPr>
      </w:pPr>
      <w:r>
        <w:rPr>
          <w:rFonts w:ascii="Bookman Old Style" w:hAnsi="Bookman Old Style"/>
          <w:noProof/>
          <w:szCs w:val="24"/>
        </w:rPr>
        <w:object w:dxaOrig="1440" w:dyaOrig="1440" w14:anchorId="51E2E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15pt;margin-top:-49.15pt;width:38pt;height:39.05pt;z-index:251657728;mso-wrap-edited:f;mso-width-percent:0;mso-height-percent:0;mso-width-percent:0;mso-height-percent:0" fillcolor="#0c9">
            <v:imagedata r:id="rId7" o:title=""/>
          </v:shape>
          <o:OLEObject Type="Embed" ProgID="PBrush" ShapeID="_x0000_s2050" DrawAspect="Content" ObjectID="_1746506710" r:id="rId8"/>
        </w:object>
      </w:r>
    </w:p>
    <w:p w14:paraId="5CD8FDD3" w14:textId="77777777" w:rsidR="00CA77FB" w:rsidRPr="00E060BE" w:rsidRDefault="00CA77FB" w:rsidP="0005463D">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14:paraId="0B8E60E5" w14:textId="77777777" w:rsidR="00CA77FB" w:rsidRPr="00E060BE" w:rsidRDefault="00CA77FB" w:rsidP="0005463D">
      <w:pPr>
        <w:pStyle w:val="Ttulo4"/>
        <w:tabs>
          <w:tab w:val="left" w:pos="0"/>
          <w:tab w:val="right" w:pos="9356"/>
        </w:tabs>
        <w:ind w:left="0"/>
        <w:rPr>
          <w:rFonts w:ascii="Bookman Old Style" w:hAnsi="Bookman Old Style"/>
          <w:b w:val="0"/>
          <w:bCs/>
          <w:sz w:val="24"/>
          <w:szCs w:val="24"/>
        </w:rPr>
      </w:pPr>
    </w:p>
    <w:p w14:paraId="7027F17A" w14:textId="77777777" w:rsidR="00CA77FB" w:rsidRPr="00E060BE" w:rsidRDefault="00CA77FB" w:rsidP="0005463D">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4767CFAE" w14:textId="77777777" w:rsidR="00CA77FB" w:rsidRPr="00E060BE" w:rsidRDefault="00CA77FB" w:rsidP="0005463D">
      <w:pPr>
        <w:pStyle w:val="Ttulo5"/>
        <w:tabs>
          <w:tab w:val="left" w:pos="0"/>
          <w:tab w:val="right" w:pos="9356"/>
        </w:tabs>
        <w:ind w:left="0"/>
        <w:rPr>
          <w:rFonts w:ascii="Bookman Old Style" w:hAnsi="Bookman Old Style"/>
          <w:sz w:val="24"/>
          <w:szCs w:val="24"/>
        </w:rPr>
      </w:pPr>
    </w:p>
    <w:p w14:paraId="74971183" w14:textId="77777777" w:rsidR="00CA77FB" w:rsidRPr="00E060BE" w:rsidRDefault="00CA77FB" w:rsidP="0005463D">
      <w:pPr>
        <w:pStyle w:val="Ttulo5"/>
        <w:tabs>
          <w:tab w:val="left" w:pos="0"/>
          <w:tab w:val="right" w:pos="9356"/>
        </w:tabs>
        <w:ind w:left="0"/>
        <w:rPr>
          <w:rFonts w:ascii="Bookman Old Style" w:hAnsi="Bookman Old Style"/>
          <w:sz w:val="24"/>
          <w:szCs w:val="24"/>
        </w:rPr>
      </w:pPr>
    </w:p>
    <w:p w14:paraId="67AC44F2" w14:textId="77777777" w:rsidR="00A06511" w:rsidRPr="00E060BE" w:rsidRDefault="00A06511" w:rsidP="0005463D">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Pr="009D279A">
        <w:rPr>
          <w:rFonts w:ascii="Bookman Old Style" w:hAnsi="Bookman Old Style"/>
          <w:sz w:val="24"/>
          <w:szCs w:val="24"/>
        </w:rPr>
        <w:fldChar w:fldCharType="begin"/>
      </w:r>
      <w:r w:rsidRPr="009D279A">
        <w:rPr>
          <w:rFonts w:ascii="Bookman Old Style" w:hAnsi="Bookman Old Style"/>
          <w:sz w:val="24"/>
          <w:szCs w:val="24"/>
        </w:rPr>
        <w:instrText xml:space="preserve"> MERGEFIELD  NumeroResolucion  \* MERGEFORMAT </w:instrText>
      </w:r>
      <w:r w:rsidRPr="009D279A">
        <w:rPr>
          <w:rFonts w:ascii="Bookman Old Style" w:hAnsi="Bookman Old Style"/>
          <w:sz w:val="24"/>
          <w:szCs w:val="24"/>
        </w:rPr>
        <w:fldChar w:fldCharType="separate"/>
      </w:r>
      <w:r w:rsidRPr="009D279A">
        <w:rPr>
          <w:rFonts w:ascii="Bookman Old Style" w:hAnsi="Bookman Old Style"/>
          <w:sz w:val="24"/>
          <w:szCs w:val="24"/>
        </w:rPr>
        <w:t>701 012</w:t>
      </w:r>
      <w:r w:rsidRPr="009D279A">
        <w:rPr>
          <w:rFonts w:ascii="Bookman Old Style" w:hAnsi="Bookman Old Style"/>
          <w:sz w:val="24"/>
          <w:szCs w:val="24"/>
        </w:rPr>
        <w:fldChar w:fldCharType="end"/>
      </w:r>
      <w:r w:rsidRPr="00E060BE">
        <w:rPr>
          <w:rFonts w:ascii="Bookman Old Style" w:hAnsi="Bookman Old Style"/>
          <w:sz w:val="24"/>
          <w:szCs w:val="24"/>
        </w:rPr>
        <w:t xml:space="preserve"> DE </w:t>
      </w:r>
      <w:r>
        <w:rPr>
          <w:rFonts w:ascii="Bookman Old Style" w:hAnsi="Bookman Old Style"/>
          <w:sz w:val="24"/>
          <w:szCs w:val="24"/>
        </w:rPr>
        <w:fldChar w:fldCharType="begin"/>
      </w:r>
      <w:r>
        <w:rPr>
          <w:rFonts w:ascii="Bookman Old Style" w:hAnsi="Bookman Old Style"/>
          <w:sz w:val="24"/>
          <w:szCs w:val="24"/>
        </w:rPr>
        <w:instrText xml:space="preserve"> MERGEFIELD  Anio  \* MERGEFORMAT </w:instrText>
      </w:r>
      <w:r>
        <w:rPr>
          <w:rFonts w:ascii="Bookman Old Style" w:hAnsi="Bookman Old Style"/>
          <w:sz w:val="24"/>
          <w:szCs w:val="24"/>
        </w:rPr>
        <w:fldChar w:fldCharType="separate"/>
      </w:r>
      <w:r>
        <w:rPr>
          <w:rFonts w:ascii="Bookman Old Style" w:hAnsi="Bookman Old Style"/>
          <w:noProof/>
          <w:sz w:val="24"/>
          <w:szCs w:val="24"/>
        </w:rPr>
        <w:t>2023</w:t>
      </w:r>
      <w:r>
        <w:rPr>
          <w:rFonts w:ascii="Bookman Old Style" w:hAnsi="Bookman Old Style"/>
          <w:sz w:val="24"/>
          <w:szCs w:val="24"/>
        </w:rPr>
        <w:fldChar w:fldCharType="end"/>
      </w:r>
    </w:p>
    <w:p w14:paraId="0C7D114C" w14:textId="77777777" w:rsidR="00CA77FB" w:rsidRPr="00E060BE" w:rsidRDefault="00CA77FB" w:rsidP="0005463D">
      <w:pPr>
        <w:tabs>
          <w:tab w:val="left" w:pos="0"/>
          <w:tab w:val="right" w:pos="9356"/>
        </w:tabs>
        <w:ind w:left="0"/>
        <w:jc w:val="center"/>
        <w:rPr>
          <w:rFonts w:ascii="Bookman Old Style" w:hAnsi="Bookman Old Style" w:cs="Arial"/>
          <w:b/>
          <w:snapToGrid w:val="0"/>
          <w:color w:val="000000"/>
          <w:lang w:val="es-ES_tradnl"/>
        </w:rPr>
      </w:pPr>
    </w:p>
    <w:p w14:paraId="350D3C85" w14:textId="2BF0E956" w:rsidR="00CA77FB" w:rsidRDefault="00CA77FB" w:rsidP="00012259">
      <w:pPr>
        <w:pStyle w:val="Ttulo3"/>
        <w:tabs>
          <w:tab w:val="left" w:pos="0"/>
          <w:tab w:val="right" w:pos="9356"/>
        </w:tabs>
        <w:ind w:left="0"/>
        <w:rPr>
          <w:rFonts w:ascii="Bookman Old Style" w:hAnsi="Bookman Old Style"/>
          <w:b w:val="0"/>
          <w:szCs w:val="24"/>
        </w:rPr>
      </w:pPr>
      <w:proofErr w:type="gramStart"/>
      <w:r w:rsidRPr="00456D0A">
        <w:rPr>
          <w:rFonts w:ascii="Bookman Old Style" w:hAnsi="Bookman Old Style"/>
          <w:b w:val="0"/>
          <w:szCs w:val="24"/>
        </w:rPr>
        <w:t xml:space="preserve">( </w:t>
      </w:r>
      <w:r w:rsidR="00456D0A" w:rsidRPr="00456D0A">
        <w:rPr>
          <w:rFonts w:ascii="Bookman Old Style" w:hAnsi="Bookman Old Style"/>
          <w:bCs/>
          <w:szCs w:val="24"/>
        </w:rPr>
        <w:t>24</w:t>
      </w:r>
      <w:proofErr w:type="gramEnd"/>
      <w:r w:rsidR="00456D0A" w:rsidRPr="00456D0A">
        <w:rPr>
          <w:rFonts w:ascii="Bookman Old Style" w:hAnsi="Bookman Old Style"/>
          <w:bCs/>
          <w:szCs w:val="24"/>
        </w:rPr>
        <w:t xml:space="preserve"> MAYO 2023</w:t>
      </w:r>
      <w:r w:rsidR="00456D0A">
        <w:rPr>
          <w:rFonts w:ascii="Bookman Old Style" w:hAnsi="Bookman Old Style"/>
          <w:b w:val="0"/>
          <w:szCs w:val="24"/>
        </w:rPr>
        <w:t xml:space="preserve"> </w:t>
      </w:r>
      <w:r w:rsidRPr="00456D0A">
        <w:rPr>
          <w:rFonts w:ascii="Bookman Old Style" w:hAnsi="Bookman Old Style"/>
          <w:b w:val="0"/>
          <w:szCs w:val="24"/>
        </w:rPr>
        <w:t>)</w:t>
      </w:r>
    </w:p>
    <w:p w14:paraId="693F6A15" w14:textId="77777777" w:rsidR="0008506C" w:rsidRDefault="0008506C" w:rsidP="0005463D">
      <w:pPr>
        <w:ind w:left="0"/>
        <w:rPr>
          <w:lang w:val="es-ES_tradnl"/>
        </w:rPr>
      </w:pPr>
    </w:p>
    <w:p w14:paraId="00A725D7" w14:textId="77777777" w:rsidR="0008506C" w:rsidRDefault="0008506C" w:rsidP="0005463D">
      <w:pPr>
        <w:ind w:left="0"/>
        <w:rPr>
          <w:lang w:val="es-ES_tradnl"/>
        </w:rPr>
      </w:pPr>
    </w:p>
    <w:p w14:paraId="4E72A1FC" w14:textId="77777777" w:rsidR="001F561E" w:rsidRPr="004D3CB9" w:rsidRDefault="001F561E" w:rsidP="001F561E">
      <w:pPr>
        <w:ind w:left="0"/>
        <w:contextualSpacing/>
        <w:jc w:val="both"/>
        <w:rPr>
          <w:rFonts w:ascii="Bookman Old Style" w:hAnsi="Bookman Old Style"/>
        </w:rPr>
      </w:pPr>
      <w:r w:rsidRPr="004D3CB9">
        <w:rPr>
          <w:rFonts w:ascii="Bookman Old Style" w:hAnsi="Bookman Old Style"/>
        </w:rPr>
        <w:t xml:space="preserve">La </w:t>
      </w:r>
      <w:r w:rsidRPr="004D3CB9">
        <w:rPr>
          <w:rFonts w:ascii="Bookman Old Style" w:hAnsi="Bookman Old Style" w:cs="Arial"/>
        </w:rPr>
        <w:t>Comisión</w:t>
      </w:r>
      <w:r w:rsidRPr="004D3CB9">
        <w:rPr>
          <w:rFonts w:ascii="Bookman Old Style" w:hAnsi="Bookman Old Style"/>
        </w:rPr>
        <w:t xml:space="preserve"> de </w:t>
      </w:r>
      <w:r w:rsidRPr="005C277E">
        <w:rPr>
          <w:rFonts w:ascii="Bookman Old Style" w:hAnsi="Bookman Old Style"/>
        </w:rPr>
        <w:t>Regulación de Energía y Gas, en su sesión No.</w:t>
      </w:r>
      <w:r>
        <w:rPr>
          <w:rFonts w:ascii="Bookman Old Style" w:hAnsi="Bookman Old Style"/>
        </w:rPr>
        <w:t xml:space="preserve"> </w:t>
      </w:r>
      <w:r w:rsidRPr="00975AFF">
        <w:rPr>
          <w:rFonts w:ascii="Bookman Old Style" w:hAnsi="Bookman Old Style"/>
        </w:rPr>
        <w:t>1</w:t>
      </w:r>
      <w:r w:rsidRPr="00324CE2">
        <w:rPr>
          <w:rFonts w:ascii="Bookman Old Style" w:hAnsi="Bookman Old Style"/>
        </w:rPr>
        <w:t>2</w:t>
      </w:r>
      <w:r w:rsidRPr="00975AFF">
        <w:rPr>
          <w:rFonts w:ascii="Bookman Old Style" w:hAnsi="Bookman Old Style"/>
        </w:rPr>
        <w:t>68 del 24</w:t>
      </w:r>
      <w:r w:rsidRPr="005C277E">
        <w:rPr>
          <w:rFonts w:ascii="Bookman Old Style" w:hAnsi="Bookman Old Style"/>
        </w:rPr>
        <w:t xml:space="preserve"> de </w:t>
      </w:r>
      <w:r>
        <w:rPr>
          <w:rFonts w:ascii="Bookman Old Style" w:hAnsi="Bookman Old Style"/>
        </w:rPr>
        <w:t>mayo</w:t>
      </w:r>
      <w:r w:rsidRPr="005C277E">
        <w:rPr>
          <w:rFonts w:ascii="Bookman Old Style" w:hAnsi="Bookman Old Style"/>
        </w:rPr>
        <w:t xml:space="preserve"> de 202</w:t>
      </w:r>
      <w:r>
        <w:rPr>
          <w:rFonts w:ascii="Bookman Old Style" w:hAnsi="Bookman Old Style"/>
        </w:rPr>
        <w:t>3,</w:t>
      </w:r>
      <w:r w:rsidRPr="005C277E">
        <w:rPr>
          <w:rFonts w:ascii="Bookman Old Style" w:hAnsi="Bookman Old Style"/>
        </w:rPr>
        <w:t xml:space="preserve"> aprobó someter a consulta pública el presente proyecto de resolución </w:t>
      </w:r>
      <w:r>
        <w:rPr>
          <w:rFonts w:ascii="Bookman Old Style" w:hAnsi="Bookman Old Style"/>
        </w:rPr>
        <w:t>hasta las 6:00 pm del viernes 26 de mayo de 2023</w:t>
      </w:r>
      <w:r w:rsidRPr="004D3CB9">
        <w:rPr>
          <w:rFonts w:ascii="Bookman Old Style" w:hAnsi="Bookman Old Style"/>
        </w:rPr>
        <w:t>.</w:t>
      </w:r>
    </w:p>
    <w:p w14:paraId="1EBD1B23" w14:textId="77777777" w:rsidR="001F561E" w:rsidRPr="004D3CB9" w:rsidRDefault="001F561E" w:rsidP="001F561E">
      <w:pPr>
        <w:ind w:left="0"/>
        <w:contextualSpacing/>
        <w:jc w:val="both"/>
        <w:rPr>
          <w:rFonts w:ascii="Bookman Old Style" w:hAnsi="Bookman Old Style"/>
        </w:rPr>
      </w:pPr>
    </w:p>
    <w:p w14:paraId="57C6D858" w14:textId="77777777" w:rsidR="001F561E" w:rsidRPr="004D3CB9" w:rsidRDefault="001F561E" w:rsidP="001F561E">
      <w:pPr>
        <w:ind w:left="0"/>
        <w:contextualSpacing/>
        <w:jc w:val="both"/>
        <w:rPr>
          <w:rFonts w:ascii="Bookman Old Style" w:hAnsi="Bookman Old Style" w:cs="Arial"/>
          <w:color w:val="000000"/>
        </w:rPr>
      </w:pPr>
      <w:r w:rsidRPr="004D3CB9">
        <w:rPr>
          <w:rFonts w:ascii="Bookman Old Style" w:hAnsi="Bookman Old Style" w:cs="Arial"/>
          <w:color w:val="000000"/>
        </w:rPr>
        <w:t xml:space="preserve">Se invita a los agentes, a los usuarios, </w:t>
      </w:r>
      <w:r w:rsidRPr="004D3CB9">
        <w:rPr>
          <w:rFonts w:ascii="Bookman Old Style" w:hAnsi="Bookman Old Style" w:cs="Arial"/>
        </w:rPr>
        <w:t>a las autoridades locales municipales y departamentales competentes,</w:t>
      </w:r>
      <w:r w:rsidRPr="004D3CB9">
        <w:rPr>
          <w:rFonts w:ascii="Bookman Old Style" w:hAnsi="Bookman Old Style" w:cs="Arial"/>
          <w:color w:val="000000"/>
        </w:rPr>
        <w:t xml:space="preserve"> a la Superintendencia de Servicios Públicos Domiciliarios y demás interesados, para que remitan sus observaciones o sugerencias sobre la propuesta, dentro del plazo establecido.</w:t>
      </w:r>
    </w:p>
    <w:p w14:paraId="02667E84" w14:textId="77777777" w:rsidR="001F561E" w:rsidRPr="004D3CB9" w:rsidRDefault="001F561E" w:rsidP="001F561E">
      <w:pPr>
        <w:ind w:left="0"/>
        <w:contextualSpacing/>
        <w:jc w:val="both"/>
        <w:rPr>
          <w:rFonts w:ascii="Bookman Old Style" w:hAnsi="Bookman Old Style" w:cs="Arial"/>
          <w:color w:val="000000"/>
        </w:rPr>
      </w:pPr>
    </w:p>
    <w:p w14:paraId="31103990" w14:textId="77777777" w:rsidR="001F561E" w:rsidRPr="004D3CB9" w:rsidRDefault="001F561E" w:rsidP="001F561E">
      <w:pPr>
        <w:ind w:left="0"/>
        <w:contextualSpacing/>
        <w:jc w:val="both"/>
        <w:rPr>
          <w:rFonts w:ascii="Bookman Old Style" w:hAnsi="Bookman Old Style"/>
        </w:rPr>
      </w:pPr>
      <w:r w:rsidRPr="004D3CB9">
        <w:rPr>
          <w:rFonts w:ascii="Bookman Old Style" w:hAnsi="Bookman Old Style"/>
        </w:rPr>
        <w:t xml:space="preserve">Los interesados podrán dirigir sus comentarios al </w:t>
      </w:r>
      <w:r>
        <w:rPr>
          <w:rFonts w:ascii="Bookman Old Style" w:hAnsi="Bookman Old Style"/>
        </w:rPr>
        <w:t>d</w:t>
      </w:r>
      <w:r w:rsidRPr="004D3CB9">
        <w:rPr>
          <w:rFonts w:ascii="Bookman Old Style" w:hAnsi="Bookman Old Style"/>
        </w:rPr>
        <w:t xml:space="preserve">irector </w:t>
      </w:r>
      <w:r>
        <w:rPr>
          <w:rFonts w:ascii="Bookman Old Style" w:hAnsi="Bookman Old Style"/>
        </w:rPr>
        <w:t>e</w:t>
      </w:r>
      <w:r w:rsidRPr="004D3CB9">
        <w:rPr>
          <w:rFonts w:ascii="Bookman Old Style" w:hAnsi="Bookman Old Style"/>
        </w:rPr>
        <w:t xml:space="preserve">jecutivo de la Comisión de Regulación de Energía y Gas, al correo electrónico </w:t>
      </w:r>
      <w:hyperlink r:id="rId9" w:history="1">
        <w:r w:rsidRPr="004D3CB9">
          <w:rPr>
            <w:rStyle w:val="Hipervnculo"/>
            <w:rFonts w:ascii="Bookman Old Style" w:hAnsi="Bookman Old Style"/>
          </w:rPr>
          <w:t>creg@creg.gov.co</w:t>
        </w:r>
      </w:hyperlink>
      <w:r w:rsidRPr="004D3CB9">
        <w:rPr>
          <w:rFonts w:ascii="Bookman Old Style" w:hAnsi="Bookman Old Style"/>
        </w:rPr>
        <w:t xml:space="preserve">, identificando el mensaje con el siguiente asunto </w:t>
      </w:r>
      <w:r w:rsidRPr="004D3CB9">
        <w:rPr>
          <w:rFonts w:ascii="Bookman Old Style" w:hAnsi="Bookman Old Style"/>
          <w:i/>
          <w:iCs/>
        </w:rPr>
        <w:t xml:space="preserve">“Comentarios </w:t>
      </w:r>
      <w:r>
        <w:rPr>
          <w:rFonts w:ascii="Bookman Old Style" w:hAnsi="Bookman Old Style"/>
          <w:i/>
          <w:iCs/>
        </w:rPr>
        <w:t>a la propuesta de medidas transitorias sobre el esquema de garantías y sobre la limitación de suministro</w:t>
      </w:r>
      <w:r w:rsidRPr="004D3CB9">
        <w:rPr>
          <w:rFonts w:ascii="Bookman Old Style" w:hAnsi="Bookman Old Style"/>
          <w:i/>
          <w:iCs/>
        </w:rPr>
        <w:t>”</w:t>
      </w:r>
      <w:r>
        <w:rPr>
          <w:rFonts w:ascii="Bookman Old Style" w:hAnsi="Bookman Old Style"/>
          <w:i/>
          <w:iCs/>
        </w:rPr>
        <w:t xml:space="preserve">. </w:t>
      </w:r>
    </w:p>
    <w:p w14:paraId="567D1837" w14:textId="77777777" w:rsidR="001F561E" w:rsidRPr="004D3CB9" w:rsidRDefault="001F561E" w:rsidP="001F561E">
      <w:pPr>
        <w:ind w:left="0"/>
        <w:contextualSpacing/>
        <w:jc w:val="both"/>
        <w:rPr>
          <w:rFonts w:ascii="Bookman Old Style" w:hAnsi="Bookman Old Style"/>
        </w:rPr>
      </w:pPr>
    </w:p>
    <w:p w14:paraId="1816CABA" w14:textId="77777777" w:rsidR="001F561E" w:rsidRPr="004D3CB9" w:rsidRDefault="001F561E" w:rsidP="001F561E">
      <w:pPr>
        <w:ind w:left="0"/>
        <w:contextualSpacing/>
        <w:jc w:val="both"/>
        <w:rPr>
          <w:rFonts w:ascii="Bookman Old Style" w:hAnsi="Bookman Old Style"/>
        </w:rPr>
      </w:pPr>
      <w:r w:rsidRPr="00DE6FA2">
        <w:rPr>
          <w:rFonts w:ascii="Bookman Old Style" w:hAnsi="Bookman Old Style"/>
        </w:rPr>
        <w:t>Al vencimiento de la consulta pública, la CREG determinará si el proyecto debe ser informado a la Superintendencia de Industria y Comercio, para el ejercicio de la Abogacía de la Competencia, con fundamento en las disposiciones del Decreto 1074 de 2015, Artículo 2.2.2.30.5.</w:t>
      </w:r>
    </w:p>
    <w:p w14:paraId="3D6C05C1" w14:textId="77777777" w:rsidR="001F561E" w:rsidRDefault="001F561E" w:rsidP="001F561E">
      <w:pPr>
        <w:rPr>
          <w:lang w:val="es-ES_tradnl"/>
        </w:rPr>
      </w:pPr>
    </w:p>
    <w:p w14:paraId="7425A230" w14:textId="77777777" w:rsidR="001F561E" w:rsidRDefault="001F561E" w:rsidP="001F561E">
      <w:pPr>
        <w:rPr>
          <w:lang w:val="es-ES_tradnl"/>
        </w:rPr>
      </w:pPr>
    </w:p>
    <w:p w14:paraId="62CC0CE9" w14:textId="77777777" w:rsidR="001F561E" w:rsidRPr="00324CE2" w:rsidRDefault="001F561E" w:rsidP="001F561E">
      <w:pPr>
        <w:tabs>
          <w:tab w:val="left" w:pos="0"/>
          <w:tab w:val="right" w:pos="9356"/>
        </w:tabs>
        <w:ind w:left="0"/>
        <w:jc w:val="center"/>
        <w:rPr>
          <w:rFonts w:ascii="Bookman Old Style" w:hAnsi="Bookman Old Style"/>
          <w:b/>
          <w:bCs/>
          <w:lang w:val="es-ES_tradnl"/>
        </w:rPr>
      </w:pPr>
      <w:r w:rsidRPr="00324CE2">
        <w:rPr>
          <w:rFonts w:ascii="Bookman Old Style" w:hAnsi="Bookman Old Style"/>
          <w:b/>
          <w:bCs/>
          <w:lang w:val="es-ES_tradnl"/>
        </w:rPr>
        <w:t>PROYECTO DE RESOLUCIÓN</w:t>
      </w:r>
    </w:p>
    <w:p w14:paraId="4918420D" w14:textId="77777777" w:rsidR="001F561E" w:rsidRPr="0008506C" w:rsidRDefault="001F561E" w:rsidP="001F561E">
      <w:pPr>
        <w:rPr>
          <w:lang w:val="es-ES_tradnl"/>
        </w:rPr>
      </w:pPr>
    </w:p>
    <w:p w14:paraId="42AACCC8" w14:textId="77777777" w:rsidR="001F561E" w:rsidRPr="0008506C" w:rsidRDefault="001F561E" w:rsidP="001F561E">
      <w:pPr>
        <w:ind w:left="0"/>
        <w:rPr>
          <w:rFonts w:ascii="Bookman Old Style" w:hAnsi="Bookman Old Style"/>
          <w:bCs/>
          <w:lang w:val="es-ES_tradnl"/>
        </w:rPr>
      </w:pPr>
    </w:p>
    <w:p w14:paraId="2D7EE940" w14:textId="77777777" w:rsidR="001F561E" w:rsidRDefault="001F561E" w:rsidP="001F561E">
      <w:pPr>
        <w:ind w:left="0"/>
        <w:jc w:val="center"/>
        <w:rPr>
          <w:rFonts w:ascii="Bookman Old Style" w:hAnsi="Bookman Old Style"/>
        </w:rPr>
      </w:pPr>
      <w:r w:rsidRPr="0008506C">
        <w:rPr>
          <w:rFonts w:ascii="Bookman Old Style" w:hAnsi="Bookman Old Style"/>
        </w:rPr>
        <w:t xml:space="preserve">Por la cual se adoptan medidas transitorias sobre </w:t>
      </w:r>
      <w:r>
        <w:rPr>
          <w:rFonts w:ascii="Bookman Old Style" w:hAnsi="Bookman Old Style"/>
        </w:rPr>
        <w:t xml:space="preserve">los mecanismos de cubrimiento para las transacciones de energía mayorista </w:t>
      </w:r>
      <w:r w:rsidRPr="0008506C">
        <w:rPr>
          <w:rFonts w:ascii="Bookman Old Style" w:hAnsi="Bookman Old Style"/>
        </w:rPr>
        <w:t>y sobre aplicación del procedimiento de limitación de suministro.</w:t>
      </w:r>
    </w:p>
    <w:p w14:paraId="78C718DC" w14:textId="77777777" w:rsidR="001F561E" w:rsidRPr="00C435C3" w:rsidRDefault="001F561E" w:rsidP="001F561E">
      <w:pPr>
        <w:ind w:left="0"/>
        <w:jc w:val="center"/>
        <w:rPr>
          <w:rFonts w:ascii="Bookman Old Style" w:hAnsi="Bookman Old Style"/>
        </w:rPr>
      </w:pPr>
      <w:r w:rsidRPr="00C435C3">
        <w:rPr>
          <w:rFonts w:ascii="Bookman Old Style" w:hAnsi="Bookman Old Style"/>
        </w:rPr>
        <w:t xml:space="preserve"> </w:t>
      </w:r>
    </w:p>
    <w:p w14:paraId="09119D3F" w14:textId="77777777" w:rsidR="001F561E" w:rsidRPr="00C435C3" w:rsidRDefault="001F561E" w:rsidP="001F561E">
      <w:pPr>
        <w:ind w:right="51"/>
        <w:rPr>
          <w:rFonts w:ascii="Bookman Old Style" w:hAnsi="Bookman Old Style"/>
        </w:rPr>
      </w:pPr>
    </w:p>
    <w:p w14:paraId="03CA2DF7" w14:textId="77777777" w:rsidR="001F561E" w:rsidRPr="00C435C3" w:rsidRDefault="001F561E" w:rsidP="001F561E">
      <w:pPr>
        <w:ind w:right="51"/>
        <w:jc w:val="center"/>
        <w:rPr>
          <w:rFonts w:ascii="Bookman Old Style" w:hAnsi="Bookman Old Style"/>
          <w:b/>
        </w:rPr>
      </w:pPr>
      <w:r w:rsidRPr="00C435C3">
        <w:rPr>
          <w:rFonts w:ascii="Bookman Old Style" w:hAnsi="Bookman Old Style"/>
          <w:b/>
        </w:rPr>
        <w:t>LA COMISIÓN DE REGULACIÓN DE ENERGÍA Y GAS</w:t>
      </w:r>
    </w:p>
    <w:p w14:paraId="7E52196B" w14:textId="77777777" w:rsidR="001F561E" w:rsidRPr="00C435C3" w:rsidRDefault="001F561E" w:rsidP="001F561E">
      <w:pPr>
        <w:ind w:left="0" w:right="51"/>
        <w:rPr>
          <w:rFonts w:ascii="Bookman Old Style" w:hAnsi="Bookman Old Style"/>
        </w:rPr>
      </w:pPr>
    </w:p>
    <w:p w14:paraId="2EA62305" w14:textId="77777777" w:rsidR="001F561E" w:rsidRPr="00C435C3" w:rsidRDefault="001F561E" w:rsidP="001F561E">
      <w:pPr>
        <w:ind w:left="0" w:right="51"/>
        <w:rPr>
          <w:rFonts w:ascii="Bookman Old Style" w:hAnsi="Bookman Old Style"/>
        </w:rPr>
      </w:pPr>
    </w:p>
    <w:p w14:paraId="369A481D" w14:textId="77777777" w:rsidR="001F561E" w:rsidRPr="00576D9E" w:rsidRDefault="001F561E" w:rsidP="001F561E">
      <w:pPr>
        <w:ind w:left="0"/>
        <w:jc w:val="center"/>
        <w:rPr>
          <w:rFonts w:ascii="Bookman Old Style" w:hAnsi="Bookman Old Style"/>
          <w:b/>
        </w:rPr>
      </w:pPr>
      <w:r w:rsidRPr="00576D9E">
        <w:rPr>
          <w:rFonts w:ascii="Bookman Old Style" w:hAnsi="Bookman Old Style"/>
        </w:rPr>
        <w:t>En ejercicio de sus atribuciones constitucionales y legales, en especial las conferidas por las Leyes 142 y 143 de 1994, y en desarrollo de los Decretos 1524, 2253 de 1994 y 1260 de 2013.</w:t>
      </w:r>
    </w:p>
    <w:p w14:paraId="57CD5D72" w14:textId="77777777" w:rsidR="001F561E" w:rsidRDefault="001F561E" w:rsidP="001F561E">
      <w:pPr>
        <w:ind w:right="51"/>
        <w:rPr>
          <w:rFonts w:ascii="Bookman Old Style" w:hAnsi="Bookman Old Style"/>
        </w:rPr>
      </w:pPr>
    </w:p>
    <w:p w14:paraId="7C86C13E" w14:textId="77777777" w:rsidR="001F561E" w:rsidRDefault="001F561E" w:rsidP="001F561E">
      <w:pPr>
        <w:ind w:right="51"/>
        <w:rPr>
          <w:rFonts w:ascii="Bookman Old Style" w:hAnsi="Bookman Old Style"/>
        </w:rPr>
      </w:pPr>
    </w:p>
    <w:p w14:paraId="58B057C4" w14:textId="77777777" w:rsidR="001F561E" w:rsidRPr="00C435C3" w:rsidRDefault="001F561E" w:rsidP="001F561E">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14:paraId="0023D7F1" w14:textId="77777777" w:rsidR="001F561E" w:rsidRPr="00C435C3" w:rsidRDefault="001F561E" w:rsidP="001F561E">
      <w:pPr>
        <w:ind w:right="51"/>
        <w:jc w:val="center"/>
        <w:rPr>
          <w:rFonts w:ascii="Bookman Old Style" w:hAnsi="Bookman Old Style"/>
          <w:b/>
        </w:rPr>
      </w:pPr>
    </w:p>
    <w:p w14:paraId="7A1FF4F1" w14:textId="77777777" w:rsidR="001F561E" w:rsidRPr="00C435C3" w:rsidRDefault="001F561E" w:rsidP="001F561E">
      <w:pPr>
        <w:rPr>
          <w:rFonts w:ascii="Bookman Old Style" w:hAnsi="Bookman Old Style"/>
          <w:b/>
        </w:rPr>
      </w:pPr>
    </w:p>
    <w:p w14:paraId="3704AAD4" w14:textId="77777777" w:rsidR="001F561E" w:rsidRPr="00C12886" w:rsidRDefault="001F561E" w:rsidP="001F561E">
      <w:pPr>
        <w:ind w:left="0"/>
        <w:rPr>
          <w:rFonts w:ascii="Bookman Old Style" w:hAnsi="Bookman Old Style" w:cs="Arial"/>
        </w:rPr>
      </w:pPr>
      <w:r w:rsidRPr="00C12886">
        <w:rPr>
          <w:rStyle w:val="normaltextrun"/>
          <w:rFonts w:ascii="Bookman Old Style" w:hAnsi="Bookman Old Style" w:cs="Segoe UI"/>
        </w:rPr>
        <w:lastRenderedPageBreak/>
        <w:t>El artículo 365 de la Constitución Política establece que los servicios públicos son inherentes a la finalidad social del Estado, y es deber de este asegurar su prestación eficiente a todos los habitantes del territorio nacional.</w:t>
      </w:r>
    </w:p>
    <w:p w14:paraId="491A50D2" w14:textId="77777777" w:rsidR="001F561E" w:rsidRPr="00C12886" w:rsidRDefault="001F561E" w:rsidP="001F561E">
      <w:pPr>
        <w:ind w:left="0"/>
        <w:rPr>
          <w:rFonts w:ascii="Bookman Old Style" w:hAnsi="Bookman Old Style" w:cs="Arial"/>
        </w:rPr>
      </w:pPr>
    </w:p>
    <w:p w14:paraId="119B5EE9" w14:textId="77777777" w:rsidR="001F561E" w:rsidRPr="00C12886" w:rsidRDefault="001F561E" w:rsidP="001F561E">
      <w:pPr>
        <w:ind w:left="0"/>
        <w:rPr>
          <w:rFonts w:ascii="Bookman Old Style" w:hAnsi="Bookman Old Style" w:cs="Arial"/>
          <w:lang w:val="es-CO"/>
        </w:rPr>
      </w:pPr>
      <w:r w:rsidRPr="00C12886">
        <w:rPr>
          <w:rFonts w:ascii="Bookman Old Style" w:hAnsi="Bookman Old Style" w:cs="Arial"/>
          <w:lang w:val="es-CO"/>
        </w:rPr>
        <w:t>El artículo 333 de la Constitución Política prevé que la libre competencia económica es un derecho de todos, que supone responsabilidades.</w:t>
      </w:r>
    </w:p>
    <w:p w14:paraId="1094C339" w14:textId="77777777" w:rsidR="001F561E" w:rsidRPr="00C12886" w:rsidRDefault="001F561E" w:rsidP="001F561E">
      <w:pPr>
        <w:ind w:left="0"/>
        <w:rPr>
          <w:rFonts w:ascii="Bookman Old Style" w:hAnsi="Bookman Old Style" w:cs="Arial"/>
          <w:lang w:val="es-CO"/>
        </w:rPr>
      </w:pPr>
    </w:p>
    <w:p w14:paraId="36122C7D" w14:textId="77777777" w:rsidR="001F561E" w:rsidRPr="00C12886" w:rsidRDefault="001F561E" w:rsidP="001F561E">
      <w:pPr>
        <w:ind w:left="0"/>
        <w:rPr>
          <w:rFonts w:ascii="Bookman Old Style" w:hAnsi="Bookman Old Style" w:cs="Arial"/>
          <w:lang w:val="es-CO"/>
        </w:rPr>
      </w:pPr>
      <w:r w:rsidRPr="00C12886">
        <w:rPr>
          <w:rFonts w:ascii="Bookman Old Style" w:hAnsi="Bookman Old Style" w:cs="Arial"/>
          <w:lang w:val="es-CO"/>
        </w:rPr>
        <w:t>De igual forma, el artículo 334 de la Constitución Política dispone que el Estado intervendrá, también por mandato de la ley, en los servicios públicos y privados, para racionalizar la economía con el fin de conseguir el mejoramiento de la calidad de vida de los habitantes, la distribución equitativa de oportunidades y los beneficios del desarrollo y la preservación de un ambiente sano.</w:t>
      </w:r>
    </w:p>
    <w:p w14:paraId="72417586" w14:textId="77777777" w:rsidR="001F561E" w:rsidRPr="00C12886" w:rsidRDefault="001F561E" w:rsidP="001F561E">
      <w:pPr>
        <w:ind w:left="0"/>
        <w:jc w:val="both"/>
        <w:rPr>
          <w:rFonts w:ascii="Bookman Old Style" w:hAnsi="Bookman Old Style" w:cs="Arial"/>
          <w:lang w:val="es-CO"/>
        </w:rPr>
      </w:pPr>
    </w:p>
    <w:p w14:paraId="544685C6" w14:textId="77777777" w:rsidR="001F561E" w:rsidRDefault="001F561E" w:rsidP="001F561E">
      <w:pPr>
        <w:ind w:left="0"/>
        <w:jc w:val="both"/>
        <w:rPr>
          <w:rFonts w:ascii="Bookman Old Style" w:eastAsia="Bookman Old Style" w:hAnsi="Bookman Old Style" w:cs="Bookman Old Style"/>
        </w:rPr>
      </w:pPr>
      <w:r>
        <w:rPr>
          <w:rFonts w:ascii="Bookman Old Style" w:eastAsia="Bookman Old Style" w:hAnsi="Bookman Old Style" w:cs="Bookman Old Style"/>
        </w:rPr>
        <w:t>E</w:t>
      </w:r>
      <w:r w:rsidRPr="00D77137">
        <w:rPr>
          <w:rFonts w:ascii="Bookman Old Style" w:eastAsia="Bookman Old Style" w:hAnsi="Bookman Old Style" w:cs="Bookman Old Style"/>
        </w:rPr>
        <w:t>l artículo 3 de la Ley 142 de 1994 establece</w:t>
      </w:r>
      <w:r>
        <w:rPr>
          <w:rFonts w:ascii="Bookman Old Style" w:eastAsia="Bookman Old Style" w:hAnsi="Bookman Old Style" w:cs="Bookman Old Style"/>
        </w:rPr>
        <w:t>:</w:t>
      </w:r>
      <w:r w:rsidRPr="00D77137">
        <w:rPr>
          <w:rFonts w:ascii="Bookman Old Style" w:eastAsia="Bookman Old Style" w:hAnsi="Bookman Old Style" w:cs="Bookman Old Style"/>
        </w:rPr>
        <w:t xml:space="preserve"> </w:t>
      </w:r>
    </w:p>
    <w:p w14:paraId="3086CC94" w14:textId="77777777" w:rsidR="001F561E" w:rsidRPr="00D77137" w:rsidRDefault="001F561E" w:rsidP="001F561E">
      <w:pPr>
        <w:ind w:left="0"/>
        <w:jc w:val="both"/>
        <w:rPr>
          <w:rFonts w:ascii="Bookman Old Style" w:eastAsia="Bookman Old Style" w:hAnsi="Bookman Old Style" w:cs="Bookman Old Style"/>
          <w:i/>
          <w:iCs/>
        </w:rPr>
      </w:pPr>
      <w:r w:rsidRPr="00D77137">
        <w:rPr>
          <w:rFonts w:ascii="Bookman Old Style" w:eastAsia="Bookman Old Style" w:hAnsi="Bookman Old Style" w:cs="Bookman Old Style"/>
          <w:i/>
          <w:iCs/>
        </w:rPr>
        <w:t>“Instrumentos de la intervención estatal:</w:t>
      </w:r>
    </w:p>
    <w:p w14:paraId="3E6326D4" w14:textId="77777777" w:rsidR="001F561E" w:rsidRPr="00D77137" w:rsidRDefault="001F561E" w:rsidP="001F561E">
      <w:pPr>
        <w:ind w:left="0"/>
        <w:jc w:val="both"/>
        <w:rPr>
          <w:rFonts w:ascii="Bookman Old Style" w:eastAsia="Bookman Old Style" w:hAnsi="Bookman Old Style" w:cs="Bookman Old Style"/>
          <w:i/>
          <w:iCs/>
        </w:rPr>
      </w:pPr>
      <w:r w:rsidRPr="00D77137">
        <w:rPr>
          <w:rFonts w:ascii="Bookman Old Style" w:eastAsia="Bookman Old Style" w:hAnsi="Bookman Old Style" w:cs="Bookman Old Style"/>
          <w:i/>
          <w:iCs/>
        </w:rPr>
        <w:t>3.1. Promoción y apoyo a personas que presten los servicios públicos.</w:t>
      </w:r>
    </w:p>
    <w:p w14:paraId="7CD55D6B" w14:textId="77777777" w:rsidR="001F561E" w:rsidRPr="00D77137" w:rsidRDefault="001F561E" w:rsidP="001F561E">
      <w:pPr>
        <w:ind w:left="0"/>
        <w:jc w:val="both"/>
        <w:rPr>
          <w:rFonts w:ascii="Bookman Old Style" w:eastAsia="Bookman Old Style" w:hAnsi="Bookman Old Style" w:cs="Bookman Old Style"/>
          <w:i/>
          <w:iCs/>
        </w:rPr>
      </w:pPr>
      <w:r w:rsidRPr="00D77137">
        <w:rPr>
          <w:rFonts w:ascii="Bookman Old Style" w:eastAsia="Bookman Old Style" w:hAnsi="Bookman Old Style" w:cs="Bookman Old Style"/>
          <w:i/>
          <w:iCs/>
        </w:rPr>
        <w:t>(…)</w:t>
      </w:r>
    </w:p>
    <w:p w14:paraId="206DB9E0" w14:textId="77777777" w:rsidR="001F561E" w:rsidRDefault="001F561E" w:rsidP="001F561E">
      <w:pPr>
        <w:ind w:left="0"/>
        <w:rPr>
          <w:rFonts w:ascii="Bookman Old Style" w:eastAsia="Bookman Old Style" w:hAnsi="Bookman Old Style" w:cs="Bookman Old Style"/>
          <w:i/>
          <w:iCs/>
        </w:rPr>
      </w:pPr>
      <w:r w:rsidRPr="00D77137">
        <w:rPr>
          <w:rFonts w:ascii="Bookman Old Style" w:eastAsia="Bookman Old Style" w:hAnsi="Bookman Old Style" w:cs="Bookman Old Style"/>
          <w:i/>
          <w:iCs/>
        </w:rPr>
        <w:t xml:space="preserve"> 3.3. Regulación de la prestación de los servicios públicos teniendo en cuenta las características de cada región; fijación de metas de eficiencia, cobertura y calidad, evaluación de </w:t>
      </w:r>
      <w:proofErr w:type="gramStart"/>
      <w:r w:rsidRPr="00D77137">
        <w:rPr>
          <w:rFonts w:ascii="Bookman Old Style" w:eastAsia="Bookman Old Style" w:hAnsi="Bookman Old Style" w:cs="Bookman Old Style"/>
          <w:i/>
          <w:iCs/>
        </w:rPr>
        <w:t>las mismas</w:t>
      </w:r>
      <w:proofErr w:type="gramEnd"/>
      <w:r w:rsidRPr="00D77137">
        <w:rPr>
          <w:rFonts w:ascii="Bookman Old Style" w:eastAsia="Bookman Old Style" w:hAnsi="Bookman Old Style" w:cs="Bookman Old Style"/>
          <w:i/>
          <w:iCs/>
        </w:rPr>
        <w:t>, y definición del régimen tarifario.</w:t>
      </w:r>
    </w:p>
    <w:p w14:paraId="2C807E59" w14:textId="77777777" w:rsidR="001F561E" w:rsidRPr="00D77137" w:rsidRDefault="001F561E" w:rsidP="001F561E">
      <w:pPr>
        <w:ind w:left="0"/>
        <w:jc w:val="both"/>
        <w:rPr>
          <w:rFonts w:ascii="Bookman Old Style" w:eastAsia="Bookman Old Style" w:hAnsi="Bookman Old Style" w:cs="Bookman Old Style"/>
          <w:i/>
          <w:iCs/>
        </w:rPr>
      </w:pPr>
      <w:r>
        <w:rPr>
          <w:rFonts w:ascii="Bookman Old Style" w:eastAsia="Bookman Old Style" w:hAnsi="Bookman Old Style" w:cs="Bookman Old Style"/>
          <w:i/>
          <w:iCs/>
        </w:rPr>
        <w:t>(…)</w:t>
      </w:r>
    </w:p>
    <w:p w14:paraId="587BEA1B" w14:textId="77777777" w:rsidR="001F561E" w:rsidRDefault="001F561E" w:rsidP="001F561E">
      <w:pPr>
        <w:ind w:left="0"/>
        <w:jc w:val="both"/>
        <w:rPr>
          <w:rFonts w:ascii="Bookman Old Style" w:eastAsia="Bookman Old Style" w:hAnsi="Bookman Old Style" w:cs="Bookman Old Style"/>
          <w:i/>
          <w:iCs/>
        </w:rPr>
      </w:pPr>
      <w:r w:rsidRPr="00D77137">
        <w:rPr>
          <w:rFonts w:ascii="Bookman Old Style" w:eastAsia="Bookman Old Style" w:hAnsi="Bookman Old Style" w:cs="Bookman Old Style"/>
          <w:i/>
          <w:iCs/>
        </w:rPr>
        <w:t>3.8. Estímulo a la inversión de los particulares en los servicios públicos.</w:t>
      </w:r>
    </w:p>
    <w:p w14:paraId="24D0FC7B" w14:textId="77777777" w:rsidR="001F561E" w:rsidRPr="00D77137" w:rsidRDefault="001F561E" w:rsidP="001F561E">
      <w:pPr>
        <w:ind w:left="0"/>
        <w:jc w:val="both"/>
        <w:rPr>
          <w:rFonts w:ascii="Bookman Old Style" w:eastAsia="Bookman Old Style" w:hAnsi="Bookman Old Style" w:cs="Bookman Old Style"/>
          <w:i/>
          <w:iCs/>
        </w:rPr>
      </w:pPr>
      <w:r>
        <w:rPr>
          <w:rFonts w:ascii="Bookman Old Style" w:eastAsia="Bookman Old Style" w:hAnsi="Bookman Old Style" w:cs="Bookman Old Style"/>
          <w:i/>
          <w:iCs/>
        </w:rPr>
        <w:t>(…)”</w:t>
      </w:r>
    </w:p>
    <w:p w14:paraId="0072B907" w14:textId="77777777" w:rsidR="001F561E" w:rsidRPr="00C12886" w:rsidRDefault="001F561E" w:rsidP="001F561E">
      <w:pPr>
        <w:ind w:left="0"/>
        <w:jc w:val="both"/>
        <w:rPr>
          <w:rFonts w:ascii="Bookman Old Style" w:hAnsi="Bookman Old Style" w:cs="Arial"/>
        </w:rPr>
      </w:pPr>
    </w:p>
    <w:p w14:paraId="4C30F9D0" w14:textId="77777777" w:rsidR="001F561E" w:rsidRPr="00C12886" w:rsidRDefault="001F561E" w:rsidP="001F561E">
      <w:pPr>
        <w:ind w:left="0"/>
        <w:rPr>
          <w:rFonts w:ascii="Bookman Old Style" w:hAnsi="Bookman Old Style" w:cs="Arial"/>
          <w:lang w:val="es-CO"/>
        </w:rPr>
      </w:pPr>
      <w:r w:rsidRPr="00C12886">
        <w:rPr>
          <w:rFonts w:ascii="Bookman Old Style" w:hAnsi="Bookman Old Style" w:cs="Arial"/>
          <w:lang w:val="es-CO"/>
        </w:rPr>
        <w:t>El artículo 4 de la Ley 143 de 1994 dispone que el Estado, en relación con el servicio de electricidad, tiene dentro de sus objetivos abastecer la demanda de electricidad de la comunidad bajo criterios económicos y de viabilidad financiera, asegurando su cubrimiento en un marco de uso racional y eficiente de los diferentes recursos energéticos del país.</w:t>
      </w:r>
    </w:p>
    <w:p w14:paraId="0DEC8A37" w14:textId="77777777" w:rsidR="001F561E" w:rsidRPr="00C12886" w:rsidRDefault="001F561E" w:rsidP="001F561E">
      <w:pPr>
        <w:ind w:left="0"/>
        <w:rPr>
          <w:rFonts w:ascii="Bookman Old Style" w:hAnsi="Bookman Old Style" w:cs="Arial"/>
          <w:lang w:val="es-CO"/>
        </w:rPr>
      </w:pPr>
    </w:p>
    <w:p w14:paraId="467F2344" w14:textId="77777777" w:rsidR="001F561E" w:rsidRPr="00C12886" w:rsidRDefault="001F561E" w:rsidP="001F561E">
      <w:pPr>
        <w:ind w:left="0"/>
        <w:rPr>
          <w:rFonts w:ascii="Bookman Old Style" w:hAnsi="Bookman Old Style" w:cs="Arial"/>
          <w:lang w:val="es-CO"/>
        </w:rPr>
      </w:pPr>
      <w:r w:rsidRPr="00C12886">
        <w:rPr>
          <w:rFonts w:ascii="Bookman Old Style" w:hAnsi="Bookman Old Style" w:cs="Arial"/>
          <w:lang w:val="es-CO"/>
        </w:rPr>
        <w:t xml:space="preserve">Igualmente, el citado artículo 4 de la Ley 143 de 1994, define como objetivo del Estado asegurar una operación eficiente, segura y confiable en las actividades del sector, y </w:t>
      </w:r>
      <w:r w:rsidRPr="00C12886">
        <w:rPr>
          <w:rFonts w:ascii="Bookman Old Style" w:hAnsi="Bookman Old Style" w:cs="Arial"/>
        </w:rPr>
        <w:t>mantener los niveles de calidad y seguridad establecidos.</w:t>
      </w:r>
    </w:p>
    <w:p w14:paraId="1678C5E4" w14:textId="77777777" w:rsidR="001F561E" w:rsidRPr="00C12886" w:rsidRDefault="001F561E" w:rsidP="001F561E">
      <w:pPr>
        <w:ind w:left="0"/>
        <w:rPr>
          <w:rFonts w:ascii="Bookman Old Style" w:hAnsi="Bookman Old Style" w:cs="Arial"/>
          <w:lang w:val="es-CO"/>
        </w:rPr>
      </w:pPr>
    </w:p>
    <w:p w14:paraId="324C7BAB" w14:textId="77777777" w:rsidR="001F561E" w:rsidRPr="00C12886" w:rsidRDefault="001F561E" w:rsidP="001F561E">
      <w:pPr>
        <w:ind w:left="0"/>
        <w:rPr>
          <w:rFonts w:ascii="Bookman Old Style" w:hAnsi="Bookman Old Style" w:cs="Arial"/>
          <w:lang w:val="es-CO"/>
        </w:rPr>
      </w:pPr>
      <w:r w:rsidRPr="00C12886">
        <w:rPr>
          <w:rFonts w:ascii="Bookman Old Style" w:hAnsi="Bookman Old Style" w:cs="Arial"/>
          <w:lang w:val="es-CO"/>
        </w:rPr>
        <w:t>La Ley 143 de 1994, artículo 6, dispuso que las actividades relacionadas con el servicio de electricidad se regirán, entre otros principios, por el de eficiencia, el cual “</w:t>
      </w:r>
      <w:r w:rsidRPr="00C12886">
        <w:rPr>
          <w:rFonts w:ascii="Bookman Old Style" w:hAnsi="Bookman Old Style" w:cs="Arial"/>
          <w:i/>
          <w:lang w:val="es-CO"/>
        </w:rPr>
        <w:t>obliga a la correcta asignación y utilización de los recursos de tal forma que se garantice la prestación del servicio al menor costo económico</w:t>
      </w:r>
      <w:r w:rsidRPr="00C12886">
        <w:rPr>
          <w:rFonts w:ascii="Bookman Old Style" w:hAnsi="Bookman Old Style" w:cs="Arial"/>
          <w:lang w:val="es-CO"/>
        </w:rPr>
        <w:t>”.</w:t>
      </w:r>
    </w:p>
    <w:p w14:paraId="3B311FAB" w14:textId="77777777" w:rsidR="001F561E" w:rsidRPr="00C12886" w:rsidRDefault="001F561E" w:rsidP="001F561E">
      <w:pPr>
        <w:ind w:left="0"/>
        <w:rPr>
          <w:rFonts w:ascii="Bookman Old Style" w:hAnsi="Bookman Old Style" w:cs="Arial"/>
          <w:lang w:val="es-CO"/>
        </w:rPr>
      </w:pPr>
    </w:p>
    <w:p w14:paraId="6698C713" w14:textId="77777777" w:rsidR="001F561E" w:rsidRPr="00576D9E" w:rsidRDefault="001F561E" w:rsidP="001F561E">
      <w:pPr>
        <w:ind w:left="0"/>
        <w:rPr>
          <w:rFonts w:ascii="Bookman Old Style" w:hAnsi="Bookman Old Style" w:cs="Arial"/>
        </w:rPr>
      </w:pPr>
      <w:r w:rsidRPr="00C12886">
        <w:rPr>
          <w:rFonts w:ascii="Bookman Old Style" w:hAnsi="Bookman Old Style" w:cs="Arial"/>
        </w:rPr>
        <w:t>El artículo 20 de la Ley 143 de 1994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r w:rsidRPr="00324CE2">
        <w:rPr>
          <w:rFonts w:ascii="Bookman Old Style" w:hAnsi="Bookman Old Style" w:cs="Arial"/>
        </w:rPr>
        <w:t>.</w:t>
      </w:r>
      <w:r w:rsidRPr="00576D9E">
        <w:rPr>
          <w:rFonts w:ascii="Bookman Old Style" w:hAnsi="Bookman Old Style" w:cs="Arial"/>
        </w:rPr>
        <w:t xml:space="preserve"> </w:t>
      </w:r>
    </w:p>
    <w:p w14:paraId="0E1A0995" w14:textId="77777777" w:rsidR="001F561E" w:rsidRPr="00576D9E" w:rsidRDefault="001F561E" w:rsidP="001F561E">
      <w:pPr>
        <w:ind w:left="0"/>
        <w:rPr>
          <w:rFonts w:ascii="Bookman Old Style" w:hAnsi="Bookman Old Style" w:cs="Arial"/>
        </w:rPr>
      </w:pPr>
    </w:p>
    <w:p w14:paraId="17EE5F44" w14:textId="77777777" w:rsidR="001F561E" w:rsidRPr="00D77137" w:rsidRDefault="001F561E" w:rsidP="001F561E">
      <w:pPr>
        <w:ind w:left="0"/>
        <w:rPr>
          <w:rFonts w:ascii="Bookman Old Style" w:hAnsi="Bookman Old Style" w:cs="Arial"/>
        </w:rPr>
      </w:pPr>
      <w:r w:rsidRPr="00D77137">
        <w:rPr>
          <w:rFonts w:ascii="Bookman Old Style" w:hAnsi="Bookman Old Style" w:cs="Arial"/>
        </w:rPr>
        <w:t>Las leyes 142 y 143 de 1994 otorgan a la Comisión de Regulación de Energía y Gas la facultad de establecer el Reglamento de Operación, el cual incluye los principios, criterios y procedimientos para regular el funcionamiento del mercado de energía mayorista.</w:t>
      </w:r>
    </w:p>
    <w:p w14:paraId="2EC967C8" w14:textId="77777777" w:rsidR="001F561E" w:rsidRDefault="001F561E" w:rsidP="001F561E">
      <w:pPr>
        <w:ind w:left="0"/>
        <w:jc w:val="both"/>
        <w:rPr>
          <w:rFonts w:ascii="Bookman Old Style" w:hAnsi="Bookman Old Style"/>
        </w:rPr>
      </w:pPr>
    </w:p>
    <w:p w14:paraId="7F9F2058" w14:textId="77777777" w:rsidR="001F561E" w:rsidRPr="00D77137" w:rsidRDefault="001F561E" w:rsidP="001F561E">
      <w:pPr>
        <w:pStyle w:val="Textodebloque"/>
        <w:spacing w:after="0"/>
        <w:ind w:left="0" w:right="0"/>
        <w:jc w:val="left"/>
        <w:rPr>
          <w:rFonts w:ascii="Bookman Old Style" w:hAnsi="Bookman Old Style" w:cs="Arial"/>
          <w:szCs w:val="24"/>
        </w:rPr>
      </w:pPr>
      <w:r w:rsidRPr="00D77137">
        <w:rPr>
          <w:rFonts w:ascii="Bookman Old Style" w:hAnsi="Bookman Old Style" w:cs="Arial"/>
          <w:szCs w:val="24"/>
        </w:rPr>
        <w:lastRenderedPageBreak/>
        <w:t xml:space="preserve">La Resolución CREG 024 de 1995, </w:t>
      </w:r>
      <w:r w:rsidRPr="00D77137">
        <w:rPr>
          <w:rFonts w:ascii="Bookman Old Style" w:hAnsi="Bookman Old Style" w:cs="Arial"/>
          <w:i/>
          <w:iCs/>
          <w:szCs w:val="24"/>
        </w:rPr>
        <w:t>“por la cual se reglamentan los aspectos comerciales del mercado mayorista de energía en el sistema interconectado nacional, que hacen parte del Reglamento de Operación”</w:t>
      </w:r>
      <w:r w:rsidRPr="00D77137">
        <w:rPr>
          <w:rFonts w:ascii="Bookman Old Style" w:hAnsi="Bookman Old Style" w:cs="Arial"/>
          <w:szCs w:val="24"/>
        </w:rPr>
        <w:t xml:space="preserve">, en </w:t>
      </w:r>
      <w:r>
        <w:rPr>
          <w:rFonts w:ascii="Bookman Old Style" w:hAnsi="Bookman Old Style" w:cs="Arial"/>
          <w:szCs w:val="24"/>
        </w:rPr>
        <w:t>su</w:t>
      </w:r>
      <w:r w:rsidRPr="00D77137">
        <w:rPr>
          <w:rFonts w:ascii="Bookman Old Style" w:hAnsi="Bookman Old Style" w:cs="Arial"/>
          <w:szCs w:val="24"/>
        </w:rPr>
        <w:t xml:space="preserve"> artículo 22, establece la obligatoriedad para los agentes que participan en el mercado de energía mayorista de otorgar garantías a favor del Administrador del Sistema de Intercambios Comerciales.</w:t>
      </w:r>
    </w:p>
    <w:p w14:paraId="16A8D51F" w14:textId="77777777" w:rsidR="001F561E" w:rsidRDefault="001F561E" w:rsidP="001F561E">
      <w:pPr>
        <w:pStyle w:val="Textodebloque"/>
        <w:spacing w:after="0"/>
        <w:ind w:left="0" w:right="0"/>
        <w:rPr>
          <w:rFonts w:ascii="Bookman Old Style" w:hAnsi="Bookman Old Style" w:cs="Arial"/>
          <w:szCs w:val="24"/>
        </w:rPr>
      </w:pPr>
    </w:p>
    <w:p w14:paraId="6604B132" w14:textId="77777777" w:rsidR="001F561E" w:rsidRDefault="001F561E" w:rsidP="001F561E">
      <w:pPr>
        <w:pStyle w:val="Textodebloque"/>
        <w:spacing w:after="0"/>
        <w:ind w:left="0" w:right="0"/>
        <w:jc w:val="left"/>
        <w:rPr>
          <w:rFonts w:ascii="Bookman Old Style" w:hAnsi="Bookman Old Style" w:cs="Arial"/>
          <w:szCs w:val="24"/>
        </w:rPr>
      </w:pPr>
      <w:r>
        <w:rPr>
          <w:rFonts w:ascii="Bookman Old Style" w:hAnsi="Bookman Old Style" w:cs="Arial"/>
          <w:szCs w:val="24"/>
        </w:rPr>
        <w:t xml:space="preserve">Mediante la Resolución CREG 116 de 1998 se reguló la </w:t>
      </w:r>
      <w:r w:rsidRPr="005C565E">
        <w:rPr>
          <w:rFonts w:ascii="Bookman Old Style" w:hAnsi="Bookman Old Style" w:cs="Arial"/>
          <w:szCs w:val="24"/>
        </w:rPr>
        <w:t>limitación del suministro a comercializadores y/o distribuidores morosos, y</w:t>
      </w:r>
      <w:r>
        <w:rPr>
          <w:rFonts w:ascii="Bookman Old Style" w:hAnsi="Bookman Old Style" w:cs="Arial"/>
          <w:szCs w:val="24"/>
        </w:rPr>
        <w:t xml:space="preserve"> se dictaron otras disposiciones</w:t>
      </w:r>
      <w:r w:rsidRPr="005C565E">
        <w:rPr>
          <w:rFonts w:ascii="Bookman Old Style" w:hAnsi="Bookman Old Style" w:cs="Arial"/>
          <w:szCs w:val="24"/>
        </w:rPr>
        <w:t>.</w:t>
      </w:r>
    </w:p>
    <w:p w14:paraId="5D0EA813" w14:textId="77777777" w:rsidR="001F561E" w:rsidRPr="00D77137" w:rsidRDefault="001F561E" w:rsidP="001F561E">
      <w:pPr>
        <w:pStyle w:val="Textodebloque"/>
        <w:spacing w:after="0"/>
        <w:ind w:left="0" w:right="0"/>
        <w:rPr>
          <w:rFonts w:ascii="Bookman Old Style" w:hAnsi="Bookman Old Style" w:cs="Arial"/>
          <w:szCs w:val="24"/>
        </w:rPr>
      </w:pPr>
    </w:p>
    <w:p w14:paraId="1652C3BC" w14:textId="77777777" w:rsidR="001F561E" w:rsidRDefault="001F561E" w:rsidP="001F561E">
      <w:pPr>
        <w:pStyle w:val="Textodebloque"/>
        <w:spacing w:after="0"/>
        <w:ind w:left="0" w:right="0"/>
        <w:jc w:val="left"/>
        <w:rPr>
          <w:rFonts w:ascii="Bookman Old Style" w:hAnsi="Bookman Old Style" w:cs="Arial"/>
          <w:szCs w:val="24"/>
        </w:rPr>
      </w:pPr>
      <w:r w:rsidRPr="00D77137">
        <w:rPr>
          <w:rFonts w:ascii="Bookman Old Style" w:hAnsi="Bookman Old Style" w:cs="Arial"/>
          <w:szCs w:val="24"/>
        </w:rPr>
        <w:t>Con la expedición de la Resolución CREG 019 de 2006, se modificaron algunas disposiciones en materia de garantías y pagos anticipados de los agentes participantes en el mercado de energía mayorista y se adoptó el Reglamento de Mecanismos de Cubrimiento para las Transacciones en el Mercado de Energía Mayorista</w:t>
      </w:r>
      <w:r>
        <w:rPr>
          <w:rFonts w:ascii="Bookman Old Style" w:hAnsi="Bookman Old Style" w:cs="Arial"/>
          <w:szCs w:val="24"/>
        </w:rPr>
        <w:t>, este último fue modificado por l</w:t>
      </w:r>
      <w:r w:rsidRPr="00D77137">
        <w:rPr>
          <w:rFonts w:ascii="Bookman Old Style" w:hAnsi="Bookman Old Style" w:cs="Arial"/>
          <w:szCs w:val="24"/>
        </w:rPr>
        <w:t>a Resolución CREG 087 de 2006.</w:t>
      </w:r>
    </w:p>
    <w:p w14:paraId="002BCD2E" w14:textId="77777777" w:rsidR="001F561E" w:rsidRDefault="001F561E" w:rsidP="001F561E">
      <w:pPr>
        <w:pStyle w:val="Textodebloque"/>
        <w:spacing w:after="0"/>
        <w:ind w:left="0" w:right="0"/>
        <w:rPr>
          <w:rFonts w:ascii="Bookman Old Style" w:hAnsi="Bookman Old Style" w:cs="Arial"/>
          <w:szCs w:val="24"/>
        </w:rPr>
      </w:pPr>
    </w:p>
    <w:p w14:paraId="2B6B14EF" w14:textId="77777777" w:rsidR="001F561E" w:rsidRPr="00D77137" w:rsidRDefault="001F561E" w:rsidP="001F561E">
      <w:pPr>
        <w:pStyle w:val="Textodebloque"/>
        <w:spacing w:after="0"/>
        <w:ind w:left="0" w:right="0"/>
        <w:jc w:val="left"/>
        <w:rPr>
          <w:rFonts w:ascii="Bookman Old Style" w:hAnsi="Bookman Old Style" w:cs="Arial"/>
          <w:szCs w:val="24"/>
        </w:rPr>
      </w:pPr>
      <w:r>
        <w:rPr>
          <w:rFonts w:ascii="Bookman Old Style" w:hAnsi="Bookman Old Style" w:cs="Arial"/>
          <w:szCs w:val="24"/>
        </w:rPr>
        <w:t>L</w:t>
      </w:r>
      <w:r w:rsidRPr="00D77137">
        <w:rPr>
          <w:rFonts w:ascii="Bookman Old Style" w:hAnsi="Bookman Old Style" w:cs="Arial"/>
          <w:szCs w:val="24"/>
        </w:rPr>
        <w:t xml:space="preserve">a Resolución CREG 013 de 2010 modificó el </w:t>
      </w:r>
      <w:r>
        <w:rPr>
          <w:rFonts w:ascii="Bookman Old Style" w:hAnsi="Bookman Old Style" w:cs="Arial"/>
          <w:szCs w:val="24"/>
        </w:rPr>
        <w:t>R</w:t>
      </w:r>
      <w:r w:rsidRPr="00D77137">
        <w:rPr>
          <w:rFonts w:ascii="Bookman Old Style" w:hAnsi="Bookman Old Style" w:cs="Arial"/>
          <w:szCs w:val="24"/>
        </w:rPr>
        <w:t>eglamento de Mecanismos de Cubrimiento para las Transacciones en el Mercado de Energía Mayorista</w:t>
      </w:r>
      <w:r>
        <w:rPr>
          <w:rFonts w:ascii="Bookman Old Style" w:hAnsi="Bookman Old Style" w:cs="Arial"/>
          <w:szCs w:val="24"/>
        </w:rPr>
        <w:t>,</w:t>
      </w:r>
      <w:r w:rsidRPr="00D77137">
        <w:rPr>
          <w:rFonts w:ascii="Bookman Old Style" w:hAnsi="Bookman Old Style" w:cs="Arial"/>
          <w:szCs w:val="24"/>
        </w:rPr>
        <w:t xml:space="preserve"> en lo referente a los mecanismos de ajuste semanal y se introdujeron cambios al registro de fronteras y contratos, con el fin de que los valores utilizados en el cálculo de las garantías correspondieran a una mejor aproximación a la situación real de despacho. </w:t>
      </w:r>
    </w:p>
    <w:p w14:paraId="460EE9A5" w14:textId="77777777" w:rsidR="001F561E" w:rsidRPr="00D77137" w:rsidRDefault="001F561E" w:rsidP="001F561E">
      <w:pPr>
        <w:pStyle w:val="Textodebloque"/>
        <w:spacing w:after="0"/>
        <w:ind w:left="0" w:right="0"/>
        <w:rPr>
          <w:rFonts w:ascii="Bookman Old Style" w:hAnsi="Bookman Old Style" w:cs="Arial"/>
          <w:szCs w:val="24"/>
        </w:rPr>
      </w:pPr>
    </w:p>
    <w:p w14:paraId="4526387B" w14:textId="77777777" w:rsidR="001F561E" w:rsidRDefault="001F561E" w:rsidP="001F561E">
      <w:pPr>
        <w:pStyle w:val="Textodebloque"/>
        <w:spacing w:after="0"/>
        <w:ind w:left="0" w:right="-1"/>
        <w:jc w:val="left"/>
        <w:rPr>
          <w:rFonts w:ascii="Bookman Old Style" w:hAnsi="Bookman Old Style" w:cs="Arial"/>
          <w:szCs w:val="24"/>
          <w:lang w:val="es-ES"/>
        </w:rPr>
      </w:pPr>
      <w:r>
        <w:rPr>
          <w:rFonts w:ascii="Bookman Old Style" w:hAnsi="Bookman Old Style" w:cs="Arial"/>
          <w:szCs w:val="24"/>
        </w:rPr>
        <w:t>L</w:t>
      </w:r>
      <w:r w:rsidRPr="00D77137">
        <w:rPr>
          <w:rFonts w:ascii="Bookman Old Style" w:hAnsi="Bookman Old Style" w:cs="Arial"/>
          <w:szCs w:val="24"/>
        </w:rPr>
        <w:t xml:space="preserve">a Resolución CREG 158 de 2011 </w:t>
      </w:r>
      <w:r>
        <w:rPr>
          <w:rFonts w:ascii="Bookman Old Style" w:hAnsi="Bookman Old Style" w:cs="Arial"/>
          <w:szCs w:val="24"/>
        </w:rPr>
        <w:t>modifica</w:t>
      </w:r>
      <w:r w:rsidRPr="00D77137">
        <w:rPr>
          <w:rFonts w:ascii="Bookman Old Style" w:hAnsi="Bookman Old Style" w:cs="Arial"/>
          <w:szCs w:val="24"/>
        </w:rPr>
        <w:t xml:space="preserve"> </w:t>
      </w:r>
      <w:r w:rsidRPr="00D77137">
        <w:rPr>
          <w:rFonts w:ascii="Bookman Old Style" w:hAnsi="Bookman Old Style" w:cs="Arial"/>
          <w:szCs w:val="24"/>
          <w:lang w:val="es-ES"/>
        </w:rPr>
        <w:t>algunas disposiciones en materia de garantías y pagos anticipados de los agentes participantes en el Mercado Mayorista de Energía</w:t>
      </w:r>
      <w:r>
        <w:rPr>
          <w:rFonts w:ascii="Bookman Old Style" w:hAnsi="Bookman Old Style" w:cs="Arial"/>
          <w:szCs w:val="24"/>
          <w:lang w:val="es-ES"/>
        </w:rPr>
        <w:t>, MEM</w:t>
      </w:r>
      <w:r w:rsidRPr="00D77137">
        <w:rPr>
          <w:rFonts w:ascii="Bookman Old Style" w:hAnsi="Bookman Old Style" w:cs="Arial"/>
          <w:szCs w:val="24"/>
          <w:lang w:val="es-ES"/>
        </w:rPr>
        <w:t xml:space="preserve">. </w:t>
      </w:r>
    </w:p>
    <w:p w14:paraId="6651A2D8" w14:textId="77777777" w:rsidR="001F561E" w:rsidRPr="00D77137" w:rsidRDefault="001F561E" w:rsidP="001F561E">
      <w:pPr>
        <w:pStyle w:val="Textodebloque"/>
        <w:spacing w:after="0"/>
        <w:ind w:left="0" w:right="-1"/>
        <w:rPr>
          <w:rFonts w:ascii="Bookman Old Style" w:hAnsi="Bookman Old Style" w:cs="Arial"/>
          <w:szCs w:val="24"/>
          <w:lang w:val="es-ES"/>
        </w:rPr>
      </w:pPr>
    </w:p>
    <w:p w14:paraId="64E12257" w14:textId="77777777" w:rsidR="001F561E" w:rsidRPr="00D6022C" w:rsidRDefault="001F561E" w:rsidP="001F561E">
      <w:pPr>
        <w:ind w:left="0"/>
        <w:rPr>
          <w:rFonts w:ascii="Bookman Old Style" w:hAnsi="Bookman Old Style" w:cs="Arial"/>
          <w:spacing w:val="-3"/>
          <w:lang w:val="es-ES_tradnl"/>
        </w:rPr>
      </w:pPr>
      <w:r w:rsidRPr="00D6022C">
        <w:rPr>
          <w:rFonts w:ascii="Bookman Old Style" w:hAnsi="Bookman Old Style" w:cs="Arial"/>
          <w:spacing w:val="-3"/>
          <w:lang w:val="es-ES_tradnl"/>
        </w:rPr>
        <w:t xml:space="preserve">La Resolución CREG 119 </w:t>
      </w:r>
      <w:r>
        <w:rPr>
          <w:rFonts w:ascii="Bookman Old Style" w:hAnsi="Bookman Old Style" w:cs="Arial"/>
          <w:spacing w:val="-3"/>
          <w:lang w:val="es-ES_tradnl"/>
        </w:rPr>
        <w:t xml:space="preserve">de </w:t>
      </w:r>
      <w:r w:rsidRPr="00D6022C">
        <w:rPr>
          <w:rFonts w:ascii="Bookman Old Style" w:hAnsi="Bookman Old Style" w:cs="Arial"/>
          <w:spacing w:val="-3"/>
          <w:lang w:val="es-ES_tradnl"/>
        </w:rPr>
        <w:t>2007 establece la fórmula tarifaria general que permite a los Comercializadores Minoristas de electricidad establecer los costos de prestación del servicio a usuarios regulados en el Sistema Interconectado Nacional y define en el artículo 7 la fórmula de cálculo de la variable Mc. </w:t>
      </w:r>
    </w:p>
    <w:p w14:paraId="2BEF56B2" w14:textId="77777777" w:rsidR="001F561E" w:rsidRPr="00D6022C" w:rsidRDefault="001F561E" w:rsidP="001F561E">
      <w:pPr>
        <w:ind w:left="0"/>
        <w:rPr>
          <w:rFonts w:ascii="Bookman Old Style" w:hAnsi="Bookman Old Style" w:cs="Arial"/>
          <w:spacing w:val="-3"/>
          <w:lang w:val="es-CO"/>
        </w:rPr>
      </w:pPr>
    </w:p>
    <w:p w14:paraId="17DDC482" w14:textId="77777777" w:rsidR="001F561E" w:rsidRDefault="001F561E" w:rsidP="001F561E">
      <w:pPr>
        <w:ind w:left="0"/>
        <w:rPr>
          <w:rFonts w:ascii="Bookman Old Style" w:hAnsi="Bookman Old Style" w:cs="Arial"/>
          <w:spacing w:val="-3"/>
          <w:lang w:val="es-ES_tradnl"/>
        </w:rPr>
      </w:pPr>
      <w:r w:rsidRPr="00473E8E">
        <w:rPr>
          <w:rFonts w:ascii="Bookman Old Style" w:hAnsi="Bookman Old Style" w:cs="Arial"/>
          <w:spacing w:val="-3"/>
          <w:lang w:val="es-ES_tradnl"/>
        </w:rPr>
        <w:t>Mediante la Resolución CREG 012 de 2020</w:t>
      </w:r>
      <w:r>
        <w:rPr>
          <w:rFonts w:ascii="Bookman Old Style" w:hAnsi="Bookman Old Style" w:cs="Arial"/>
          <w:spacing w:val="-3"/>
          <w:lang w:val="es-ES_tradnl"/>
        </w:rPr>
        <w:t>,</w:t>
      </w:r>
      <w:r w:rsidRPr="00473E8E">
        <w:rPr>
          <w:rFonts w:ascii="Bookman Old Style" w:hAnsi="Bookman Old Style" w:cs="Arial"/>
          <w:spacing w:val="-3"/>
          <w:lang w:val="es-ES_tradnl"/>
        </w:rPr>
        <w:t xml:space="preserve"> </w:t>
      </w:r>
      <w:r>
        <w:rPr>
          <w:rFonts w:ascii="Bookman Old Style" w:hAnsi="Bookman Old Style" w:cs="Arial"/>
          <w:spacing w:val="-3"/>
          <w:lang w:val="es-ES_tradnl"/>
        </w:rPr>
        <w:t xml:space="preserve">se estableció </w:t>
      </w:r>
      <w:r w:rsidRPr="00992CC7">
        <w:rPr>
          <w:rFonts w:ascii="Bookman Old Style" w:hAnsi="Bookman Old Style" w:cs="Arial"/>
          <w:spacing w:val="-3"/>
          <w:lang w:val="es-ES_tradnl"/>
        </w:rPr>
        <w:t xml:space="preserve">una opción tarifaria para definir los costos máximos de prestación del servicio </w:t>
      </w:r>
      <w:r>
        <w:rPr>
          <w:rFonts w:ascii="Bookman Old Style" w:hAnsi="Bookman Old Style" w:cs="Arial"/>
          <w:spacing w:val="-3"/>
          <w:lang w:val="es-ES_tradnl"/>
        </w:rPr>
        <w:t xml:space="preserve">que pueden trasladarse </w:t>
      </w:r>
      <w:r w:rsidRPr="00992CC7">
        <w:rPr>
          <w:rFonts w:ascii="Bookman Old Style" w:hAnsi="Bookman Old Style" w:cs="Arial"/>
          <w:spacing w:val="-3"/>
          <w:lang w:val="es-ES_tradnl"/>
        </w:rPr>
        <w:t>a los usuarios regulados.</w:t>
      </w:r>
    </w:p>
    <w:p w14:paraId="31C85A89" w14:textId="77777777" w:rsidR="001F561E" w:rsidRDefault="001F561E" w:rsidP="001F561E">
      <w:pPr>
        <w:ind w:left="0"/>
        <w:rPr>
          <w:rFonts w:ascii="Bookman Old Style" w:hAnsi="Bookman Old Style" w:cs="Arial"/>
          <w:spacing w:val="-3"/>
          <w:lang w:val="es-ES_tradnl"/>
        </w:rPr>
      </w:pPr>
    </w:p>
    <w:p w14:paraId="6E461328" w14:textId="77777777" w:rsidR="001F561E" w:rsidRPr="00473E8E" w:rsidRDefault="001F561E" w:rsidP="001F561E">
      <w:pPr>
        <w:ind w:left="0"/>
        <w:rPr>
          <w:rFonts w:ascii="Bookman Old Style" w:hAnsi="Bookman Old Style" w:cs="Arial"/>
          <w:spacing w:val="-3"/>
          <w:lang w:val="es-ES_tradnl"/>
        </w:rPr>
      </w:pPr>
      <w:r>
        <w:rPr>
          <w:rFonts w:ascii="Bookman Old Style" w:hAnsi="Bookman Old Style" w:cs="Arial"/>
          <w:spacing w:val="-3"/>
          <w:lang w:val="es-ES_tradnl"/>
        </w:rPr>
        <w:t xml:space="preserve">Con la Resolución CREG 058 de 2020, se adoptaron </w:t>
      </w:r>
      <w:r w:rsidRPr="00F77EA8">
        <w:rPr>
          <w:rFonts w:ascii="Bookman Old Style" w:hAnsi="Bookman Old Style" w:cs="Arial"/>
          <w:spacing w:val="-3"/>
          <w:lang w:val="es-ES_tradnl"/>
        </w:rPr>
        <w:t>medidas transitorias para el pago de las facturas del servicio de energía eléctrica</w:t>
      </w:r>
      <w:r>
        <w:rPr>
          <w:rFonts w:ascii="Bookman Old Style" w:hAnsi="Bookman Old Style" w:cs="Arial"/>
          <w:spacing w:val="-3"/>
          <w:lang w:val="es-ES_tradnl"/>
        </w:rPr>
        <w:t xml:space="preserve"> durante la emergencia sanitaria declarada con ocasión de la pandemia de </w:t>
      </w:r>
      <w:proofErr w:type="spellStart"/>
      <w:r>
        <w:rPr>
          <w:rFonts w:ascii="Bookman Old Style" w:hAnsi="Bookman Old Style" w:cs="Arial"/>
          <w:spacing w:val="-3"/>
          <w:lang w:val="es-ES_tradnl"/>
        </w:rPr>
        <w:t>Covid</w:t>
      </w:r>
      <w:proofErr w:type="spellEnd"/>
      <w:r>
        <w:rPr>
          <w:rFonts w:ascii="Bookman Old Style" w:hAnsi="Bookman Old Style" w:cs="Arial"/>
          <w:spacing w:val="-3"/>
          <w:lang w:val="es-ES_tradnl"/>
        </w:rPr>
        <w:t xml:space="preserve"> y se estableció la obligatoriedad de aplicar la opción tarifaria definida mediante la Resolución CREG 012 de 2020 por un período determinado</w:t>
      </w:r>
      <w:r w:rsidRPr="00F77EA8">
        <w:rPr>
          <w:rFonts w:ascii="Bookman Old Style" w:hAnsi="Bookman Old Style" w:cs="Arial"/>
          <w:spacing w:val="-3"/>
          <w:lang w:val="es-ES_tradnl"/>
        </w:rPr>
        <w:t>.</w:t>
      </w:r>
    </w:p>
    <w:p w14:paraId="1159DA1F" w14:textId="77777777" w:rsidR="001F561E" w:rsidRPr="00CB3CF1" w:rsidRDefault="001F561E" w:rsidP="001F561E">
      <w:pPr>
        <w:pStyle w:val="Textodebloque"/>
        <w:spacing w:after="0"/>
        <w:ind w:left="0" w:right="0"/>
        <w:rPr>
          <w:rFonts w:ascii="Bookman Old Style" w:hAnsi="Bookman Old Style" w:cs="Arial"/>
          <w:szCs w:val="24"/>
        </w:rPr>
      </w:pPr>
    </w:p>
    <w:p w14:paraId="3F11A304" w14:textId="77777777" w:rsidR="001F561E" w:rsidRDefault="001F561E" w:rsidP="001F561E">
      <w:pPr>
        <w:pStyle w:val="Textodebloque"/>
        <w:spacing w:after="0"/>
        <w:ind w:left="0" w:right="-1"/>
        <w:jc w:val="left"/>
        <w:rPr>
          <w:rFonts w:ascii="Bookman Old Style" w:hAnsi="Bookman Old Style" w:cs="Arial"/>
          <w:szCs w:val="24"/>
          <w:lang w:val="es-ES"/>
        </w:rPr>
      </w:pPr>
      <w:r w:rsidRPr="00324CE2">
        <w:rPr>
          <w:rFonts w:ascii="Bookman Old Style" w:hAnsi="Bookman Old Style" w:cs="Arial"/>
          <w:szCs w:val="24"/>
        </w:rPr>
        <w:t>Mediante l</w:t>
      </w:r>
      <w:r>
        <w:rPr>
          <w:rFonts w:ascii="Bookman Old Style" w:hAnsi="Bookman Old Style" w:cs="Arial"/>
          <w:szCs w:val="24"/>
          <w:lang w:val="es-ES"/>
        </w:rPr>
        <w:t>a R</w:t>
      </w:r>
      <w:r w:rsidRPr="00D77137">
        <w:rPr>
          <w:rFonts w:ascii="Bookman Old Style" w:hAnsi="Bookman Old Style" w:cs="Arial"/>
          <w:szCs w:val="24"/>
          <w:lang w:val="es-ES"/>
        </w:rPr>
        <w:t>esoluci</w:t>
      </w:r>
      <w:r>
        <w:rPr>
          <w:rFonts w:ascii="Bookman Old Style" w:hAnsi="Bookman Old Style" w:cs="Arial"/>
          <w:szCs w:val="24"/>
          <w:lang w:val="es-ES"/>
        </w:rPr>
        <w:t>ón</w:t>
      </w:r>
      <w:r w:rsidRPr="00D77137">
        <w:rPr>
          <w:rFonts w:ascii="Bookman Old Style" w:hAnsi="Bookman Old Style" w:cs="Arial"/>
          <w:szCs w:val="24"/>
          <w:lang w:val="es-ES"/>
        </w:rPr>
        <w:t xml:space="preserve"> CREG 101</w:t>
      </w:r>
      <w:r>
        <w:rPr>
          <w:rFonts w:ascii="Bookman Old Style" w:hAnsi="Bookman Old Style" w:cs="Arial"/>
          <w:szCs w:val="24"/>
          <w:lang w:val="es-ES"/>
        </w:rPr>
        <w:t xml:space="preserve"> 027 de 2022, </w:t>
      </w:r>
      <w:r w:rsidRPr="007C64F0">
        <w:rPr>
          <w:rFonts w:ascii="Bookman Old Style" w:hAnsi="Bookman Old Style" w:cs="Arial"/>
          <w:szCs w:val="24"/>
          <w:lang w:val="es-ES"/>
        </w:rPr>
        <w:t>se permite el cambio de IPP para el cálculo de componentes del costo unitario de prestación del servicio de energía eléctrica y se dictan otras disposiciones</w:t>
      </w:r>
      <w:r>
        <w:rPr>
          <w:rFonts w:ascii="Bookman Old Style" w:hAnsi="Bookman Old Style" w:cs="Arial"/>
          <w:szCs w:val="24"/>
          <w:lang w:val="es-ES"/>
        </w:rPr>
        <w:t xml:space="preserve">. </w:t>
      </w:r>
    </w:p>
    <w:p w14:paraId="22A79C6F" w14:textId="77777777" w:rsidR="001F561E" w:rsidRDefault="001F561E" w:rsidP="001F561E">
      <w:pPr>
        <w:pStyle w:val="Textodebloque"/>
        <w:spacing w:after="0"/>
        <w:ind w:left="0" w:right="-1"/>
        <w:rPr>
          <w:rFonts w:ascii="Bookman Old Style" w:hAnsi="Bookman Old Style" w:cs="Arial"/>
          <w:szCs w:val="24"/>
          <w:lang w:val="es-ES"/>
        </w:rPr>
      </w:pPr>
    </w:p>
    <w:p w14:paraId="132908D9" w14:textId="77777777" w:rsidR="001F561E" w:rsidRDefault="001F561E" w:rsidP="001F561E">
      <w:pPr>
        <w:pStyle w:val="Textodebloque"/>
        <w:ind w:left="0" w:right="51"/>
        <w:jc w:val="left"/>
        <w:rPr>
          <w:rFonts w:ascii="Bookman Old Style" w:hAnsi="Bookman Old Style"/>
          <w:color w:val="000000"/>
          <w:szCs w:val="24"/>
        </w:rPr>
      </w:pPr>
      <w:r>
        <w:rPr>
          <w:rFonts w:ascii="Bookman Old Style" w:hAnsi="Bookman Old Style" w:cs="Arial"/>
          <w:szCs w:val="24"/>
          <w:lang w:val="es-ES"/>
        </w:rPr>
        <w:t xml:space="preserve">Con la Resolución CREG 101 </w:t>
      </w:r>
      <w:r w:rsidRPr="00D77137">
        <w:rPr>
          <w:rFonts w:ascii="Bookman Old Style" w:hAnsi="Bookman Old Style" w:cs="Arial"/>
          <w:szCs w:val="24"/>
          <w:lang w:val="es-ES"/>
        </w:rPr>
        <w:t>029 de 2022</w:t>
      </w:r>
      <w:r>
        <w:rPr>
          <w:rFonts w:ascii="Bookman Old Style" w:hAnsi="Bookman Old Style" w:cs="Arial"/>
          <w:szCs w:val="24"/>
          <w:lang w:val="es-ES"/>
        </w:rPr>
        <w:t xml:space="preserve">, se establecieron </w:t>
      </w:r>
      <w:r w:rsidRPr="00D77137">
        <w:rPr>
          <w:rFonts w:ascii="Bookman Old Style" w:hAnsi="Bookman Old Style" w:cs="Arial"/>
          <w:szCs w:val="24"/>
          <w:lang w:val="es-ES"/>
        </w:rPr>
        <w:t>disposiciones transitorias para ajustar los precios e indexadores de contratos de energía de largo plazo y diferir las obligaciones de pago de los comercializadores</w:t>
      </w:r>
      <w:r>
        <w:rPr>
          <w:rFonts w:ascii="Bookman Old Style" w:hAnsi="Bookman Old Style" w:cs="Arial"/>
          <w:szCs w:val="24"/>
          <w:lang w:val="es-ES"/>
        </w:rPr>
        <w:t xml:space="preserve"> de energía. </w:t>
      </w:r>
      <w:r>
        <w:rPr>
          <w:rFonts w:ascii="Bookman Old Style" w:hAnsi="Bookman Old Style"/>
          <w:color w:val="000000"/>
          <w:szCs w:val="24"/>
        </w:rPr>
        <w:t>E</w:t>
      </w:r>
      <w:r w:rsidRPr="00D77137">
        <w:rPr>
          <w:rFonts w:ascii="Bookman Old Style" w:hAnsi="Bookman Old Style"/>
          <w:color w:val="000000"/>
          <w:szCs w:val="24"/>
        </w:rPr>
        <w:t>l artículo 6°</w:t>
      </w:r>
      <w:r>
        <w:rPr>
          <w:rFonts w:ascii="Bookman Old Style" w:hAnsi="Bookman Old Style"/>
          <w:color w:val="000000"/>
          <w:szCs w:val="24"/>
        </w:rPr>
        <w:t xml:space="preserve">, numeral 6.7 </w:t>
      </w:r>
      <w:r w:rsidRPr="00D77137">
        <w:rPr>
          <w:rFonts w:ascii="Bookman Old Style" w:hAnsi="Bookman Old Style"/>
          <w:color w:val="000000"/>
          <w:szCs w:val="24"/>
        </w:rPr>
        <w:t xml:space="preserve">de </w:t>
      </w:r>
      <w:r>
        <w:rPr>
          <w:rFonts w:ascii="Bookman Old Style" w:hAnsi="Bookman Old Style"/>
          <w:color w:val="000000"/>
          <w:szCs w:val="24"/>
        </w:rPr>
        <w:t>est</w:t>
      </w:r>
      <w:r w:rsidRPr="00D77137">
        <w:rPr>
          <w:rFonts w:ascii="Bookman Old Style" w:hAnsi="Bookman Old Style"/>
          <w:color w:val="000000"/>
          <w:szCs w:val="24"/>
        </w:rPr>
        <w:t xml:space="preserve">a </w:t>
      </w:r>
      <w:r>
        <w:rPr>
          <w:rFonts w:ascii="Bookman Old Style" w:hAnsi="Bookman Old Style"/>
          <w:color w:val="000000"/>
          <w:szCs w:val="24"/>
        </w:rPr>
        <w:t>r</w:t>
      </w:r>
      <w:r w:rsidRPr="00D77137">
        <w:rPr>
          <w:rFonts w:ascii="Bookman Old Style" w:hAnsi="Bookman Old Style"/>
          <w:color w:val="000000"/>
          <w:szCs w:val="24"/>
        </w:rPr>
        <w:t xml:space="preserve">esolución </w:t>
      </w:r>
      <w:r>
        <w:rPr>
          <w:rFonts w:ascii="Bookman Old Style" w:hAnsi="Bookman Old Style"/>
          <w:color w:val="000000"/>
          <w:szCs w:val="24"/>
        </w:rPr>
        <w:t xml:space="preserve">indicó que los comercializadores </w:t>
      </w:r>
      <w:r>
        <w:rPr>
          <w:rFonts w:ascii="Bookman Old Style" w:hAnsi="Bookman Old Style"/>
          <w:color w:val="000000"/>
          <w:szCs w:val="24"/>
        </w:rPr>
        <w:lastRenderedPageBreak/>
        <w:t>de energía también podían utilizar como garantía</w:t>
      </w:r>
      <w:r w:rsidRPr="00D77137">
        <w:rPr>
          <w:rFonts w:ascii="Bookman Old Style" w:hAnsi="Bookman Old Style"/>
          <w:color w:val="000000"/>
          <w:szCs w:val="24"/>
        </w:rPr>
        <w:t xml:space="preserve"> la pignoración de subsidios por recibir</w:t>
      </w:r>
      <w:r>
        <w:rPr>
          <w:rFonts w:ascii="Bookman Old Style" w:hAnsi="Bookman Old Style"/>
          <w:color w:val="000000"/>
          <w:szCs w:val="24"/>
        </w:rPr>
        <w:t>, siendo necesario habilitar nuevamente esta alternativa.</w:t>
      </w:r>
    </w:p>
    <w:p w14:paraId="28451AFD" w14:textId="77777777" w:rsidR="001F561E" w:rsidRDefault="001F561E" w:rsidP="001F561E">
      <w:pPr>
        <w:pStyle w:val="Textodebloque"/>
        <w:ind w:left="0" w:right="51"/>
        <w:jc w:val="left"/>
        <w:rPr>
          <w:rFonts w:ascii="Bookman Old Style" w:hAnsi="Bookman Old Style"/>
          <w:color w:val="000000"/>
          <w:szCs w:val="24"/>
        </w:rPr>
      </w:pPr>
      <w:r>
        <w:rPr>
          <w:rFonts w:ascii="Bookman Old Style" w:hAnsi="Bookman Old Style"/>
          <w:color w:val="000000"/>
          <w:szCs w:val="24"/>
        </w:rPr>
        <w:t>E</w:t>
      </w:r>
      <w:r w:rsidRPr="00D77137">
        <w:rPr>
          <w:rFonts w:ascii="Bookman Old Style" w:hAnsi="Bookman Old Style"/>
          <w:color w:val="000000"/>
          <w:szCs w:val="24"/>
        </w:rPr>
        <w:t xml:space="preserve">l precio </w:t>
      </w:r>
      <w:r>
        <w:rPr>
          <w:rFonts w:ascii="Bookman Old Style" w:hAnsi="Bookman Old Style"/>
          <w:color w:val="000000"/>
          <w:szCs w:val="24"/>
        </w:rPr>
        <w:t xml:space="preserve">en la bolsa de </w:t>
      </w:r>
      <w:r w:rsidRPr="009E1A02">
        <w:rPr>
          <w:rFonts w:ascii="Bookman Old Style" w:hAnsi="Bookman Old Style"/>
          <w:color w:val="000000"/>
          <w:szCs w:val="24"/>
        </w:rPr>
        <w:t xml:space="preserve">energía en las últimas semanas ha presentado un comportamiento creciente tal que al </w:t>
      </w:r>
      <w:r w:rsidRPr="00324CE2">
        <w:rPr>
          <w:rFonts w:ascii="Bookman Old Style" w:hAnsi="Bookman Old Style"/>
          <w:color w:val="000000"/>
          <w:szCs w:val="24"/>
        </w:rPr>
        <w:t>22 de mayo</w:t>
      </w:r>
      <w:r w:rsidRPr="009E1A02">
        <w:rPr>
          <w:rFonts w:ascii="Bookman Old Style" w:hAnsi="Bookman Old Style"/>
          <w:color w:val="000000"/>
          <w:szCs w:val="24"/>
        </w:rPr>
        <w:t xml:space="preserve"> de 2023 alcanza valores de </w:t>
      </w:r>
      <w:r w:rsidRPr="00324CE2">
        <w:rPr>
          <w:rFonts w:ascii="Bookman Old Style" w:hAnsi="Bookman Old Style"/>
          <w:color w:val="000000"/>
          <w:szCs w:val="24"/>
        </w:rPr>
        <w:t>805 $/kWh</w:t>
      </w:r>
      <w:r w:rsidRPr="009E1A02">
        <w:rPr>
          <w:rFonts w:ascii="Bookman Old Style" w:hAnsi="Bookman Old Style"/>
          <w:color w:val="000000"/>
          <w:szCs w:val="24"/>
        </w:rPr>
        <w:t>. Estos niveles de precios</w:t>
      </w:r>
      <w:r>
        <w:rPr>
          <w:rFonts w:ascii="Bookman Old Style" w:hAnsi="Bookman Old Style"/>
          <w:color w:val="000000"/>
          <w:szCs w:val="24"/>
        </w:rPr>
        <w:t xml:space="preserve"> de bolsa, conforme con el Reglamento </w:t>
      </w:r>
      <w:r w:rsidRPr="00FB7DDD">
        <w:rPr>
          <w:rFonts w:ascii="Bookman Old Style" w:hAnsi="Bookman Old Style"/>
          <w:lang w:val="es-CO"/>
        </w:rPr>
        <w:t xml:space="preserve">de Mecanismos de Cubrimiento para las Transacciones en el </w:t>
      </w:r>
      <w:r>
        <w:rPr>
          <w:rFonts w:ascii="Bookman Old Style" w:hAnsi="Bookman Old Style"/>
          <w:lang w:val="es-CO"/>
        </w:rPr>
        <w:t>MEM</w:t>
      </w:r>
      <w:r w:rsidRPr="00FB7DDD">
        <w:rPr>
          <w:rFonts w:ascii="Bookman Old Style" w:hAnsi="Bookman Old Style"/>
          <w:lang w:val="es-CO"/>
        </w:rPr>
        <w:t xml:space="preserve"> </w:t>
      </w:r>
      <w:r>
        <w:rPr>
          <w:rFonts w:ascii="Bookman Old Style" w:hAnsi="Bookman Old Style"/>
          <w:color w:val="000000"/>
          <w:szCs w:val="24"/>
        </w:rPr>
        <w:t xml:space="preserve">conllevan a un mayor valor de garantías a suscribir por parte de los agentes. </w:t>
      </w:r>
    </w:p>
    <w:p w14:paraId="7E29318D" w14:textId="77777777" w:rsidR="001F561E" w:rsidRDefault="001F561E" w:rsidP="001F561E">
      <w:pPr>
        <w:ind w:left="0"/>
        <w:rPr>
          <w:rFonts w:ascii="Bookman Old Style" w:hAnsi="Bookman Old Style"/>
          <w:color w:val="000000"/>
          <w:spacing w:val="-3"/>
          <w:lang w:val="es-ES_tradnl"/>
        </w:rPr>
      </w:pPr>
      <w:r w:rsidRPr="00324CE2">
        <w:rPr>
          <w:rFonts w:ascii="Bookman Old Style" w:hAnsi="Bookman Old Style"/>
        </w:rPr>
        <w:t xml:space="preserve">Varios comercializadores de energía que atienden a usuarios finales cuentan con </w:t>
      </w:r>
      <w:r w:rsidRPr="007411DE">
        <w:rPr>
          <w:rFonts w:ascii="Bookman Old Style" w:hAnsi="Bookman Old Style"/>
          <w:color w:val="000000"/>
          <w:spacing w:val="-3"/>
          <w:lang w:val="es-ES_tradnl"/>
        </w:rPr>
        <w:t xml:space="preserve">saldos acumulados asociados a </w:t>
      </w:r>
      <w:r>
        <w:rPr>
          <w:rFonts w:ascii="Bookman Old Style" w:hAnsi="Bookman Old Style"/>
          <w:color w:val="000000"/>
          <w:spacing w:val="-3"/>
          <w:lang w:val="es-ES_tradnl"/>
        </w:rPr>
        <w:t>la aplicación de la opción tarifaria definida en la Resolución CREG  012 de 2020</w:t>
      </w:r>
      <w:r w:rsidRPr="007411DE">
        <w:rPr>
          <w:rFonts w:ascii="Bookman Old Style" w:hAnsi="Bookman Old Style"/>
          <w:color w:val="000000"/>
          <w:spacing w:val="-3"/>
          <w:lang w:val="es-ES_tradnl"/>
        </w:rPr>
        <w:t xml:space="preserve">, </w:t>
      </w:r>
      <w:r>
        <w:rPr>
          <w:rFonts w:ascii="Bookman Old Style" w:hAnsi="Bookman Old Style"/>
          <w:color w:val="000000"/>
          <w:spacing w:val="-3"/>
          <w:lang w:val="es-ES_tradnl"/>
        </w:rPr>
        <w:t xml:space="preserve">que sumado a </w:t>
      </w:r>
      <w:r w:rsidRPr="007411DE">
        <w:rPr>
          <w:rFonts w:ascii="Bookman Old Style" w:hAnsi="Bookman Old Style"/>
          <w:color w:val="000000"/>
          <w:spacing w:val="-3"/>
          <w:lang w:val="es-ES_tradnl"/>
        </w:rPr>
        <w:t xml:space="preserve">la presión adicional de los prepagos </w:t>
      </w:r>
      <w:r>
        <w:rPr>
          <w:rFonts w:ascii="Bookman Old Style" w:hAnsi="Bookman Old Style"/>
          <w:color w:val="000000"/>
          <w:spacing w:val="-3"/>
          <w:lang w:val="es-ES_tradnl"/>
        </w:rPr>
        <w:t xml:space="preserve">que realizan </w:t>
      </w:r>
      <w:r w:rsidRPr="007411DE">
        <w:rPr>
          <w:rFonts w:ascii="Bookman Old Style" w:hAnsi="Bookman Old Style"/>
          <w:color w:val="000000"/>
          <w:spacing w:val="-3"/>
          <w:lang w:val="es-ES_tradnl"/>
        </w:rPr>
        <w:t xml:space="preserve">en el </w:t>
      </w:r>
      <w:r>
        <w:rPr>
          <w:rFonts w:ascii="Bookman Old Style" w:hAnsi="Bookman Old Style"/>
          <w:color w:val="000000"/>
          <w:spacing w:val="-3"/>
          <w:lang w:val="es-ES_tradnl"/>
        </w:rPr>
        <w:t>MEM,</w:t>
      </w:r>
      <w:r w:rsidRPr="007411DE">
        <w:rPr>
          <w:rFonts w:ascii="Bookman Old Style" w:hAnsi="Bookman Old Style"/>
          <w:color w:val="000000"/>
          <w:spacing w:val="-3"/>
          <w:lang w:val="es-ES_tradnl"/>
        </w:rPr>
        <w:t xml:space="preserve"> </w:t>
      </w:r>
      <w:r>
        <w:rPr>
          <w:rFonts w:ascii="Bookman Old Style" w:hAnsi="Bookman Old Style"/>
          <w:color w:val="000000"/>
          <w:spacing w:val="-3"/>
          <w:lang w:val="es-ES_tradnl"/>
        </w:rPr>
        <w:t xml:space="preserve">así como a </w:t>
      </w:r>
      <w:r w:rsidRPr="007411DE">
        <w:rPr>
          <w:rFonts w:ascii="Bookman Old Style" w:hAnsi="Bookman Old Style"/>
          <w:color w:val="000000"/>
          <w:spacing w:val="-3"/>
          <w:lang w:val="es-ES_tradnl"/>
        </w:rPr>
        <w:t>los incrementos en el precio de bolsa generan una mayor presión sobre el flujo de caja de las empresas</w:t>
      </w:r>
      <w:r>
        <w:rPr>
          <w:rFonts w:ascii="Bookman Old Style" w:hAnsi="Bookman Old Style"/>
          <w:color w:val="000000"/>
          <w:spacing w:val="-3"/>
          <w:lang w:val="es-ES_tradnl"/>
        </w:rPr>
        <w:t xml:space="preserve"> y afectan</w:t>
      </w:r>
      <w:r w:rsidRPr="007411DE">
        <w:rPr>
          <w:rFonts w:ascii="Bookman Old Style" w:hAnsi="Bookman Old Style"/>
          <w:color w:val="000000"/>
          <w:spacing w:val="-3"/>
          <w:lang w:val="es-ES_tradnl"/>
        </w:rPr>
        <w:t xml:space="preserve"> la disponibilidad de capital de trabajo.</w:t>
      </w:r>
    </w:p>
    <w:p w14:paraId="0D5EDFAB" w14:textId="77777777" w:rsidR="001F561E" w:rsidRPr="00400A35" w:rsidRDefault="001F561E" w:rsidP="001F561E">
      <w:pPr>
        <w:ind w:left="0"/>
        <w:jc w:val="both"/>
        <w:rPr>
          <w:rFonts w:ascii="Tahoma" w:hAnsi="Tahoma"/>
          <w:sz w:val="20"/>
          <w:szCs w:val="20"/>
          <w:lang w:val="es-ES_tradnl"/>
        </w:rPr>
      </w:pPr>
    </w:p>
    <w:p w14:paraId="0BB756E6" w14:textId="77777777" w:rsidR="001F561E" w:rsidRPr="00C96C80" w:rsidRDefault="001F561E" w:rsidP="001F561E">
      <w:pPr>
        <w:pStyle w:val="Textodebloque"/>
        <w:ind w:left="0" w:right="51"/>
        <w:jc w:val="left"/>
        <w:rPr>
          <w:rFonts w:ascii="Bookman Old Style" w:hAnsi="Bookman Old Style"/>
          <w:color w:val="000000"/>
          <w:szCs w:val="24"/>
        </w:rPr>
      </w:pPr>
      <w:r>
        <w:rPr>
          <w:rFonts w:ascii="Bookman Old Style" w:hAnsi="Bookman Old Style"/>
          <w:color w:val="000000"/>
          <w:szCs w:val="24"/>
        </w:rPr>
        <w:t xml:space="preserve">En este contexto, la Comisión considera </w:t>
      </w:r>
      <w:r w:rsidRPr="00D77137">
        <w:rPr>
          <w:rFonts w:ascii="Bookman Old Style" w:hAnsi="Bookman Old Style"/>
          <w:color w:val="000000"/>
          <w:szCs w:val="24"/>
        </w:rPr>
        <w:t xml:space="preserve">necesario establecer disposiciones regulatorias transitorias </w:t>
      </w:r>
      <w:r>
        <w:rPr>
          <w:rFonts w:ascii="Bookman Old Style" w:hAnsi="Bookman Old Style"/>
          <w:color w:val="000000"/>
          <w:szCs w:val="24"/>
        </w:rPr>
        <w:t xml:space="preserve">en materia de garantías para el cubrimiento de las transacciones en el MEM y la aplicación del mecanismo de limitación de suministro, </w:t>
      </w:r>
      <w:r w:rsidRPr="00D77137">
        <w:rPr>
          <w:rFonts w:ascii="Bookman Old Style" w:hAnsi="Bookman Old Style"/>
          <w:color w:val="000000"/>
          <w:szCs w:val="24"/>
        </w:rPr>
        <w:t xml:space="preserve">con el fin de </w:t>
      </w:r>
      <w:r>
        <w:rPr>
          <w:rFonts w:ascii="Bookman Old Style" w:hAnsi="Bookman Old Style"/>
          <w:color w:val="000000"/>
          <w:szCs w:val="24"/>
        </w:rPr>
        <w:t xml:space="preserve">mejorar </w:t>
      </w:r>
      <w:r w:rsidRPr="00D77137">
        <w:rPr>
          <w:rFonts w:ascii="Bookman Old Style" w:hAnsi="Bookman Old Style"/>
          <w:color w:val="000000"/>
          <w:szCs w:val="24"/>
        </w:rPr>
        <w:t xml:space="preserve">la disponibilidad de capital de trabajo </w:t>
      </w:r>
      <w:r>
        <w:rPr>
          <w:rFonts w:ascii="Bookman Old Style" w:hAnsi="Bookman Old Style"/>
          <w:color w:val="000000"/>
          <w:szCs w:val="24"/>
        </w:rPr>
        <w:t xml:space="preserve">y el flujo de caja </w:t>
      </w:r>
      <w:r w:rsidRPr="00D77137">
        <w:rPr>
          <w:rFonts w:ascii="Bookman Old Style" w:hAnsi="Bookman Old Style"/>
          <w:color w:val="000000"/>
          <w:szCs w:val="24"/>
        </w:rPr>
        <w:t xml:space="preserve">de los </w:t>
      </w:r>
      <w:r>
        <w:rPr>
          <w:rFonts w:ascii="Bookman Old Style" w:hAnsi="Bookman Old Style"/>
          <w:color w:val="000000"/>
          <w:szCs w:val="24"/>
        </w:rPr>
        <w:t>comercializadores que atienden a usuarios finales</w:t>
      </w:r>
      <w:r w:rsidRPr="00D77137">
        <w:rPr>
          <w:rFonts w:ascii="Bookman Old Style" w:hAnsi="Bookman Old Style"/>
          <w:color w:val="000000"/>
          <w:szCs w:val="24"/>
        </w:rPr>
        <w:t xml:space="preserve">, </w:t>
      </w:r>
      <w:r>
        <w:rPr>
          <w:rFonts w:ascii="Bookman Old Style" w:hAnsi="Bookman Old Style"/>
          <w:color w:val="000000"/>
          <w:szCs w:val="24"/>
        </w:rPr>
        <w:t xml:space="preserve">y así facilitar el cumplimiento de sus obligaciones con el mercado y garantizar la continuidad del servicio a los usuarios. </w:t>
      </w:r>
    </w:p>
    <w:p w14:paraId="138D7CBD" w14:textId="77777777" w:rsidR="001F561E" w:rsidRDefault="001F561E" w:rsidP="001F561E">
      <w:pPr>
        <w:suppressAutoHyphens/>
        <w:jc w:val="center"/>
        <w:rPr>
          <w:rFonts w:ascii="Bookman Old Style" w:hAnsi="Bookman Old Style"/>
          <w:b/>
          <w:spacing w:val="-3"/>
        </w:rPr>
      </w:pPr>
    </w:p>
    <w:p w14:paraId="35F72791" w14:textId="77777777" w:rsidR="001F561E" w:rsidRPr="00C435C3" w:rsidRDefault="001F561E" w:rsidP="001F561E">
      <w:pPr>
        <w:suppressAutoHyphens/>
        <w:jc w:val="center"/>
        <w:rPr>
          <w:rFonts w:ascii="Bookman Old Style" w:hAnsi="Bookman Old Style"/>
          <w:spacing w:val="-3"/>
        </w:rPr>
      </w:pPr>
      <w:r w:rsidRPr="00C435C3">
        <w:rPr>
          <w:rFonts w:ascii="Bookman Old Style" w:hAnsi="Bookman Old Style"/>
          <w:b/>
          <w:spacing w:val="-3"/>
        </w:rPr>
        <w:t>R E S U E L V E:</w:t>
      </w:r>
    </w:p>
    <w:p w14:paraId="65B5B566" w14:textId="77777777" w:rsidR="001F561E" w:rsidRDefault="001F561E" w:rsidP="001F561E">
      <w:pPr>
        <w:jc w:val="center"/>
        <w:rPr>
          <w:rFonts w:ascii="Bookman Old Style" w:hAnsi="Bookman Old Style"/>
        </w:rPr>
      </w:pPr>
    </w:p>
    <w:p w14:paraId="06FCEE16" w14:textId="77777777" w:rsidR="001F561E" w:rsidRPr="00C73448" w:rsidRDefault="001F561E" w:rsidP="001F561E">
      <w:pPr>
        <w:spacing w:after="360"/>
        <w:ind w:left="0"/>
        <w:rPr>
          <w:rFonts w:ascii="Bookman Old Style" w:hAnsi="Bookman Old Style"/>
          <w:i/>
          <w:sz w:val="22"/>
        </w:rPr>
      </w:pPr>
      <w:r w:rsidRPr="002A782A">
        <w:rPr>
          <w:rFonts w:ascii="Bookman Old Style" w:hAnsi="Bookman Old Style"/>
          <w:b/>
        </w:rPr>
        <w:t xml:space="preserve">ARTÍCULO 1. </w:t>
      </w:r>
      <w:r>
        <w:rPr>
          <w:rFonts w:ascii="Bookman Old Style" w:hAnsi="Bookman Old Style"/>
          <w:b/>
        </w:rPr>
        <w:t xml:space="preserve"> </w:t>
      </w:r>
      <w:r w:rsidRPr="00C73448">
        <w:rPr>
          <w:rFonts w:ascii="Bookman Old Style" w:hAnsi="Bookman Old Style"/>
          <w:b/>
          <w:bCs/>
        </w:rPr>
        <w:t xml:space="preserve">Ámbito de aplicación. </w:t>
      </w:r>
      <w:r w:rsidRPr="00C73448">
        <w:rPr>
          <w:rFonts w:ascii="Bookman Old Style" w:hAnsi="Bookman Old Style"/>
        </w:rPr>
        <w:t>Las disposiciones contenidas en est</w:t>
      </w:r>
      <w:r>
        <w:rPr>
          <w:rFonts w:ascii="Bookman Old Style" w:hAnsi="Bookman Old Style"/>
        </w:rPr>
        <w:t>a</w:t>
      </w:r>
      <w:r w:rsidRPr="00C73448">
        <w:rPr>
          <w:rFonts w:ascii="Bookman Old Style" w:hAnsi="Bookman Old Style"/>
        </w:rPr>
        <w:t xml:space="preserve"> </w:t>
      </w:r>
      <w:r>
        <w:rPr>
          <w:rFonts w:ascii="Bookman Old Style" w:hAnsi="Bookman Old Style"/>
        </w:rPr>
        <w:t>resolución</w:t>
      </w:r>
      <w:r w:rsidRPr="00C73448">
        <w:rPr>
          <w:rFonts w:ascii="Bookman Old Style" w:hAnsi="Bookman Old Style"/>
        </w:rPr>
        <w:t xml:space="preserve"> se aplican a todos aquellos agentes que desarrollan las actividades de distribución y comercialización que cumplan con las siguientes condiciones: (i) atienden a usuarios finales, (</w:t>
      </w:r>
      <w:proofErr w:type="spellStart"/>
      <w:r w:rsidRPr="00C73448">
        <w:rPr>
          <w:rFonts w:ascii="Bookman Old Style" w:hAnsi="Bookman Old Style"/>
        </w:rPr>
        <w:t>ii</w:t>
      </w:r>
      <w:proofErr w:type="spellEnd"/>
      <w:r w:rsidRPr="00C73448">
        <w:rPr>
          <w:rFonts w:ascii="Bookman Old Style" w:hAnsi="Bookman Old Style"/>
        </w:rPr>
        <w:t>) tengan saldos acumulados pendientes de cobro a los usuarios por la aplicación de la opción tarifaría a la que se refiere la Resolución CREG 012 de 2020 y sus modificaciones, y (</w:t>
      </w:r>
      <w:proofErr w:type="spellStart"/>
      <w:r w:rsidRPr="00C73448">
        <w:rPr>
          <w:rFonts w:ascii="Bookman Old Style" w:hAnsi="Bookman Old Style"/>
        </w:rPr>
        <w:t>iii</w:t>
      </w:r>
      <w:proofErr w:type="spellEnd"/>
      <w:r w:rsidRPr="00C73448">
        <w:rPr>
          <w:rFonts w:ascii="Bookman Old Style" w:hAnsi="Bookman Old Style"/>
        </w:rPr>
        <w:t xml:space="preserve">) se hayan acogido a lo establecido en la Resolución CREG 101 027 de 2022 y sus modificaciones. </w:t>
      </w:r>
    </w:p>
    <w:p w14:paraId="30468847" w14:textId="77777777" w:rsidR="001F561E" w:rsidRDefault="001F561E" w:rsidP="001F561E">
      <w:pPr>
        <w:spacing w:after="360"/>
        <w:ind w:left="0"/>
        <w:rPr>
          <w:rFonts w:ascii="Bookman Old Style" w:eastAsia="Bookman Old Style" w:hAnsi="Bookman Old Style" w:cs="Bookman Old Style"/>
          <w:bCs/>
          <w:lang w:val="es"/>
        </w:rPr>
      </w:pPr>
      <w:r w:rsidRPr="00630667">
        <w:rPr>
          <w:rFonts w:ascii="Bookman Old Style" w:eastAsia="Bookman Old Style" w:hAnsi="Bookman Old Style" w:cs="Bookman Old Style"/>
          <w:bCs/>
          <w:lang w:val="es"/>
        </w:rPr>
        <w:t xml:space="preserve">Es responsabilidad de los comercializadores informar al </w:t>
      </w:r>
      <w:r w:rsidRPr="00112661">
        <w:rPr>
          <w:rFonts w:ascii="Bookman Old Style" w:hAnsi="Bookman Old Style"/>
          <w:bCs/>
          <w:szCs w:val="20"/>
          <w:lang w:val="es-CO"/>
        </w:rPr>
        <w:t xml:space="preserve">Administrador del Sistema de Intercambios Comerciales, </w:t>
      </w:r>
      <w:r w:rsidRPr="00630667">
        <w:rPr>
          <w:rFonts w:ascii="Bookman Old Style" w:eastAsia="Bookman Old Style" w:hAnsi="Bookman Old Style" w:cs="Bookman Old Style"/>
          <w:bCs/>
          <w:lang w:val="es"/>
        </w:rPr>
        <w:t>ASIC</w:t>
      </w:r>
      <w:r>
        <w:rPr>
          <w:rFonts w:ascii="Bookman Old Style" w:eastAsia="Bookman Old Style" w:hAnsi="Bookman Old Style" w:cs="Bookman Old Style"/>
          <w:bCs/>
          <w:lang w:val="es"/>
        </w:rPr>
        <w:t xml:space="preserve">, </w:t>
      </w:r>
      <w:r w:rsidRPr="00630667">
        <w:rPr>
          <w:rFonts w:ascii="Bookman Old Style" w:eastAsia="Bookman Old Style" w:hAnsi="Bookman Old Style" w:cs="Bookman Old Style"/>
          <w:bCs/>
          <w:lang w:val="es"/>
        </w:rPr>
        <w:t xml:space="preserve">que cumplen con los requisitos </w:t>
      </w:r>
      <w:r>
        <w:rPr>
          <w:rFonts w:ascii="Bookman Old Style" w:eastAsia="Bookman Old Style" w:hAnsi="Bookman Old Style" w:cs="Bookman Old Style"/>
          <w:bCs/>
          <w:lang w:val="es"/>
        </w:rPr>
        <w:t xml:space="preserve">indicados en el inciso anterior, tanto a la </w:t>
      </w:r>
      <w:proofErr w:type="gramStart"/>
      <w:r>
        <w:rPr>
          <w:rFonts w:ascii="Bookman Old Style" w:eastAsia="Bookman Old Style" w:hAnsi="Bookman Old Style" w:cs="Bookman Old Style"/>
          <w:bCs/>
          <w:lang w:val="es"/>
        </w:rPr>
        <w:t>entrada en vigencia</w:t>
      </w:r>
      <w:proofErr w:type="gramEnd"/>
      <w:r>
        <w:rPr>
          <w:rFonts w:ascii="Bookman Old Style" w:eastAsia="Bookman Old Style" w:hAnsi="Bookman Old Style" w:cs="Bookman Old Style"/>
          <w:bCs/>
          <w:lang w:val="es"/>
        </w:rPr>
        <w:t xml:space="preserve"> de esta resolución como después, de forma semanal previo al cálculo que haga el ASIC de los valores a garantizar.</w:t>
      </w:r>
    </w:p>
    <w:p w14:paraId="1CE6CDCF" w14:textId="77777777" w:rsidR="001F561E" w:rsidRPr="00324CE2" w:rsidRDefault="001F561E" w:rsidP="001F561E">
      <w:pPr>
        <w:spacing w:after="360"/>
        <w:ind w:left="0"/>
        <w:rPr>
          <w:b/>
        </w:rPr>
      </w:pPr>
      <w:r w:rsidRPr="000F1317">
        <w:rPr>
          <w:rFonts w:ascii="Bookman Old Style" w:eastAsia="Bookman Old Style" w:hAnsi="Bookman Old Style" w:cs="Bookman Old Style"/>
          <w:bCs/>
          <w:lang w:val="es"/>
        </w:rPr>
        <w:t xml:space="preserve">Las medidas establecidas en la presente norma </w:t>
      </w:r>
      <w:r w:rsidRPr="000F1317">
        <w:rPr>
          <w:rFonts w:ascii="Bookman Old Style" w:hAnsi="Bookman Old Style"/>
          <w:bCs/>
          <w:lang w:val="es"/>
        </w:rPr>
        <w:t xml:space="preserve">tendrán vigencia </w:t>
      </w:r>
      <w:r>
        <w:rPr>
          <w:rFonts w:ascii="Bookman Old Style" w:hAnsi="Bookman Old Style"/>
          <w:bCs/>
          <w:lang w:val="es"/>
        </w:rPr>
        <w:t>hasta el 30 de septiembre de 2023</w:t>
      </w:r>
      <w:r>
        <w:rPr>
          <w:rFonts w:ascii="Bookman Old Style" w:eastAsia="Bookman Old Style" w:hAnsi="Bookman Old Style" w:cs="Bookman Old Style"/>
          <w:bCs/>
          <w:lang w:val="es"/>
        </w:rPr>
        <w:t>. La CREG evaluará previo a la finalización del periodo aquí señalado, la posibilidad de extender el plazo de aplicación de las medidas.</w:t>
      </w:r>
    </w:p>
    <w:p w14:paraId="5D7232A6" w14:textId="77777777" w:rsidR="001F561E" w:rsidRPr="00371412" w:rsidRDefault="001F561E" w:rsidP="001F561E">
      <w:pPr>
        <w:pStyle w:val="Ttulo1"/>
        <w:keepNext w:val="0"/>
        <w:tabs>
          <w:tab w:val="left" w:pos="1560"/>
        </w:tabs>
        <w:suppressAutoHyphens/>
        <w:spacing w:before="120"/>
        <w:ind w:left="0"/>
        <w:jc w:val="left"/>
        <w:rPr>
          <w:rFonts w:ascii="Bookman Old Style" w:hAnsi="Bookman Old Style"/>
          <w:b w:val="0"/>
        </w:rPr>
      </w:pPr>
      <w:r w:rsidRPr="002A782A">
        <w:rPr>
          <w:rFonts w:ascii="Bookman Old Style" w:hAnsi="Bookman Old Style"/>
        </w:rPr>
        <w:t xml:space="preserve">ARTÍCULO </w:t>
      </w:r>
      <w:r>
        <w:rPr>
          <w:rFonts w:ascii="Bookman Old Style" w:hAnsi="Bookman Old Style"/>
        </w:rPr>
        <w:t>2</w:t>
      </w:r>
      <w:r w:rsidRPr="002A782A">
        <w:rPr>
          <w:rFonts w:ascii="Bookman Old Style" w:hAnsi="Bookman Old Style"/>
        </w:rPr>
        <w:t>.</w:t>
      </w:r>
      <w:r>
        <w:rPr>
          <w:rFonts w:ascii="Bookman Old Style" w:hAnsi="Bookman Old Style"/>
          <w:i/>
          <w:sz w:val="22"/>
        </w:rPr>
        <w:t xml:space="preserve">  </w:t>
      </w:r>
      <w:r w:rsidRPr="00F00B91">
        <w:rPr>
          <w:rFonts w:ascii="Bookman Old Style" w:hAnsi="Bookman Old Style"/>
          <w:szCs w:val="24"/>
        </w:rPr>
        <w:t xml:space="preserve">Precio de referencia </w:t>
      </w:r>
      <w:r>
        <w:rPr>
          <w:rFonts w:ascii="Bookman Old Style" w:hAnsi="Bookman Old Style"/>
          <w:szCs w:val="24"/>
        </w:rPr>
        <w:t xml:space="preserve">transitorio </w:t>
      </w:r>
      <w:r w:rsidRPr="00F00B91">
        <w:rPr>
          <w:rFonts w:ascii="Bookman Old Style" w:hAnsi="Bookman Old Style"/>
          <w:szCs w:val="24"/>
        </w:rPr>
        <w:t>para el cálculo de garantías.</w:t>
      </w:r>
      <w:r w:rsidRPr="00F00B91">
        <w:rPr>
          <w:rFonts w:ascii="Bookman Old Style" w:hAnsi="Bookman Old Style"/>
        </w:rPr>
        <w:t xml:space="preserve"> </w:t>
      </w:r>
      <w:r w:rsidRPr="00324CE2">
        <w:rPr>
          <w:rFonts w:ascii="Bookman Old Style" w:hAnsi="Bookman Old Style"/>
          <w:b w:val="0"/>
        </w:rPr>
        <w:t xml:space="preserve">El valor de </w:t>
      </w:r>
      <w:r>
        <w:rPr>
          <w:rFonts w:ascii="Bookman Old Style" w:hAnsi="Bookman Old Style"/>
          <w:b w:val="0"/>
        </w:rPr>
        <w:t xml:space="preserve">los montos de </w:t>
      </w:r>
      <w:r w:rsidRPr="00324CE2">
        <w:rPr>
          <w:rFonts w:ascii="Bookman Old Style" w:hAnsi="Bookman Old Style"/>
          <w:b w:val="0"/>
        </w:rPr>
        <w:t>la</w:t>
      </w:r>
      <w:r>
        <w:rPr>
          <w:rFonts w:ascii="Bookman Old Style" w:hAnsi="Bookman Old Style"/>
          <w:b w:val="0"/>
        </w:rPr>
        <w:t>s</w:t>
      </w:r>
      <w:r w:rsidRPr="00324CE2">
        <w:rPr>
          <w:rFonts w:ascii="Bookman Old Style" w:hAnsi="Bookman Old Style"/>
          <w:b w:val="0"/>
        </w:rPr>
        <w:t xml:space="preserve"> garantía</w:t>
      </w:r>
      <w:r>
        <w:rPr>
          <w:rFonts w:ascii="Bookman Old Style" w:hAnsi="Bookman Old Style"/>
          <w:b w:val="0"/>
        </w:rPr>
        <w:t>s</w:t>
      </w:r>
      <w:r w:rsidRPr="00324CE2">
        <w:rPr>
          <w:rFonts w:ascii="Bookman Old Style" w:hAnsi="Bookman Old Style"/>
          <w:b w:val="0"/>
        </w:rPr>
        <w:t xml:space="preserve"> </w:t>
      </w:r>
      <w:r>
        <w:rPr>
          <w:rFonts w:ascii="Bookman Old Style" w:hAnsi="Bookman Old Style"/>
          <w:b w:val="0"/>
        </w:rPr>
        <w:t xml:space="preserve">financieras y mecanismos alternativos que cubren transacciones financieras en el MEM para los </w:t>
      </w:r>
      <w:r w:rsidRPr="00324CE2">
        <w:rPr>
          <w:rFonts w:ascii="Bookman Old Style" w:hAnsi="Bookman Old Style"/>
          <w:b w:val="0"/>
          <w:bCs/>
        </w:rPr>
        <w:t>agentes a los cuales aplica esta resolución</w:t>
      </w:r>
      <w:r>
        <w:rPr>
          <w:rFonts w:ascii="Bookman Old Style" w:hAnsi="Bookman Old Style"/>
          <w:b w:val="0"/>
          <w:bCs/>
        </w:rPr>
        <w:t xml:space="preserve"> será calculada por el </w:t>
      </w:r>
      <w:r w:rsidRPr="00324CE2">
        <w:rPr>
          <w:rFonts w:ascii="Bookman Old Style" w:hAnsi="Bookman Old Style"/>
          <w:b w:val="0"/>
          <w:bCs/>
        </w:rPr>
        <w:t xml:space="preserve">ASIC, </w:t>
      </w:r>
      <w:r>
        <w:rPr>
          <w:rFonts w:ascii="Bookman Old Style" w:hAnsi="Bookman Old Style"/>
          <w:b w:val="0"/>
          <w:bCs/>
        </w:rPr>
        <w:t xml:space="preserve">determinando la </w:t>
      </w:r>
      <w:r w:rsidRPr="00324CE2">
        <w:rPr>
          <w:rFonts w:ascii="Bookman Old Style" w:hAnsi="Bookman Old Style"/>
          <w:b w:val="0"/>
          <w:bCs/>
        </w:rPr>
        <w:t>variable Valor de la Energía en Bolsa</w:t>
      </w:r>
      <w:r>
        <w:rPr>
          <w:rFonts w:ascii="Bookman Old Style" w:hAnsi="Bookman Old Style"/>
          <w:b w:val="0"/>
          <w:bCs/>
        </w:rPr>
        <w:t xml:space="preserve">, </w:t>
      </w:r>
      <w:r w:rsidRPr="00324CE2">
        <w:rPr>
          <w:rFonts w:ascii="Bookman Old Style" w:hAnsi="Bookman Old Style"/>
          <w:b w:val="0"/>
          <w:bCs/>
        </w:rPr>
        <w:t>VEB</w:t>
      </w:r>
      <w:r>
        <w:rPr>
          <w:rFonts w:ascii="Bookman Old Style" w:hAnsi="Bookman Old Style"/>
          <w:b w:val="0"/>
          <w:bCs/>
        </w:rPr>
        <w:t>,</w:t>
      </w:r>
      <w:r w:rsidRPr="00324CE2">
        <w:rPr>
          <w:rFonts w:ascii="Bookman Old Style" w:hAnsi="Bookman Old Style"/>
          <w:b w:val="0"/>
          <w:bCs/>
        </w:rPr>
        <w:t xml:space="preserve"> prevista en el literal b. del Anexo del Reglamento de Mecanismos de Cubrimiento para las Transacciones en el </w:t>
      </w:r>
      <w:r w:rsidRPr="00324CE2">
        <w:rPr>
          <w:rFonts w:ascii="Bookman Old Style" w:hAnsi="Bookman Old Style"/>
          <w:b w:val="0"/>
          <w:bCs/>
        </w:rPr>
        <w:lastRenderedPageBreak/>
        <w:t xml:space="preserve">Mercado de Energía Mayorista </w:t>
      </w:r>
      <w:r>
        <w:rPr>
          <w:rFonts w:ascii="Bookman Old Style" w:hAnsi="Bookman Old Style"/>
          <w:b w:val="0"/>
          <w:bCs/>
        </w:rPr>
        <w:t xml:space="preserve">contenido en el Anexo </w:t>
      </w:r>
      <w:r w:rsidRPr="00324CE2">
        <w:rPr>
          <w:rFonts w:ascii="Bookman Old Style" w:hAnsi="Bookman Old Style"/>
          <w:b w:val="0"/>
          <w:bCs/>
        </w:rPr>
        <w:t>de la Resolución CREG 019 de 2006 y sus modificaciones, de la siguiente manera:</w:t>
      </w:r>
    </w:p>
    <w:p w14:paraId="010DE9D8" w14:textId="77777777" w:rsidR="001F561E" w:rsidRPr="00F06AAF" w:rsidRDefault="001F561E" w:rsidP="001F561E">
      <w:pPr>
        <w:ind w:left="0"/>
        <w:jc w:val="both"/>
        <w:rPr>
          <w:rFonts w:ascii="Bookman Old Style" w:hAnsi="Bookman Old Style"/>
          <w:i/>
          <w:sz w:val="22"/>
          <w:lang w:val="es-CO"/>
        </w:rPr>
      </w:pPr>
    </w:p>
    <w:p w14:paraId="0DD0A74A" w14:textId="77777777" w:rsidR="001F561E" w:rsidRDefault="001F561E" w:rsidP="001F561E">
      <w:pPr>
        <w:ind w:left="0"/>
        <w:jc w:val="center"/>
        <w:rPr>
          <w:rFonts w:ascii="Bookman Old Style" w:hAnsi="Bookman Old Style"/>
          <w:bCs/>
          <w:lang w:val="es-CO"/>
        </w:rPr>
      </w:pPr>
      <w:r>
        <w:rPr>
          <w:rFonts w:ascii="Bookman Old Style" w:hAnsi="Bookman Old Style"/>
          <w:bCs/>
          <w:lang w:val="es-CO"/>
        </w:rPr>
        <w:t>VEB</w:t>
      </w:r>
      <w:r w:rsidRPr="00FB7DDD">
        <w:rPr>
          <w:rFonts w:ascii="Bookman Old Style" w:hAnsi="Bookman Old Style"/>
          <w:bCs/>
          <w:lang w:val="es-CO"/>
        </w:rPr>
        <w:t xml:space="preserve"> = (VCONT - CCONT - GENIDEAL + DDACIAL) * min (</w:t>
      </w:r>
      <w:r>
        <w:rPr>
          <w:rFonts w:ascii="Bookman Old Style" w:hAnsi="Bookman Old Style"/>
          <w:bCs/>
          <w:lang w:val="es-CO"/>
        </w:rPr>
        <w:t>PB</w:t>
      </w:r>
      <w:r w:rsidRPr="00FB7DDD">
        <w:rPr>
          <w:rFonts w:ascii="Bookman Old Style" w:hAnsi="Bookman Old Style"/>
          <w:bCs/>
          <w:lang w:val="es-CO"/>
        </w:rPr>
        <w:t xml:space="preserve">, </w:t>
      </w:r>
      <w:proofErr w:type="spellStart"/>
      <w:r>
        <w:rPr>
          <w:rFonts w:ascii="Bookman Old Style" w:hAnsi="Bookman Old Style"/>
          <w:bCs/>
          <w:lang w:val="es-CO"/>
        </w:rPr>
        <w:t>PEp</w:t>
      </w:r>
      <w:proofErr w:type="spellEnd"/>
      <w:r w:rsidRPr="00FB7DDD">
        <w:rPr>
          <w:rFonts w:ascii="Bookman Old Style" w:hAnsi="Bookman Old Style"/>
          <w:bCs/>
          <w:lang w:val="es-CO"/>
        </w:rPr>
        <w:t>, M</w:t>
      </w:r>
      <w:r>
        <w:rPr>
          <w:rFonts w:ascii="Bookman Old Style" w:hAnsi="Bookman Old Style"/>
          <w:bCs/>
          <w:lang w:val="es-CO"/>
        </w:rPr>
        <w:t>c</w:t>
      </w:r>
      <w:r w:rsidRPr="00FB7DDD">
        <w:rPr>
          <w:rFonts w:ascii="Bookman Old Style" w:hAnsi="Bookman Old Style"/>
          <w:bCs/>
          <w:lang w:val="es-CO"/>
        </w:rPr>
        <w:t>)</w:t>
      </w:r>
    </w:p>
    <w:p w14:paraId="18AE6E9E" w14:textId="77777777" w:rsidR="001F561E" w:rsidRDefault="001F561E" w:rsidP="001F561E">
      <w:pPr>
        <w:pStyle w:val="Ttulo1"/>
        <w:keepNext w:val="0"/>
        <w:tabs>
          <w:tab w:val="left" w:pos="1560"/>
        </w:tabs>
        <w:suppressAutoHyphens/>
        <w:spacing w:before="120"/>
        <w:ind w:left="0"/>
        <w:jc w:val="both"/>
        <w:rPr>
          <w:rFonts w:ascii="Bookman Old Style" w:hAnsi="Bookman Old Style"/>
          <w:b w:val="0"/>
          <w:szCs w:val="24"/>
        </w:rPr>
      </w:pPr>
    </w:p>
    <w:p w14:paraId="76D6733B" w14:textId="77777777" w:rsidR="001F561E" w:rsidRDefault="001F561E" w:rsidP="001F561E">
      <w:pPr>
        <w:ind w:left="0"/>
        <w:rPr>
          <w:rFonts w:ascii="Bookman Old Style" w:hAnsi="Bookman Old Style"/>
        </w:rPr>
      </w:pPr>
      <w:r w:rsidRPr="00015731">
        <w:rPr>
          <w:rFonts w:ascii="Bookman Old Style" w:hAnsi="Bookman Old Style"/>
        </w:rPr>
        <w:t>Donde</w:t>
      </w:r>
      <w:r>
        <w:rPr>
          <w:rFonts w:ascii="Bookman Old Style" w:hAnsi="Bookman Old Style"/>
        </w:rPr>
        <w:t>, el Mc corresponde al valor más reciente al momento de cálculo de la garantía, obtenido y publicado por el ASIC,</w:t>
      </w:r>
      <w:r w:rsidRPr="00015731">
        <w:rPr>
          <w:rFonts w:ascii="Bookman Old Style" w:hAnsi="Bookman Old Style"/>
        </w:rPr>
        <w:t xml:space="preserve"> conforme </w:t>
      </w:r>
      <w:r>
        <w:rPr>
          <w:rFonts w:ascii="Bookman Old Style" w:hAnsi="Bookman Old Style"/>
        </w:rPr>
        <w:t xml:space="preserve">a </w:t>
      </w:r>
      <w:r w:rsidRPr="00015731">
        <w:rPr>
          <w:rFonts w:ascii="Bookman Old Style" w:hAnsi="Bookman Old Style"/>
        </w:rPr>
        <w:t xml:space="preserve">la </w:t>
      </w:r>
      <w:r>
        <w:rPr>
          <w:rFonts w:ascii="Bookman Old Style" w:hAnsi="Bookman Old Style"/>
        </w:rPr>
        <w:t>R</w:t>
      </w:r>
      <w:r w:rsidRPr="00015731">
        <w:rPr>
          <w:rFonts w:ascii="Bookman Old Style" w:hAnsi="Bookman Old Style"/>
        </w:rPr>
        <w:t xml:space="preserve">esolución </w:t>
      </w:r>
      <w:r>
        <w:rPr>
          <w:rFonts w:ascii="Bookman Old Style" w:hAnsi="Bookman Old Style"/>
        </w:rPr>
        <w:t xml:space="preserve">CREG 119 de 2007 y sus modificaciones; y las otras variables, se determinan conforme con lo establecido en la Resolución CREG 019 de 2006 y sus modificaciones. </w:t>
      </w:r>
    </w:p>
    <w:p w14:paraId="1C0FA019" w14:textId="77777777" w:rsidR="001F561E" w:rsidRDefault="001F561E" w:rsidP="001F561E">
      <w:pPr>
        <w:ind w:left="0"/>
        <w:rPr>
          <w:rFonts w:ascii="Bookman Old Style" w:hAnsi="Bookman Old Style"/>
        </w:rPr>
      </w:pPr>
    </w:p>
    <w:p w14:paraId="1E7DB27B" w14:textId="77777777" w:rsidR="001F561E" w:rsidRPr="00CE7B59" w:rsidRDefault="001F561E" w:rsidP="001F561E">
      <w:pPr>
        <w:pStyle w:val="Ttulo1"/>
        <w:keepNext w:val="0"/>
        <w:tabs>
          <w:tab w:val="left" w:pos="1560"/>
        </w:tabs>
        <w:suppressAutoHyphens/>
        <w:spacing w:before="120" w:after="360"/>
        <w:ind w:left="0"/>
        <w:jc w:val="left"/>
        <w:rPr>
          <w:rFonts w:ascii="Bookman Old Style" w:hAnsi="Bookman Old Style"/>
          <w:b w:val="0"/>
          <w:bCs/>
        </w:rPr>
      </w:pPr>
      <w:r w:rsidRPr="002A782A">
        <w:rPr>
          <w:rFonts w:ascii="Bookman Old Style" w:hAnsi="Bookman Old Style"/>
        </w:rPr>
        <w:t xml:space="preserve">ARTÍCULO </w:t>
      </w:r>
      <w:r w:rsidRPr="00F06AAF">
        <w:rPr>
          <w:rFonts w:ascii="Bookman Old Style" w:hAnsi="Bookman Old Style"/>
          <w:bCs/>
        </w:rPr>
        <w:t>3.</w:t>
      </w:r>
      <w:r>
        <w:rPr>
          <w:rFonts w:ascii="Bookman Old Style" w:hAnsi="Bookman Old Style"/>
          <w:b w:val="0"/>
        </w:rPr>
        <w:t xml:space="preserve"> </w:t>
      </w:r>
      <w:r w:rsidRPr="00E24184">
        <w:rPr>
          <w:rFonts w:ascii="Bookman Old Style" w:hAnsi="Bookman Old Style"/>
          <w:bCs/>
          <w:szCs w:val="24"/>
        </w:rPr>
        <w:t>Medida transitoria para el inicio del procedimiento de limitación de suministro</w:t>
      </w:r>
      <w:bookmarkStart w:id="0" w:name="_Hlk135419161"/>
      <w:r w:rsidRPr="00E24184">
        <w:rPr>
          <w:rFonts w:ascii="Bookman Old Style" w:hAnsi="Bookman Old Style"/>
          <w:bCs/>
          <w:szCs w:val="24"/>
        </w:rPr>
        <w:t>.</w:t>
      </w:r>
      <w:bookmarkEnd w:id="0"/>
      <w:r>
        <w:t xml:space="preserve"> </w:t>
      </w:r>
      <w:r w:rsidRPr="00324CE2">
        <w:rPr>
          <w:rFonts w:ascii="Bookman Old Style" w:hAnsi="Bookman Old Style"/>
          <w:b w:val="0"/>
          <w:bCs/>
        </w:rPr>
        <w:t>Durante la vigencia de la presente resolución</w:t>
      </w:r>
      <w:r>
        <w:rPr>
          <w:rFonts w:ascii="Bookman Old Style" w:hAnsi="Bookman Old Style"/>
          <w:b w:val="0"/>
          <w:bCs/>
        </w:rPr>
        <w:t xml:space="preserve">, la primera vez que un </w:t>
      </w:r>
      <w:r w:rsidRPr="00324CE2">
        <w:rPr>
          <w:rFonts w:ascii="Bookman Old Style" w:hAnsi="Bookman Old Style"/>
          <w:b w:val="0"/>
          <w:bCs/>
        </w:rPr>
        <w:t xml:space="preserve">agente </w:t>
      </w:r>
      <w:r>
        <w:rPr>
          <w:rFonts w:ascii="Bookman Old Style" w:hAnsi="Bookman Old Style"/>
          <w:b w:val="0"/>
          <w:bCs/>
        </w:rPr>
        <w:t xml:space="preserve">referido en el Artículo 1 </w:t>
      </w:r>
      <w:r w:rsidRPr="00324CE2">
        <w:rPr>
          <w:rFonts w:ascii="Bookman Old Style" w:hAnsi="Bookman Old Style"/>
          <w:b w:val="0"/>
          <w:bCs/>
        </w:rPr>
        <w:t>incurra en incumplimiento en la constitución de las garantías de las Transacciones en el Mercado de Energía Mayorista,</w:t>
      </w:r>
      <w:r>
        <w:rPr>
          <w:rFonts w:ascii="Bookman Old Style" w:hAnsi="Bookman Old Style"/>
          <w:b w:val="0"/>
          <w:bCs/>
        </w:rPr>
        <w:t xml:space="preserve"> </w:t>
      </w:r>
      <w:r w:rsidRPr="00324CE2">
        <w:rPr>
          <w:rFonts w:ascii="Bookman Old Style" w:hAnsi="Bookman Old Style"/>
          <w:b w:val="0"/>
          <w:bCs/>
        </w:rPr>
        <w:t>no se</w:t>
      </w:r>
      <w:r>
        <w:rPr>
          <w:rFonts w:ascii="Bookman Old Style" w:hAnsi="Bookman Old Style"/>
          <w:b w:val="0"/>
          <w:bCs/>
        </w:rPr>
        <w:t xml:space="preserve"> iniciará e</w:t>
      </w:r>
      <w:r w:rsidRPr="00324CE2">
        <w:rPr>
          <w:rFonts w:ascii="Bookman Old Style" w:hAnsi="Bookman Old Style"/>
          <w:b w:val="0"/>
          <w:bCs/>
        </w:rPr>
        <w:t>l procedimiento de limitación de suministro de que trata la Resolución CREG 116 de 1998.  Lo anterior no exime al agente del cumplimiento de sus obligaciones ante el mercado.</w:t>
      </w:r>
    </w:p>
    <w:p w14:paraId="5734D287" w14:textId="77777777" w:rsidR="001F561E" w:rsidRPr="00101F0C" w:rsidRDefault="001F561E" w:rsidP="001F561E">
      <w:pPr>
        <w:pStyle w:val="Ttulo1"/>
        <w:keepNext w:val="0"/>
        <w:tabs>
          <w:tab w:val="left" w:pos="1560"/>
        </w:tabs>
        <w:suppressAutoHyphens/>
        <w:spacing w:before="120" w:after="360"/>
        <w:ind w:left="0"/>
        <w:jc w:val="left"/>
      </w:pPr>
      <w:r w:rsidRPr="002A782A">
        <w:rPr>
          <w:rFonts w:ascii="Bookman Old Style" w:hAnsi="Bookman Old Style"/>
        </w:rPr>
        <w:t xml:space="preserve">ARTÍCULO </w:t>
      </w:r>
      <w:r>
        <w:rPr>
          <w:rFonts w:ascii="Bookman Old Style" w:hAnsi="Bookman Old Style"/>
        </w:rPr>
        <w:t>4</w:t>
      </w:r>
      <w:r w:rsidRPr="00F06AAF">
        <w:rPr>
          <w:rFonts w:ascii="Bookman Old Style" w:hAnsi="Bookman Old Style"/>
          <w:bCs/>
        </w:rPr>
        <w:t>.</w:t>
      </w:r>
      <w:r>
        <w:rPr>
          <w:rFonts w:ascii="Bookman Old Style" w:hAnsi="Bookman Old Style"/>
          <w:b w:val="0"/>
        </w:rPr>
        <w:t xml:space="preserve"> </w:t>
      </w:r>
      <w:r w:rsidRPr="00EE05AE">
        <w:rPr>
          <w:rFonts w:ascii="Bookman Old Style" w:hAnsi="Bookman Old Style"/>
          <w:bCs/>
          <w:szCs w:val="24"/>
        </w:rPr>
        <w:t>Adición temporal de un mecanismo de cubrimiento.</w:t>
      </w:r>
      <w:r w:rsidRPr="00EE05AE">
        <w:rPr>
          <w:rFonts w:ascii="Bookman Old Style" w:hAnsi="Bookman Old Style"/>
          <w:b w:val="0"/>
          <w:szCs w:val="24"/>
        </w:rPr>
        <w:t xml:space="preserve"> </w:t>
      </w:r>
      <w:r w:rsidRPr="00EE05AE">
        <w:rPr>
          <w:rFonts w:ascii="Bookman Old Style" w:eastAsia="Bookman Old Style" w:hAnsi="Bookman Old Style" w:cs="Bookman Old Style"/>
          <w:b w:val="0"/>
          <w:bCs/>
          <w:lang w:val="es"/>
        </w:rPr>
        <w:t>Los comercializadores a los cuales les apli</w:t>
      </w:r>
      <w:r>
        <w:rPr>
          <w:rFonts w:ascii="Bookman Old Style" w:eastAsia="Bookman Old Style" w:hAnsi="Bookman Old Style" w:cs="Bookman Old Style"/>
          <w:b w:val="0"/>
          <w:bCs/>
          <w:lang w:val="es"/>
        </w:rPr>
        <w:t>ca</w:t>
      </w:r>
      <w:r w:rsidRPr="00EE05AE">
        <w:rPr>
          <w:rFonts w:ascii="Bookman Old Style" w:eastAsia="Bookman Old Style" w:hAnsi="Bookman Old Style" w:cs="Bookman Old Style"/>
          <w:b w:val="0"/>
          <w:bCs/>
          <w:lang w:val="es"/>
        </w:rPr>
        <w:t xml:space="preserve"> la presente </w:t>
      </w:r>
      <w:r>
        <w:rPr>
          <w:rFonts w:ascii="Bookman Old Style" w:eastAsia="Bookman Old Style" w:hAnsi="Bookman Old Style" w:cs="Bookman Old Style"/>
          <w:b w:val="0"/>
          <w:bCs/>
          <w:lang w:val="es"/>
        </w:rPr>
        <w:t>r</w:t>
      </w:r>
      <w:r w:rsidRPr="00EE05AE">
        <w:rPr>
          <w:rFonts w:ascii="Bookman Old Style" w:eastAsia="Bookman Old Style" w:hAnsi="Bookman Old Style" w:cs="Bookman Old Style"/>
          <w:b w:val="0"/>
          <w:bCs/>
          <w:lang w:val="es"/>
        </w:rPr>
        <w:t xml:space="preserve">esolución podrán utilizar como garantía admisible, </w:t>
      </w:r>
      <w:r w:rsidRPr="00EE05AE">
        <w:rPr>
          <w:rFonts w:ascii="Bookman Old Style" w:hAnsi="Bookman Old Style"/>
          <w:b w:val="0"/>
          <w:szCs w:val="24"/>
        </w:rPr>
        <w:t>en los términos del Reglamento de Mecanismos de Cubrimiento para las Transacciones en el Mercado de Energía Mayorista,</w:t>
      </w:r>
      <w:r w:rsidRPr="00EE05AE">
        <w:rPr>
          <w:rFonts w:ascii="Bookman Old Style" w:eastAsia="Bookman Old Style" w:hAnsi="Bookman Old Style" w:cs="Bookman Old Style"/>
          <w:b w:val="0"/>
          <w:bCs/>
          <w:lang w:val="es"/>
        </w:rPr>
        <w:t xml:space="preserve"> la pignoración de subsidios por recibir, lo cual deberá informar a XM S</w:t>
      </w:r>
      <w:r>
        <w:rPr>
          <w:rFonts w:ascii="Bookman Old Style" w:eastAsia="Bookman Old Style" w:hAnsi="Bookman Old Style" w:cs="Bookman Old Style"/>
          <w:b w:val="0"/>
          <w:bCs/>
          <w:lang w:val="es"/>
        </w:rPr>
        <w:t>.</w:t>
      </w:r>
      <w:r w:rsidRPr="00EE05AE">
        <w:rPr>
          <w:rFonts w:ascii="Bookman Old Style" w:eastAsia="Bookman Old Style" w:hAnsi="Bookman Old Style" w:cs="Bookman Old Style"/>
          <w:b w:val="0"/>
          <w:bCs/>
          <w:lang w:val="es"/>
        </w:rPr>
        <w:t>A</w:t>
      </w:r>
      <w:r>
        <w:rPr>
          <w:rFonts w:ascii="Bookman Old Style" w:eastAsia="Bookman Old Style" w:hAnsi="Bookman Old Style" w:cs="Bookman Old Style"/>
          <w:b w:val="0"/>
          <w:bCs/>
          <w:lang w:val="es"/>
        </w:rPr>
        <w:t>.</w:t>
      </w:r>
      <w:r w:rsidRPr="00EE05AE">
        <w:rPr>
          <w:rFonts w:ascii="Bookman Old Style" w:eastAsia="Bookman Old Style" w:hAnsi="Bookman Old Style" w:cs="Bookman Old Style"/>
          <w:b w:val="0"/>
          <w:bCs/>
          <w:lang w:val="es"/>
        </w:rPr>
        <w:t xml:space="preserve"> E</w:t>
      </w:r>
      <w:r>
        <w:rPr>
          <w:rFonts w:ascii="Bookman Old Style" w:eastAsia="Bookman Old Style" w:hAnsi="Bookman Old Style" w:cs="Bookman Old Style"/>
          <w:b w:val="0"/>
          <w:bCs/>
          <w:lang w:val="es"/>
        </w:rPr>
        <w:t>.</w:t>
      </w:r>
      <w:r w:rsidRPr="00EE05AE">
        <w:rPr>
          <w:rFonts w:ascii="Bookman Old Style" w:eastAsia="Bookman Old Style" w:hAnsi="Bookman Old Style" w:cs="Bookman Old Style"/>
          <w:b w:val="0"/>
          <w:bCs/>
          <w:lang w:val="es"/>
        </w:rPr>
        <w:t>S</w:t>
      </w:r>
      <w:r>
        <w:rPr>
          <w:rFonts w:ascii="Bookman Old Style" w:eastAsia="Bookman Old Style" w:hAnsi="Bookman Old Style" w:cs="Bookman Old Style"/>
          <w:b w:val="0"/>
          <w:bCs/>
          <w:lang w:val="es"/>
        </w:rPr>
        <w:t>.</w:t>
      </w:r>
      <w:r w:rsidRPr="00EE05AE">
        <w:rPr>
          <w:rFonts w:ascii="Bookman Old Style" w:eastAsia="Bookman Old Style" w:hAnsi="Bookman Old Style" w:cs="Bookman Old Style"/>
          <w:b w:val="0"/>
          <w:bCs/>
          <w:lang w:val="es"/>
        </w:rPr>
        <w:t>P</w:t>
      </w:r>
      <w:r>
        <w:rPr>
          <w:rFonts w:ascii="Bookman Old Style" w:eastAsia="Bookman Old Style" w:hAnsi="Bookman Old Style" w:cs="Bookman Old Style"/>
          <w:b w:val="0"/>
          <w:bCs/>
          <w:lang w:val="es"/>
        </w:rPr>
        <w:t>.</w:t>
      </w:r>
      <w:r w:rsidRPr="00EE05AE">
        <w:rPr>
          <w:rFonts w:ascii="Bookman Old Style" w:eastAsia="Bookman Old Style" w:hAnsi="Bookman Old Style" w:cs="Bookman Old Style"/>
          <w:b w:val="0"/>
          <w:bCs/>
          <w:lang w:val="es"/>
        </w:rPr>
        <w:t xml:space="preserve"> con la documentación aprobada por la entidad competente</w:t>
      </w:r>
      <w:r>
        <w:rPr>
          <w:rFonts w:ascii="Bookman Old Style" w:eastAsia="Bookman Old Style" w:hAnsi="Bookman Old Style" w:cs="Bookman Old Style"/>
          <w:b w:val="0"/>
          <w:bCs/>
          <w:lang w:val="es"/>
        </w:rPr>
        <w:t xml:space="preserve">. </w:t>
      </w:r>
    </w:p>
    <w:p w14:paraId="207D6793" w14:textId="77777777" w:rsidR="001F561E" w:rsidRPr="00576D9E" w:rsidRDefault="001F561E" w:rsidP="001F561E">
      <w:pPr>
        <w:pStyle w:val="Ttulo1"/>
        <w:keepNext w:val="0"/>
        <w:tabs>
          <w:tab w:val="left" w:pos="1560"/>
        </w:tabs>
        <w:suppressAutoHyphens/>
        <w:spacing w:before="120"/>
        <w:ind w:left="0"/>
        <w:jc w:val="left"/>
        <w:rPr>
          <w:rFonts w:ascii="Bookman Old Style" w:hAnsi="Bookman Old Style"/>
          <w:b w:val="0"/>
          <w:szCs w:val="24"/>
        </w:rPr>
      </w:pPr>
      <w:r w:rsidRPr="002A782A">
        <w:rPr>
          <w:rFonts w:ascii="Bookman Old Style" w:hAnsi="Bookman Old Style"/>
        </w:rPr>
        <w:t xml:space="preserve">ARTÍCULO </w:t>
      </w:r>
      <w:r>
        <w:rPr>
          <w:rFonts w:ascii="Bookman Old Style" w:hAnsi="Bookman Old Style"/>
        </w:rPr>
        <w:t>5</w:t>
      </w:r>
      <w:r w:rsidRPr="00F06AAF">
        <w:rPr>
          <w:rFonts w:ascii="Bookman Old Style" w:hAnsi="Bookman Old Style"/>
          <w:bCs/>
        </w:rPr>
        <w:t>.</w:t>
      </w:r>
      <w:r>
        <w:rPr>
          <w:rFonts w:ascii="Bookman Old Style" w:hAnsi="Bookman Old Style"/>
          <w:b w:val="0"/>
        </w:rPr>
        <w:t xml:space="preserve"> </w:t>
      </w:r>
      <w:r w:rsidRPr="00576D9E">
        <w:rPr>
          <w:rFonts w:ascii="Bookman Old Style" w:hAnsi="Bookman Old Style"/>
          <w:szCs w:val="24"/>
        </w:rPr>
        <w:t>Vigencia.</w:t>
      </w:r>
      <w:r w:rsidRPr="00576D9E">
        <w:rPr>
          <w:rFonts w:ascii="Bookman Old Style" w:hAnsi="Bookman Old Style"/>
          <w:b w:val="0"/>
          <w:szCs w:val="24"/>
        </w:rPr>
        <w:t xml:space="preserve"> Esta resolución rige a partir de la fecha de su publicación en el </w:t>
      </w:r>
      <w:r w:rsidRPr="00576D9E">
        <w:rPr>
          <w:rFonts w:ascii="Bookman Old Style" w:hAnsi="Bookman Old Style"/>
          <w:b w:val="0"/>
          <w:i/>
          <w:szCs w:val="24"/>
        </w:rPr>
        <w:t>Diario Oficial</w:t>
      </w:r>
      <w:r>
        <w:rPr>
          <w:rFonts w:ascii="Bookman Old Style" w:hAnsi="Bookman Old Style"/>
          <w:b w:val="0"/>
          <w:szCs w:val="24"/>
        </w:rPr>
        <w:t xml:space="preserve">. </w:t>
      </w:r>
    </w:p>
    <w:p w14:paraId="05FB46C7" w14:textId="77777777" w:rsidR="001F561E" w:rsidRDefault="001F561E" w:rsidP="001F561E">
      <w:pPr>
        <w:jc w:val="both"/>
        <w:rPr>
          <w:rFonts w:ascii="Bookman Old Style" w:hAnsi="Bookman Old Style"/>
          <w:i/>
          <w:sz w:val="22"/>
        </w:rPr>
      </w:pPr>
    </w:p>
    <w:p w14:paraId="13D6E1A4" w14:textId="77777777" w:rsidR="001F561E" w:rsidRPr="00C435C3" w:rsidRDefault="001F561E" w:rsidP="001F561E">
      <w:pPr>
        <w:ind w:left="0"/>
        <w:rPr>
          <w:rFonts w:ascii="Bookman Old Style" w:hAnsi="Bookman Old Style"/>
        </w:rPr>
      </w:pPr>
    </w:p>
    <w:p w14:paraId="359AFD89" w14:textId="77777777" w:rsidR="001F561E" w:rsidRPr="00C435C3" w:rsidRDefault="001F561E" w:rsidP="001F561E">
      <w:pPr>
        <w:jc w:val="center"/>
        <w:rPr>
          <w:rFonts w:ascii="Bookman Old Style" w:hAnsi="Bookman Old Style"/>
          <w:b/>
        </w:rPr>
      </w:pPr>
      <w:r w:rsidRPr="00C435C3">
        <w:rPr>
          <w:rFonts w:ascii="Bookman Old Style" w:hAnsi="Bookman Old Style"/>
          <w:b/>
        </w:rPr>
        <w:t>PU</w:t>
      </w:r>
      <w:r>
        <w:rPr>
          <w:rFonts w:ascii="Bookman Old Style" w:hAnsi="Bookman Old Style"/>
          <w:b/>
        </w:rPr>
        <w:t>B</w:t>
      </w:r>
      <w:r w:rsidRPr="00C435C3">
        <w:rPr>
          <w:rFonts w:ascii="Bookman Old Style" w:hAnsi="Bookman Old Style"/>
          <w:b/>
        </w:rPr>
        <w:t>LÍQUESE Y CÚMPLASE</w:t>
      </w:r>
    </w:p>
    <w:p w14:paraId="15FD4A03" w14:textId="77777777" w:rsidR="001F561E" w:rsidRPr="00C435C3" w:rsidRDefault="001F561E" w:rsidP="001F561E">
      <w:pPr>
        <w:rPr>
          <w:rFonts w:ascii="Bookman Old Style" w:hAnsi="Bookman Old Style"/>
        </w:rPr>
      </w:pPr>
    </w:p>
    <w:p w14:paraId="310D1561" w14:textId="77777777" w:rsidR="001F561E" w:rsidRDefault="001F561E" w:rsidP="001F561E">
      <w:pPr>
        <w:ind w:left="0"/>
        <w:rPr>
          <w:rFonts w:ascii="Bookman Old Style" w:hAnsi="Bookman Old Style"/>
        </w:rPr>
      </w:pPr>
    </w:p>
    <w:p w14:paraId="5DF9FE3B" w14:textId="77777777" w:rsidR="001F561E" w:rsidRDefault="001F561E" w:rsidP="001F561E">
      <w:pPr>
        <w:ind w:left="0"/>
        <w:rPr>
          <w:rFonts w:ascii="Bookman Old Style" w:hAnsi="Bookman Old Style"/>
        </w:rPr>
      </w:pPr>
    </w:p>
    <w:tbl>
      <w:tblPr>
        <w:tblW w:w="0" w:type="auto"/>
        <w:jc w:val="center"/>
        <w:tblLayout w:type="fixed"/>
        <w:tblCellMar>
          <w:left w:w="70" w:type="dxa"/>
          <w:right w:w="70" w:type="dxa"/>
        </w:tblCellMar>
        <w:tblLook w:val="0000" w:firstRow="0" w:lastRow="0" w:firstColumn="0" w:lastColumn="0" w:noHBand="0" w:noVBand="0"/>
      </w:tblPr>
      <w:tblGrid>
        <w:gridCol w:w="5067"/>
        <w:gridCol w:w="4429"/>
      </w:tblGrid>
      <w:tr w:rsidR="001F561E" w:rsidRPr="00666660" w14:paraId="4A7A802D" w14:textId="77777777" w:rsidTr="00266C6A">
        <w:trPr>
          <w:jc w:val="center"/>
        </w:trPr>
        <w:tc>
          <w:tcPr>
            <w:tcW w:w="5067" w:type="dxa"/>
          </w:tcPr>
          <w:p w14:paraId="5A9B0F06" w14:textId="77777777" w:rsidR="001F561E" w:rsidRPr="00BD0865" w:rsidRDefault="001F561E" w:rsidP="00266C6A">
            <w:pPr>
              <w:tabs>
                <w:tab w:val="left" w:pos="-720"/>
              </w:tabs>
              <w:suppressAutoHyphens/>
              <w:ind w:left="0"/>
              <w:jc w:val="center"/>
              <w:rPr>
                <w:rFonts w:ascii="Bookman Old Style" w:hAnsi="Bookman Old Style" w:cs="Arial"/>
                <w:b/>
                <w:strike/>
                <w:spacing w:val="-3"/>
              </w:rPr>
            </w:pPr>
          </w:p>
        </w:tc>
        <w:tc>
          <w:tcPr>
            <w:tcW w:w="4429" w:type="dxa"/>
          </w:tcPr>
          <w:p w14:paraId="099C411C" w14:textId="77777777" w:rsidR="001F561E" w:rsidRPr="00666660" w:rsidRDefault="001F561E" w:rsidP="00266C6A">
            <w:pPr>
              <w:tabs>
                <w:tab w:val="left" w:pos="-720"/>
              </w:tabs>
              <w:suppressAutoHyphens/>
              <w:ind w:left="0"/>
              <w:jc w:val="center"/>
              <w:rPr>
                <w:rFonts w:ascii="Bookman Old Style" w:hAnsi="Bookman Old Style" w:cs="Arial"/>
                <w:b/>
                <w:spacing w:val="-3"/>
              </w:rPr>
            </w:pPr>
          </w:p>
        </w:tc>
      </w:tr>
    </w:tbl>
    <w:p w14:paraId="5894103E" w14:textId="77777777" w:rsidR="001F561E" w:rsidRDefault="001F561E" w:rsidP="001F561E">
      <w:pPr>
        <w:ind w:left="0"/>
        <w:rPr>
          <w:rFonts w:ascii="Bookman Old Style" w:hAnsi="Bookman Old Style"/>
        </w:rPr>
      </w:pPr>
    </w:p>
    <w:tbl>
      <w:tblPr>
        <w:tblW w:w="10129" w:type="dxa"/>
        <w:jc w:val="right"/>
        <w:tblLayout w:type="fixed"/>
        <w:tblCellMar>
          <w:left w:w="70" w:type="dxa"/>
          <w:right w:w="70" w:type="dxa"/>
        </w:tblCellMar>
        <w:tblLook w:val="0000" w:firstRow="0" w:lastRow="0" w:firstColumn="0" w:lastColumn="0" w:noHBand="0" w:noVBand="0"/>
      </w:tblPr>
      <w:tblGrid>
        <w:gridCol w:w="4871"/>
        <w:gridCol w:w="5258"/>
      </w:tblGrid>
      <w:tr w:rsidR="001F561E" w:rsidRPr="00720520" w14:paraId="15EDFF0C" w14:textId="77777777" w:rsidTr="00266C6A">
        <w:trPr>
          <w:jc w:val="right"/>
        </w:trPr>
        <w:tc>
          <w:tcPr>
            <w:tcW w:w="4871" w:type="dxa"/>
          </w:tcPr>
          <w:p w14:paraId="434008D1" w14:textId="77777777" w:rsidR="001F561E" w:rsidRPr="00720520" w:rsidRDefault="001F561E" w:rsidP="00266C6A">
            <w:pPr>
              <w:ind w:left="0"/>
              <w:rPr>
                <w:rFonts w:ascii="Bookman Old Style" w:hAnsi="Bookman Old Style" w:cs="Arial"/>
                <w:spacing w:val="-3"/>
                <w:lang w:val="es-ES_tradnl"/>
              </w:rPr>
            </w:pPr>
          </w:p>
        </w:tc>
        <w:tc>
          <w:tcPr>
            <w:tcW w:w="5258" w:type="dxa"/>
          </w:tcPr>
          <w:p w14:paraId="0A9F2228" w14:textId="77777777" w:rsidR="001F561E" w:rsidRPr="00720520" w:rsidRDefault="001F561E" w:rsidP="00266C6A">
            <w:pPr>
              <w:rPr>
                <w:rFonts w:ascii="Bookman Old Style" w:hAnsi="Bookman Old Style" w:cs="Arial"/>
                <w:spacing w:val="-3"/>
                <w:lang w:val="es-ES_tradnl"/>
              </w:rPr>
            </w:pPr>
          </w:p>
        </w:tc>
      </w:tr>
      <w:tr w:rsidR="001F561E" w:rsidRPr="00720520" w14:paraId="0048D491" w14:textId="77777777" w:rsidTr="00266C6A">
        <w:trPr>
          <w:jc w:val="right"/>
        </w:trPr>
        <w:tc>
          <w:tcPr>
            <w:tcW w:w="4871" w:type="dxa"/>
          </w:tcPr>
          <w:p w14:paraId="665E30C5" w14:textId="77777777" w:rsidR="001F561E" w:rsidRPr="00720520" w:rsidRDefault="001F561E" w:rsidP="00266C6A">
            <w:pPr>
              <w:rPr>
                <w:rFonts w:ascii="Bookman Old Style" w:hAnsi="Bookman Old Style" w:cs="Arial"/>
                <w:spacing w:val="-3"/>
              </w:rPr>
            </w:pPr>
          </w:p>
        </w:tc>
        <w:tc>
          <w:tcPr>
            <w:tcW w:w="5258" w:type="dxa"/>
          </w:tcPr>
          <w:p w14:paraId="4681E55C" w14:textId="77777777" w:rsidR="001F561E" w:rsidRPr="00720520" w:rsidRDefault="001F561E" w:rsidP="00266C6A">
            <w:pPr>
              <w:rPr>
                <w:rFonts w:ascii="Bookman Old Style" w:hAnsi="Bookman Old Style" w:cs="Arial"/>
                <w:spacing w:val="-3"/>
              </w:rPr>
            </w:pPr>
          </w:p>
        </w:tc>
      </w:tr>
    </w:tbl>
    <w:p w14:paraId="050F5F80" w14:textId="77777777" w:rsidR="001F561E" w:rsidRPr="00E060BE" w:rsidRDefault="001F561E" w:rsidP="001F561E">
      <w:pPr>
        <w:ind w:left="0"/>
        <w:rPr>
          <w:rFonts w:ascii="Bookman Old Style" w:hAnsi="Bookman Old Style" w:cs="Arial"/>
        </w:rPr>
      </w:pPr>
    </w:p>
    <w:p w14:paraId="185A0E4A" w14:textId="722C2690" w:rsidR="00E060BE" w:rsidRPr="00E060BE" w:rsidRDefault="00E060BE" w:rsidP="001F561E">
      <w:pPr>
        <w:ind w:left="0"/>
        <w:contextualSpacing/>
        <w:jc w:val="both"/>
        <w:rPr>
          <w:rFonts w:ascii="Bookman Old Style" w:hAnsi="Bookman Old Style" w:cs="Arial"/>
        </w:rPr>
      </w:pPr>
    </w:p>
    <w:sectPr w:rsidR="00E060BE" w:rsidRPr="00E060BE"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59978" w14:textId="77777777" w:rsidR="004F193A" w:rsidRDefault="004F193A">
      <w:r>
        <w:separator/>
      </w:r>
    </w:p>
  </w:endnote>
  <w:endnote w:type="continuationSeparator" w:id="0">
    <w:p w14:paraId="4ED56816" w14:textId="77777777" w:rsidR="004F193A" w:rsidRDefault="004F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2941F" w14:textId="77777777" w:rsidR="004F193A" w:rsidRDefault="004F193A">
      <w:r>
        <w:separator/>
      </w:r>
    </w:p>
  </w:footnote>
  <w:footnote w:type="continuationSeparator" w:id="0">
    <w:p w14:paraId="6AF4F475" w14:textId="77777777" w:rsidR="004F193A" w:rsidRDefault="004F1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87ED" w14:textId="77777777" w:rsidR="00CC51D4" w:rsidRDefault="00CC51D4" w:rsidP="00951F79">
    <w:pPr>
      <w:pStyle w:val="Ttulo1"/>
      <w:ind w:right="6"/>
      <w:jc w:val="left"/>
      <w:rPr>
        <w:rFonts w:ascii="Bookman Old Style" w:hAnsi="Bookman Old Style" w:cs="Arial"/>
        <w:b w:val="0"/>
        <w:sz w:val="22"/>
        <w:szCs w:val="22"/>
      </w:rPr>
    </w:pPr>
  </w:p>
  <w:p w14:paraId="267D8AF5" w14:textId="2B024B74" w:rsidR="0087657D" w:rsidRPr="00951F79" w:rsidRDefault="0008506C" w:rsidP="009F4BEC">
    <w:pPr>
      <w:pStyle w:val="Ttulo1"/>
      <w:ind w:left="0" w:right="6"/>
      <w:jc w:val="left"/>
      <w:rPr>
        <w:rFonts w:ascii="Bookman Old Style" w:hAnsi="Bookman Old Style" w:cs="Arial"/>
        <w:b w:val="0"/>
        <w:sz w:val="22"/>
        <w:szCs w:val="22"/>
      </w:rPr>
    </w:pPr>
    <w:r>
      <w:rPr>
        <w:rFonts w:ascii="Bookman Old Style" w:hAnsi="Bookman Old Style" w:cs="Arial"/>
        <w:b w:val="0"/>
        <w:sz w:val="22"/>
        <w:szCs w:val="22"/>
      </w:rPr>
      <w:t xml:space="preserve">PROYECTO DE </w:t>
    </w:r>
    <w:r w:rsidR="00725FA4" w:rsidRPr="00654384">
      <w:rPr>
        <w:rFonts w:ascii="Bookman Old Style" w:hAnsi="Bookman Old Style" w:cs="Arial"/>
        <w:b w:val="0"/>
        <w:sz w:val="22"/>
        <w:szCs w:val="22"/>
      </w:rPr>
      <w:t>RESOLUCIÓN No.</w:t>
    </w:r>
    <w:r w:rsidR="00951F79">
      <w:rPr>
        <w:rFonts w:ascii="Bookman Old Style" w:hAnsi="Bookman Old Style" w:cs="Arial"/>
        <w:b w:val="0"/>
        <w:sz w:val="22"/>
        <w:szCs w:val="22"/>
      </w:rPr>
      <w:t xml:space="preserve">  _</w:t>
    </w:r>
    <w:r w:rsidR="00456D0A" w:rsidRPr="00456D0A">
      <w:rPr>
        <w:rFonts w:ascii="Bookman Old Style" w:hAnsi="Bookman Old Style" w:cs="Arial"/>
        <w:bCs/>
        <w:sz w:val="22"/>
        <w:szCs w:val="22"/>
        <w:u w:val="single"/>
      </w:rPr>
      <w:t>701 012</w:t>
    </w:r>
    <w:r w:rsidR="00951F79">
      <w:rPr>
        <w:rFonts w:ascii="Bookman Old Style" w:hAnsi="Bookman Old Style" w:cs="Arial"/>
        <w:b w:val="0"/>
        <w:sz w:val="22"/>
        <w:szCs w:val="22"/>
      </w:rPr>
      <w:t>_</w:t>
    </w:r>
    <w:r w:rsidR="00951F79" w:rsidRPr="00456D0A">
      <w:rPr>
        <w:rFonts w:ascii="Bookman Old Style" w:hAnsi="Bookman Old Style" w:cs="Arial"/>
        <w:b w:val="0"/>
        <w:sz w:val="22"/>
        <w:szCs w:val="22"/>
        <w:u w:val="single"/>
      </w:rPr>
      <w:t>__</w:t>
    </w:r>
    <w:r w:rsidR="00456D0A" w:rsidRPr="00456D0A">
      <w:rPr>
        <w:rFonts w:ascii="Bookman Old Style" w:hAnsi="Bookman Old Style" w:cs="Arial"/>
        <w:b w:val="0"/>
        <w:sz w:val="22"/>
        <w:szCs w:val="22"/>
        <w:u w:val="single"/>
      </w:rPr>
      <w:t xml:space="preserve"> </w:t>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456D0A" w:rsidRPr="00456D0A">
      <w:rPr>
        <w:rFonts w:ascii="Bookman Old Style" w:hAnsi="Bookman Old Style" w:cs="Arial"/>
        <w:bCs/>
        <w:sz w:val="22"/>
        <w:szCs w:val="22"/>
        <w:u w:val="single"/>
      </w:rPr>
      <w:t>24 MAYO 2023</w:t>
    </w:r>
    <w:r w:rsidR="00456D0A">
      <w:rPr>
        <w:rFonts w:ascii="Bookman Old Style" w:hAnsi="Bookman Old Style" w:cs="Arial"/>
        <w:bCs/>
        <w:sz w:val="22"/>
        <w:szCs w:val="22"/>
        <w:u w:val="single"/>
      </w:rPr>
      <w:t xml:space="preserve"> </w:t>
    </w:r>
    <w:r w:rsidR="00456D0A" w:rsidRPr="00456D0A">
      <w:rPr>
        <w:rFonts w:ascii="Bookman Old Style" w:hAnsi="Bookman Old Style" w:cs="Arial"/>
        <w:b w:val="0"/>
        <w:sz w:val="22"/>
        <w:szCs w:val="22"/>
      </w:rPr>
      <w:t xml:space="preserve">    </w:t>
    </w:r>
    <w:r w:rsidR="00725FA4"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42068C"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42068C" w:rsidRPr="00654384">
      <w:rPr>
        <w:rFonts w:ascii="Bookman Old Style" w:hAnsi="Bookman Old Style" w:cs="Arial"/>
        <w:b w:val="0"/>
        <w:sz w:val="22"/>
        <w:szCs w:val="22"/>
      </w:rPr>
      <w:fldChar w:fldCharType="separate"/>
    </w:r>
    <w:r w:rsidR="00F77D2D">
      <w:rPr>
        <w:rFonts w:ascii="Bookman Old Style" w:hAnsi="Bookman Old Style" w:cs="Arial"/>
        <w:b w:val="0"/>
        <w:noProof/>
        <w:sz w:val="22"/>
        <w:szCs w:val="22"/>
      </w:rPr>
      <w:t>2</w:t>
    </w:r>
    <w:r w:rsidR="0042068C" w:rsidRPr="00654384">
      <w:rPr>
        <w:rFonts w:ascii="Bookman Old Style" w:hAnsi="Bookman Old Style" w:cs="Arial"/>
        <w:b w:val="0"/>
        <w:sz w:val="22"/>
        <w:szCs w:val="22"/>
      </w:rPr>
      <w:fldChar w:fldCharType="end"/>
    </w:r>
    <w:r w:rsidR="00725FA4" w:rsidRPr="00654384">
      <w:rPr>
        <w:rFonts w:ascii="Bookman Old Style" w:hAnsi="Bookman Old Style" w:cs="Arial"/>
        <w:b w:val="0"/>
        <w:sz w:val="22"/>
        <w:szCs w:val="22"/>
      </w:rPr>
      <w:t>/</w:t>
    </w:r>
    <w:fldSimple w:instr=" NUMPAGES  \* MERGEFORMAT ">
      <w:r w:rsidR="00F77D2D" w:rsidRPr="00F77D2D">
        <w:rPr>
          <w:rFonts w:ascii="Bookman Old Style" w:hAnsi="Bookman Old Style" w:cs="Arial"/>
          <w:b w:val="0"/>
          <w:noProof/>
          <w:sz w:val="22"/>
          <w:szCs w:val="22"/>
        </w:rPr>
        <w:t>2</w:t>
      </w:r>
    </w:fldSimple>
  </w:p>
  <w:p w14:paraId="39489639" w14:textId="4A2B8A3C" w:rsidR="006F6D95" w:rsidRDefault="00DF16F5" w:rsidP="00AD01E4">
    <w:pPr>
      <w:ind w:left="142" w:right="148"/>
      <w:rPr>
        <w:rFonts w:ascii="Bookman Old Style" w:hAnsi="Bookman Old Style" w:cs="Arial"/>
      </w:rPr>
    </w:pPr>
    <w:r w:rsidRPr="0042068C">
      <w:rPr>
        <w:noProof/>
      </w:rPr>
      <mc:AlternateContent>
        <mc:Choice Requires="wps">
          <w:drawing>
            <wp:anchor distT="0" distB="0" distL="114300" distR="114300" simplePos="0" relativeHeight="251657216" behindDoc="0" locked="0" layoutInCell="1" allowOverlap="1" wp14:anchorId="381ACA9D" wp14:editId="1EC6C2CA">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3C70F"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DA16" w14:textId="47DB80BA" w:rsidR="00725FA4" w:rsidRDefault="00725FA4" w:rsidP="0005463D">
    <w:pPr>
      <w:pStyle w:val="Encabezado"/>
      <w:ind w:left="0"/>
      <w:jc w:val="center"/>
      <w:rPr>
        <w:rFonts w:ascii="Arial" w:hAnsi="Arial" w:cs="Arial"/>
        <w:spacing w:val="20"/>
        <w:sz w:val="20"/>
      </w:rPr>
    </w:pPr>
    <w:r>
      <w:rPr>
        <w:rFonts w:ascii="Arial" w:hAnsi="Arial" w:cs="Arial"/>
        <w:spacing w:val="20"/>
        <w:sz w:val="20"/>
      </w:rPr>
      <w:t>República de Colombia</w:t>
    </w:r>
  </w:p>
  <w:p w14:paraId="273850B7" w14:textId="77777777" w:rsidR="00725FA4" w:rsidRDefault="00725FA4" w:rsidP="0005463D">
    <w:pPr>
      <w:pStyle w:val="Encabezado"/>
      <w:ind w:left="0"/>
      <w:jc w:val="center"/>
      <w:rPr>
        <w:rFonts w:ascii="Arial" w:hAnsi="Arial" w:cs="Arial"/>
        <w:spacing w:val="20"/>
        <w:sz w:val="20"/>
      </w:rPr>
    </w:pPr>
  </w:p>
  <w:p w14:paraId="367D4456" w14:textId="76DA3229" w:rsidR="00725FA4" w:rsidRDefault="00DF16F5" w:rsidP="0005463D">
    <w:pPr>
      <w:pStyle w:val="Encabezado"/>
      <w:ind w:left="0"/>
      <w:jc w:val="center"/>
    </w:pPr>
    <w:r w:rsidRPr="0042068C">
      <w:rPr>
        <w:rFonts w:ascii="Arial" w:hAnsi="Arial" w:cs="Arial"/>
        <w:noProof/>
        <w:spacing w:val="20"/>
        <w:sz w:val="20"/>
        <w:lang w:val="es-ES"/>
      </w:rPr>
      <mc:AlternateContent>
        <mc:Choice Requires="wps">
          <w:drawing>
            <wp:anchor distT="0" distB="0" distL="114300" distR="114300" simplePos="0" relativeHeight="251658240" behindDoc="0" locked="0" layoutInCell="1" allowOverlap="1" wp14:anchorId="76DBBCF4" wp14:editId="53AB8A0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678AB"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642EBA"/>
    <w:multiLevelType w:val="hybridMultilevel"/>
    <w:tmpl w:val="AC920DB2"/>
    <w:lvl w:ilvl="0" w:tplc="F8021F14">
      <w:start w:val="1"/>
      <w:numFmt w:val="decimal"/>
      <w:lvlText w:val="Artículo %1."/>
      <w:lvlJc w:val="left"/>
      <w:pPr>
        <w:ind w:left="2345" w:hanging="360"/>
      </w:pPr>
      <w:rPr>
        <w:rFonts w:ascii="Bookman Old Style" w:hAnsi="Bookman Old Style" w:hint="default"/>
        <w:b/>
        <w:i w:val="0"/>
        <w:color w:val="auto"/>
        <w:sz w:val="24"/>
        <w:szCs w:val="24"/>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7"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3"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5"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6"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0"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55098951">
    <w:abstractNumId w:val="12"/>
  </w:num>
  <w:num w:numId="2" w16cid:durableId="465708428">
    <w:abstractNumId w:val="5"/>
  </w:num>
  <w:num w:numId="3" w16cid:durableId="1105727914">
    <w:abstractNumId w:val="21"/>
  </w:num>
  <w:num w:numId="4" w16cid:durableId="1549103036">
    <w:abstractNumId w:val="7"/>
  </w:num>
  <w:num w:numId="5" w16cid:durableId="524052536">
    <w:abstractNumId w:val="16"/>
  </w:num>
  <w:num w:numId="6" w16cid:durableId="282419902">
    <w:abstractNumId w:val="4"/>
  </w:num>
  <w:num w:numId="7" w16cid:durableId="2057967741">
    <w:abstractNumId w:val="3"/>
  </w:num>
  <w:num w:numId="8" w16cid:durableId="504252051">
    <w:abstractNumId w:val="18"/>
  </w:num>
  <w:num w:numId="9" w16cid:durableId="965698353">
    <w:abstractNumId w:val="17"/>
  </w:num>
  <w:num w:numId="10" w16cid:durableId="1324311678">
    <w:abstractNumId w:val="13"/>
  </w:num>
  <w:num w:numId="11" w16cid:durableId="314073287">
    <w:abstractNumId w:val="22"/>
  </w:num>
  <w:num w:numId="12" w16cid:durableId="1226380700">
    <w:abstractNumId w:val="20"/>
  </w:num>
  <w:num w:numId="13" w16cid:durableId="652686522">
    <w:abstractNumId w:val="11"/>
  </w:num>
  <w:num w:numId="14" w16cid:durableId="1118571037">
    <w:abstractNumId w:val="2"/>
  </w:num>
  <w:num w:numId="15" w16cid:durableId="157889247">
    <w:abstractNumId w:val="14"/>
  </w:num>
  <w:num w:numId="16" w16cid:durableId="1518159295">
    <w:abstractNumId w:val="1"/>
  </w:num>
  <w:num w:numId="17" w16cid:durableId="851915135">
    <w:abstractNumId w:val="10"/>
  </w:num>
  <w:num w:numId="18" w16cid:durableId="846406875">
    <w:abstractNumId w:val="0"/>
  </w:num>
  <w:num w:numId="19" w16cid:durableId="434208047">
    <w:abstractNumId w:val="19"/>
  </w:num>
  <w:num w:numId="20" w16cid:durableId="1106390023">
    <w:abstractNumId w:val="15"/>
  </w:num>
  <w:num w:numId="21" w16cid:durableId="1089080386">
    <w:abstractNumId w:val="8"/>
  </w:num>
  <w:num w:numId="22" w16cid:durableId="198055653">
    <w:abstractNumId w:val="9"/>
  </w:num>
  <w:num w:numId="23" w16cid:durableId="1981765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6AE2"/>
    <w:rsid w:val="000076A1"/>
    <w:rsid w:val="00012259"/>
    <w:rsid w:val="00025383"/>
    <w:rsid w:val="00045D3D"/>
    <w:rsid w:val="0005463D"/>
    <w:rsid w:val="00063657"/>
    <w:rsid w:val="00076680"/>
    <w:rsid w:val="00076A1D"/>
    <w:rsid w:val="0008073E"/>
    <w:rsid w:val="0008506C"/>
    <w:rsid w:val="00091CDB"/>
    <w:rsid w:val="000A19AC"/>
    <w:rsid w:val="000B2EC9"/>
    <w:rsid w:val="000D26F8"/>
    <w:rsid w:val="00106654"/>
    <w:rsid w:val="0013526C"/>
    <w:rsid w:val="001405C6"/>
    <w:rsid w:val="00141013"/>
    <w:rsid w:val="00192CBF"/>
    <w:rsid w:val="00192FF1"/>
    <w:rsid w:val="001A5F1B"/>
    <w:rsid w:val="001B1C22"/>
    <w:rsid w:val="001B34C6"/>
    <w:rsid w:val="001D7832"/>
    <w:rsid w:val="001F561E"/>
    <w:rsid w:val="0020020C"/>
    <w:rsid w:val="00210DC1"/>
    <w:rsid w:val="00211D34"/>
    <w:rsid w:val="00214F04"/>
    <w:rsid w:val="0022030B"/>
    <w:rsid w:val="002352B9"/>
    <w:rsid w:val="00266CD6"/>
    <w:rsid w:val="002673AC"/>
    <w:rsid w:val="00275DAB"/>
    <w:rsid w:val="00282B07"/>
    <w:rsid w:val="002903C0"/>
    <w:rsid w:val="002A782A"/>
    <w:rsid w:val="002B11E2"/>
    <w:rsid w:val="002B24B8"/>
    <w:rsid w:val="002D3AE9"/>
    <w:rsid w:val="002D4510"/>
    <w:rsid w:val="002F0734"/>
    <w:rsid w:val="002F175F"/>
    <w:rsid w:val="002F46E7"/>
    <w:rsid w:val="003101DA"/>
    <w:rsid w:val="003111C3"/>
    <w:rsid w:val="00314757"/>
    <w:rsid w:val="003163BC"/>
    <w:rsid w:val="003211CE"/>
    <w:rsid w:val="003339A0"/>
    <w:rsid w:val="0035403A"/>
    <w:rsid w:val="0036394B"/>
    <w:rsid w:val="00366DB6"/>
    <w:rsid w:val="003709B5"/>
    <w:rsid w:val="003759C2"/>
    <w:rsid w:val="00397365"/>
    <w:rsid w:val="003A31F6"/>
    <w:rsid w:val="003C3447"/>
    <w:rsid w:val="003D076C"/>
    <w:rsid w:val="003E78B5"/>
    <w:rsid w:val="00400A35"/>
    <w:rsid w:val="00415BAB"/>
    <w:rsid w:val="00415ED2"/>
    <w:rsid w:val="0042068C"/>
    <w:rsid w:val="0044318E"/>
    <w:rsid w:val="00443B35"/>
    <w:rsid w:val="0045488D"/>
    <w:rsid w:val="00456D0A"/>
    <w:rsid w:val="0047122B"/>
    <w:rsid w:val="00473B7A"/>
    <w:rsid w:val="004756C9"/>
    <w:rsid w:val="00495D3B"/>
    <w:rsid w:val="004960E9"/>
    <w:rsid w:val="004A2E88"/>
    <w:rsid w:val="004A5305"/>
    <w:rsid w:val="004C28DB"/>
    <w:rsid w:val="004D7634"/>
    <w:rsid w:val="004E611A"/>
    <w:rsid w:val="004F193A"/>
    <w:rsid w:val="004F6460"/>
    <w:rsid w:val="005300D3"/>
    <w:rsid w:val="00542A10"/>
    <w:rsid w:val="00544F82"/>
    <w:rsid w:val="005509D2"/>
    <w:rsid w:val="00593C4F"/>
    <w:rsid w:val="005946A8"/>
    <w:rsid w:val="005A1C18"/>
    <w:rsid w:val="005A4407"/>
    <w:rsid w:val="005A59EF"/>
    <w:rsid w:val="005B1C7E"/>
    <w:rsid w:val="005C6976"/>
    <w:rsid w:val="005F6F41"/>
    <w:rsid w:val="00625DC6"/>
    <w:rsid w:val="0064391D"/>
    <w:rsid w:val="00651821"/>
    <w:rsid w:val="00654384"/>
    <w:rsid w:val="006675CD"/>
    <w:rsid w:val="00684D9B"/>
    <w:rsid w:val="0068510A"/>
    <w:rsid w:val="00697556"/>
    <w:rsid w:val="006B4647"/>
    <w:rsid w:val="006B4C2B"/>
    <w:rsid w:val="006B6194"/>
    <w:rsid w:val="006B6D47"/>
    <w:rsid w:val="006C5AFE"/>
    <w:rsid w:val="006E676E"/>
    <w:rsid w:val="006F2EC8"/>
    <w:rsid w:val="006F6D95"/>
    <w:rsid w:val="00706F13"/>
    <w:rsid w:val="007072E8"/>
    <w:rsid w:val="0071618D"/>
    <w:rsid w:val="00725FA4"/>
    <w:rsid w:val="00740446"/>
    <w:rsid w:val="007438A9"/>
    <w:rsid w:val="0074491E"/>
    <w:rsid w:val="0076247A"/>
    <w:rsid w:val="00775964"/>
    <w:rsid w:val="007765FE"/>
    <w:rsid w:val="00794E2E"/>
    <w:rsid w:val="00795BFB"/>
    <w:rsid w:val="007A6181"/>
    <w:rsid w:val="007B2760"/>
    <w:rsid w:val="007B5A60"/>
    <w:rsid w:val="007B7BD5"/>
    <w:rsid w:val="00806C01"/>
    <w:rsid w:val="008148CC"/>
    <w:rsid w:val="008211A4"/>
    <w:rsid w:val="0084693A"/>
    <w:rsid w:val="0086667D"/>
    <w:rsid w:val="00873150"/>
    <w:rsid w:val="0087657D"/>
    <w:rsid w:val="008807D5"/>
    <w:rsid w:val="00880832"/>
    <w:rsid w:val="0088663C"/>
    <w:rsid w:val="00886DBF"/>
    <w:rsid w:val="00886EE1"/>
    <w:rsid w:val="0088727D"/>
    <w:rsid w:val="00897C75"/>
    <w:rsid w:val="008C1130"/>
    <w:rsid w:val="008D18E6"/>
    <w:rsid w:val="008D7A9B"/>
    <w:rsid w:val="008E0060"/>
    <w:rsid w:val="008E7091"/>
    <w:rsid w:val="008E76AC"/>
    <w:rsid w:val="008F21F6"/>
    <w:rsid w:val="00951F79"/>
    <w:rsid w:val="00974AB5"/>
    <w:rsid w:val="0098706D"/>
    <w:rsid w:val="009935FB"/>
    <w:rsid w:val="009F4A54"/>
    <w:rsid w:val="009F4BEC"/>
    <w:rsid w:val="009F5874"/>
    <w:rsid w:val="00A06511"/>
    <w:rsid w:val="00A25FD7"/>
    <w:rsid w:val="00A43AFF"/>
    <w:rsid w:val="00A7793A"/>
    <w:rsid w:val="00A90E0B"/>
    <w:rsid w:val="00AA4CC7"/>
    <w:rsid w:val="00AA5E8E"/>
    <w:rsid w:val="00AB2BAD"/>
    <w:rsid w:val="00AB6CA7"/>
    <w:rsid w:val="00AC66A3"/>
    <w:rsid w:val="00AD01E4"/>
    <w:rsid w:val="00AD0858"/>
    <w:rsid w:val="00AE02E3"/>
    <w:rsid w:val="00AE7340"/>
    <w:rsid w:val="00AF1BBD"/>
    <w:rsid w:val="00B10207"/>
    <w:rsid w:val="00B141E7"/>
    <w:rsid w:val="00B351B4"/>
    <w:rsid w:val="00B46BCA"/>
    <w:rsid w:val="00B478AA"/>
    <w:rsid w:val="00B87806"/>
    <w:rsid w:val="00B87EC9"/>
    <w:rsid w:val="00BC38FD"/>
    <w:rsid w:val="00C034CB"/>
    <w:rsid w:val="00C051A8"/>
    <w:rsid w:val="00C051D7"/>
    <w:rsid w:val="00C054BC"/>
    <w:rsid w:val="00C17897"/>
    <w:rsid w:val="00C409D5"/>
    <w:rsid w:val="00C435C3"/>
    <w:rsid w:val="00C44E5F"/>
    <w:rsid w:val="00C51B7C"/>
    <w:rsid w:val="00C6234B"/>
    <w:rsid w:val="00C63EAE"/>
    <w:rsid w:val="00C73260"/>
    <w:rsid w:val="00C73448"/>
    <w:rsid w:val="00C7629F"/>
    <w:rsid w:val="00C8661B"/>
    <w:rsid w:val="00CA03C8"/>
    <w:rsid w:val="00CA139A"/>
    <w:rsid w:val="00CA2899"/>
    <w:rsid w:val="00CA3A3D"/>
    <w:rsid w:val="00CA3AA6"/>
    <w:rsid w:val="00CA77FB"/>
    <w:rsid w:val="00CB379B"/>
    <w:rsid w:val="00CB5DD0"/>
    <w:rsid w:val="00CC51D4"/>
    <w:rsid w:val="00CC65DA"/>
    <w:rsid w:val="00CF21B9"/>
    <w:rsid w:val="00CF6BF9"/>
    <w:rsid w:val="00D01A24"/>
    <w:rsid w:val="00D03800"/>
    <w:rsid w:val="00D065D3"/>
    <w:rsid w:val="00D14C94"/>
    <w:rsid w:val="00D342A6"/>
    <w:rsid w:val="00D45CA6"/>
    <w:rsid w:val="00D464BF"/>
    <w:rsid w:val="00D53E26"/>
    <w:rsid w:val="00D83F43"/>
    <w:rsid w:val="00DB182C"/>
    <w:rsid w:val="00DD4F0E"/>
    <w:rsid w:val="00DF0BF0"/>
    <w:rsid w:val="00DF16F5"/>
    <w:rsid w:val="00DF3CA2"/>
    <w:rsid w:val="00DF753F"/>
    <w:rsid w:val="00E01463"/>
    <w:rsid w:val="00E05E0A"/>
    <w:rsid w:val="00E060BE"/>
    <w:rsid w:val="00E33DBC"/>
    <w:rsid w:val="00E534CF"/>
    <w:rsid w:val="00E53980"/>
    <w:rsid w:val="00E63920"/>
    <w:rsid w:val="00E81CB4"/>
    <w:rsid w:val="00E8585B"/>
    <w:rsid w:val="00E87F41"/>
    <w:rsid w:val="00EA3F15"/>
    <w:rsid w:val="00EA7847"/>
    <w:rsid w:val="00EB4C2F"/>
    <w:rsid w:val="00EE2E6E"/>
    <w:rsid w:val="00EE7F4E"/>
    <w:rsid w:val="00F06AAF"/>
    <w:rsid w:val="00F0759E"/>
    <w:rsid w:val="00F16A43"/>
    <w:rsid w:val="00F46780"/>
    <w:rsid w:val="00F55DB1"/>
    <w:rsid w:val="00F77D2D"/>
    <w:rsid w:val="00F821A3"/>
    <w:rsid w:val="00F9314A"/>
    <w:rsid w:val="00F940B2"/>
    <w:rsid w:val="00FC58EF"/>
    <w:rsid w:val="00FD33DF"/>
    <w:rsid w:val="00FE39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9E9890C"/>
  <w15:chartTrackingRefBased/>
  <w15:docId w15:val="{9A204BFE-BF51-470B-9C8D-5FFD1F03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styleId="Hipervnculo">
    <w:name w:val="Hyperlink"/>
    <w:basedOn w:val="Fuentedeprrafopredeter"/>
    <w:uiPriority w:val="99"/>
    <w:unhideWhenUsed/>
    <w:rsid w:val="0008506C"/>
    <w:rPr>
      <w:color w:val="0000FF"/>
      <w:u w:val="single"/>
    </w:rPr>
  </w:style>
  <w:style w:type="character" w:customStyle="1" w:styleId="normaltextrun">
    <w:name w:val="normaltextrun"/>
    <w:basedOn w:val="Fuentedeprrafopredeter"/>
    <w:rsid w:val="0020020C"/>
  </w:style>
  <w:style w:type="character" w:customStyle="1" w:styleId="Ttulo1Car">
    <w:name w:val="Título 1 Car"/>
    <w:basedOn w:val="Fuentedeprrafopredeter"/>
    <w:link w:val="Ttulo1"/>
    <w:rsid w:val="00C73448"/>
    <w:rPr>
      <w:rFonts w:ascii="CG Times" w:hAnsi="CG Times"/>
      <w:b/>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reg@creg.gov.c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PLANTILLA1</Template>
  <TotalTime>1</TotalTime>
  <Pages>5</Pages>
  <Words>1855</Words>
  <Characters>10208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Aura Yamira Gomez Pulido</cp:lastModifiedBy>
  <cp:revision>2</cp:revision>
  <cp:lastPrinted>2011-07-21T13:53:00Z</cp:lastPrinted>
  <dcterms:created xsi:type="dcterms:W3CDTF">2023-05-25T12:59:00Z</dcterms:created>
  <dcterms:modified xsi:type="dcterms:W3CDTF">2023-05-25T12:59:00Z</dcterms:modified>
</cp:coreProperties>
</file>