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5A0746"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487750762" r:id="rId9"/>
        </w:pict>
      </w: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201619">
        <w:rPr>
          <w:rFonts w:ascii="Bookman Old Style" w:hAnsi="Bookman Old Style"/>
          <w:sz w:val="24"/>
          <w:szCs w:val="24"/>
        </w:rPr>
        <w:t>5</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Pr="00E060BE" w:rsidRDefault="00CA77FB" w:rsidP="00012259">
      <w:pPr>
        <w:tabs>
          <w:tab w:val="left" w:pos="0"/>
          <w:tab w:val="right" w:pos="9356"/>
        </w:tabs>
        <w:ind w:left="0"/>
        <w:jc w:val="center"/>
        <w:rPr>
          <w:rFonts w:ascii="Bookman Old Style" w:hAnsi="Bookman Old Style"/>
          <w:lang w:val="es-ES_tradnl"/>
        </w:rPr>
      </w:pPr>
    </w:p>
    <w:p w:rsidR="00B351B4" w:rsidRDefault="00B351B4" w:rsidP="00012259">
      <w:pPr>
        <w:ind w:left="0"/>
        <w:rPr>
          <w:rFonts w:ascii="Bookman Old Style" w:hAnsi="Bookman Old Style"/>
          <w:bCs/>
          <w:lang w:val="es-CO"/>
        </w:rPr>
      </w:pPr>
    </w:p>
    <w:p w:rsidR="00F50647" w:rsidRDefault="00F50647" w:rsidP="00012259">
      <w:pPr>
        <w:ind w:left="0"/>
        <w:rPr>
          <w:rFonts w:ascii="Bookman Old Style" w:hAnsi="Bookman Old Style"/>
          <w:bCs/>
          <w:lang w:val="es-CO"/>
        </w:rPr>
      </w:pPr>
    </w:p>
    <w:p w:rsidR="00F50647" w:rsidRDefault="00F50647" w:rsidP="00012259">
      <w:pPr>
        <w:ind w:left="0"/>
        <w:rPr>
          <w:rFonts w:ascii="Bookman Old Style" w:hAnsi="Bookman Old Style"/>
          <w:bCs/>
          <w:lang w:val="es-CO"/>
        </w:rPr>
      </w:pPr>
    </w:p>
    <w:p w:rsidR="00042D5E" w:rsidRDefault="00377817" w:rsidP="00377817">
      <w:pPr>
        <w:ind w:left="0"/>
        <w:jc w:val="center"/>
        <w:rPr>
          <w:rFonts w:ascii="Bookman Old Style" w:hAnsi="Bookman Old Style"/>
        </w:rPr>
      </w:pPr>
      <w:r w:rsidRPr="00377817">
        <w:rPr>
          <w:rFonts w:ascii="Bookman Old Style" w:hAnsi="Bookman Old Style"/>
        </w:rPr>
        <w:t>Por la cual se define el porcentaje de incremento del ingreso anual del gestor del mercado de gas natural por la prestación del nuevo servicio de subastas de contratos bimestrales de suministro en firme</w:t>
      </w:r>
      <w:r w:rsidR="00C50A23">
        <w:rPr>
          <w:rFonts w:ascii="Bookman Old Style" w:hAnsi="Bookman Old Style"/>
        </w:rPr>
        <w:t xml:space="preserve"> establecido en la Resolución CREG 136 de 2014</w:t>
      </w:r>
    </w:p>
    <w:p w:rsidR="00377817" w:rsidRDefault="00377817" w:rsidP="00377817">
      <w:pPr>
        <w:ind w:left="0"/>
        <w:jc w:val="center"/>
        <w:rPr>
          <w:rFonts w:ascii="Bookman Old Style" w:hAnsi="Bookman Old Style"/>
          <w:bCs/>
          <w:lang w:val="es-CO"/>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rsidR="00045D3D" w:rsidRPr="00C435C3" w:rsidRDefault="00045D3D" w:rsidP="00045D3D">
      <w:pPr>
        <w:ind w:left="0" w:right="51"/>
        <w:rPr>
          <w:rFonts w:ascii="Bookman Old Style" w:hAnsi="Bookman Old Style"/>
        </w:rPr>
      </w:pPr>
    </w:p>
    <w:p w:rsidR="00045D3D" w:rsidRDefault="00045D3D" w:rsidP="00045D3D">
      <w:pPr>
        <w:ind w:left="0" w:right="51"/>
        <w:rPr>
          <w:rFonts w:ascii="Bookman Old Style" w:hAnsi="Bookman Old Style"/>
        </w:rPr>
      </w:pPr>
    </w:p>
    <w:p w:rsidR="00042D5E" w:rsidRDefault="00042D5E" w:rsidP="00045D3D">
      <w:pPr>
        <w:ind w:left="0" w:right="51"/>
        <w:rPr>
          <w:rFonts w:ascii="Bookman Old Style" w:hAnsi="Bookman Old Style" w:cs="Arial"/>
          <w:color w:val="000000"/>
          <w:lang w:eastAsia="es-CO"/>
        </w:rPr>
      </w:pPr>
      <w:r w:rsidRPr="00F6673E">
        <w:rPr>
          <w:rFonts w:ascii="Bookman Old Style" w:hAnsi="Bookman Old Style" w:cs="Arial"/>
          <w:color w:val="000000"/>
          <w:lang w:eastAsia="es-CO"/>
        </w:rPr>
        <w:t>En ejercicio de sus facultades legales, en especial de las conferidas por la Ley 142 de 1994, y en desarrollo de</w:t>
      </w:r>
      <w:r>
        <w:rPr>
          <w:rFonts w:ascii="Bookman Old Style" w:hAnsi="Bookman Old Style" w:cs="Arial"/>
          <w:color w:val="000000"/>
          <w:lang w:eastAsia="es-CO"/>
        </w:rPr>
        <w:t xml:space="preserve"> </w:t>
      </w:r>
      <w:r w:rsidRPr="00F6673E">
        <w:rPr>
          <w:rFonts w:ascii="Bookman Old Style" w:hAnsi="Bookman Old Style" w:cs="Arial"/>
          <w:color w:val="000000"/>
          <w:lang w:eastAsia="es-CO"/>
        </w:rPr>
        <w:t>l</w:t>
      </w:r>
      <w:r>
        <w:rPr>
          <w:rFonts w:ascii="Bookman Old Style" w:hAnsi="Bookman Old Style" w:cs="Arial"/>
          <w:color w:val="000000"/>
          <w:lang w:eastAsia="es-CO"/>
        </w:rPr>
        <w:t>os</w:t>
      </w:r>
      <w:r w:rsidRPr="00F6673E">
        <w:rPr>
          <w:rFonts w:ascii="Bookman Old Style" w:hAnsi="Bookman Old Style" w:cs="Arial"/>
          <w:color w:val="000000"/>
          <w:lang w:eastAsia="es-CO"/>
        </w:rPr>
        <w:t xml:space="preserve"> </w:t>
      </w:r>
      <w:r>
        <w:rPr>
          <w:rFonts w:ascii="Bookman Old Style" w:hAnsi="Bookman Old Style" w:cs="Arial"/>
          <w:color w:val="000000"/>
          <w:lang w:eastAsia="es-CO"/>
        </w:rPr>
        <w:t>d</w:t>
      </w:r>
      <w:r w:rsidRPr="00F6673E">
        <w:rPr>
          <w:rFonts w:ascii="Bookman Old Style" w:hAnsi="Bookman Old Style" w:cs="Arial"/>
          <w:color w:val="000000"/>
          <w:lang w:eastAsia="es-CO"/>
        </w:rPr>
        <w:t>ecreto</w:t>
      </w:r>
      <w:r>
        <w:rPr>
          <w:rFonts w:ascii="Bookman Old Style" w:hAnsi="Bookman Old Style" w:cs="Arial"/>
          <w:color w:val="000000"/>
          <w:lang w:eastAsia="es-CO"/>
        </w:rPr>
        <w:t>s</w:t>
      </w:r>
      <w:r w:rsidRPr="00F6673E">
        <w:rPr>
          <w:rFonts w:ascii="Bookman Old Style" w:hAnsi="Bookman Old Style" w:cs="Arial"/>
          <w:color w:val="000000"/>
          <w:lang w:eastAsia="es-CO"/>
        </w:rPr>
        <w:t xml:space="preserve"> 2253 de 1994 y</w:t>
      </w:r>
      <w:r>
        <w:rPr>
          <w:rFonts w:ascii="Bookman Old Style" w:hAnsi="Bookman Old Style" w:cs="Arial"/>
          <w:color w:val="000000"/>
          <w:lang w:eastAsia="es-CO"/>
        </w:rPr>
        <w:t xml:space="preserve"> 1260 de 2013 y</w:t>
      </w:r>
    </w:p>
    <w:p w:rsidR="00042D5E" w:rsidRPr="00C435C3" w:rsidRDefault="00042D5E" w:rsidP="00045D3D">
      <w:pPr>
        <w:ind w:left="0" w:right="51"/>
        <w:rPr>
          <w:rFonts w:ascii="Bookman Old Style" w:hAnsi="Bookman Old Style"/>
        </w:rPr>
      </w:pPr>
    </w:p>
    <w:p w:rsidR="00045D3D" w:rsidRDefault="00045D3D" w:rsidP="00045D3D">
      <w:pPr>
        <w:ind w:right="51"/>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045D3D" w:rsidRDefault="00045D3D" w:rsidP="00045D3D">
      <w:pPr>
        <w:ind w:right="51"/>
        <w:jc w:val="center"/>
        <w:rPr>
          <w:rFonts w:ascii="Bookman Old Style" w:hAnsi="Bookman Old Style"/>
          <w:b/>
        </w:rPr>
      </w:pPr>
    </w:p>
    <w:p w:rsidR="001726EC" w:rsidRPr="001726EC" w:rsidRDefault="001726EC" w:rsidP="001726EC">
      <w:pPr>
        <w:ind w:left="0"/>
        <w:jc w:val="both"/>
        <w:rPr>
          <w:rFonts w:ascii="Bookman Old Style" w:hAnsi="Bookman Old Style" w:cs="Arial"/>
          <w:color w:val="000000"/>
        </w:rPr>
      </w:pPr>
      <w:r w:rsidRPr="001726EC">
        <w:rPr>
          <w:rFonts w:ascii="Bookman Old Style" w:hAnsi="Bookman Old Style" w:cs="Arial"/>
          <w:color w:val="000000"/>
        </w:rPr>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rsidR="001726EC" w:rsidRPr="001726EC" w:rsidRDefault="001726EC" w:rsidP="001726EC">
      <w:pPr>
        <w:ind w:left="0"/>
        <w:jc w:val="both"/>
        <w:rPr>
          <w:rFonts w:ascii="Bookman Old Style" w:hAnsi="Bookman Old Style" w:cs="Arial"/>
          <w:color w:val="000000"/>
        </w:rPr>
      </w:pPr>
    </w:p>
    <w:p w:rsidR="001726EC" w:rsidRPr="001726EC" w:rsidRDefault="001726EC" w:rsidP="001726EC">
      <w:pPr>
        <w:ind w:left="0"/>
        <w:jc w:val="both"/>
        <w:rPr>
          <w:rFonts w:ascii="Bookman Old Style" w:hAnsi="Bookman Old Style" w:cs="Arial"/>
          <w:color w:val="000000"/>
        </w:rPr>
      </w:pPr>
      <w:r w:rsidRPr="001726EC">
        <w:rPr>
          <w:rFonts w:ascii="Bookman Old Style" w:hAnsi="Bookman Old Style" w:cs="Arial"/>
          <w:color w:val="000000"/>
        </w:rPr>
        <w:t>De acuerdo con lo establecido en el literal c) del numeral 74.1 del artículo 74 de la Ley 142 de 1994, es función de la CREG establecer el reglamento de operación para regular el funcionamiento del mercado mayorista de energía y gas combustible.</w:t>
      </w:r>
    </w:p>
    <w:p w:rsidR="001726EC" w:rsidRDefault="001726EC" w:rsidP="00377817">
      <w:pPr>
        <w:ind w:left="0"/>
        <w:jc w:val="both"/>
        <w:rPr>
          <w:rFonts w:ascii="Bookman Old Style" w:hAnsi="Bookman Old Style" w:cs="Arial"/>
          <w:color w:val="000000"/>
          <w:lang w:eastAsia="es-CO"/>
        </w:rPr>
      </w:pPr>
    </w:p>
    <w:p w:rsidR="00377817" w:rsidRPr="00377817" w:rsidRDefault="00377817" w:rsidP="00377817">
      <w:pPr>
        <w:ind w:left="0"/>
        <w:jc w:val="both"/>
        <w:rPr>
          <w:rFonts w:ascii="Bookman Old Style" w:hAnsi="Bookman Old Style" w:cs="Arial"/>
          <w:color w:val="000000"/>
          <w:lang w:eastAsia="es-CO"/>
        </w:rPr>
      </w:pPr>
      <w:r w:rsidRPr="00377817">
        <w:rPr>
          <w:rFonts w:ascii="Bookman Old Style" w:hAnsi="Bookman Old Style" w:cs="Arial"/>
          <w:color w:val="000000"/>
          <w:lang w:eastAsia="es-CO"/>
        </w:rPr>
        <w:t xml:space="preserve">Conforme al artículo 4 del Decreto 1260 de 2013 corresponde a la CREG establecer la metodología para seleccionar y remunerar los servicios del gestor del mercado de gas natural, asegurando la neutralidad, la transparencia, la objetividad y la total independencia del prestador de los mismos, así como la experiencia comprobada en las actividades a desarrollar. </w:t>
      </w:r>
    </w:p>
    <w:p w:rsidR="00377817" w:rsidRPr="00377817" w:rsidRDefault="00377817" w:rsidP="00377817">
      <w:pPr>
        <w:jc w:val="both"/>
        <w:rPr>
          <w:rFonts w:ascii="Bookman Old Style" w:hAnsi="Bookman Old Style" w:cs="Arial"/>
          <w:color w:val="000000"/>
          <w:lang w:eastAsia="es-CO"/>
        </w:rPr>
      </w:pPr>
    </w:p>
    <w:p w:rsidR="00377817" w:rsidRPr="00377817" w:rsidRDefault="00377817" w:rsidP="00377817">
      <w:pPr>
        <w:ind w:left="0"/>
        <w:jc w:val="both"/>
        <w:rPr>
          <w:rFonts w:ascii="Bookman Old Style" w:hAnsi="Bookman Old Style" w:cs="Arial"/>
          <w:color w:val="000000"/>
          <w:lang w:eastAsia="es-CO"/>
        </w:rPr>
      </w:pPr>
      <w:r w:rsidRPr="00377817">
        <w:rPr>
          <w:rFonts w:ascii="Bookman Old Style" w:hAnsi="Bookman Old Style" w:cs="Arial"/>
          <w:color w:val="000000"/>
          <w:lang w:eastAsia="es-CO"/>
        </w:rPr>
        <w:t>Conforme al artículo 4 del Decreto 1260 de 2013, también corresponde a la CREG definir el alcance de los servicios a cargo del gestor del mercado de gas natural, responsable de facilitar las negociaciones y de recopilar y publicar información operativa y transaccional del mercado de gas natural.</w:t>
      </w:r>
    </w:p>
    <w:p w:rsidR="008923E7" w:rsidRDefault="008923E7" w:rsidP="00377817">
      <w:pPr>
        <w:ind w:left="0"/>
        <w:jc w:val="both"/>
        <w:rPr>
          <w:rFonts w:ascii="Bookman Old Style" w:hAnsi="Bookman Old Style" w:cs="Arial"/>
          <w:color w:val="000000"/>
          <w:lang w:eastAsia="es-CO"/>
        </w:rPr>
      </w:pPr>
    </w:p>
    <w:p w:rsidR="008923E7" w:rsidRPr="008923E7" w:rsidRDefault="008923E7" w:rsidP="008923E7">
      <w:pPr>
        <w:ind w:left="0"/>
        <w:jc w:val="both"/>
        <w:rPr>
          <w:rFonts w:ascii="Bookman Old Style" w:hAnsi="Bookman Old Style" w:cs="Arial"/>
          <w:color w:val="000000"/>
        </w:rPr>
      </w:pPr>
      <w:r w:rsidRPr="008923E7">
        <w:rPr>
          <w:rFonts w:ascii="Bookman Old Style" w:hAnsi="Bookman Old Style" w:cs="Arial"/>
          <w:color w:val="000000"/>
        </w:rPr>
        <w:t>El artículo 2 del Decreto 1710 de 2013 modificó el artículo 20 del Decreto 2100 de 2011 y dispuso que “(l)a CREG, en desarrollo de su función de expedir el reglamento de operación del mercado mayorista de gas natural de que trata el literal c del artículo 74.1 de la Ley 142 de 1994, establecerá el alcance de los servicios que prestará un gestor de los mecanismos de comercialización y de la 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 También dispuso que “(l</w:t>
      </w:r>
      <w:proofErr w:type="gramStart"/>
      <w:r w:rsidRPr="008923E7">
        <w:rPr>
          <w:rFonts w:ascii="Bookman Old Style" w:hAnsi="Bookman Old Style" w:cs="Arial"/>
          <w:color w:val="000000"/>
        </w:rPr>
        <w:t>)a</w:t>
      </w:r>
      <w:proofErr w:type="gramEnd"/>
      <w:r w:rsidRPr="008923E7">
        <w:rPr>
          <w:rFonts w:ascii="Bookman Old Style" w:hAnsi="Bookman Old Style" w:cs="Arial"/>
          <w:color w:val="000000"/>
        </w:rPr>
        <w:t xml:space="preserve"> CREG seleccionará al gestor del mercado mediante un concurso sujeto a los principios de transparencia y selección objetiva que garanticen la libre concurrencia”.</w:t>
      </w:r>
    </w:p>
    <w:p w:rsidR="008923E7" w:rsidRDefault="008923E7" w:rsidP="00377817">
      <w:pPr>
        <w:ind w:left="0"/>
        <w:jc w:val="both"/>
        <w:rPr>
          <w:rFonts w:ascii="Bookman Old Style" w:hAnsi="Bookman Old Style" w:cs="Arial"/>
          <w:color w:val="000000"/>
          <w:lang w:eastAsia="es-CO"/>
        </w:rPr>
      </w:pPr>
    </w:p>
    <w:p w:rsidR="00377817" w:rsidRPr="00377817" w:rsidRDefault="00377817" w:rsidP="00377817">
      <w:pPr>
        <w:ind w:left="0"/>
        <w:jc w:val="both"/>
        <w:rPr>
          <w:rFonts w:ascii="Bookman Old Style" w:hAnsi="Bookman Old Style" w:cs="Arial"/>
          <w:color w:val="000000"/>
          <w:lang w:eastAsia="es-CO"/>
        </w:rPr>
      </w:pPr>
      <w:r w:rsidRPr="00377817">
        <w:rPr>
          <w:rFonts w:ascii="Bookman Old Style" w:hAnsi="Bookman Old Style" w:cs="Arial"/>
          <w:color w:val="000000"/>
          <w:lang w:eastAsia="es-CO"/>
        </w:rPr>
        <w:t xml:space="preserve">Mediante </w:t>
      </w:r>
      <w:r w:rsidR="00BB059E">
        <w:rPr>
          <w:rFonts w:ascii="Bookman Old Style" w:hAnsi="Bookman Old Style" w:cs="Arial"/>
          <w:color w:val="000000"/>
          <w:lang w:eastAsia="es-CO"/>
        </w:rPr>
        <w:t xml:space="preserve">la </w:t>
      </w:r>
      <w:r w:rsidRPr="00377817">
        <w:rPr>
          <w:rFonts w:ascii="Bookman Old Style" w:hAnsi="Bookman Old Style" w:cs="Arial"/>
          <w:color w:val="000000"/>
          <w:lang w:eastAsia="es-CO"/>
        </w:rPr>
        <w:t>Resolución CREG 124 de 2013, la CREG estableció las reglas para la selección del gestor del mercado de gas natural, las condiciones en que prestará sus servicios y su remuneración, como parte del reglamento de operación de gas natural.</w:t>
      </w:r>
    </w:p>
    <w:p w:rsidR="00377817" w:rsidRDefault="00377817" w:rsidP="00377817">
      <w:pPr>
        <w:ind w:left="0" w:right="-73"/>
        <w:jc w:val="both"/>
        <w:rPr>
          <w:rFonts w:ascii="Bookman Old Style" w:hAnsi="Bookman Old Style" w:cs="Arial"/>
          <w:color w:val="000000"/>
          <w:lang w:eastAsia="es-CO"/>
        </w:rPr>
      </w:pPr>
    </w:p>
    <w:p w:rsidR="00377817" w:rsidRPr="00377817" w:rsidRDefault="00377817" w:rsidP="00377817">
      <w:pPr>
        <w:ind w:left="0" w:right="-73"/>
        <w:jc w:val="both"/>
        <w:rPr>
          <w:rFonts w:ascii="Bookman Old Style" w:hAnsi="Bookman Old Style" w:cs="Arial"/>
          <w:color w:val="000000"/>
          <w:lang w:eastAsia="es-CO"/>
        </w:rPr>
      </w:pPr>
      <w:r w:rsidRPr="00377817">
        <w:rPr>
          <w:rFonts w:ascii="Bookman Old Style" w:hAnsi="Bookman Old Style" w:cs="Arial"/>
          <w:color w:val="000000"/>
          <w:lang w:eastAsia="es-CO"/>
        </w:rPr>
        <w:t>Mediante las Resoluciones CREG 200 de 2013, 012 de 2014 y 032 de 2014, se modificó la Resolución CREG 124 de 2013.</w:t>
      </w:r>
    </w:p>
    <w:p w:rsidR="00377817" w:rsidRDefault="00377817" w:rsidP="00377817">
      <w:pPr>
        <w:ind w:left="0" w:right="-73"/>
        <w:jc w:val="both"/>
        <w:rPr>
          <w:rFonts w:ascii="Bookman Old Style" w:hAnsi="Bookman Old Style" w:cs="Arial"/>
          <w:color w:val="000000"/>
          <w:lang w:eastAsia="es-CO"/>
        </w:rPr>
      </w:pPr>
    </w:p>
    <w:p w:rsidR="00377817" w:rsidRPr="00377817" w:rsidRDefault="00377817" w:rsidP="00377817">
      <w:pPr>
        <w:ind w:left="0" w:right="-73"/>
        <w:jc w:val="both"/>
        <w:rPr>
          <w:rFonts w:ascii="Bookman Old Style" w:hAnsi="Bookman Old Style" w:cs="Arial"/>
          <w:color w:val="000000"/>
          <w:lang w:eastAsia="es-CO"/>
        </w:rPr>
      </w:pPr>
      <w:r w:rsidRPr="00377817">
        <w:rPr>
          <w:rFonts w:ascii="Bookman Old Style" w:hAnsi="Bookman Old Style" w:cs="Arial"/>
          <w:color w:val="000000"/>
          <w:lang w:eastAsia="es-CO"/>
        </w:rPr>
        <w:t xml:space="preserve">Con base en la regulación anteriormente mencionada y después de haber adelantado el correspondiente proceso de selección, mediante la Resolución CREG 094 de 2014, se seleccionó a la Bolsa Mercantil de Colombia – BMC como gestor del mercado de gas natural y se le asignó el Ingreso Anual Esperado, IAE a ser recibido en los cinco (5) años en los cuales va a prestar el mencionado servicio. </w:t>
      </w:r>
    </w:p>
    <w:p w:rsidR="00377817" w:rsidRDefault="00377817" w:rsidP="00377817">
      <w:pPr>
        <w:ind w:left="0"/>
        <w:jc w:val="both"/>
        <w:rPr>
          <w:rFonts w:ascii="Bookman Old Style" w:hAnsi="Bookman Old Style" w:cs="Arial"/>
          <w:color w:val="000000"/>
          <w:lang w:eastAsia="es-CO"/>
        </w:rPr>
      </w:pPr>
    </w:p>
    <w:p w:rsidR="00B0281F" w:rsidRPr="00377817" w:rsidRDefault="00B0281F" w:rsidP="00B0281F">
      <w:pPr>
        <w:ind w:left="0"/>
        <w:jc w:val="both"/>
        <w:rPr>
          <w:rFonts w:ascii="Bookman Old Style" w:hAnsi="Bookman Old Style" w:cs="Arial"/>
          <w:color w:val="000000"/>
          <w:lang w:eastAsia="es-CO"/>
        </w:rPr>
      </w:pPr>
      <w:r>
        <w:rPr>
          <w:rFonts w:ascii="Bookman Old Style" w:hAnsi="Bookman Old Style" w:cs="Arial"/>
          <w:color w:val="000000"/>
          <w:lang w:eastAsia="es-CO"/>
        </w:rPr>
        <w:t>Posteriormente y m</w:t>
      </w:r>
      <w:r w:rsidRPr="00377817">
        <w:rPr>
          <w:rFonts w:ascii="Bookman Old Style" w:hAnsi="Bookman Old Style" w:cs="Arial"/>
          <w:color w:val="000000"/>
          <w:lang w:eastAsia="es-CO"/>
        </w:rPr>
        <w:t xml:space="preserve">ediante </w:t>
      </w:r>
      <w:r>
        <w:rPr>
          <w:rFonts w:ascii="Bookman Old Style" w:hAnsi="Bookman Old Style" w:cs="Arial"/>
          <w:color w:val="000000"/>
          <w:lang w:eastAsia="es-CO"/>
        </w:rPr>
        <w:t>la expedición</w:t>
      </w:r>
      <w:r w:rsidR="000556AA">
        <w:rPr>
          <w:rFonts w:ascii="Bookman Old Style" w:hAnsi="Bookman Old Style" w:cs="Arial"/>
          <w:color w:val="000000"/>
          <w:lang w:eastAsia="es-CO"/>
        </w:rPr>
        <w:t xml:space="preserve"> de la</w:t>
      </w:r>
      <w:r>
        <w:rPr>
          <w:rFonts w:ascii="Bookman Old Style" w:hAnsi="Bookman Old Style" w:cs="Arial"/>
          <w:color w:val="000000"/>
          <w:lang w:eastAsia="es-CO"/>
        </w:rPr>
        <w:t xml:space="preserve"> </w:t>
      </w:r>
      <w:r w:rsidRPr="00377817">
        <w:rPr>
          <w:rFonts w:ascii="Bookman Old Style" w:hAnsi="Bookman Old Style" w:cs="Arial"/>
          <w:color w:val="000000"/>
          <w:lang w:eastAsia="es-CO"/>
        </w:rPr>
        <w:t xml:space="preserve">Resolución CREG 136 de 2014, la CREG reglamentó aspectos comerciales aplicables a la compraventa de gas natural mediante contratos firmes bimestrales en el mercado mayorista de gas natural, como parte del reglamento de operación de gas natural. </w:t>
      </w:r>
    </w:p>
    <w:p w:rsidR="006E41A1" w:rsidRDefault="006E41A1" w:rsidP="00377817">
      <w:pPr>
        <w:ind w:left="0"/>
        <w:jc w:val="both"/>
        <w:rPr>
          <w:rFonts w:ascii="Bookman Old Style" w:hAnsi="Bookman Old Style" w:cs="Arial"/>
          <w:color w:val="000000"/>
          <w:lang w:eastAsia="es-CO"/>
        </w:rPr>
      </w:pPr>
    </w:p>
    <w:p w:rsidR="00C33796" w:rsidRDefault="00C33796" w:rsidP="00377817">
      <w:pPr>
        <w:ind w:left="0"/>
        <w:jc w:val="both"/>
        <w:rPr>
          <w:rFonts w:ascii="Bookman Old Style" w:hAnsi="Bookman Old Style" w:cs="Arial"/>
          <w:color w:val="000000"/>
          <w:lang w:eastAsia="es-CO"/>
        </w:rPr>
      </w:pPr>
      <w:r w:rsidRPr="00377817">
        <w:rPr>
          <w:rFonts w:ascii="Bookman Old Style" w:hAnsi="Bookman Old Style" w:cs="Arial"/>
          <w:color w:val="000000"/>
          <w:lang w:eastAsia="es-CO"/>
        </w:rPr>
        <w:t>El anexo de la Resolución</w:t>
      </w:r>
      <w:r>
        <w:rPr>
          <w:rFonts w:ascii="Bookman Old Style" w:hAnsi="Bookman Old Style" w:cs="Arial"/>
          <w:color w:val="000000"/>
          <w:lang w:eastAsia="es-CO"/>
        </w:rPr>
        <w:t xml:space="preserve"> en mención </w:t>
      </w:r>
      <w:r w:rsidRPr="00377817">
        <w:rPr>
          <w:rFonts w:ascii="Bookman Old Style" w:hAnsi="Bookman Old Style" w:cs="Arial"/>
          <w:color w:val="000000"/>
          <w:lang w:eastAsia="es-CO"/>
        </w:rPr>
        <w:t>establece el reglamento para el desarrollo de las subastas de contratos firmes bimestrales y allí ordena que el gestor del mercado sea el administrador encargado de organizarlas</w:t>
      </w:r>
      <w:r>
        <w:rPr>
          <w:rFonts w:ascii="Bookman Old Style" w:hAnsi="Bookman Old Style" w:cs="Arial"/>
          <w:color w:val="000000"/>
          <w:lang w:eastAsia="es-CO"/>
        </w:rPr>
        <w:t>.</w:t>
      </w:r>
    </w:p>
    <w:p w:rsidR="00C33796" w:rsidRDefault="00C33796" w:rsidP="00377817">
      <w:pPr>
        <w:ind w:left="0"/>
        <w:jc w:val="both"/>
        <w:rPr>
          <w:rFonts w:ascii="Bookman Old Style" w:hAnsi="Bookman Old Style" w:cs="Arial"/>
          <w:color w:val="000000"/>
          <w:lang w:eastAsia="es-CO"/>
        </w:rPr>
      </w:pPr>
    </w:p>
    <w:p w:rsidR="00377817" w:rsidRPr="00377817" w:rsidRDefault="006E41A1" w:rsidP="00377817">
      <w:pPr>
        <w:ind w:left="0"/>
        <w:jc w:val="both"/>
        <w:rPr>
          <w:rFonts w:ascii="Bookman Old Style" w:hAnsi="Bookman Old Style" w:cs="Arial"/>
          <w:color w:val="000000"/>
          <w:lang w:eastAsia="es-CO"/>
        </w:rPr>
      </w:pPr>
      <w:r>
        <w:rPr>
          <w:rFonts w:ascii="Bookman Old Style" w:hAnsi="Bookman Old Style" w:cs="Arial"/>
          <w:color w:val="000000"/>
          <w:lang w:eastAsia="es-CO"/>
        </w:rPr>
        <w:t>Como consecuencia de lo anterior, se debe dar aplicación a lo dispuesto en e</w:t>
      </w:r>
      <w:r w:rsidR="00377817" w:rsidRPr="00377817">
        <w:rPr>
          <w:rFonts w:ascii="Bookman Old Style" w:hAnsi="Bookman Old Style" w:cs="Arial"/>
          <w:color w:val="000000"/>
          <w:lang w:eastAsia="es-CO"/>
        </w:rPr>
        <w:t>l</w:t>
      </w:r>
      <w:r w:rsidR="00B04A20">
        <w:rPr>
          <w:rFonts w:ascii="Bookman Old Style" w:hAnsi="Bookman Old Style" w:cs="Arial"/>
          <w:color w:val="000000"/>
          <w:lang w:eastAsia="es-CO"/>
        </w:rPr>
        <w:t xml:space="preserve"> numeral 1 del </w:t>
      </w:r>
      <w:r w:rsidR="00377817" w:rsidRPr="00377817">
        <w:rPr>
          <w:rFonts w:ascii="Bookman Old Style" w:hAnsi="Bookman Old Style" w:cs="Arial"/>
          <w:color w:val="000000"/>
          <w:lang w:eastAsia="es-CO"/>
        </w:rPr>
        <w:t>artículo 19 de la Resolución CREG 124 de 2013</w:t>
      </w:r>
      <w:r>
        <w:rPr>
          <w:rFonts w:ascii="Bookman Old Style" w:hAnsi="Bookman Old Style" w:cs="Arial"/>
          <w:color w:val="000000"/>
          <w:lang w:eastAsia="es-CO"/>
        </w:rPr>
        <w:t xml:space="preserve">, en donde se </w:t>
      </w:r>
      <w:r w:rsidR="00377817" w:rsidRPr="00377817">
        <w:rPr>
          <w:rFonts w:ascii="Bookman Old Style" w:hAnsi="Bookman Old Style" w:cs="Arial"/>
          <w:color w:val="000000"/>
          <w:lang w:eastAsia="es-CO"/>
        </w:rPr>
        <w:t xml:space="preserve"> establece que la CREG incrementará el ingreso regulado del gestor del mercado cuando le establezca la obligación de prestar un nuevo servicio o cuando modifique el alcance de los servicios a su cargo</w:t>
      </w:r>
      <w:r w:rsidR="00C33796">
        <w:rPr>
          <w:rFonts w:ascii="Bookman Old Style" w:hAnsi="Bookman Old Style" w:cs="Arial"/>
          <w:color w:val="000000"/>
          <w:lang w:eastAsia="es-CO"/>
        </w:rPr>
        <w:t>, como lo indicado en la Resolución CREG 136 de 2014</w:t>
      </w:r>
      <w:r w:rsidR="00377817" w:rsidRPr="00377817">
        <w:rPr>
          <w:rFonts w:ascii="Bookman Old Style" w:hAnsi="Bookman Old Style" w:cs="Arial"/>
          <w:color w:val="000000"/>
          <w:lang w:eastAsia="es-CO"/>
        </w:rPr>
        <w:t xml:space="preserve">. </w:t>
      </w:r>
    </w:p>
    <w:p w:rsidR="00377817" w:rsidRDefault="00377817" w:rsidP="00377817">
      <w:pPr>
        <w:ind w:left="0"/>
        <w:jc w:val="both"/>
        <w:rPr>
          <w:rFonts w:ascii="Bookman Old Style" w:hAnsi="Bookman Old Style" w:cs="Arial"/>
          <w:color w:val="000000"/>
          <w:lang w:eastAsia="es-CO"/>
        </w:rPr>
      </w:pPr>
    </w:p>
    <w:p w:rsidR="00377817" w:rsidRDefault="006E41A1" w:rsidP="00377817">
      <w:pPr>
        <w:ind w:left="0"/>
        <w:jc w:val="both"/>
        <w:rPr>
          <w:rFonts w:ascii="Bookman Old Style" w:hAnsi="Bookman Old Style" w:cs="Arial"/>
          <w:color w:val="000000"/>
          <w:lang w:eastAsia="es-CO"/>
        </w:rPr>
      </w:pPr>
      <w:r>
        <w:rPr>
          <w:rFonts w:ascii="Bookman Old Style" w:hAnsi="Bookman Old Style" w:cs="Arial"/>
          <w:color w:val="000000"/>
          <w:lang w:eastAsia="es-CO"/>
        </w:rPr>
        <w:t>Por su parte e</w:t>
      </w:r>
      <w:r w:rsidR="00377817" w:rsidRPr="00377817">
        <w:rPr>
          <w:rFonts w:ascii="Bookman Old Style" w:hAnsi="Bookman Old Style" w:cs="Arial"/>
          <w:color w:val="000000"/>
          <w:lang w:eastAsia="es-CO"/>
        </w:rPr>
        <w:t>l artículo 20 de la Resolución CREG 124 de 2013, modificado por el artículo 8 de la Resolución CREG 200 de 2013, establece que en los eventos en que la modificación de la remuneración obedezca a la definición de un nuevo servicio o a la modificación del alcance de los servicios a cargo del gestor, por parte de la CREG, la remuneración adicional considerará como costo de oportunidad del capital (patrimonio y deuda) un valor igual al costo de oportunidad sobre el patrimonio reconocido en la regulación aplicable al operador del mercado eléctrico, esto es una tasa de 11,65% real antes de impuestos.</w:t>
      </w:r>
    </w:p>
    <w:p w:rsidR="00B04A20" w:rsidRDefault="00B04A20" w:rsidP="00377817">
      <w:pPr>
        <w:ind w:left="0"/>
        <w:jc w:val="both"/>
        <w:rPr>
          <w:rFonts w:ascii="Bookman Old Style" w:hAnsi="Bookman Old Style" w:cs="Arial"/>
          <w:color w:val="000000"/>
          <w:lang w:eastAsia="es-CO"/>
        </w:rPr>
      </w:pPr>
    </w:p>
    <w:p w:rsidR="009805B4" w:rsidRPr="006E41A1" w:rsidRDefault="00B04A20" w:rsidP="00377817">
      <w:pPr>
        <w:ind w:left="0"/>
        <w:jc w:val="both"/>
        <w:rPr>
          <w:rFonts w:ascii="Bookman Old Style" w:hAnsi="Bookman Old Style" w:cs="Arial"/>
          <w:color w:val="000000"/>
          <w:lang w:val="es-CO" w:eastAsia="es-CO"/>
        </w:rPr>
      </w:pPr>
      <w:r>
        <w:rPr>
          <w:rFonts w:ascii="Bookman Old Style" w:hAnsi="Bookman Old Style" w:cs="Arial"/>
          <w:color w:val="000000"/>
          <w:lang w:eastAsia="es-CO"/>
        </w:rPr>
        <w:t xml:space="preserve">El artículo 9 de la Resolución CREG 200 de 2013, el cual a su vez modifica el artículo 21 de la Resolución CREG 124 de 2013, </w:t>
      </w:r>
      <w:r w:rsidR="00C50A23">
        <w:rPr>
          <w:rFonts w:ascii="Bookman Old Style" w:hAnsi="Bookman Old Style" w:cs="Arial"/>
          <w:color w:val="000000"/>
          <w:lang w:eastAsia="es-CO"/>
        </w:rPr>
        <w:t>determina c</w:t>
      </w:r>
      <w:r w:rsidR="007C3EA4">
        <w:rPr>
          <w:rFonts w:ascii="Bookman Old Style" w:hAnsi="Bookman Old Style" w:cs="Arial"/>
          <w:color w:val="000000"/>
          <w:lang w:eastAsia="es-CO"/>
        </w:rPr>
        <w:t>ó</w:t>
      </w:r>
      <w:r w:rsidR="00C50A23">
        <w:rPr>
          <w:rFonts w:ascii="Bookman Old Style" w:hAnsi="Bookman Old Style" w:cs="Arial"/>
          <w:color w:val="000000"/>
          <w:lang w:eastAsia="es-CO"/>
        </w:rPr>
        <w:t>mo se calcula</w:t>
      </w:r>
      <w:r w:rsidR="006E41A1">
        <w:rPr>
          <w:rFonts w:ascii="Bookman Old Style" w:hAnsi="Bookman Old Style" w:cs="Arial"/>
          <w:color w:val="000000"/>
          <w:lang w:eastAsia="es-CO"/>
        </w:rPr>
        <w:t xml:space="preserve"> el costo unitario de los servicios a cargo del gestor del mercado de gas natural, la cual contiene una variable </w:t>
      </w:r>
      <w:r w:rsidR="009805B4">
        <w:rPr>
          <w:rFonts w:ascii="Bookman Old Style" w:hAnsi="Bookman Old Style" w:cs="Arial"/>
          <w:color w:val="000000"/>
          <w:lang w:val="es-CO" w:eastAsia="es-CO"/>
        </w:rPr>
        <w:t>I, referente al incremento que puede recibir el gestor del mercado de acuerdo con lo dispuesto en los numerales 1, 2 y 3 del artículo 19 de la Resolución CREG 124 de 2013.</w:t>
      </w:r>
    </w:p>
    <w:p w:rsidR="00AB66CE" w:rsidRDefault="00AB66CE" w:rsidP="00377817">
      <w:pPr>
        <w:ind w:left="0"/>
        <w:jc w:val="both"/>
        <w:rPr>
          <w:rFonts w:ascii="Bookman Old Style" w:hAnsi="Bookman Old Style" w:cs="Arial"/>
          <w:color w:val="000000"/>
          <w:lang w:eastAsia="es-CO"/>
        </w:rPr>
      </w:pPr>
    </w:p>
    <w:p w:rsidR="00377817" w:rsidRPr="00377817" w:rsidRDefault="007C3EA4" w:rsidP="00377817">
      <w:pPr>
        <w:ind w:left="0"/>
        <w:jc w:val="both"/>
        <w:rPr>
          <w:rFonts w:ascii="Bookman Old Style" w:hAnsi="Bookman Old Style" w:cs="Arial"/>
          <w:color w:val="000000"/>
          <w:lang w:eastAsia="es-CO"/>
        </w:rPr>
      </w:pPr>
      <w:r>
        <w:rPr>
          <w:rFonts w:ascii="Bookman Old Style" w:hAnsi="Bookman Old Style" w:cs="Arial"/>
          <w:color w:val="000000"/>
          <w:lang w:eastAsia="es-CO"/>
        </w:rPr>
        <w:t>L</w:t>
      </w:r>
      <w:r w:rsidR="00377817" w:rsidRPr="00377817">
        <w:rPr>
          <w:rFonts w:ascii="Bookman Old Style" w:hAnsi="Bookman Old Style" w:cs="Arial"/>
          <w:color w:val="000000"/>
          <w:lang w:eastAsia="es-CO"/>
        </w:rPr>
        <w:t>a Comisión, en sesión No.</w:t>
      </w:r>
      <w:r w:rsidR="00AB66CE">
        <w:rPr>
          <w:rFonts w:ascii="Bookman Old Style" w:hAnsi="Bookman Old Style" w:cs="Arial"/>
          <w:color w:val="000000"/>
          <w:lang w:eastAsia="es-CO"/>
        </w:rPr>
        <w:t xml:space="preserve"> 645</w:t>
      </w:r>
      <w:r w:rsidR="00377817" w:rsidRPr="00377817">
        <w:rPr>
          <w:rFonts w:ascii="Bookman Old Style" w:hAnsi="Bookman Old Style" w:cs="Arial"/>
          <w:color w:val="000000"/>
          <w:lang w:eastAsia="es-CO"/>
        </w:rPr>
        <w:t xml:space="preserve"> de </w:t>
      </w:r>
      <w:r w:rsidR="00C33796">
        <w:rPr>
          <w:rFonts w:ascii="Bookman Old Style" w:hAnsi="Bookman Old Style" w:cs="Arial"/>
          <w:color w:val="000000"/>
          <w:lang w:eastAsia="es-CO"/>
        </w:rPr>
        <w:t>m</w:t>
      </w:r>
      <w:r w:rsidR="00AB66CE">
        <w:rPr>
          <w:rFonts w:ascii="Bookman Old Style" w:hAnsi="Bookman Old Style" w:cs="Arial"/>
          <w:color w:val="000000"/>
          <w:lang w:eastAsia="es-CO"/>
        </w:rPr>
        <w:t xml:space="preserve">arzo 13 de </w:t>
      </w:r>
      <w:r w:rsidR="00377817" w:rsidRPr="00377817">
        <w:rPr>
          <w:rFonts w:ascii="Bookman Old Style" w:hAnsi="Bookman Old Style" w:cs="Arial"/>
          <w:color w:val="000000"/>
          <w:lang w:eastAsia="es-CO"/>
        </w:rPr>
        <w:t xml:space="preserve">2015, con base en </w:t>
      </w:r>
      <w:r w:rsidR="00AB66CE">
        <w:rPr>
          <w:rFonts w:ascii="Bookman Old Style" w:hAnsi="Bookman Old Style" w:cs="Arial"/>
          <w:color w:val="000000"/>
          <w:lang w:eastAsia="es-CO"/>
        </w:rPr>
        <w:t xml:space="preserve">la motivación contenida en el </w:t>
      </w:r>
      <w:r w:rsidR="00377817" w:rsidRPr="00377817">
        <w:rPr>
          <w:rFonts w:ascii="Bookman Old Style" w:hAnsi="Bookman Old Style" w:cs="Arial"/>
          <w:color w:val="000000"/>
          <w:lang w:eastAsia="es-CO"/>
        </w:rPr>
        <w:t xml:space="preserve">documento CREG </w:t>
      </w:r>
      <w:r w:rsidR="00F50647">
        <w:rPr>
          <w:rFonts w:ascii="Bookman Old Style" w:hAnsi="Bookman Old Style" w:cs="Arial"/>
          <w:color w:val="000000"/>
          <w:lang w:eastAsia="es-CO"/>
        </w:rPr>
        <w:t>015</w:t>
      </w:r>
      <w:r w:rsidR="00377817" w:rsidRPr="00377817">
        <w:rPr>
          <w:rFonts w:ascii="Bookman Old Style" w:hAnsi="Bookman Old Style" w:cs="Arial"/>
          <w:color w:val="000000"/>
          <w:lang w:eastAsia="es-CO"/>
        </w:rPr>
        <w:t xml:space="preserve"> de 2015, </w:t>
      </w:r>
      <w:r w:rsidR="00F50647">
        <w:rPr>
          <w:rFonts w:ascii="Bookman Old Style" w:hAnsi="Bookman Old Style" w:cs="Arial"/>
          <w:color w:val="000000"/>
          <w:lang w:eastAsia="es-CO"/>
        </w:rPr>
        <w:t xml:space="preserve">el cual hace parte integrante de la presente Resolución, </w:t>
      </w:r>
      <w:r w:rsidR="00377817" w:rsidRPr="00377817">
        <w:rPr>
          <w:rFonts w:ascii="Bookman Old Style" w:hAnsi="Bookman Old Style" w:cs="Arial"/>
          <w:color w:val="000000"/>
          <w:lang w:eastAsia="es-CO"/>
        </w:rPr>
        <w:t>aprobó los valores de incremento anual I de los ingresos anuales aprobados mediante Resolución CREG 094 de 2014 al gestor del mercado de gas natural</w:t>
      </w:r>
      <w:r w:rsidR="00AB66CE">
        <w:rPr>
          <w:rFonts w:ascii="Bookman Old Style" w:hAnsi="Bookman Old Style" w:cs="Arial"/>
          <w:color w:val="000000"/>
          <w:lang w:eastAsia="es-CO"/>
        </w:rPr>
        <w:t xml:space="preserve"> y que corresponden al nuevo servicio establecido en la Resolución CREG 136 de 2014</w:t>
      </w:r>
      <w:r w:rsidR="00377817" w:rsidRPr="00377817">
        <w:rPr>
          <w:rFonts w:ascii="Bookman Old Style" w:hAnsi="Bookman Old Style" w:cs="Arial"/>
          <w:color w:val="000000"/>
          <w:lang w:eastAsia="es-CO"/>
        </w:rPr>
        <w:t>.</w:t>
      </w:r>
    </w:p>
    <w:p w:rsidR="00377817" w:rsidRDefault="00377817" w:rsidP="00045D3D">
      <w:pPr>
        <w:ind w:right="51"/>
        <w:jc w:val="center"/>
        <w:rPr>
          <w:rFonts w:ascii="Bookman Old Style" w:hAnsi="Bookman Old Style"/>
          <w:b/>
        </w:rPr>
      </w:pPr>
    </w:p>
    <w:p w:rsidR="00377817" w:rsidRDefault="00377817" w:rsidP="00045D3D">
      <w:pPr>
        <w:ind w:right="51"/>
        <w:jc w:val="center"/>
        <w:rPr>
          <w:rFonts w:ascii="Bookman Old Style" w:hAnsi="Bookman Old Style"/>
          <w:b/>
        </w:rPr>
      </w:pPr>
    </w:p>
    <w:p w:rsidR="00F50647" w:rsidRDefault="00F50647" w:rsidP="00045D3D">
      <w:pPr>
        <w:ind w:right="51"/>
        <w:jc w:val="center"/>
        <w:rPr>
          <w:rFonts w:ascii="Bookman Old Style" w:hAnsi="Bookman Old Style"/>
          <w:b/>
        </w:rPr>
      </w:pPr>
    </w:p>
    <w:p w:rsidR="00045D3D" w:rsidRDefault="00045D3D" w:rsidP="00045D3D">
      <w:pPr>
        <w:suppressAutoHyphens/>
        <w:jc w:val="center"/>
        <w:rPr>
          <w:rFonts w:ascii="Bookman Old Style" w:hAnsi="Bookman Old Style"/>
          <w:b/>
          <w:spacing w:val="-3"/>
        </w:rPr>
      </w:pPr>
      <w:r w:rsidRPr="00C435C3">
        <w:rPr>
          <w:rFonts w:ascii="Bookman Old Style" w:hAnsi="Bookman Old Style"/>
          <w:b/>
          <w:spacing w:val="-3"/>
        </w:rPr>
        <w:t>R E S U E L V E:</w:t>
      </w:r>
    </w:p>
    <w:p w:rsidR="00F921C6" w:rsidRPr="00C435C3" w:rsidRDefault="00F921C6" w:rsidP="00045D3D">
      <w:pPr>
        <w:suppressAutoHyphens/>
        <w:jc w:val="center"/>
        <w:rPr>
          <w:rFonts w:ascii="Bookman Old Style" w:hAnsi="Bookman Old Style"/>
          <w:spacing w:val="-3"/>
        </w:rPr>
      </w:pPr>
    </w:p>
    <w:p w:rsidR="00045D3D" w:rsidRDefault="00045D3D" w:rsidP="00045D3D">
      <w:pPr>
        <w:jc w:val="center"/>
        <w:rPr>
          <w:rFonts w:ascii="Bookman Old Style" w:hAnsi="Bookman Old Style"/>
        </w:rPr>
      </w:pPr>
    </w:p>
    <w:p w:rsidR="00377817" w:rsidRDefault="00377817" w:rsidP="00377817">
      <w:pPr>
        <w:ind w:left="0"/>
        <w:jc w:val="both"/>
        <w:rPr>
          <w:rFonts w:ascii="Bookman Old Style" w:hAnsi="Bookman Old Style" w:cs="Arial"/>
          <w:color w:val="000000"/>
          <w:lang w:eastAsia="es-CO"/>
        </w:rPr>
      </w:pPr>
      <w:r w:rsidRPr="00377817">
        <w:rPr>
          <w:rFonts w:ascii="Bookman Old Style" w:hAnsi="Bookman Old Style"/>
          <w:b/>
          <w:color w:val="000000"/>
          <w:lang w:eastAsia="es-CO"/>
        </w:rPr>
        <w:t>Artículo 1.</w:t>
      </w:r>
      <w:r w:rsidRPr="00377817">
        <w:rPr>
          <w:rFonts w:ascii="Bookman Old Style" w:hAnsi="Bookman Old Style"/>
          <w:b/>
          <w:color w:val="000000"/>
          <w:lang w:eastAsia="es-CO"/>
        </w:rPr>
        <w:tab/>
      </w:r>
      <w:r w:rsidRPr="00377817">
        <w:rPr>
          <w:rFonts w:ascii="Bookman Old Style" w:hAnsi="Bookman Old Style" w:cs="Arial"/>
          <w:color w:val="000000"/>
          <w:lang w:eastAsia="es-CO"/>
        </w:rPr>
        <w:t xml:space="preserve">El valor del Incremento I, del cual trata el artículo 21 </w:t>
      </w:r>
      <w:r w:rsidR="007C3EA4">
        <w:rPr>
          <w:rFonts w:ascii="Bookman Old Style" w:hAnsi="Bookman Old Style" w:cs="Arial"/>
          <w:color w:val="000000"/>
          <w:lang w:eastAsia="es-CO"/>
        </w:rPr>
        <w:t>de la</w:t>
      </w:r>
      <w:r w:rsidRPr="00377817">
        <w:rPr>
          <w:rFonts w:ascii="Bookman Old Style" w:hAnsi="Bookman Old Style" w:cs="Arial"/>
          <w:color w:val="000000"/>
          <w:lang w:eastAsia="es-CO"/>
        </w:rPr>
        <w:t xml:space="preserve"> Resolución CREG 124 de 2013, modificado por el artículo 9 de la Resolución CREG 200 de 2013, en el Ingreso que el gestor del mercado debe recibir en el mes m del año al cual pertenece el mes m-1 de prestación del servicio de subastas de contratos firmes bimestrales en el mercado mayorista de gas natural, según Resolución CREG 136 de 2014, será el siguiente:</w:t>
      </w:r>
    </w:p>
    <w:p w:rsidR="00F50647" w:rsidRPr="00377817" w:rsidRDefault="00F50647" w:rsidP="00377817">
      <w:pPr>
        <w:ind w:left="0"/>
        <w:jc w:val="both"/>
        <w:rPr>
          <w:rFonts w:ascii="Bookman Old Style" w:hAnsi="Bookman Old Style" w:cs="Arial"/>
          <w:color w:val="000000"/>
          <w:lang w:eastAsia="es-CO"/>
        </w:rPr>
      </w:pPr>
    </w:p>
    <w:p w:rsidR="00377817" w:rsidRPr="00377817" w:rsidRDefault="007C3EA4" w:rsidP="00377817">
      <w:pPr>
        <w:rPr>
          <w:rFonts w:ascii="Bookman Old Style" w:hAnsi="Bookman Old Style" w:cs="Arial"/>
          <w:color w:val="000000"/>
          <w:lang w:eastAsia="es-CO"/>
        </w:rPr>
      </w:pPr>
      <w:r>
        <w:rPr>
          <w:rFonts w:ascii="Tms Rmn" w:hAnsi="Tms Rmn"/>
          <w:noProof/>
          <w:lang w:val="es-CO" w:eastAsia="es-CO"/>
        </w:rPr>
        <w:drawing>
          <wp:inline distT="0" distB="0" distL="0" distR="0" wp14:anchorId="436A26C4" wp14:editId="5A5E0099">
            <wp:extent cx="5419725" cy="1028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1028700"/>
                    </a:xfrm>
                    <a:prstGeom prst="rect">
                      <a:avLst/>
                    </a:prstGeom>
                    <a:noFill/>
                    <a:ln>
                      <a:noFill/>
                    </a:ln>
                  </pic:spPr>
                </pic:pic>
              </a:graphicData>
            </a:graphic>
          </wp:inline>
        </w:drawing>
      </w:r>
    </w:p>
    <w:p w:rsidR="007C3EA4" w:rsidRDefault="007C3EA4" w:rsidP="007C3EA4">
      <w:pPr>
        <w:autoSpaceDE w:val="0"/>
        <w:autoSpaceDN w:val="0"/>
        <w:adjustRightInd w:val="0"/>
        <w:ind w:left="0"/>
        <w:rPr>
          <w:rFonts w:ascii="Tms Rmn" w:hAnsi="Tms Rmn"/>
          <w:lang w:val="es-CO" w:eastAsia="es-CO"/>
        </w:rPr>
      </w:pPr>
    </w:p>
    <w:p w:rsidR="007C3EA4" w:rsidRDefault="007C3EA4" w:rsidP="007C3EA4">
      <w:pPr>
        <w:autoSpaceDE w:val="0"/>
        <w:autoSpaceDN w:val="0"/>
        <w:adjustRightInd w:val="0"/>
        <w:ind w:left="0"/>
        <w:rPr>
          <w:rFonts w:ascii="Tms Rmn" w:hAnsi="Tms Rmn"/>
          <w:lang w:val="es-CO" w:eastAsia="es-CO"/>
        </w:rPr>
      </w:pPr>
    </w:p>
    <w:p w:rsidR="00F50647" w:rsidRDefault="00F50647" w:rsidP="00EB1630">
      <w:pPr>
        <w:ind w:left="0"/>
        <w:jc w:val="both"/>
        <w:rPr>
          <w:rFonts w:ascii="Bookman Old Style" w:hAnsi="Bookman Old Style" w:cs="Arial"/>
          <w:b/>
          <w:color w:val="000000"/>
          <w:lang w:eastAsia="es-CO"/>
        </w:rPr>
      </w:pPr>
    </w:p>
    <w:p w:rsidR="00377817" w:rsidRPr="00377817" w:rsidRDefault="00377817" w:rsidP="00EB1630">
      <w:pPr>
        <w:ind w:left="0"/>
        <w:jc w:val="both"/>
        <w:rPr>
          <w:rFonts w:ascii="Bookman Old Style" w:hAnsi="Bookman Old Style" w:cs="Arial"/>
          <w:color w:val="000000"/>
          <w:lang w:eastAsia="es-CO"/>
        </w:rPr>
      </w:pPr>
      <w:r w:rsidRPr="00377817">
        <w:rPr>
          <w:rFonts w:ascii="Bookman Old Style" w:hAnsi="Bookman Old Style" w:cs="Arial"/>
          <w:b/>
          <w:color w:val="000000"/>
          <w:lang w:eastAsia="es-CO"/>
        </w:rPr>
        <w:t>Parágrafo.</w:t>
      </w:r>
      <w:r w:rsidRPr="00377817">
        <w:rPr>
          <w:rFonts w:ascii="Bookman Old Style" w:hAnsi="Bookman Old Style" w:cs="Arial"/>
          <w:color w:val="000000"/>
          <w:lang w:eastAsia="es-CO"/>
        </w:rPr>
        <w:t xml:space="preserve">  El incremento I establecido en este artículo será aplicado en la fórmula de cálculo del pago mensual a partir del mes junio de 2015 para remunerar los servicios prestados a partir del mes de mayo del mismo año.</w:t>
      </w:r>
    </w:p>
    <w:p w:rsidR="00377817" w:rsidRDefault="00377817" w:rsidP="00377817">
      <w:pPr>
        <w:pStyle w:val="ARTICULOS"/>
        <w:numPr>
          <w:ilvl w:val="0"/>
          <w:numId w:val="0"/>
        </w:numPr>
        <w:rPr>
          <w:rFonts w:cs="Arial"/>
          <w:b/>
          <w:bCs w:val="0"/>
          <w:color w:val="000000"/>
          <w:lang w:val="es-ES" w:eastAsia="es-CO"/>
        </w:rPr>
      </w:pPr>
    </w:p>
    <w:p w:rsidR="00377817" w:rsidRPr="00BD2D50" w:rsidRDefault="00377817" w:rsidP="00377817">
      <w:pPr>
        <w:pStyle w:val="ARTICULOS"/>
        <w:numPr>
          <w:ilvl w:val="0"/>
          <w:numId w:val="0"/>
        </w:numPr>
        <w:rPr>
          <w:rFonts w:cs="Arial"/>
          <w:iCs/>
        </w:rPr>
      </w:pPr>
      <w:r>
        <w:rPr>
          <w:rFonts w:cs="Arial"/>
          <w:b/>
          <w:bCs w:val="0"/>
          <w:color w:val="000000"/>
          <w:lang w:val="es-ES" w:eastAsia="es-CO"/>
        </w:rPr>
        <w:t xml:space="preserve">Artículo 2. </w:t>
      </w:r>
      <w:r w:rsidRPr="00BD2D50">
        <w:rPr>
          <w:rFonts w:cs="Arial"/>
          <w:iCs/>
          <w:lang w:val="es-CO"/>
        </w:rPr>
        <w:t>Notifíquese de manera personal</w:t>
      </w:r>
      <w:r w:rsidR="00AB66CE">
        <w:rPr>
          <w:rFonts w:cs="Arial"/>
          <w:iCs/>
          <w:lang w:val="es-CO"/>
        </w:rPr>
        <w:t xml:space="preserve"> la presente resolución al representante legal de</w:t>
      </w:r>
      <w:r w:rsidRPr="00BD2D50">
        <w:rPr>
          <w:rFonts w:cs="Arial"/>
          <w:iCs/>
          <w:lang w:val="es-CO"/>
        </w:rPr>
        <w:t xml:space="preserve"> </w:t>
      </w:r>
      <w:r w:rsidRPr="00BD2D50">
        <w:rPr>
          <w:rFonts w:cs="Arial"/>
        </w:rPr>
        <w:t>la Bolsa Mercantil de Colombia</w:t>
      </w:r>
      <w:r w:rsidR="00EB1630">
        <w:rPr>
          <w:rFonts w:cs="Arial"/>
          <w:lang w:val="es-CO"/>
        </w:rPr>
        <w:t xml:space="preserve"> </w:t>
      </w:r>
      <w:r w:rsidR="00AB66CE">
        <w:rPr>
          <w:rFonts w:cs="Arial"/>
          <w:lang w:val="es-CO"/>
        </w:rPr>
        <w:t xml:space="preserve">S.A. </w:t>
      </w:r>
      <w:r w:rsidR="00EB1630">
        <w:rPr>
          <w:rFonts w:cs="Arial"/>
          <w:lang w:val="es-CO"/>
        </w:rPr>
        <w:t>en su calidad de Gestor del Mercado de Gas Natural</w:t>
      </w:r>
      <w:r w:rsidR="00BB059E">
        <w:rPr>
          <w:rFonts w:cs="Arial"/>
          <w:lang w:val="es-CO"/>
        </w:rPr>
        <w:t xml:space="preserve"> y publicarse en el </w:t>
      </w:r>
      <w:r w:rsidR="00BB059E" w:rsidRPr="00F50647">
        <w:rPr>
          <w:rFonts w:cs="Arial"/>
          <w:i/>
          <w:lang w:val="es-CO"/>
        </w:rPr>
        <w:t>Diario Oficial</w:t>
      </w:r>
      <w:r w:rsidR="00BB059E">
        <w:rPr>
          <w:rFonts w:cs="Arial"/>
          <w:lang w:val="es-CO"/>
        </w:rPr>
        <w:t xml:space="preserve">. </w:t>
      </w:r>
    </w:p>
    <w:p w:rsidR="00F50647" w:rsidRDefault="00F50647" w:rsidP="00377817">
      <w:pPr>
        <w:pStyle w:val="ARTICULOS"/>
        <w:numPr>
          <w:ilvl w:val="0"/>
          <w:numId w:val="0"/>
        </w:numPr>
        <w:tabs>
          <w:tab w:val="left" w:pos="2968"/>
        </w:tabs>
        <w:rPr>
          <w:rFonts w:cs="Arial"/>
          <w:iCs/>
          <w:lang w:val="es-CO"/>
        </w:rPr>
      </w:pPr>
    </w:p>
    <w:p w:rsidR="00F50647" w:rsidRDefault="00F50647" w:rsidP="00377817">
      <w:pPr>
        <w:pStyle w:val="ARTICULOS"/>
        <w:numPr>
          <w:ilvl w:val="0"/>
          <w:numId w:val="0"/>
        </w:numPr>
        <w:tabs>
          <w:tab w:val="left" w:pos="2968"/>
        </w:tabs>
        <w:rPr>
          <w:rFonts w:cs="Arial"/>
          <w:iCs/>
          <w:lang w:val="es-CO"/>
        </w:rPr>
      </w:pPr>
    </w:p>
    <w:p w:rsidR="00F50647" w:rsidRDefault="00F50647" w:rsidP="00377817">
      <w:pPr>
        <w:pStyle w:val="ARTICULOS"/>
        <w:numPr>
          <w:ilvl w:val="0"/>
          <w:numId w:val="0"/>
        </w:numPr>
        <w:tabs>
          <w:tab w:val="left" w:pos="2968"/>
        </w:tabs>
        <w:rPr>
          <w:rFonts w:cs="Arial"/>
          <w:iCs/>
          <w:lang w:val="es-CO"/>
        </w:rPr>
      </w:pPr>
    </w:p>
    <w:p w:rsidR="00F50647" w:rsidRDefault="00F50647" w:rsidP="00377817">
      <w:pPr>
        <w:pStyle w:val="ARTICULOS"/>
        <w:numPr>
          <w:ilvl w:val="0"/>
          <w:numId w:val="0"/>
        </w:numPr>
        <w:tabs>
          <w:tab w:val="left" w:pos="2968"/>
        </w:tabs>
        <w:rPr>
          <w:rFonts w:cs="Arial"/>
          <w:iCs/>
          <w:lang w:val="es-CO"/>
        </w:rPr>
      </w:pPr>
    </w:p>
    <w:p w:rsidR="00377817" w:rsidRPr="00BD2D50" w:rsidRDefault="00377817" w:rsidP="00377817">
      <w:pPr>
        <w:pStyle w:val="ARTICULOS"/>
        <w:numPr>
          <w:ilvl w:val="0"/>
          <w:numId w:val="0"/>
        </w:numPr>
        <w:rPr>
          <w:rFonts w:cs="Arial"/>
          <w:iCs/>
        </w:rPr>
      </w:pPr>
      <w:r>
        <w:rPr>
          <w:rFonts w:cs="Arial"/>
          <w:b/>
          <w:iCs/>
          <w:lang w:val="es-CO"/>
        </w:rPr>
        <w:t xml:space="preserve">Artículo 3. </w:t>
      </w:r>
      <w:r w:rsidR="00AB66CE">
        <w:rPr>
          <w:rFonts w:cs="Arial"/>
          <w:iCs/>
          <w:lang w:val="es-CO"/>
        </w:rPr>
        <w:t>C</w:t>
      </w:r>
      <w:r w:rsidRPr="00BD2D50">
        <w:rPr>
          <w:rFonts w:cs="Arial"/>
          <w:iCs/>
          <w:lang w:val="es-CO"/>
        </w:rPr>
        <w:t xml:space="preserve">ontra </w:t>
      </w:r>
      <w:r w:rsidR="001F24FD">
        <w:rPr>
          <w:rFonts w:cs="Arial"/>
          <w:iCs/>
          <w:lang w:val="es-CO"/>
        </w:rPr>
        <w:t xml:space="preserve">la </w:t>
      </w:r>
      <w:r w:rsidR="00AB66CE">
        <w:rPr>
          <w:rFonts w:cs="Arial"/>
          <w:iCs/>
          <w:lang w:val="es-CO"/>
        </w:rPr>
        <w:t xml:space="preserve">presente resolución </w:t>
      </w:r>
      <w:r w:rsidRPr="00BD2D50">
        <w:rPr>
          <w:rFonts w:cs="Arial"/>
          <w:iCs/>
          <w:lang w:val="es-CO"/>
        </w:rPr>
        <w:t>procede el recurso de reposición que podrá ser interpuesto ante la Dirección Ejecutiva de la CREG dentro de los cinco (5) días hábiles siguientes a su notificación.</w:t>
      </w:r>
    </w:p>
    <w:p w:rsidR="00377817" w:rsidRPr="00377817" w:rsidRDefault="00377817" w:rsidP="00377817">
      <w:pPr>
        <w:rPr>
          <w:rFonts w:ascii="Bookman Old Style" w:hAnsi="Bookman Old Style" w:cs="Arial"/>
          <w:color w:val="000000"/>
          <w:lang w:val="x-none" w:eastAsia="es-CO"/>
        </w:rPr>
      </w:pPr>
    </w:p>
    <w:p w:rsidR="00045D3D" w:rsidRPr="00C435C3" w:rsidRDefault="00045D3D" w:rsidP="00045D3D">
      <w:pPr>
        <w:ind w:left="0"/>
        <w:rPr>
          <w:rFonts w:ascii="Bookman Old Style" w:hAnsi="Bookman Old Style"/>
        </w:rPr>
      </w:pPr>
    </w:p>
    <w:p w:rsidR="00045D3D" w:rsidRPr="00C435C3" w:rsidRDefault="00AB66CE" w:rsidP="00045D3D">
      <w:pPr>
        <w:jc w:val="center"/>
        <w:rPr>
          <w:rFonts w:ascii="Bookman Old Style" w:hAnsi="Bookman Old Style"/>
          <w:b/>
        </w:rPr>
      </w:pPr>
      <w:r>
        <w:rPr>
          <w:rFonts w:ascii="Bookman Old Style" w:hAnsi="Bookman Old Style"/>
          <w:b/>
        </w:rPr>
        <w:t>NOTIFÍQUESE</w:t>
      </w:r>
      <w:r w:rsidR="00BB059E">
        <w:rPr>
          <w:rFonts w:ascii="Bookman Old Style" w:hAnsi="Bookman Old Style"/>
          <w:b/>
        </w:rPr>
        <w:t>, PUBLÍQUESE</w:t>
      </w:r>
      <w:r>
        <w:rPr>
          <w:rFonts w:ascii="Bookman Old Style" w:hAnsi="Bookman Old Style"/>
          <w:b/>
        </w:rPr>
        <w:t xml:space="preserve"> </w:t>
      </w:r>
      <w:r w:rsidR="00045D3D" w:rsidRPr="00C435C3">
        <w:rPr>
          <w:rFonts w:ascii="Bookman Old Style" w:hAnsi="Bookman Old Style"/>
          <w:b/>
        </w:rPr>
        <w:t>Y CÚMPLASE</w:t>
      </w:r>
    </w:p>
    <w:p w:rsidR="00045D3D" w:rsidRDefault="00045D3D" w:rsidP="00045D3D">
      <w:pPr>
        <w:rPr>
          <w:rFonts w:ascii="Bookman Old Style" w:hAnsi="Bookman Old Style"/>
        </w:rPr>
      </w:pPr>
    </w:p>
    <w:p w:rsidR="00960334" w:rsidRPr="00C435C3" w:rsidRDefault="00960334" w:rsidP="00045D3D">
      <w:pPr>
        <w:rPr>
          <w:rFonts w:ascii="Bookman Old Style" w:hAnsi="Bookman Old Style"/>
        </w:rPr>
      </w:pPr>
    </w:p>
    <w:p w:rsidR="00045D3D" w:rsidRDefault="00045D3D" w:rsidP="00045D3D">
      <w:pPr>
        <w:ind w:left="0"/>
        <w:rPr>
          <w:rFonts w:ascii="Bookman Old Style" w:hAnsi="Bookman Old Style"/>
        </w:rPr>
      </w:pPr>
      <w:r>
        <w:rPr>
          <w:rFonts w:ascii="Bookman Old Style" w:hAnsi="Bookman Old Style"/>
        </w:rPr>
        <w:t>Dada en Bogotá, D.C.</w:t>
      </w:r>
    </w:p>
    <w:p w:rsidR="00F921C6" w:rsidRDefault="00F921C6" w:rsidP="00045D3D">
      <w:pPr>
        <w:ind w:left="0"/>
        <w:rPr>
          <w:rFonts w:ascii="Bookman Old Style" w:hAnsi="Bookman Old Style"/>
        </w:rPr>
      </w:pPr>
    </w:p>
    <w:p w:rsidR="008F5C6D" w:rsidRDefault="008F5C6D" w:rsidP="00045D3D">
      <w:pPr>
        <w:ind w:left="0"/>
        <w:rPr>
          <w:rFonts w:ascii="Bookman Old Style" w:hAnsi="Bookman Old Style"/>
        </w:rPr>
      </w:pPr>
    </w:p>
    <w:p w:rsidR="00F921C6" w:rsidRDefault="00F921C6" w:rsidP="00045D3D">
      <w:pPr>
        <w:ind w:left="0"/>
        <w:rPr>
          <w:rFonts w:ascii="Bookman Old Style" w:hAnsi="Bookman Old Style"/>
        </w:rPr>
      </w:pPr>
    </w:p>
    <w:p w:rsidR="008F5C6D" w:rsidRDefault="008F5C6D" w:rsidP="00045D3D">
      <w:pPr>
        <w:ind w:left="0"/>
        <w:rPr>
          <w:rFonts w:ascii="Bookman Old Style" w:hAnsi="Bookman Old Style"/>
        </w:rPr>
      </w:pPr>
    </w:p>
    <w:p w:rsidR="008F5C6D" w:rsidRDefault="008F5C6D" w:rsidP="00045D3D">
      <w:pPr>
        <w:ind w:left="0"/>
        <w:rPr>
          <w:rFonts w:ascii="Bookman Old Style" w:hAnsi="Bookman Old Style"/>
        </w:rPr>
      </w:pPr>
    </w:p>
    <w:tbl>
      <w:tblPr>
        <w:tblW w:w="11131" w:type="dxa"/>
        <w:jc w:val="center"/>
        <w:tblInd w:w="1354" w:type="dxa"/>
        <w:tblLayout w:type="fixed"/>
        <w:tblCellMar>
          <w:left w:w="70" w:type="dxa"/>
          <w:right w:w="70" w:type="dxa"/>
        </w:tblCellMar>
        <w:tblLook w:val="0000" w:firstRow="0" w:lastRow="0" w:firstColumn="0" w:lastColumn="0" w:noHBand="0" w:noVBand="0"/>
      </w:tblPr>
      <w:tblGrid>
        <w:gridCol w:w="6348"/>
        <w:gridCol w:w="4783"/>
      </w:tblGrid>
      <w:tr w:rsidR="008F5C6D" w:rsidRPr="00666660" w:rsidTr="008F5C6D">
        <w:trPr>
          <w:jc w:val="center"/>
        </w:trPr>
        <w:tc>
          <w:tcPr>
            <w:tcW w:w="6348" w:type="dxa"/>
          </w:tcPr>
          <w:p w:rsidR="008F5C6D" w:rsidRDefault="008F5C6D" w:rsidP="002E5313">
            <w:pPr>
              <w:ind w:left="0" w:right="-288"/>
              <w:jc w:val="center"/>
              <w:rPr>
                <w:rFonts w:ascii="Bookman Old Style" w:hAnsi="Bookman Old Style"/>
                <w:b/>
              </w:rPr>
            </w:pPr>
            <w:r>
              <w:rPr>
                <w:rFonts w:ascii="Bookman Old Style" w:hAnsi="Bookman Old Style"/>
                <w:b/>
              </w:rPr>
              <w:t>CARLOS FERNANDO ERASO CALERO</w:t>
            </w:r>
          </w:p>
          <w:p w:rsidR="008F5C6D" w:rsidRDefault="008F5C6D" w:rsidP="002E5313">
            <w:pPr>
              <w:suppressAutoHyphens/>
              <w:ind w:left="0"/>
              <w:jc w:val="center"/>
              <w:rPr>
                <w:rFonts w:ascii="Bookman Old Style" w:hAnsi="Bookman Old Style"/>
              </w:rPr>
            </w:pPr>
            <w:r>
              <w:rPr>
                <w:rFonts w:ascii="Bookman Old Style" w:hAnsi="Bookman Old Style"/>
              </w:rPr>
              <w:t>Viceministro de E</w:t>
            </w:r>
            <w:r w:rsidRPr="00EF4ACC">
              <w:rPr>
                <w:rFonts w:ascii="Bookman Old Style" w:hAnsi="Bookman Old Style"/>
              </w:rPr>
              <w:t>nergía</w:t>
            </w:r>
          </w:p>
          <w:p w:rsidR="008F5C6D" w:rsidRDefault="008F5C6D" w:rsidP="002E5313">
            <w:pPr>
              <w:suppressAutoHyphens/>
              <w:ind w:left="0"/>
              <w:jc w:val="center"/>
            </w:pPr>
            <w:r>
              <w:rPr>
                <w:rFonts w:ascii="Bookman Old Style" w:hAnsi="Bookman Old Style"/>
              </w:rPr>
              <w:t>Delegado del Ministro de Minas y Energía</w:t>
            </w:r>
          </w:p>
          <w:p w:rsidR="008F5C6D" w:rsidRPr="00BD0865" w:rsidRDefault="008F5C6D" w:rsidP="002E5313">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783" w:type="dxa"/>
          </w:tcPr>
          <w:p w:rsidR="008F5C6D" w:rsidRDefault="008F5C6D" w:rsidP="008F5C6D">
            <w:pPr>
              <w:ind w:left="-143"/>
              <w:jc w:val="center"/>
              <w:rPr>
                <w:rFonts w:ascii="Bookman Old Style" w:hAnsi="Bookman Old Style"/>
                <w:b/>
              </w:rPr>
            </w:pPr>
            <w:r>
              <w:rPr>
                <w:rFonts w:ascii="Bookman Old Style" w:hAnsi="Bookman Old Style"/>
                <w:b/>
              </w:rPr>
              <w:t>JORGE PINTO NOLLA</w:t>
            </w:r>
          </w:p>
          <w:p w:rsidR="008F5C6D" w:rsidRPr="00666660" w:rsidRDefault="008F5C6D" w:rsidP="008F5C6D">
            <w:pPr>
              <w:tabs>
                <w:tab w:val="left" w:pos="-720"/>
              </w:tabs>
              <w:suppressAutoHyphens/>
              <w:ind w:left="-143"/>
              <w:jc w:val="center"/>
              <w:rPr>
                <w:rFonts w:ascii="Bookman Old Style" w:hAnsi="Bookman Old Style" w:cs="Arial"/>
                <w:b/>
                <w:spacing w:val="-3"/>
              </w:rPr>
            </w:pPr>
            <w:r w:rsidRPr="00666660">
              <w:rPr>
                <w:rFonts w:ascii="Bookman Old Style" w:hAnsi="Bookman Old Style" w:cs="Arial"/>
                <w:spacing w:val="-3"/>
              </w:rPr>
              <w:t>Director Ejecutivo</w:t>
            </w:r>
          </w:p>
        </w:tc>
      </w:tr>
    </w:tbl>
    <w:p w:rsidR="00045D3D" w:rsidRDefault="00045D3D" w:rsidP="00045D3D">
      <w:pPr>
        <w:ind w:left="0"/>
        <w:rPr>
          <w:rFonts w:ascii="Bookman Old Style" w:hAnsi="Bookman Old Style"/>
        </w:rPr>
      </w:pPr>
    </w:p>
    <w:sectPr w:rsidR="00045D3D"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CF" w:rsidRDefault="002F1ACF">
      <w:r>
        <w:separator/>
      </w:r>
    </w:p>
  </w:endnote>
  <w:endnote w:type="continuationSeparator" w:id="0">
    <w:p w:rsidR="002F1ACF" w:rsidRDefault="002F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CF" w:rsidRDefault="002F1ACF">
      <w:r>
        <w:separator/>
      </w:r>
    </w:p>
  </w:footnote>
  <w:footnote w:type="continuationSeparator" w:id="0">
    <w:p w:rsidR="002F1ACF" w:rsidRDefault="002F1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7F" w:rsidRDefault="0068547F" w:rsidP="00951F79">
    <w:pPr>
      <w:pStyle w:val="Ttulo1"/>
      <w:ind w:right="6"/>
      <w:jc w:val="left"/>
      <w:rPr>
        <w:rFonts w:ascii="Bookman Old Style" w:hAnsi="Bookman Old Style" w:cs="Arial"/>
        <w:b w:val="0"/>
        <w:sz w:val="22"/>
        <w:szCs w:val="22"/>
      </w:rPr>
    </w:pPr>
  </w:p>
  <w:p w:rsidR="0068547F" w:rsidRPr="00951F79" w:rsidRDefault="0068547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A0746">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A0746" w:rsidRPr="005A0746">
        <w:rPr>
          <w:rFonts w:ascii="Bookman Old Style" w:hAnsi="Bookman Old Style" w:cs="Arial"/>
          <w:b w:val="0"/>
          <w:noProof/>
          <w:sz w:val="22"/>
          <w:szCs w:val="22"/>
        </w:rPr>
        <w:t>4</w:t>
      </w:r>
    </w:fldSimple>
  </w:p>
  <w:p w:rsidR="0068547F" w:rsidRDefault="00C50A2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207801A" wp14:editId="64CA2F6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8547F" w:rsidRDefault="00C50A23" w:rsidP="00C50A23">
    <w:pPr>
      <w:pBdr>
        <w:bottom w:val="single" w:sz="4" w:space="1" w:color="auto"/>
      </w:pBdr>
      <w:ind w:left="142" w:right="148"/>
      <w:jc w:val="center"/>
      <w:rPr>
        <w:rFonts w:ascii="Bookman Old Style" w:hAnsi="Bookman Old Style"/>
        <w:sz w:val="22"/>
        <w:szCs w:val="22"/>
      </w:rPr>
    </w:pPr>
    <w:r w:rsidRPr="00C50A23">
      <w:rPr>
        <w:rFonts w:ascii="Bookman Old Style" w:hAnsi="Bookman Old Style"/>
        <w:sz w:val="22"/>
        <w:szCs w:val="22"/>
      </w:rPr>
      <w:t>Por la cual se define el porcentaje de incremento del ingreso anual del gestor del mercado de gas natural por la prestación del nuevo servicio de subastas de contratos bimestrales de suministro en firme establecido en la Resolución CREG 136 de 2014</w:t>
    </w:r>
  </w:p>
  <w:p w:rsidR="00C50A23" w:rsidRPr="00045D3D" w:rsidRDefault="00C50A23" w:rsidP="00C50A23">
    <w:pPr>
      <w:pBdr>
        <w:bottom w:val="single" w:sz="4" w:space="1" w:color="auto"/>
      </w:pBdr>
      <w:ind w:left="142" w:right="148"/>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7F" w:rsidRDefault="0068547F"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8547F" w:rsidRDefault="0068547F">
    <w:pPr>
      <w:pStyle w:val="Encabezado"/>
      <w:jc w:val="center"/>
      <w:rPr>
        <w:rFonts w:ascii="Arial" w:hAnsi="Arial" w:cs="Arial"/>
        <w:spacing w:val="20"/>
        <w:sz w:val="20"/>
      </w:rPr>
    </w:pPr>
  </w:p>
  <w:p w:rsidR="0068547F" w:rsidRDefault="00C50A2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BDA2EF2"/>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2">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2"/>
  </w:num>
  <w:num w:numId="4">
    <w:abstractNumId w:val="7"/>
  </w:num>
  <w:num w:numId="5">
    <w:abstractNumId w:val="16"/>
  </w:num>
  <w:num w:numId="6">
    <w:abstractNumId w:val="4"/>
  </w:num>
  <w:num w:numId="7">
    <w:abstractNumId w:val="3"/>
  </w:num>
  <w:num w:numId="8">
    <w:abstractNumId w:val="18"/>
  </w:num>
  <w:num w:numId="9">
    <w:abstractNumId w:val="17"/>
  </w:num>
  <w:num w:numId="10">
    <w:abstractNumId w:val="13"/>
  </w:num>
  <w:num w:numId="11">
    <w:abstractNumId w:val="23"/>
  </w:num>
  <w:num w:numId="12">
    <w:abstractNumId w:val="20"/>
  </w:num>
  <w:num w:numId="13">
    <w:abstractNumId w:val="11"/>
  </w:num>
  <w:num w:numId="14">
    <w:abstractNumId w:val="2"/>
  </w:num>
  <w:num w:numId="15">
    <w:abstractNumId w:val="14"/>
  </w:num>
  <w:num w:numId="16">
    <w:abstractNumId w:val="1"/>
  </w:num>
  <w:num w:numId="17">
    <w:abstractNumId w:val="10"/>
  </w:num>
  <w:num w:numId="18">
    <w:abstractNumId w:val="0"/>
  </w:num>
  <w:num w:numId="19">
    <w:abstractNumId w:val="19"/>
  </w:num>
  <w:num w:numId="20">
    <w:abstractNumId w:val="15"/>
  </w:num>
  <w:num w:numId="21">
    <w:abstractNumId w:val="8"/>
  </w:num>
  <w:num w:numId="22">
    <w:abstractNumId w:val="9"/>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342B8"/>
    <w:rsid w:val="00042D5E"/>
    <w:rsid w:val="00045D3D"/>
    <w:rsid w:val="000473A4"/>
    <w:rsid w:val="000556AA"/>
    <w:rsid w:val="00063657"/>
    <w:rsid w:val="00076680"/>
    <w:rsid w:val="00076A1D"/>
    <w:rsid w:val="0008073E"/>
    <w:rsid w:val="00091CDB"/>
    <w:rsid w:val="000A19AC"/>
    <w:rsid w:val="000A6CB2"/>
    <w:rsid w:val="000B2EC9"/>
    <w:rsid w:val="000D26F8"/>
    <w:rsid w:val="000D5EFE"/>
    <w:rsid w:val="00106654"/>
    <w:rsid w:val="001319F4"/>
    <w:rsid w:val="0013526C"/>
    <w:rsid w:val="001405C6"/>
    <w:rsid w:val="00141013"/>
    <w:rsid w:val="001652F6"/>
    <w:rsid w:val="001726EC"/>
    <w:rsid w:val="00175BBA"/>
    <w:rsid w:val="00182592"/>
    <w:rsid w:val="00192CBF"/>
    <w:rsid w:val="00192FF1"/>
    <w:rsid w:val="001A5F1B"/>
    <w:rsid w:val="001B1C22"/>
    <w:rsid w:val="001B34C6"/>
    <w:rsid w:val="001D7832"/>
    <w:rsid w:val="001F24FD"/>
    <w:rsid w:val="00201619"/>
    <w:rsid w:val="00210DC1"/>
    <w:rsid w:val="00211D34"/>
    <w:rsid w:val="00214F04"/>
    <w:rsid w:val="002352B9"/>
    <w:rsid w:val="00266372"/>
    <w:rsid w:val="00266CD6"/>
    <w:rsid w:val="00275DAB"/>
    <w:rsid w:val="002903C0"/>
    <w:rsid w:val="002A782A"/>
    <w:rsid w:val="002A7ECB"/>
    <w:rsid w:val="002B11E2"/>
    <w:rsid w:val="002B24B8"/>
    <w:rsid w:val="002D3AE9"/>
    <w:rsid w:val="002D4510"/>
    <w:rsid w:val="002E1364"/>
    <w:rsid w:val="002E5313"/>
    <w:rsid w:val="002F0734"/>
    <w:rsid w:val="002F0E89"/>
    <w:rsid w:val="002F1ACF"/>
    <w:rsid w:val="002F46E7"/>
    <w:rsid w:val="003101DA"/>
    <w:rsid w:val="00314757"/>
    <w:rsid w:val="003163BC"/>
    <w:rsid w:val="003211CE"/>
    <w:rsid w:val="0035403A"/>
    <w:rsid w:val="0036394B"/>
    <w:rsid w:val="00366D67"/>
    <w:rsid w:val="00366DB6"/>
    <w:rsid w:val="003709B5"/>
    <w:rsid w:val="003759C2"/>
    <w:rsid w:val="00377817"/>
    <w:rsid w:val="003925D2"/>
    <w:rsid w:val="00397365"/>
    <w:rsid w:val="003A31F6"/>
    <w:rsid w:val="003B15CF"/>
    <w:rsid w:val="003C3447"/>
    <w:rsid w:val="003D076C"/>
    <w:rsid w:val="003E78B5"/>
    <w:rsid w:val="00415BAB"/>
    <w:rsid w:val="00415ED2"/>
    <w:rsid w:val="0042068C"/>
    <w:rsid w:val="0044318E"/>
    <w:rsid w:val="00443B35"/>
    <w:rsid w:val="00461B74"/>
    <w:rsid w:val="0047122B"/>
    <w:rsid w:val="00473B7A"/>
    <w:rsid w:val="004960E9"/>
    <w:rsid w:val="004A2E88"/>
    <w:rsid w:val="004A5305"/>
    <w:rsid w:val="004D064C"/>
    <w:rsid w:val="004D7634"/>
    <w:rsid w:val="004E611A"/>
    <w:rsid w:val="004F56BA"/>
    <w:rsid w:val="004F6460"/>
    <w:rsid w:val="005300D3"/>
    <w:rsid w:val="00542A10"/>
    <w:rsid w:val="00544F82"/>
    <w:rsid w:val="005509D2"/>
    <w:rsid w:val="0057322D"/>
    <w:rsid w:val="00593C4F"/>
    <w:rsid w:val="00594175"/>
    <w:rsid w:val="005946A8"/>
    <w:rsid w:val="005A048F"/>
    <w:rsid w:val="005A0746"/>
    <w:rsid w:val="005A4407"/>
    <w:rsid w:val="005A59EF"/>
    <w:rsid w:val="005A7884"/>
    <w:rsid w:val="005B1C7E"/>
    <w:rsid w:val="005C6976"/>
    <w:rsid w:val="005F1681"/>
    <w:rsid w:val="005F6F41"/>
    <w:rsid w:val="006029FF"/>
    <w:rsid w:val="00625DC6"/>
    <w:rsid w:val="00631F17"/>
    <w:rsid w:val="0064391D"/>
    <w:rsid w:val="00651821"/>
    <w:rsid w:val="00654384"/>
    <w:rsid w:val="006675CD"/>
    <w:rsid w:val="00684D9B"/>
    <w:rsid w:val="0068510A"/>
    <w:rsid w:val="0068547F"/>
    <w:rsid w:val="00697556"/>
    <w:rsid w:val="006B4647"/>
    <w:rsid w:val="006B4C2B"/>
    <w:rsid w:val="006B6194"/>
    <w:rsid w:val="006B6D47"/>
    <w:rsid w:val="006C5AFE"/>
    <w:rsid w:val="006E41A1"/>
    <w:rsid w:val="006F6D95"/>
    <w:rsid w:val="00706F13"/>
    <w:rsid w:val="007072E8"/>
    <w:rsid w:val="00713C39"/>
    <w:rsid w:val="0071618D"/>
    <w:rsid w:val="00725FA4"/>
    <w:rsid w:val="007267CE"/>
    <w:rsid w:val="00740446"/>
    <w:rsid w:val="007438A9"/>
    <w:rsid w:val="0074491E"/>
    <w:rsid w:val="0076247A"/>
    <w:rsid w:val="00775964"/>
    <w:rsid w:val="007765FE"/>
    <w:rsid w:val="00794E2E"/>
    <w:rsid w:val="00795BFB"/>
    <w:rsid w:val="007B2760"/>
    <w:rsid w:val="007C3EA4"/>
    <w:rsid w:val="00806C01"/>
    <w:rsid w:val="008148CC"/>
    <w:rsid w:val="008211A4"/>
    <w:rsid w:val="0084693A"/>
    <w:rsid w:val="0085119E"/>
    <w:rsid w:val="00873150"/>
    <w:rsid w:val="0087657D"/>
    <w:rsid w:val="008807D5"/>
    <w:rsid w:val="00880832"/>
    <w:rsid w:val="00886EE1"/>
    <w:rsid w:val="0088727D"/>
    <w:rsid w:val="008923E7"/>
    <w:rsid w:val="00897C75"/>
    <w:rsid w:val="008A6311"/>
    <w:rsid w:val="008C1130"/>
    <w:rsid w:val="008D18E6"/>
    <w:rsid w:val="008D7A9B"/>
    <w:rsid w:val="008E0060"/>
    <w:rsid w:val="008E7091"/>
    <w:rsid w:val="008E76AC"/>
    <w:rsid w:val="008F21F6"/>
    <w:rsid w:val="008F35DD"/>
    <w:rsid w:val="008F5C6D"/>
    <w:rsid w:val="00910263"/>
    <w:rsid w:val="009112A2"/>
    <w:rsid w:val="00924591"/>
    <w:rsid w:val="0092492E"/>
    <w:rsid w:val="009263EC"/>
    <w:rsid w:val="00951F79"/>
    <w:rsid w:val="00960334"/>
    <w:rsid w:val="00974AB5"/>
    <w:rsid w:val="009805B4"/>
    <w:rsid w:val="0098706D"/>
    <w:rsid w:val="009935FB"/>
    <w:rsid w:val="009F4A54"/>
    <w:rsid w:val="009F4BEC"/>
    <w:rsid w:val="009F5874"/>
    <w:rsid w:val="00A25FD7"/>
    <w:rsid w:val="00A43AFF"/>
    <w:rsid w:val="00A7793A"/>
    <w:rsid w:val="00AA4CC7"/>
    <w:rsid w:val="00AA5E8E"/>
    <w:rsid w:val="00AB66CE"/>
    <w:rsid w:val="00AB6CA7"/>
    <w:rsid w:val="00AD01E4"/>
    <w:rsid w:val="00AD0858"/>
    <w:rsid w:val="00AE02E3"/>
    <w:rsid w:val="00AE7340"/>
    <w:rsid w:val="00AF1BBD"/>
    <w:rsid w:val="00B0281F"/>
    <w:rsid w:val="00B04A20"/>
    <w:rsid w:val="00B10207"/>
    <w:rsid w:val="00B141E7"/>
    <w:rsid w:val="00B351B4"/>
    <w:rsid w:val="00B46BCA"/>
    <w:rsid w:val="00B478AA"/>
    <w:rsid w:val="00B87806"/>
    <w:rsid w:val="00B87EC9"/>
    <w:rsid w:val="00B96BA3"/>
    <w:rsid w:val="00BB059E"/>
    <w:rsid w:val="00BB2C38"/>
    <w:rsid w:val="00BC1B75"/>
    <w:rsid w:val="00BC38FD"/>
    <w:rsid w:val="00BD1B83"/>
    <w:rsid w:val="00C034CB"/>
    <w:rsid w:val="00C051A8"/>
    <w:rsid w:val="00C054BC"/>
    <w:rsid w:val="00C17897"/>
    <w:rsid w:val="00C21369"/>
    <w:rsid w:val="00C33796"/>
    <w:rsid w:val="00C3456A"/>
    <w:rsid w:val="00C409D5"/>
    <w:rsid w:val="00C42F54"/>
    <w:rsid w:val="00C435C3"/>
    <w:rsid w:val="00C44E5F"/>
    <w:rsid w:val="00C50A23"/>
    <w:rsid w:val="00C56981"/>
    <w:rsid w:val="00C6234B"/>
    <w:rsid w:val="00C62BA0"/>
    <w:rsid w:val="00C63EAE"/>
    <w:rsid w:val="00C73260"/>
    <w:rsid w:val="00C7629F"/>
    <w:rsid w:val="00C8661B"/>
    <w:rsid w:val="00C90B99"/>
    <w:rsid w:val="00CA03C8"/>
    <w:rsid w:val="00CA139A"/>
    <w:rsid w:val="00CA2899"/>
    <w:rsid w:val="00CA3A3D"/>
    <w:rsid w:val="00CA77FB"/>
    <w:rsid w:val="00CB379B"/>
    <w:rsid w:val="00CB5DD0"/>
    <w:rsid w:val="00CC4072"/>
    <w:rsid w:val="00CC51D4"/>
    <w:rsid w:val="00CC5F04"/>
    <w:rsid w:val="00CC65DA"/>
    <w:rsid w:val="00CD14FE"/>
    <w:rsid w:val="00CD2BB4"/>
    <w:rsid w:val="00CE5EC0"/>
    <w:rsid w:val="00CF21B9"/>
    <w:rsid w:val="00CF6BF9"/>
    <w:rsid w:val="00D03800"/>
    <w:rsid w:val="00D065D3"/>
    <w:rsid w:val="00D14C94"/>
    <w:rsid w:val="00D342A6"/>
    <w:rsid w:val="00D45CA6"/>
    <w:rsid w:val="00D464BF"/>
    <w:rsid w:val="00D46C84"/>
    <w:rsid w:val="00D53E26"/>
    <w:rsid w:val="00D75374"/>
    <w:rsid w:val="00DB182C"/>
    <w:rsid w:val="00DD4F0E"/>
    <w:rsid w:val="00DF0BF0"/>
    <w:rsid w:val="00DF3CA2"/>
    <w:rsid w:val="00DF7AF5"/>
    <w:rsid w:val="00E01463"/>
    <w:rsid w:val="00E05E0A"/>
    <w:rsid w:val="00E060BE"/>
    <w:rsid w:val="00E534CF"/>
    <w:rsid w:val="00E735B9"/>
    <w:rsid w:val="00E81CB4"/>
    <w:rsid w:val="00E8585B"/>
    <w:rsid w:val="00E93225"/>
    <w:rsid w:val="00EA3F15"/>
    <w:rsid w:val="00EA7847"/>
    <w:rsid w:val="00EB1630"/>
    <w:rsid w:val="00EB4C2F"/>
    <w:rsid w:val="00EE2E6E"/>
    <w:rsid w:val="00F0759E"/>
    <w:rsid w:val="00F10DFD"/>
    <w:rsid w:val="00F164E4"/>
    <w:rsid w:val="00F16A43"/>
    <w:rsid w:val="00F46780"/>
    <w:rsid w:val="00F50647"/>
    <w:rsid w:val="00F7354D"/>
    <w:rsid w:val="00F77D2D"/>
    <w:rsid w:val="00F821A3"/>
    <w:rsid w:val="00F91B86"/>
    <w:rsid w:val="00F921C6"/>
    <w:rsid w:val="00F9314A"/>
    <w:rsid w:val="00F940B2"/>
    <w:rsid w:val="00FA06F7"/>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sinformato">
    <w:name w:val="Plain Text"/>
    <w:basedOn w:val="Normal"/>
    <w:link w:val="TextosinformatoCar"/>
    <w:rsid w:val="00F91B86"/>
    <w:pPr>
      <w:ind w:left="0"/>
    </w:pPr>
    <w:rPr>
      <w:rFonts w:ascii="Courier New" w:hAnsi="Courier New" w:cs="Courier New"/>
      <w:sz w:val="20"/>
      <w:szCs w:val="20"/>
    </w:rPr>
  </w:style>
  <w:style w:type="character" w:customStyle="1" w:styleId="TextosinformatoCar">
    <w:name w:val="Texto sin formato Car"/>
    <w:link w:val="Textosinformato"/>
    <w:rsid w:val="00F91B86"/>
    <w:rPr>
      <w:rFonts w:ascii="Courier New" w:hAnsi="Courier New" w:cs="Courier New"/>
      <w:lang w:val="es-ES" w:eastAsia="es-ES"/>
    </w:rPr>
  </w:style>
  <w:style w:type="paragraph" w:customStyle="1" w:styleId="ARTICULOS">
    <w:name w:val="ARTICULOS"/>
    <w:basedOn w:val="Normal"/>
    <w:link w:val="ARTICULOSCar"/>
    <w:qFormat/>
    <w:rsid w:val="00F10DFD"/>
    <w:pPr>
      <w:widowControl w:val="0"/>
      <w:numPr>
        <w:numId w:val="23"/>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10DFD"/>
    <w:rPr>
      <w:rFonts w:ascii="Bookman Old Style" w:hAnsi="Bookman Old Style"/>
      <w:bCs/>
      <w:sz w:val="24"/>
      <w:szCs w:val="24"/>
      <w:lang w:val="x-none" w:eastAsia="x-none"/>
    </w:rPr>
  </w:style>
  <w:style w:type="character" w:styleId="Refdecomentario">
    <w:name w:val="annotation reference"/>
    <w:uiPriority w:val="99"/>
    <w:semiHidden/>
    <w:rsid w:val="001652F6"/>
    <w:rPr>
      <w:sz w:val="16"/>
      <w:szCs w:val="16"/>
    </w:rPr>
  </w:style>
  <w:style w:type="paragraph" w:styleId="Textocomentario">
    <w:name w:val="annotation text"/>
    <w:basedOn w:val="Normal"/>
    <w:link w:val="TextocomentarioCar"/>
    <w:uiPriority w:val="99"/>
    <w:rsid w:val="001652F6"/>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1652F6"/>
    <w:rPr>
      <w:lang w:val="es-ES" w:eastAsia="es-ES"/>
    </w:rPr>
  </w:style>
  <w:style w:type="paragraph" w:styleId="Asuntodelcomentario">
    <w:name w:val="annotation subject"/>
    <w:basedOn w:val="Textocomentario"/>
    <w:next w:val="Textocomentario"/>
    <w:link w:val="AsuntodelcomentarioCar"/>
    <w:uiPriority w:val="99"/>
    <w:semiHidden/>
    <w:unhideWhenUsed/>
    <w:rsid w:val="00BD1B83"/>
    <w:pPr>
      <w:widowControl/>
      <w:adjustRightInd/>
      <w:spacing w:line="240" w:lineRule="auto"/>
      <w:ind w:left="567"/>
      <w:jc w:val="left"/>
      <w:textAlignment w:val="auto"/>
    </w:pPr>
    <w:rPr>
      <w:b/>
      <w:bCs/>
    </w:rPr>
  </w:style>
  <w:style w:type="character" w:customStyle="1" w:styleId="AsuntodelcomentarioCar">
    <w:name w:val="Asunto del comentario Car"/>
    <w:link w:val="Asuntodelcomentario"/>
    <w:uiPriority w:val="99"/>
    <w:semiHidden/>
    <w:rsid w:val="00BD1B83"/>
    <w:rPr>
      <w:b/>
      <w:bCs/>
      <w:lang w:val="es-ES" w:eastAsia="es-ES"/>
    </w:rPr>
  </w:style>
  <w:style w:type="paragraph" w:customStyle="1" w:styleId="Artculo">
    <w:name w:val="Artículo"/>
    <w:basedOn w:val="Normal"/>
    <w:link w:val="ArtculoCar"/>
    <w:autoRedefine/>
    <w:qFormat/>
    <w:rsid w:val="00377817"/>
    <w:pPr>
      <w:spacing w:after="120"/>
      <w:ind w:left="0"/>
      <w:jc w:val="both"/>
    </w:pPr>
    <w:rPr>
      <w:rFonts w:ascii="Arial" w:hAnsi="Arial" w:cs="Arial"/>
      <w:b/>
      <w:sz w:val="22"/>
    </w:rPr>
  </w:style>
  <w:style w:type="character" w:customStyle="1" w:styleId="ArtculoCar">
    <w:name w:val="Artículo Car"/>
    <w:link w:val="Artculo"/>
    <w:rsid w:val="00377817"/>
    <w:rPr>
      <w:rFonts w:ascii="Arial" w:hAnsi="Arial" w:cs="Arial"/>
      <w:b/>
      <w:sz w:val="22"/>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sinformato">
    <w:name w:val="Plain Text"/>
    <w:basedOn w:val="Normal"/>
    <w:link w:val="TextosinformatoCar"/>
    <w:rsid w:val="00F91B86"/>
    <w:pPr>
      <w:ind w:left="0"/>
    </w:pPr>
    <w:rPr>
      <w:rFonts w:ascii="Courier New" w:hAnsi="Courier New" w:cs="Courier New"/>
      <w:sz w:val="20"/>
      <w:szCs w:val="20"/>
    </w:rPr>
  </w:style>
  <w:style w:type="character" w:customStyle="1" w:styleId="TextosinformatoCar">
    <w:name w:val="Texto sin formato Car"/>
    <w:link w:val="Textosinformato"/>
    <w:rsid w:val="00F91B86"/>
    <w:rPr>
      <w:rFonts w:ascii="Courier New" w:hAnsi="Courier New" w:cs="Courier New"/>
      <w:lang w:val="es-ES" w:eastAsia="es-ES"/>
    </w:rPr>
  </w:style>
  <w:style w:type="paragraph" w:customStyle="1" w:styleId="ARTICULOS">
    <w:name w:val="ARTICULOS"/>
    <w:basedOn w:val="Normal"/>
    <w:link w:val="ARTICULOSCar"/>
    <w:qFormat/>
    <w:rsid w:val="00F10DFD"/>
    <w:pPr>
      <w:widowControl w:val="0"/>
      <w:numPr>
        <w:numId w:val="23"/>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10DFD"/>
    <w:rPr>
      <w:rFonts w:ascii="Bookman Old Style" w:hAnsi="Bookman Old Style"/>
      <w:bCs/>
      <w:sz w:val="24"/>
      <w:szCs w:val="24"/>
      <w:lang w:val="x-none" w:eastAsia="x-none"/>
    </w:rPr>
  </w:style>
  <w:style w:type="character" w:styleId="Refdecomentario">
    <w:name w:val="annotation reference"/>
    <w:uiPriority w:val="99"/>
    <w:semiHidden/>
    <w:rsid w:val="001652F6"/>
    <w:rPr>
      <w:sz w:val="16"/>
      <w:szCs w:val="16"/>
    </w:rPr>
  </w:style>
  <w:style w:type="paragraph" w:styleId="Textocomentario">
    <w:name w:val="annotation text"/>
    <w:basedOn w:val="Normal"/>
    <w:link w:val="TextocomentarioCar"/>
    <w:uiPriority w:val="99"/>
    <w:rsid w:val="001652F6"/>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1652F6"/>
    <w:rPr>
      <w:lang w:val="es-ES" w:eastAsia="es-ES"/>
    </w:rPr>
  </w:style>
  <w:style w:type="paragraph" w:styleId="Asuntodelcomentario">
    <w:name w:val="annotation subject"/>
    <w:basedOn w:val="Textocomentario"/>
    <w:next w:val="Textocomentario"/>
    <w:link w:val="AsuntodelcomentarioCar"/>
    <w:uiPriority w:val="99"/>
    <w:semiHidden/>
    <w:unhideWhenUsed/>
    <w:rsid w:val="00BD1B83"/>
    <w:pPr>
      <w:widowControl/>
      <w:adjustRightInd/>
      <w:spacing w:line="240" w:lineRule="auto"/>
      <w:ind w:left="567"/>
      <w:jc w:val="left"/>
      <w:textAlignment w:val="auto"/>
    </w:pPr>
    <w:rPr>
      <w:b/>
      <w:bCs/>
    </w:rPr>
  </w:style>
  <w:style w:type="character" w:customStyle="1" w:styleId="AsuntodelcomentarioCar">
    <w:name w:val="Asunto del comentario Car"/>
    <w:link w:val="Asuntodelcomentario"/>
    <w:uiPriority w:val="99"/>
    <w:semiHidden/>
    <w:rsid w:val="00BD1B83"/>
    <w:rPr>
      <w:b/>
      <w:bCs/>
      <w:lang w:val="es-ES" w:eastAsia="es-ES"/>
    </w:rPr>
  </w:style>
  <w:style w:type="paragraph" w:customStyle="1" w:styleId="Artculo">
    <w:name w:val="Artículo"/>
    <w:basedOn w:val="Normal"/>
    <w:link w:val="ArtculoCar"/>
    <w:autoRedefine/>
    <w:qFormat/>
    <w:rsid w:val="00377817"/>
    <w:pPr>
      <w:spacing w:after="120"/>
      <w:ind w:left="0"/>
      <w:jc w:val="both"/>
    </w:pPr>
    <w:rPr>
      <w:rFonts w:ascii="Arial" w:hAnsi="Arial" w:cs="Arial"/>
      <w:b/>
      <w:sz w:val="22"/>
    </w:rPr>
  </w:style>
  <w:style w:type="character" w:customStyle="1" w:styleId="ArtculoCar">
    <w:name w:val="Artículo Car"/>
    <w:link w:val="Artculo"/>
    <w:rsid w:val="00377817"/>
    <w:rPr>
      <w:rFonts w:ascii="Arial" w:hAnsi="Arial" w:cs="Arial"/>
      <w:b/>
      <w:sz w:val="2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1</TotalTime>
  <Pages>4</Pages>
  <Words>1156</Words>
  <Characters>6358</Characters>
  <Application>Microsoft Office Word</Application>
  <DocSecurity>0</DocSecurity>
  <Lines>52</Lines>
  <Paragraphs>14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COMISIÓN DE REGULACIÓN DE ENERGÍA Y GAS</vt:lpstr>
      <vt:lpstr>        (                                  )</vt:lpstr>
    </vt:vector>
  </TitlesOfParts>
  <Company>CREG</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2015-03-13T14:40:00Z</cp:lastPrinted>
  <dcterms:created xsi:type="dcterms:W3CDTF">2015-03-13T16:20:00Z</dcterms:created>
  <dcterms:modified xsi:type="dcterms:W3CDTF">2015-03-13T16:20:00Z</dcterms:modified>
</cp:coreProperties>
</file>