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A7213" w14:textId="77777777" w:rsidR="00625DC6" w:rsidRPr="00E060BE" w:rsidRDefault="00D35FCF"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B0A2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8" o:title=""/>
          </v:shape>
          <o:OLEObject Type="Embed" ProgID="PBrush" ShapeID="_x0000_s1026" DrawAspect="Content" ObjectID="_1609684644" r:id="rId9"/>
        </w:object>
      </w:r>
    </w:p>
    <w:p w14:paraId="5C66EED2"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73E4DF81"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2E5F4350"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17A619D3"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5A396B3F"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D4478C" w14:textId="77777777"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D20A3C">
        <w:rPr>
          <w:rFonts w:ascii="Bookman Old Style" w:hAnsi="Bookman Old Style"/>
          <w:sz w:val="24"/>
          <w:szCs w:val="24"/>
        </w:rPr>
        <w:t>9</w:t>
      </w:r>
    </w:p>
    <w:p w14:paraId="55C9A2C5"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3764266" w14:textId="77777777"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14:paraId="5ADE0CEF" w14:textId="77777777" w:rsidR="00CA77FB" w:rsidRDefault="00CA77FB" w:rsidP="00012259">
      <w:pPr>
        <w:tabs>
          <w:tab w:val="left" w:pos="0"/>
          <w:tab w:val="right" w:pos="9356"/>
        </w:tabs>
        <w:ind w:left="0"/>
        <w:jc w:val="center"/>
        <w:rPr>
          <w:rFonts w:ascii="Bookman Old Style" w:hAnsi="Bookman Old Style"/>
          <w:lang w:val="es-ES_tradnl"/>
        </w:rPr>
      </w:pPr>
    </w:p>
    <w:p w14:paraId="13A30A6A" w14:textId="77777777" w:rsidR="00E46432" w:rsidRPr="00E060BE" w:rsidRDefault="00E46432" w:rsidP="00012259">
      <w:pPr>
        <w:tabs>
          <w:tab w:val="left" w:pos="0"/>
          <w:tab w:val="right" w:pos="9356"/>
        </w:tabs>
        <w:ind w:left="0"/>
        <w:jc w:val="center"/>
        <w:rPr>
          <w:rFonts w:ascii="Bookman Old Style" w:hAnsi="Bookman Old Style"/>
          <w:lang w:val="es-ES_tradnl"/>
        </w:rPr>
      </w:pPr>
    </w:p>
    <w:p w14:paraId="70D332F6" w14:textId="77777777" w:rsidR="00A60C08" w:rsidRDefault="00A60C08" w:rsidP="00A60C08">
      <w:pPr>
        <w:ind w:left="0"/>
        <w:rPr>
          <w:rFonts w:ascii="Bookman Old Style" w:hAnsi="Bookman Old Style"/>
          <w:bCs/>
          <w:lang w:val="es-CO"/>
        </w:rPr>
      </w:pPr>
    </w:p>
    <w:p w14:paraId="7156F8E2" w14:textId="77777777" w:rsidR="0069756D" w:rsidRPr="00986875" w:rsidRDefault="00657DFA" w:rsidP="0069756D">
      <w:pPr>
        <w:ind w:left="0"/>
        <w:jc w:val="center"/>
        <w:rPr>
          <w:rFonts w:ascii="Bookman Old Style" w:hAnsi="Bookman Old Style"/>
        </w:rPr>
      </w:pPr>
      <w:r w:rsidRPr="00D20A3C">
        <w:rPr>
          <w:rFonts w:ascii="Bookman Old Style" w:hAnsi="Bookman Old Style"/>
        </w:rPr>
        <w:t>Por la cual se define el cronograma para respaldar OEF asignadas en la subasta 2022-2023 con nueva infraestructura de importación de gas natural</w:t>
      </w:r>
      <w:r w:rsidR="0069756D" w:rsidRPr="00D20A3C">
        <w:rPr>
          <w:rFonts w:ascii="Bookman Old Style" w:hAnsi="Bookman Old Style"/>
          <w:b/>
        </w:rPr>
        <w:t xml:space="preserve"> </w:t>
      </w:r>
      <w:r w:rsidR="00986875" w:rsidRPr="00986875">
        <w:rPr>
          <w:rFonts w:ascii="Bookman Old Style" w:hAnsi="Bookman Old Style"/>
        </w:rPr>
        <w:t xml:space="preserve">y nueva </w:t>
      </w:r>
      <w:r w:rsidR="00986875">
        <w:rPr>
          <w:rFonts w:ascii="Bookman Old Style" w:hAnsi="Bookman Old Style"/>
        </w:rPr>
        <w:t xml:space="preserve">infraestructura </w:t>
      </w:r>
      <w:r w:rsidR="00986875" w:rsidRPr="00986875">
        <w:rPr>
          <w:rFonts w:ascii="Bookman Old Style" w:hAnsi="Bookman Old Style"/>
        </w:rPr>
        <w:t>de importación de GLP</w:t>
      </w:r>
    </w:p>
    <w:p w14:paraId="3096D723" w14:textId="77777777" w:rsidR="0069756D" w:rsidRDefault="0069756D" w:rsidP="00A60C08">
      <w:pPr>
        <w:ind w:right="51"/>
        <w:jc w:val="center"/>
        <w:rPr>
          <w:rFonts w:ascii="Bookman Old Style" w:hAnsi="Bookman Old Style"/>
          <w:b/>
        </w:rPr>
      </w:pPr>
    </w:p>
    <w:p w14:paraId="07FC5379" w14:textId="77777777" w:rsidR="0069756D" w:rsidRDefault="0069756D" w:rsidP="00A60C08">
      <w:pPr>
        <w:ind w:right="51"/>
        <w:jc w:val="center"/>
        <w:rPr>
          <w:rFonts w:ascii="Bookman Old Style" w:hAnsi="Bookman Old Style"/>
          <w:b/>
        </w:rPr>
      </w:pPr>
    </w:p>
    <w:p w14:paraId="761B10A9" w14:textId="77777777" w:rsidR="00A60C08" w:rsidRPr="00C435C3" w:rsidRDefault="00A60C08" w:rsidP="00A60C08">
      <w:pPr>
        <w:ind w:right="51"/>
        <w:jc w:val="center"/>
        <w:rPr>
          <w:rFonts w:ascii="Bookman Old Style" w:hAnsi="Bookman Old Style"/>
          <w:b/>
        </w:rPr>
      </w:pPr>
      <w:r w:rsidRPr="00C435C3">
        <w:rPr>
          <w:rFonts w:ascii="Bookman Old Style" w:hAnsi="Bookman Old Style"/>
          <w:b/>
        </w:rPr>
        <w:t xml:space="preserve">LA COMISIÓN DE REGULACIÓN </w:t>
      </w:r>
      <w:r w:rsidR="000D6C2C" w:rsidRPr="00C435C3">
        <w:rPr>
          <w:rFonts w:ascii="Bookman Old Style" w:hAnsi="Bookman Old Style"/>
          <w:b/>
        </w:rPr>
        <w:t>DE ENERGÍA</w:t>
      </w:r>
      <w:r w:rsidRPr="00C435C3">
        <w:rPr>
          <w:rFonts w:ascii="Bookman Old Style" w:hAnsi="Bookman Old Style"/>
          <w:b/>
        </w:rPr>
        <w:t xml:space="preserve"> Y GAS</w:t>
      </w:r>
    </w:p>
    <w:p w14:paraId="075B1D15" w14:textId="77777777" w:rsidR="00A60C08" w:rsidRPr="00C435C3" w:rsidRDefault="00A60C08" w:rsidP="00A60C08">
      <w:pPr>
        <w:ind w:left="0" w:right="51"/>
        <w:rPr>
          <w:rFonts w:ascii="Bookman Old Style" w:hAnsi="Bookman Old Style"/>
        </w:rPr>
      </w:pPr>
    </w:p>
    <w:p w14:paraId="4D776181" w14:textId="77777777" w:rsidR="00A60C08" w:rsidRPr="00C435C3" w:rsidRDefault="00A60C08" w:rsidP="00A60C08">
      <w:pPr>
        <w:ind w:left="0" w:right="51"/>
        <w:rPr>
          <w:rFonts w:ascii="Bookman Old Style" w:hAnsi="Bookman Old Style"/>
        </w:rPr>
      </w:pPr>
    </w:p>
    <w:p w14:paraId="77E47883" w14:textId="7BB5AA8D"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w:t>
      </w:r>
      <w:r w:rsidR="00923EDB">
        <w:rPr>
          <w:rFonts w:ascii="Bookman Old Style" w:hAnsi="Bookman Old Style"/>
          <w:b w:val="0"/>
        </w:rPr>
        <w:t>os Decretos 1524 y 2253 de 1994, y 1260 de 2013</w:t>
      </w:r>
      <w:r w:rsidR="002D5E2D">
        <w:rPr>
          <w:rFonts w:ascii="Bookman Old Style" w:hAnsi="Bookman Old Style"/>
          <w:b w:val="0"/>
        </w:rPr>
        <w:t>.</w:t>
      </w:r>
    </w:p>
    <w:p w14:paraId="12F033F3" w14:textId="77777777" w:rsidR="00A60C08" w:rsidRDefault="00A60C08" w:rsidP="00A60C08">
      <w:pPr>
        <w:ind w:right="51"/>
        <w:rPr>
          <w:rFonts w:ascii="Bookman Old Style" w:hAnsi="Bookman Old Style"/>
        </w:rPr>
      </w:pPr>
    </w:p>
    <w:p w14:paraId="0B2068AA" w14:textId="77777777" w:rsidR="00A60C08" w:rsidRPr="00C435C3" w:rsidRDefault="00A60C08" w:rsidP="00A60C08">
      <w:pPr>
        <w:ind w:right="51"/>
        <w:rPr>
          <w:rFonts w:ascii="Bookman Old Style" w:hAnsi="Bookman Old Style"/>
        </w:rPr>
      </w:pPr>
    </w:p>
    <w:p w14:paraId="755BEEA3" w14:textId="77777777" w:rsidR="00A60C08" w:rsidRPr="00C435C3" w:rsidRDefault="00A60C08" w:rsidP="00A60C08">
      <w:pPr>
        <w:ind w:right="51"/>
        <w:jc w:val="center"/>
        <w:rPr>
          <w:rFonts w:ascii="Bookman Old Style" w:hAnsi="Bookman Old Style"/>
          <w:b/>
        </w:rPr>
      </w:pPr>
      <w:r w:rsidRPr="00C435C3">
        <w:rPr>
          <w:rFonts w:ascii="Bookman Old Style" w:hAnsi="Bookman Old Style"/>
          <w:b/>
        </w:rPr>
        <w:t xml:space="preserve">C O N S I D E R A N D </w:t>
      </w:r>
      <w:r w:rsidR="000D6C2C" w:rsidRPr="00C435C3">
        <w:rPr>
          <w:rFonts w:ascii="Bookman Old Style" w:hAnsi="Bookman Old Style"/>
          <w:b/>
        </w:rPr>
        <w:t>O</w:t>
      </w:r>
      <w:r w:rsidR="000D6C2C">
        <w:rPr>
          <w:rFonts w:ascii="Bookman Old Style" w:hAnsi="Bookman Old Style"/>
          <w:b/>
        </w:rPr>
        <w:t xml:space="preserve"> Q</w:t>
      </w:r>
      <w:r>
        <w:rPr>
          <w:rFonts w:ascii="Bookman Old Style" w:hAnsi="Bookman Old Style"/>
          <w:b/>
        </w:rPr>
        <w:t xml:space="preserve"> U E</w:t>
      </w:r>
      <w:r w:rsidRPr="00C435C3">
        <w:rPr>
          <w:rFonts w:ascii="Bookman Old Style" w:hAnsi="Bookman Old Style"/>
          <w:b/>
        </w:rPr>
        <w:t>:</w:t>
      </w:r>
    </w:p>
    <w:p w14:paraId="62DEDBD9" w14:textId="77777777" w:rsidR="00A60C08" w:rsidRPr="00C435C3" w:rsidRDefault="00A60C08" w:rsidP="00A60C08">
      <w:pPr>
        <w:ind w:right="51"/>
        <w:jc w:val="center"/>
        <w:rPr>
          <w:rFonts w:ascii="Bookman Old Style" w:hAnsi="Bookman Old Style"/>
          <w:b/>
        </w:rPr>
      </w:pPr>
    </w:p>
    <w:p w14:paraId="1AA4FEC2" w14:textId="77777777" w:rsidR="00E060BE" w:rsidRPr="00E060BE" w:rsidRDefault="00E060BE" w:rsidP="00E060BE">
      <w:pPr>
        <w:jc w:val="both"/>
        <w:rPr>
          <w:rFonts w:ascii="Bookman Old Style" w:hAnsi="Bookman Old Style" w:cs="Arial"/>
        </w:rPr>
      </w:pPr>
    </w:p>
    <w:p w14:paraId="46CE13AB" w14:textId="77777777" w:rsidR="002D5E2D" w:rsidRPr="00CE17A4" w:rsidRDefault="002D5E2D" w:rsidP="002D5E2D">
      <w:pPr>
        <w:ind w:left="0"/>
        <w:jc w:val="both"/>
        <w:rPr>
          <w:rFonts w:ascii="Bookman Old Style" w:hAnsi="Bookman Old Style" w:cs="Arial"/>
          <w:bCs/>
          <w:szCs w:val="20"/>
          <w:lang w:val="es-CO"/>
        </w:rPr>
      </w:pPr>
      <w:r w:rsidRPr="00CE17A4">
        <w:rPr>
          <w:rFonts w:ascii="Bookman Old Style" w:hAnsi="Bookman Old Style" w:cs="Arial"/>
          <w:bCs/>
          <w:szCs w:val="20"/>
          <w:lang w:val="es-CO"/>
        </w:rPr>
        <w:t>En el artículo 4 de la Ley 143 de 1994 se establece que el Estado, en relación con el servicio de electricidad, tendrá como objetivos: abastecer la demanda de electricidad de la comunidad bajo criterios económicos y de viabilidad financiera, asegurar una operación eficiente, segura y confiable en las actividades del sector y mantener los niveles de calidad y seguridad establecidos.</w:t>
      </w:r>
    </w:p>
    <w:p w14:paraId="6AD573FD" w14:textId="77777777" w:rsidR="002D5E2D" w:rsidRPr="00CE17A4" w:rsidRDefault="002D5E2D" w:rsidP="002D5E2D">
      <w:pPr>
        <w:ind w:left="0"/>
        <w:jc w:val="both"/>
        <w:rPr>
          <w:rFonts w:ascii="Bookman Old Style" w:hAnsi="Bookman Old Style" w:cs="Arial"/>
          <w:bCs/>
          <w:szCs w:val="20"/>
          <w:lang w:val="es-CO"/>
        </w:rPr>
      </w:pPr>
      <w:r w:rsidRPr="00CE17A4">
        <w:rPr>
          <w:rFonts w:ascii="Bookman Old Style" w:hAnsi="Bookman Old Style" w:cs="Arial"/>
          <w:bCs/>
          <w:szCs w:val="20"/>
          <w:lang w:val="es-CO"/>
        </w:rPr>
        <w:br/>
        <w:t xml:space="preserve">En el artículo 20 de la Ley 143 de 1994, se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 </w:t>
      </w:r>
    </w:p>
    <w:p w14:paraId="19CFAE31" w14:textId="77777777" w:rsidR="002D5E2D" w:rsidRPr="00CE17A4" w:rsidRDefault="002D5E2D" w:rsidP="002D5E2D">
      <w:pPr>
        <w:ind w:left="0"/>
        <w:jc w:val="both"/>
        <w:rPr>
          <w:rFonts w:ascii="Bookman Old Style" w:hAnsi="Bookman Old Style" w:cs="Arial"/>
          <w:bCs/>
          <w:szCs w:val="20"/>
          <w:lang w:val="es-CO"/>
        </w:rPr>
      </w:pPr>
    </w:p>
    <w:p w14:paraId="4F5A5C40" w14:textId="77777777" w:rsidR="002D5E2D" w:rsidRPr="00CE17A4" w:rsidRDefault="002D5E2D" w:rsidP="002D5E2D">
      <w:pPr>
        <w:ind w:left="0"/>
        <w:jc w:val="both"/>
        <w:rPr>
          <w:rFonts w:ascii="Bookman Old Style" w:hAnsi="Bookman Old Style" w:cs="Arial"/>
          <w:bCs/>
          <w:szCs w:val="20"/>
          <w:lang w:val="es-CO"/>
        </w:rPr>
      </w:pPr>
      <w:r w:rsidRPr="00CE17A4">
        <w:rPr>
          <w:rFonts w:ascii="Bookman Old Style" w:hAnsi="Bookman Old Style" w:cs="Arial"/>
          <w:bCs/>
          <w:szCs w:val="20"/>
          <w:lang w:val="es-CO"/>
        </w:rPr>
        <w:t>Para el cumplimiento de los objetivos establecidos, la Ley 143 de 1994 en el artículo 23, le atribuyó a la Comisión de Regulación de Energía y Gas CREG, entre otras, las siguientes funciones:</w:t>
      </w:r>
    </w:p>
    <w:p w14:paraId="5891E3E8" w14:textId="77777777" w:rsidR="002D5E2D" w:rsidRPr="001B7E25" w:rsidRDefault="002D5E2D" w:rsidP="002D5E2D">
      <w:pPr>
        <w:pStyle w:val="Sangradetextonormal"/>
        <w:spacing w:after="0"/>
        <w:ind w:left="0"/>
      </w:pPr>
    </w:p>
    <w:p w14:paraId="6FE12142" w14:textId="77777777" w:rsidR="002D5E2D" w:rsidRPr="00CE17A4" w:rsidRDefault="002D5E2D" w:rsidP="002D5E2D">
      <w:pPr>
        <w:pStyle w:val="Sangradetextonormal"/>
        <w:numPr>
          <w:ilvl w:val="0"/>
          <w:numId w:val="39"/>
        </w:numPr>
        <w:spacing w:after="0"/>
        <w:ind w:left="708"/>
        <w:jc w:val="both"/>
        <w:rPr>
          <w:rFonts w:ascii="Bookman Old Style" w:hAnsi="Bookman Old Style" w:cs="Arial"/>
          <w:szCs w:val="20"/>
        </w:rPr>
      </w:pPr>
      <w:r w:rsidRPr="00CE17A4">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w:t>
      </w:r>
    </w:p>
    <w:p w14:paraId="2AC5C2FC" w14:textId="77777777" w:rsidR="002D5E2D" w:rsidRPr="00CE17A4" w:rsidRDefault="002D5E2D" w:rsidP="002D5E2D">
      <w:pPr>
        <w:pStyle w:val="Sangradetextonormal"/>
        <w:numPr>
          <w:ilvl w:val="0"/>
          <w:numId w:val="39"/>
        </w:numPr>
        <w:spacing w:after="0"/>
        <w:ind w:left="708"/>
        <w:jc w:val="both"/>
        <w:rPr>
          <w:rFonts w:ascii="Bookman Old Style" w:hAnsi="Bookman Old Style" w:cs="Arial"/>
          <w:szCs w:val="20"/>
        </w:rPr>
      </w:pPr>
      <w:r w:rsidRPr="00CE17A4">
        <w:rPr>
          <w:rFonts w:ascii="Bookman Old Style" w:hAnsi="Bookman Old Style"/>
        </w:rPr>
        <w:t>V</w:t>
      </w:r>
      <w:r w:rsidRPr="00CE17A4">
        <w:rPr>
          <w:rFonts w:ascii="Bookman Old Style" w:hAnsi="Bookman Old Style" w:cs="Arial"/>
          <w:szCs w:val="20"/>
        </w:rPr>
        <w:t>alorar la capacidad de generación de respaldo de la oferta eficiente.</w:t>
      </w:r>
    </w:p>
    <w:p w14:paraId="7FD6077F" w14:textId="3EE586A6" w:rsidR="002D5E2D" w:rsidRDefault="002D5E2D" w:rsidP="002D5E2D">
      <w:pPr>
        <w:pStyle w:val="Sangradetextonormal"/>
        <w:numPr>
          <w:ilvl w:val="0"/>
          <w:numId w:val="39"/>
        </w:numPr>
        <w:spacing w:after="0"/>
        <w:ind w:left="708"/>
        <w:jc w:val="both"/>
        <w:rPr>
          <w:rFonts w:ascii="Bookman Old Style" w:hAnsi="Bookman Old Style" w:cs="Arial"/>
          <w:szCs w:val="20"/>
        </w:rPr>
      </w:pPr>
      <w:r w:rsidRPr="00CE17A4">
        <w:rPr>
          <w:rFonts w:ascii="Bookman Old Style" w:hAnsi="Bookman Old Style" w:cs="Arial"/>
          <w:szCs w:val="20"/>
        </w:rPr>
        <w:t>Definir y hacer operativos los criterios técnicos de calidad, confiabilidad y seguridad del servicio de energía.</w:t>
      </w:r>
    </w:p>
    <w:p w14:paraId="066B5989" w14:textId="77777777" w:rsidR="00A837FC" w:rsidRPr="00CE17A4" w:rsidRDefault="00A837FC" w:rsidP="00A837FC">
      <w:pPr>
        <w:pStyle w:val="Sangradetextonormal"/>
        <w:spacing w:after="0"/>
        <w:ind w:left="708"/>
        <w:jc w:val="both"/>
        <w:rPr>
          <w:rFonts w:ascii="Bookman Old Style" w:hAnsi="Bookman Old Style" w:cs="Arial"/>
          <w:szCs w:val="20"/>
        </w:rPr>
      </w:pPr>
    </w:p>
    <w:p w14:paraId="50EA9E0E" w14:textId="77777777" w:rsidR="002D5E2D" w:rsidRPr="00CE17A4" w:rsidRDefault="002D5E2D" w:rsidP="002D5E2D">
      <w:pPr>
        <w:pStyle w:val="Sangradetextonormal"/>
        <w:numPr>
          <w:ilvl w:val="0"/>
          <w:numId w:val="39"/>
        </w:numPr>
        <w:spacing w:after="0"/>
        <w:ind w:left="708"/>
        <w:jc w:val="both"/>
        <w:rPr>
          <w:rFonts w:ascii="Bookman Old Style" w:hAnsi="Bookman Old Style" w:cs="Arial"/>
          <w:szCs w:val="20"/>
        </w:rPr>
      </w:pPr>
      <w:r w:rsidRPr="00CE17A4">
        <w:rPr>
          <w:rFonts w:ascii="Bookman Old Style" w:hAnsi="Bookman Old Style" w:cs="Arial"/>
          <w:szCs w:val="20"/>
        </w:rPr>
        <w:t xml:space="preserve">Determinar las condiciones para la liberación gradual del mercado hacia la libre competencia. </w:t>
      </w:r>
    </w:p>
    <w:p w14:paraId="53BE4FEF" w14:textId="77777777" w:rsidR="002D5E2D" w:rsidRPr="001B7E25" w:rsidRDefault="002D5E2D" w:rsidP="002D5E2D">
      <w:pPr>
        <w:pStyle w:val="Sangradetextonormal"/>
        <w:spacing w:after="0"/>
        <w:ind w:left="348"/>
        <w:rPr>
          <w:rFonts w:cs="Arial"/>
          <w:szCs w:val="20"/>
        </w:rPr>
      </w:pPr>
    </w:p>
    <w:p w14:paraId="470D5D4A" w14:textId="77777777" w:rsidR="002D5E2D" w:rsidRPr="00CE17A4" w:rsidRDefault="002D5E2D" w:rsidP="002D5E2D">
      <w:pPr>
        <w:ind w:left="0"/>
        <w:rPr>
          <w:rFonts w:ascii="Bookman Old Style" w:hAnsi="Bookman Old Style" w:cs="Arial"/>
          <w:bCs/>
          <w:szCs w:val="20"/>
          <w:lang w:val="es-CO"/>
        </w:rPr>
      </w:pPr>
      <w:r w:rsidRPr="00CE17A4">
        <w:rPr>
          <w:rFonts w:ascii="Bookman Old Style" w:hAnsi="Bookman Old Style" w:cs="Arial"/>
          <w:bCs/>
          <w:szCs w:val="20"/>
          <w:lang w:val="es-CO"/>
        </w:rPr>
        <w:t>De acuerdo con lo establecido en el literal c) del artículo 74.1 de la Ley 142 de 1994, le corresponde a la CREG establecer el Reglamento de Operación, para regular el funcionamiento del Mercado de Energía Mayorista.</w:t>
      </w:r>
    </w:p>
    <w:p w14:paraId="66C0B513" w14:textId="77777777" w:rsidR="002D5E2D" w:rsidRPr="001B7E25" w:rsidRDefault="002D5E2D" w:rsidP="002D5E2D">
      <w:pPr>
        <w:rPr>
          <w:rFonts w:cs="Arial"/>
          <w:szCs w:val="20"/>
        </w:rPr>
      </w:pPr>
    </w:p>
    <w:p w14:paraId="09EF87E7" w14:textId="77777777" w:rsidR="002D5E2D" w:rsidRPr="001B7E25" w:rsidRDefault="002D5E2D" w:rsidP="002D5E2D">
      <w:pPr>
        <w:pStyle w:val="Vietaletra"/>
        <w:numPr>
          <w:ilvl w:val="0"/>
          <w:numId w:val="0"/>
        </w:numPr>
        <w:suppressAutoHyphens w:val="0"/>
        <w:overflowPunct/>
        <w:autoSpaceDE/>
        <w:textAlignment w:val="auto"/>
        <w:rPr>
          <w:rFonts w:ascii="Bookman Old Style" w:hAnsi="Bookman Old Style" w:cs="Arial"/>
          <w:bCs/>
          <w:lang w:val="es-CO" w:eastAsia="es-ES"/>
        </w:rPr>
      </w:pPr>
      <w:r w:rsidRPr="001B7E25">
        <w:rPr>
          <w:rFonts w:ascii="Bookman Old Style" w:hAnsi="Bookman Old Style" w:cs="Arial"/>
          <w:bCs/>
          <w:lang w:val="es-CO" w:eastAsia="es-ES"/>
        </w:rPr>
        <w:t>La CREG mediante Resolución CREG 071 de 2006, adoptó la metodología para la remuneración del Cargo por Confiabilidad, en la cual se estableció que con el fin de garantizar la confiabilidad del servicio de energía eléctrica en el Sistema Interconectado Nacional se definirá una Demanda Objetivo que se debe cubrir mediante Obligaciones de Energía Firme.</w:t>
      </w:r>
    </w:p>
    <w:p w14:paraId="10C39F5A" w14:textId="77777777" w:rsidR="00923EDB" w:rsidRDefault="00923EDB" w:rsidP="00923EDB">
      <w:pPr>
        <w:ind w:left="0"/>
        <w:jc w:val="both"/>
        <w:rPr>
          <w:rFonts w:ascii="Bookman Old Style" w:hAnsi="Bookman Old Style"/>
        </w:rPr>
      </w:pPr>
    </w:p>
    <w:p w14:paraId="3BC5024F" w14:textId="7E170641" w:rsidR="00657DFA" w:rsidRDefault="00657DFA" w:rsidP="00923EDB">
      <w:pPr>
        <w:ind w:left="0"/>
        <w:jc w:val="both"/>
        <w:rPr>
          <w:rFonts w:ascii="Bookman Old Style" w:hAnsi="Bookman Old Style"/>
        </w:rPr>
      </w:pPr>
      <w:r>
        <w:rPr>
          <w:rFonts w:ascii="Bookman Old Style" w:hAnsi="Bookman Old Style"/>
        </w:rPr>
        <w:t xml:space="preserve">Mediante la Resolución CREG 106 de 2011 se definió la opción para respaldar Obligaciones de Energía Firme del Cargo por Confiabilidad </w:t>
      </w:r>
      <w:r w:rsidR="002D5E2D">
        <w:rPr>
          <w:rFonts w:ascii="Bookman Old Style" w:hAnsi="Bookman Old Style"/>
        </w:rPr>
        <w:t xml:space="preserve">con gas natural importado mediante </w:t>
      </w:r>
      <w:r>
        <w:rPr>
          <w:rFonts w:ascii="Bookman Old Style" w:hAnsi="Bookman Old Style"/>
        </w:rPr>
        <w:t>la instalación de nueva infraestructura de importación.</w:t>
      </w:r>
    </w:p>
    <w:p w14:paraId="0FF65689" w14:textId="77777777" w:rsidR="00657DFA" w:rsidRDefault="00657DFA" w:rsidP="00923EDB">
      <w:pPr>
        <w:ind w:left="0"/>
        <w:jc w:val="both"/>
        <w:rPr>
          <w:rFonts w:ascii="Bookman Old Style" w:hAnsi="Bookman Old Style"/>
        </w:rPr>
      </w:pPr>
    </w:p>
    <w:p w14:paraId="78628455" w14:textId="77777777" w:rsidR="00657DFA" w:rsidRDefault="00657DFA" w:rsidP="00923EDB">
      <w:pPr>
        <w:ind w:left="0"/>
        <w:jc w:val="both"/>
        <w:rPr>
          <w:rFonts w:ascii="Bookman Old Style" w:hAnsi="Bookman Old Style"/>
        </w:rPr>
      </w:pPr>
      <w:r>
        <w:rPr>
          <w:rFonts w:ascii="Bookman Old Style" w:hAnsi="Bookman Old Style"/>
        </w:rPr>
        <w:t>Mediante la Resolución CREG 104 de 2018 se fijó la oportunidad para llevar a cabo la Subasta para la asignación de las Obligaciones de Energía Firme del Cargo por Confiabilidad para el período comprendido entre el 1 de diciembre de 2022 y el 30 de noviembre de 2023.</w:t>
      </w:r>
    </w:p>
    <w:p w14:paraId="767BA46A" w14:textId="77777777" w:rsidR="00657DFA" w:rsidRDefault="00657DFA" w:rsidP="00923EDB">
      <w:pPr>
        <w:ind w:left="0"/>
        <w:jc w:val="both"/>
        <w:rPr>
          <w:rFonts w:ascii="Bookman Old Style" w:hAnsi="Bookman Old Style"/>
        </w:rPr>
      </w:pPr>
    </w:p>
    <w:p w14:paraId="005F7A50" w14:textId="77777777" w:rsidR="00884D9F" w:rsidRDefault="00657DFA" w:rsidP="00923EDB">
      <w:pPr>
        <w:ind w:left="0"/>
        <w:jc w:val="both"/>
        <w:rPr>
          <w:rFonts w:ascii="Bookman Old Style" w:hAnsi="Bookman Old Style"/>
        </w:rPr>
      </w:pPr>
      <w:r>
        <w:rPr>
          <w:rFonts w:ascii="Bookman Old Style" w:hAnsi="Bookman Old Style"/>
        </w:rPr>
        <w:t xml:space="preserve">Se recibieron solicitudes para definir el período de asignación a plantas </w:t>
      </w:r>
      <w:r w:rsidR="00884D9F">
        <w:rPr>
          <w:rFonts w:ascii="Bookman Old Style" w:hAnsi="Bookman Old Style"/>
        </w:rPr>
        <w:t xml:space="preserve">térmicas </w:t>
      </w:r>
      <w:r>
        <w:rPr>
          <w:rFonts w:ascii="Bookman Old Style" w:hAnsi="Bookman Old Style"/>
        </w:rPr>
        <w:t>existentes y nuevas que respalden las Obligaciones de Energía Firme del Cargo por Confia</w:t>
      </w:r>
      <w:r w:rsidR="00884D9F">
        <w:rPr>
          <w:rFonts w:ascii="Bookman Old Style" w:hAnsi="Bookman Old Style"/>
        </w:rPr>
        <w:t>bilidad de la subasta 2022-2023 con nueva infraestructura de importación de gas natural.</w:t>
      </w:r>
    </w:p>
    <w:p w14:paraId="69E3EFA7" w14:textId="77777777" w:rsidR="00884D9F" w:rsidRDefault="00884D9F" w:rsidP="00923EDB">
      <w:pPr>
        <w:ind w:left="0"/>
        <w:jc w:val="both"/>
        <w:rPr>
          <w:rFonts w:ascii="Bookman Old Style" w:hAnsi="Bookman Old Style"/>
        </w:rPr>
      </w:pPr>
    </w:p>
    <w:p w14:paraId="686DDA65" w14:textId="5457E84B" w:rsidR="00657DFA" w:rsidRDefault="00884D9F" w:rsidP="00923EDB">
      <w:pPr>
        <w:ind w:left="0"/>
        <w:jc w:val="both"/>
        <w:rPr>
          <w:rFonts w:ascii="Bookman Old Style" w:hAnsi="Bookman Old Style"/>
        </w:rPr>
      </w:pPr>
      <w:r>
        <w:rPr>
          <w:rFonts w:ascii="Bookman Old Style" w:hAnsi="Bookman Old Style"/>
        </w:rPr>
        <w:t xml:space="preserve">La Comisión </w:t>
      </w:r>
      <w:r w:rsidR="002D5E2D">
        <w:rPr>
          <w:rFonts w:ascii="Bookman Old Style" w:hAnsi="Bookman Old Style"/>
        </w:rPr>
        <w:t xml:space="preserve">encontró </w:t>
      </w:r>
      <w:r>
        <w:rPr>
          <w:rFonts w:ascii="Bookman Old Style" w:hAnsi="Bookman Old Style"/>
        </w:rPr>
        <w:t>conveniente definir cronograma para cumplir con los requisitos definidos en la Resolución CREG 106 de 2011 y el período de asignación para los diferentes tipos de plantas térmicas (existentes, existentes con obras, especiales y nuevas) que respalden sus obligaciones con nueva infraestructura de importación de gas natural.</w:t>
      </w:r>
    </w:p>
    <w:p w14:paraId="59603F2A" w14:textId="77777777" w:rsidR="00A968DD" w:rsidRDefault="00A968DD" w:rsidP="00923EDB">
      <w:pPr>
        <w:ind w:left="0"/>
        <w:jc w:val="both"/>
        <w:rPr>
          <w:rFonts w:ascii="Bookman Old Style" w:hAnsi="Bookman Old Style"/>
        </w:rPr>
      </w:pPr>
    </w:p>
    <w:p w14:paraId="5C640C5E" w14:textId="77777777" w:rsidR="00A968DD" w:rsidRDefault="00A968DD" w:rsidP="00923EDB">
      <w:pPr>
        <w:ind w:left="0"/>
        <w:jc w:val="both"/>
        <w:rPr>
          <w:rFonts w:ascii="Bookman Old Style" w:hAnsi="Bookman Old Style"/>
        </w:rPr>
      </w:pPr>
      <w:r>
        <w:rPr>
          <w:rFonts w:ascii="Bookman Old Style" w:hAnsi="Bookman Old Style"/>
        </w:rPr>
        <w:t>Se publicó para comentarios la Resolución CREG 128 de 2018 con el cronograma para cumplir la entrega de información definida en la Resolución CREG 106 de 2011 para respaldar OEF con nueva infraestructura de gas natural importado para el período 2022-2023.</w:t>
      </w:r>
    </w:p>
    <w:p w14:paraId="053B5163" w14:textId="77777777" w:rsidR="002D5E2D" w:rsidRDefault="002D5E2D" w:rsidP="00923EDB">
      <w:pPr>
        <w:ind w:left="0"/>
        <w:jc w:val="both"/>
        <w:rPr>
          <w:rFonts w:ascii="Bookman Old Style" w:hAnsi="Bookman Old Style"/>
        </w:rPr>
      </w:pPr>
    </w:p>
    <w:p w14:paraId="4FADF145" w14:textId="3EF7901C" w:rsidR="002D5E2D" w:rsidRDefault="002D5E2D" w:rsidP="002D5E2D">
      <w:pPr>
        <w:ind w:left="0"/>
        <w:jc w:val="both"/>
        <w:rPr>
          <w:rFonts w:ascii="Bookman Old Style" w:hAnsi="Bookman Old Style"/>
        </w:rPr>
      </w:pPr>
      <w:r>
        <w:rPr>
          <w:rFonts w:ascii="Bookman Old Style" w:hAnsi="Bookman Old Style"/>
        </w:rPr>
        <w:t>Mediante la Resolución CREG 131 de 2018 se publicó para consulta la alternativa de respaldar OEF con gas líquidos del petróleo GLP.</w:t>
      </w:r>
    </w:p>
    <w:p w14:paraId="5F0DC7A5" w14:textId="77777777" w:rsidR="00A968DD" w:rsidRDefault="00A968DD" w:rsidP="00923EDB">
      <w:pPr>
        <w:ind w:left="0"/>
        <w:jc w:val="both"/>
        <w:rPr>
          <w:rFonts w:ascii="Bookman Old Style" w:hAnsi="Bookman Old Style"/>
        </w:rPr>
      </w:pPr>
    </w:p>
    <w:p w14:paraId="2EB0EE24" w14:textId="11F13303" w:rsidR="002D5E2D" w:rsidRDefault="002D5E2D" w:rsidP="00923EDB">
      <w:pPr>
        <w:ind w:left="0"/>
        <w:jc w:val="both"/>
        <w:rPr>
          <w:rFonts w:ascii="Bookman Old Style" w:hAnsi="Bookman Old Style"/>
        </w:rPr>
      </w:pPr>
      <w:r w:rsidRPr="00DA3DB9">
        <w:rPr>
          <w:rFonts w:ascii="Bookman Old Style" w:hAnsi="Bookman Old Style"/>
        </w:rPr>
        <w:t xml:space="preserve">Los análisis y respuesta a los comentarios recibidos </w:t>
      </w:r>
      <w:r>
        <w:rPr>
          <w:rFonts w:ascii="Bookman Old Style" w:hAnsi="Bookman Old Style"/>
        </w:rPr>
        <w:t xml:space="preserve">a las alternativas referidas </w:t>
      </w:r>
      <w:r w:rsidRPr="00DA3DB9">
        <w:rPr>
          <w:rFonts w:ascii="Bookman Old Style" w:hAnsi="Bookman Old Style"/>
        </w:rPr>
        <w:t xml:space="preserve">y demás elementos de juicio que sustenta las medidas que se adoptan </w:t>
      </w:r>
      <w:r>
        <w:rPr>
          <w:rFonts w:ascii="Bookman Old Style" w:hAnsi="Bookman Old Style"/>
        </w:rPr>
        <w:t>en</w:t>
      </w:r>
      <w:r w:rsidRPr="00DA3DB9">
        <w:rPr>
          <w:rFonts w:ascii="Bookman Old Style" w:hAnsi="Bookman Old Style"/>
        </w:rPr>
        <w:t xml:space="preserve"> esta resolución se presentan en la Documento CREG </w:t>
      </w:r>
      <w:r w:rsidR="005D3EC6">
        <w:rPr>
          <w:rFonts w:ascii="Bookman Old Style" w:hAnsi="Bookman Old Style"/>
        </w:rPr>
        <w:t xml:space="preserve">002 </w:t>
      </w:r>
      <w:r w:rsidRPr="00DA3DB9">
        <w:rPr>
          <w:rFonts w:ascii="Bookman Old Style" w:hAnsi="Bookman Old Style"/>
        </w:rPr>
        <w:t>de 2019.</w:t>
      </w:r>
    </w:p>
    <w:p w14:paraId="1F5A6597" w14:textId="77777777" w:rsidR="003B08D2" w:rsidRDefault="003B08D2" w:rsidP="00923EDB">
      <w:pPr>
        <w:ind w:left="0"/>
        <w:jc w:val="both"/>
        <w:rPr>
          <w:rFonts w:ascii="Bookman Old Style" w:hAnsi="Bookman Old Style"/>
        </w:rPr>
      </w:pPr>
    </w:p>
    <w:p w14:paraId="69F82343" w14:textId="77777777" w:rsidR="003B08D2" w:rsidRPr="003B08D2" w:rsidRDefault="003B08D2" w:rsidP="003B08D2">
      <w:pPr>
        <w:ind w:left="0"/>
        <w:jc w:val="both"/>
        <w:rPr>
          <w:rFonts w:ascii="Bookman Old Style" w:hAnsi="Bookman Old Style"/>
        </w:rPr>
      </w:pPr>
      <w:r w:rsidRPr="003B08D2">
        <w:rPr>
          <w:rFonts w:ascii="Bookman Old Style" w:hAnsi="Bookman Old Style"/>
        </w:rPr>
        <w:t>No se informó a la Superintendencia de Industria y Comercio sobre esta regulación, toda vez que se determinó que no plantea una restricción indebida a la libre competencia, en los términos previstos en el artículo 2.2.2.30.6, numeral 1 del Decreto 1074 de 2015.</w:t>
      </w:r>
    </w:p>
    <w:p w14:paraId="6F6DBBE2" w14:textId="77777777" w:rsidR="003B08D2" w:rsidRPr="003B08D2" w:rsidRDefault="003B08D2" w:rsidP="003B08D2">
      <w:pPr>
        <w:ind w:left="0"/>
        <w:jc w:val="both"/>
        <w:rPr>
          <w:rFonts w:ascii="Bookman Old Style" w:hAnsi="Bookman Old Style"/>
        </w:rPr>
      </w:pPr>
    </w:p>
    <w:p w14:paraId="67C0208C" w14:textId="77777777" w:rsidR="00A837FC" w:rsidRDefault="00A837FC" w:rsidP="003B08D2">
      <w:pPr>
        <w:ind w:left="0"/>
        <w:jc w:val="both"/>
        <w:rPr>
          <w:rFonts w:ascii="Bookman Old Style" w:hAnsi="Bookman Old Style"/>
        </w:rPr>
      </w:pPr>
    </w:p>
    <w:p w14:paraId="5FCDBCE5" w14:textId="647B42D7" w:rsidR="003B08D2" w:rsidRPr="003B08D2" w:rsidRDefault="003B08D2" w:rsidP="003B08D2">
      <w:pPr>
        <w:ind w:left="0"/>
        <w:jc w:val="both"/>
        <w:rPr>
          <w:rFonts w:ascii="Bookman Old Style" w:hAnsi="Bookman Old Style"/>
        </w:rPr>
      </w:pPr>
      <w:r w:rsidRPr="002D5E2D">
        <w:rPr>
          <w:rFonts w:ascii="Bookman Old Style" w:hAnsi="Bookman Old Style"/>
        </w:rPr>
        <w:t xml:space="preserve">La Comisión de Regulación de Energía y Gas en su sesión </w:t>
      </w:r>
      <w:r w:rsidR="002D5E2D" w:rsidRPr="00145A72">
        <w:rPr>
          <w:rFonts w:ascii="Bookman Old Style" w:hAnsi="Bookman Old Style"/>
        </w:rPr>
        <w:t>897</w:t>
      </w:r>
      <w:r w:rsidRPr="002D5E2D">
        <w:rPr>
          <w:rFonts w:ascii="Bookman Old Style" w:hAnsi="Bookman Old Style"/>
        </w:rPr>
        <w:t xml:space="preserve"> del </w:t>
      </w:r>
      <w:r w:rsidR="002D5E2D" w:rsidRPr="002D5E2D">
        <w:rPr>
          <w:rFonts w:ascii="Bookman Old Style" w:hAnsi="Bookman Old Style"/>
        </w:rPr>
        <w:t>14</w:t>
      </w:r>
      <w:r w:rsidRPr="003B08D2">
        <w:rPr>
          <w:rFonts w:ascii="Bookman Old Style" w:hAnsi="Bookman Old Style"/>
        </w:rPr>
        <w:t xml:space="preserve"> de enero de 2019 acordó expedir la siguiente resolución.</w:t>
      </w:r>
    </w:p>
    <w:p w14:paraId="72D47754" w14:textId="77777777" w:rsidR="003B08D2" w:rsidRDefault="003B08D2" w:rsidP="00923EDB">
      <w:pPr>
        <w:ind w:left="0"/>
        <w:jc w:val="both"/>
        <w:rPr>
          <w:rFonts w:ascii="Bookman Old Style" w:hAnsi="Bookman Old Style"/>
        </w:rPr>
      </w:pPr>
    </w:p>
    <w:p w14:paraId="0A9891DF" w14:textId="77777777" w:rsidR="00923EDB" w:rsidRDefault="00923EDB" w:rsidP="004412D3">
      <w:pPr>
        <w:ind w:left="0"/>
        <w:jc w:val="both"/>
        <w:rPr>
          <w:rFonts w:ascii="Bookman Old Style" w:hAnsi="Bookman Old Style" w:cs="Arial"/>
          <w:lang w:val="es-ES_tradnl"/>
        </w:rPr>
      </w:pPr>
    </w:p>
    <w:p w14:paraId="1A20CF50" w14:textId="77777777"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14:paraId="77BDE57C" w14:textId="77777777" w:rsidR="008C56A2" w:rsidRDefault="008C56A2" w:rsidP="00E060BE">
      <w:pPr>
        <w:tabs>
          <w:tab w:val="center" w:pos="4512"/>
          <w:tab w:val="left" w:pos="7088"/>
        </w:tabs>
        <w:suppressAutoHyphens/>
        <w:ind w:left="0" w:right="51"/>
        <w:rPr>
          <w:rFonts w:ascii="Bookman Old Style" w:hAnsi="Bookman Old Style" w:cs="Arial"/>
          <w:b/>
          <w:color w:val="000000"/>
        </w:rPr>
      </w:pPr>
    </w:p>
    <w:p w14:paraId="4B19B371" w14:textId="77777777" w:rsidR="00C75829" w:rsidRDefault="00C75829" w:rsidP="00F505A9">
      <w:pPr>
        <w:tabs>
          <w:tab w:val="center" w:pos="4512"/>
          <w:tab w:val="left" w:pos="7088"/>
        </w:tabs>
        <w:suppressAutoHyphens/>
        <w:ind w:left="0" w:right="51"/>
        <w:jc w:val="both"/>
        <w:rPr>
          <w:rFonts w:ascii="Bookman Old Style" w:hAnsi="Bookman Old Style" w:cs="Arial"/>
          <w:b/>
          <w:color w:val="000000"/>
        </w:rPr>
      </w:pPr>
    </w:p>
    <w:p w14:paraId="3405D762" w14:textId="77777777" w:rsidR="00C527FD"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B8746F">
        <w:rPr>
          <w:rFonts w:ascii="Bookman Old Style" w:hAnsi="Bookman Old Style" w:cs="Arial"/>
          <w:b/>
          <w:color w:val="000000"/>
        </w:rPr>
        <w:t xml:space="preserve">Cronograma para cumplir </w:t>
      </w:r>
      <w:r w:rsidR="00FF4C18">
        <w:rPr>
          <w:rFonts w:ascii="Bookman Old Style" w:hAnsi="Bookman Old Style" w:cs="Arial"/>
          <w:b/>
          <w:color w:val="000000"/>
        </w:rPr>
        <w:t xml:space="preserve">con </w:t>
      </w:r>
      <w:r w:rsidR="00ED7010">
        <w:rPr>
          <w:rFonts w:ascii="Bookman Old Style" w:hAnsi="Bookman Old Style" w:cs="Arial"/>
          <w:b/>
          <w:color w:val="000000"/>
        </w:rPr>
        <w:t xml:space="preserve">los </w:t>
      </w:r>
      <w:r w:rsidR="00FF4C18">
        <w:rPr>
          <w:rFonts w:ascii="Bookman Old Style" w:hAnsi="Bookman Old Style" w:cs="Arial"/>
          <w:b/>
          <w:color w:val="000000"/>
        </w:rPr>
        <w:t>artículo</w:t>
      </w:r>
      <w:r w:rsidR="00ED7010">
        <w:rPr>
          <w:rFonts w:ascii="Bookman Old Style" w:hAnsi="Bookman Old Style" w:cs="Arial"/>
          <w:b/>
          <w:color w:val="000000"/>
        </w:rPr>
        <w:t>s</w:t>
      </w:r>
      <w:r w:rsidR="00FF4C18">
        <w:rPr>
          <w:rFonts w:ascii="Bookman Old Style" w:hAnsi="Bookman Old Style" w:cs="Arial"/>
          <w:b/>
          <w:color w:val="000000"/>
        </w:rPr>
        <w:t xml:space="preserve"> </w:t>
      </w:r>
      <w:r w:rsidR="00ED7010">
        <w:rPr>
          <w:rFonts w:ascii="Bookman Old Style" w:hAnsi="Bookman Old Style" w:cs="Arial"/>
          <w:b/>
          <w:color w:val="000000"/>
        </w:rPr>
        <w:t xml:space="preserve">3 y </w:t>
      </w:r>
      <w:r w:rsidR="00FF4C18">
        <w:rPr>
          <w:rFonts w:ascii="Bookman Old Style" w:hAnsi="Bookman Old Style" w:cs="Arial"/>
          <w:b/>
          <w:color w:val="000000"/>
        </w:rPr>
        <w:t>4 de la Resolución CREG 106 de 2011 para respaldar OEF asignadas en la subasta 2022-2023</w:t>
      </w:r>
      <w:r w:rsidR="00ED7010">
        <w:rPr>
          <w:rFonts w:ascii="Bookman Old Style" w:hAnsi="Bookman Old Style" w:cs="Arial"/>
          <w:b/>
          <w:color w:val="000000"/>
        </w:rPr>
        <w:t xml:space="preserve"> con OPACGNI nueva</w:t>
      </w:r>
      <w:r w:rsidR="00DD5242">
        <w:rPr>
          <w:rFonts w:ascii="Bookman Old Style" w:hAnsi="Bookman Old Style" w:cs="Arial"/>
          <w:b/>
          <w:color w:val="000000"/>
        </w:rPr>
        <w:t xml:space="preserve">. </w:t>
      </w:r>
      <w:r w:rsidR="00DD5242">
        <w:rPr>
          <w:rFonts w:ascii="Bookman Old Style" w:hAnsi="Bookman Old Style" w:cs="Arial"/>
          <w:color w:val="000000"/>
        </w:rPr>
        <w:t xml:space="preserve">El </w:t>
      </w:r>
      <w:r w:rsidR="00ED7010">
        <w:rPr>
          <w:rFonts w:ascii="Bookman Old Style" w:hAnsi="Bookman Old Style" w:cs="Arial"/>
          <w:color w:val="000000"/>
        </w:rPr>
        <w:t xml:space="preserve">cronograma para cumplir con los artículos 3 y 4 de la Resolución CREG 106 de 2011 </w:t>
      </w:r>
      <w:r w:rsidR="00083EB2">
        <w:rPr>
          <w:rFonts w:ascii="Bookman Old Style" w:hAnsi="Bookman Old Style" w:cs="Arial"/>
          <w:color w:val="000000"/>
        </w:rPr>
        <w:t>para respaldar OEF asignadas en la subasta 2022-2023 con OPACGNI nueva será el siguiente:</w:t>
      </w:r>
    </w:p>
    <w:p w14:paraId="5F24A291" w14:textId="77777777" w:rsidR="00083EB2" w:rsidRDefault="00083EB2" w:rsidP="00F505A9">
      <w:pPr>
        <w:tabs>
          <w:tab w:val="center" w:pos="4512"/>
          <w:tab w:val="left" w:pos="7088"/>
        </w:tabs>
        <w:suppressAutoHyphens/>
        <w:ind w:left="0" w:right="51"/>
        <w:jc w:val="both"/>
        <w:rPr>
          <w:rFonts w:ascii="Bookman Old Style" w:hAnsi="Bookman Old Style" w:cs="Arial"/>
          <w:color w:val="000000"/>
        </w:rPr>
      </w:pPr>
    </w:p>
    <w:p w14:paraId="1B7D77F5" w14:textId="77777777" w:rsidR="00083EB2" w:rsidRDefault="00083EB2" w:rsidP="00083EB2">
      <w:pPr>
        <w:pStyle w:val="Prrafodelista"/>
        <w:numPr>
          <w:ilvl w:val="0"/>
          <w:numId w:val="33"/>
        </w:numPr>
        <w:tabs>
          <w:tab w:val="center" w:pos="4512"/>
          <w:tab w:val="left" w:pos="7088"/>
        </w:tabs>
        <w:suppressAutoHyphens/>
        <w:ind w:right="51"/>
        <w:jc w:val="both"/>
        <w:rPr>
          <w:rFonts w:ascii="Bookman Old Style" w:hAnsi="Bookman Old Style" w:cs="Arial"/>
          <w:color w:val="000000"/>
          <w:sz w:val="24"/>
        </w:rPr>
      </w:pPr>
      <w:r w:rsidRPr="00083EB2">
        <w:rPr>
          <w:rFonts w:ascii="Bookman Old Style" w:hAnsi="Bookman Old Style" w:cs="Arial"/>
          <w:b/>
          <w:color w:val="000000"/>
          <w:sz w:val="24"/>
        </w:rPr>
        <w:t>Requisitos para acogerse a la OPACGNI</w:t>
      </w:r>
      <w:r>
        <w:rPr>
          <w:rFonts w:ascii="Bookman Old Style" w:hAnsi="Bookman Old Style" w:cs="Arial"/>
          <w:b/>
          <w:color w:val="000000"/>
          <w:sz w:val="24"/>
        </w:rPr>
        <w:t>, artículo 3 de la Resolución CREG 106 de 2011</w:t>
      </w:r>
      <w:r>
        <w:rPr>
          <w:rFonts w:ascii="Bookman Old Style" w:hAnsi="Bookman Old Style" w:cs="Arial"/>
          <w:color w:val="000000"/>
          <w:sz w:val="24"/>
        </w:rPr>
        <w:t>. La manifestación escrita de que trata el artículo 3 de la Resolución CREG 106 de 2011 se deberá entregar a la CREG con copia a XM, en la misma fecha en que se hace entrega de las garantías, según el cronograma de la subasta definido en la Resolución CREG 104 de 2018.</w:t>
      </w:r>
    </w:p>
    <w:p w14:paraId="376FBF55" w14:textId="77777777" w:rsidR="00083EB2" w:rsidRPr="00083EB2" w:rsidRDefault="00083EB2" w:rsidP="00083EB2">
      <w:pPr>
        <w:tabs>
          <w:tab w:val="center" w:pos="4512"/>
          <w:tab w:val="left" w:pos="7088"/>
        </w:tabs>
        <w:suppressAutoHyphens/>
        <w:ind w:left="0" w:right="51"/>
        <w:jc w:val="both"/>
        <w:rPr>
          <w:rFonts w:ascii="Bookman Old Style" w:hAnsi="Bookman Old Style" w:cs="Arial"/>
          <w:color w:val="000000"/>
        </w:rPr>
      </w:pPr>
    </w:p>
    <w:p w14:paraId="550BE4BD" w14:textId="77777777" w:rsidR="00083EB2" w:rsidRDefault="002F4388" w:rsidP="00083EB2">
      <w:pPr>
        <w:pStyle w:val="Prrafodelista"/>
        <w:numPr>
          <w:ilvl w:val="0"/>
          <w:numId w:val="33"/>
        </w:numPr>
        <w:tabs>
          <w:tab w:val="center" w:pos="4512"/>
          <w:tab w:val="left" w:pos="7088"/>
        </w:tabs>
        <w:suppressAutoHyphens/>
        <w:ind w:right="51"/>
        <w:jc w:val="both"/>
        <w:rPr>
          <w:rFonts w:ascii="Bookman Old Style" w:hAnsi="Bookman Old Style" w:cs="Arial"/>
          <w:color w:val="000000"/>
          <w:sz w:val="24"/>
        </w:rPr>
      </w:pPr>
      <w:r w:rsidRPr="00855F4D">
        <w:rPr>
          <w:rFonts w:ascii="Bookman Old Style" w:hAnsi="Bookman Old Style" w:cs="Arial"/>
          <w:b/>
          <w:color w:val="000000"/>
          <w:sz w:val="24"/>
        </w:rPr>
        <w:t xml:space="preserve">Condiciones para respaldar </w:t>
      </w:r>
      <w:r w:rsidR="00855F4D" w:rsidRPr="00855F4D">
        <w:rPr>
          <w:rFonts w:ascii="Bookman Old Style" w:hAnsi="Bookman Old Style" w:cs="Arial"/>
          <w:b/>
          <w:color w:val="000000"/>
          <w:sz w:val="24"/>
        </w:rPr>
        <w:t>las OEF con gas natural importado cuando se requiera nueva infraestructura de importación, artículo 4 de la Resolución CREG 106 de 2011</w:t>
      </w:r>
      <w:r w:rsidR="00855F4D">
        <w:rPr>
          <w:rFonts w:ascii="Bookman Old Style" w:hAnsi="Bookman Old Style" w:cs="Arial"/>
          <w:color w:val="000000"/>
          <w:sz w:val="24"/>
        </w:rPr>
        <w:t>. Las fechas para cumplir con los requisitos señalados en el artículo 4 de la Resolución CREG 106 de 2011, con nueva infraestructura de importación de gas natural para respaldar las OEF asignadas en la subasta 2022-2023, son:</w:t>
      </w:r>
    </w:p>
    <w:p w14:paraId="4452FDBA" w14:textId="77777777" w:rsidR="00855F4D" w:rsidRPr="00855F4D" w:rsidRDefault="00855F4D" w:rsidP="00855F4D">
      <w:pPr>
        <w:pStyle w:val="Prrafodelista"/>
        <w:rPr>
          <w:rFonts w:ascii="Bookman Old Style" w:hAnsi="Bookman Old Style" w:cs="Arial"/>
          <w:color w:val="000000"/>
          <w:sz w:val="24"/>
        </w:rPr>
      </w:pPr>
    </w:p>
    <w:tbl>
      <w:tblPr>
        <w:tblStyle w:val="Cuadrculadetablaclara"/>
        <w:tblW w:w="7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335"/>
        <w:gridCol w:w="2840"/>
      </w:tblGrid>
      <w:tr w:rsidR="002F33E9" w14:paraId="280C168C" w14:textId="77777777" w:rsidTr="008D43A2">
        <w:trPr>
          <w:jc w:val="center"/>
        </w:trPr>
        <w:tc>
          <w:tcPr>
            <w:tcW w:w="1060" w:type="dxa"/>
          </w:tcPr>
          <w:p w14:paraId="3EDCA4F5" w14:textId="77777777" w:rsidR="002F33E9" w:rsidRPr="00855F4D" w:rsidRDefault="002F33E9" w:rsidP="00855F4D">
            <w:pPr>
              <w:tabs>
                <w:tab w:val="center" w:pos="4512"/>
                <w:tab w:val="left" w:pos="7088"/>
              </w:tabs>
              <w:suppressAutoHyphens/>
              <w:ind w:left="0" w:right="51"/>
              <w:jc w:val="center"/>
              <w:rPr>
                <w:rFonts w:ascii="Bookman Old Style" w:hAnsi="Bookman Old Style" w:cs="Arial"/>
                <w:b/>
                <w:color w:val="000000"/>
              </w:rPr>
            </w:pPr>
            <w:proofErr w:type="spellStart"/>
            <w:r>
              <w:rPr>
                <w:rFonts w:ascii="Bookman Old Style" w:hAnsi="Bookman Old Style" w:cs="Arial"/>
                <w:b/>
                <w:color w:val="000000"/>
              </w:rPr>
              <w:t>Item</w:t>
            </w:r>
            <w:proofErr w:type="spellEnd"/>
          </w:p>
        </w:tc>
        <w:tc>
          <w:tcPr>
            <w:tcW w:w="3335" w:type="dxa"/>
          </w:tcPr>
          <w:p w14:paraId="31B1236C" w14:textId="77777777" w:rsidR="002F33E9" w:rsidRPr="00855F4D" w:rsidRDefault="002F33E9" w:rsidP="00855F4D">
            <w:pPr>
              <w:tabs>
                <w:tab w:val="center" w:pos="4512"/>
                <w:tab w:val="left" w:pos="7088"/>
              </w:tabs>
              <w:suppressAutoHyphens/>
              <w:ind w:left="0" w:right="51"/>
              <w:jc w:val="center"/>
              <w:rPr>
                <w:rFonts w:ascii="Bookman Old Style" w:hAnsi="Bookman Old Style" w:cs="Arial"/>
                <w:b/>
                <w:color w:val="000000"/>
              </w:rPr>
            </w:pPr>
            <w:r w:rsidRPr="00855F4D">
              <w:rPr>
                <w:rFonts w:ascii="Bookman Old Style" w:hAnsi="Bookman Old Style" w:cs="Arial"/>
                <w:b/>
                <w:color w:val="000000"/>
              </w:rPr>
              <w:t>Requisito</w:t>
            </w:r>
          </w:p>
        </w:tc>
        <w:tc>
          <w:tcPr>
            <w:tcW w:w="2840" w:type="dxa"/>
          </w:tcPr>
          <w:p w14:paraId="73A8A698" w14:textId="77777777" w:rsidR="002F33E9" w:rsidRPr="00855F4D" w:rsidRDefault="002F33E9" w:rsidP="00855F4D">
            <w:pPr>
              <w:tabs>
                <w:tab w:val="center" w:pos="4512"/>
                <w:tab w:val="left" w:pos="7088"/>
              </w:tabs>
              <w:suppressAutoHyphens/>
              <w:ind w:left="0" w:right="51"/>
              <w:jc w:val="center"/>
              <w:rPr>
                <w:rFonts w:ascii="Bookman Old Style" w:hAnsi="Bookman Old Style" w:cs="Arial"/>
                <w:b/>
                <w:color w:val="000000"/>
              </w:rPr>
            </w:pPr>
            <w:r w:rsidRPr="00855F4D">
              <w:rPr>
                <w:rFonts w:ascii="Bookman Old Style" w:hAnsi="Bookman Old Style" w:cs="Arial"/>
                <w:b/>
                <w:color w:val="000000"/>
              </w:rPr>
              <w:t>Fecha</w:t>
            </w:r>
          </w:p>
        </w:tc>
      </w:tr>
      <w:tr w:rsidR="002F33E9" w14:paraId="1C5B3E8E" w14:textId="77777777" w:rsidTr="008D43A2">
        <w:trPr>
          <w:jc w:val="center"/>
        </w:trPr>
        <w:tc>
          <w:tcPr>
            <w:tcW w:w="1060" w:type="dxa"/>
          </w:tcPr>
          <w:p w14:paraId="72C9C01D" w14:textId="77777777" w:rsidR="002F33E9" w:rsidRPr="00585505" w:rsidRDefault="00585505" w:rsidP="002F33E9">
            <w:pPr>
              <w:tabs>
                <w:tab w:val="center" w:pos="4512"/>
                <w:tab w:val="left" w:pos="7088"/>
              </w:tabs>
              <w:suppressAutoHyphens/>
              <w:ind w:left="0" w:right="51"/>
              <w:jc w:val="center"/>
              <w:rPr>
                <w:rFonts w:ascii="Bookman Old Style" w:hAnsi="Bookman Old Style" w:cs="Arial"/>
                <w:b/>
                <w:bCs/>
                <w:caps/>
                <w:color w:val="000000"/>
                <w:sz w:val="22"/>
              </w:rPr>
            </w:pPr>
            <w:r w:rsidRPr="00585505">
              <w:rPr>
                <w:rFonts w:ascii="Bookman Old Style" w:hAnsi="Bookman Old Style" w:cs="Arial"/>
                <w:color w:val="000000"/>
                <w:sz w:val="22"/>
              </w:rPr>
              <w:t>i</w:t>
            </w:r>
            <w:r w:rsidR="002F33E9" w:rsidRPr="00585505">
              <w:rPr>
                <w:rFonts w:ascii="Bookman Old Style" w:hAnsi="Bookman Old Style" w:cs="Arial"/>
                <w:caps/>
                <w:color w:val="000000"/>
                <w:sz w:val="22"/>
              </w:rPr>
              <w:t>.</w:t>
            </w:r>
          </w:p>
        </w:tc>
        <w:tc>
          <w:tcPr>
            <w:tcW w:w="3335" w:type="dxa"/>
          </w:tcPr>
          <w:p w14:paraId="40DC0EC6" w14:textId="77777777" w:rsidR="002F33E9" w:rsidRPr="00585505" w:rsidRDefault="002F33E9" w:rsidP="002F33E9">
            <w:pPr>
              <w:ind w:left="0"/>
              <w:rPr>
                <w:rFonts w:ascii="Bookman Old Style" w:hAnsi="Bookman Old Style"/>
                <w:sz w:val="22"/>
              </w:rPr>
            </w:pPr>
            <w:r w:rsidRPr="00585505">
              <w:rPr>
                <w:rFonts w:ascii="Bookman Old Style" w:hAnsi="Bookman Old Style"/>
                <w:sz w:val="22"/>
              </w:rPr>
              <w:t>Organización</w:t>
            </w:r>
          </w:p>
        </w:tc>
        <w:tc>
          <w:tcPr>
            <w:tcW w:w="2840" w:type="dxa"/>
          </w:tcPr>
          <w:p w14:paraId="552F8DAE" w14:textId="77777777" w:rsidR="002F33E9" w:rsidRPr="00585505" w:rsidRDefault="00B45E42" w:rsidP="004C2031">
            <w:pPr>
              <w:ind w:left="0"/>
              <w:jc w:val="both"/>
              <w:rPr>
                <w:rFonts w:ascii="Bookman Old Style" w:hAnsi="Bookman Old Style" w:cs="Arial"/>
                <w:color w:val="000000"/>
                <w:sz w:val="22"/>
              </w:rPr>
            </w:pPr>
            <w:r>
              <w:rPr>
                <w:rFonts w:ascii="Bookman Old Style" w:hAnsi="Bookman Old Style" w:cs="Arial"/>
                <w:color w:val="000000"/>
                <w:sz w:val="22"/>
              </w:rPr>
              <w:t xml:space="preserve">Cuarenta </w:t>
            </w:r>
            <w:r w:rsidR="00AA7F2F">
              <w:rPr>
                <w:rFonts w:ascii="Bookman Old Style" w:hAnsi="Bookman Old Style" w:cs="Arial"/>
                <w:color w:val="000000"/>
                <w:sz w:val="22"/>
              </w:rPr>
              <w:t>(</w:t>
            </w:r>
            <w:r>
              <w:rPr>
                <w:rFonts w:ascii="Bookman Old Style" w:hAnsi="Bookman Old Style" w:cs="Arial"/>
                <w:color w:val="000000"/>
                <w:sz w:val="22"/>
              </w:rPr>
              <w:t>40</w:t>
            </w:r>
            <w:r w:rsidR="00AA7F2F">
              <w:rPr>
                <w:rFonts w:ascii="Bookman Old Style" w:hAnsi="Bookman Old Style" w:cs="Arial"/>
                <w:color w:val="000000"/>
                <w:sz w:val="22"/>
              </w:rPr>
              <w:t>) días hábiles después de la entrega de contratos, según cr</w:t>
            </w:r>
            <w:r w:rsidR="004C2031">
              <w:rPr>
                <w:rFonts w:ascii="Bookman Old Style" w:hAnsi="Bookman Old Style" w:cs="Arial"/>
                <w:color w:val="000000"/>
                <w:sz w:val="22"/>
              </w:rPr>
              <w:t>onograma de la Res. 104 de 2018 o la resolución que lo modifique.</w:t>
            </w:r>
          </w:p>
        </w:tc>
      </w:tr>
      <w:tr w:rsidR="002F33E9" w14:paraId="6AA0B3F8" w14:textId="77777777" w:rsidTr="008D43A2">
        <w:trPr>
          <w:jc w:val="center"/>
        </w:trPr>
        <w:tc>
          <w:tcPr>
            <w:tcW w:w="1060" w:type="dxa"/>
          </w:tcPr>
          <w:p w14:paraId="737B881A" w14:textId="77777777" w:rsidR="002F33E9" w:rsidRPr="00585505" w:rsidRDefault="00585505" w:rsidP="00585505">
            <w:pPr>
              <w:tabs>
                <w:tab w:val="center" w:pos="4512"/>
                <w:tab w:val="left" w:pos="7088"/>
              </w:tabs>
              <w:suppressAutoHyphens/>
              <w:ind w:left="0" w:right="51"/>
              <w:jc w:val="center"/>
              <w:rPr>
                <w:rFonts w:ascii="Bookman Old Style" w:hAnsi="Bookman Old Style" w:cs="Arial"/>
                <w:caps/>
                <w:color w:val="000000"/>
                <w:sz w:val="22"/>
              </w:rPr>
            </w:pPr>
            <w:r w:rsidRPr="00585505">
              <w:rPr>
                <w:rFonts w:ascii="Bookman Old Style" w:hAnsi="Bookman Old Style" w:cs="Arial"/>
                <w:color w:val="000000"/>
                <w:sz w:val="22"/>
              </w:rPr>
              <w:t>ii</w:t>
            </w:r>
            <w:r w:rsidR="002F33E9" w:rsidRPr="00585505">
              <w:rPr>
                <w:rFonts w:ascii="Bookman Old Style" w:hAnsi="Bookman Old Style" w:cs="Arial"/>
                <w:caps/>
                <w:color w:val="000000"/>
                <w:sz w:val="22"/>
              </w:rPr>
              <w:t>.</w:t>
            </w:r>
          </w:p>
        </w:tc>
        <w:tc>
          <w:tcPr>
            <w:tcW w:w="3335" w:type="dxa"/>
          </w:tcPr>
          <w:p w14:paraId="65214853" w14:textId="77777777" w:rsidR="002F33E9" w:rsidRPr="00585505" w:rsidRDefault="002F33E9" w:rsidP="002F33E9">
            <w:pPr>
              <w:ind w:left="0"/>
              <w:rPr>
                <w:rFonts w:ascii="Bookman Old Style" w:hAnsi="Bookman Old Style"/>
                <w:sz w:val="22"/>
              </w:rPr>
            </w:pPr>
            <w:r w:rsidRPr="00585505">
              <w:rPr>
                <w:rFonts w:ascii="Bookman Old Style" w:hAnsi="Bookman Old Style"/>
                <w:sz w:val="22"/>
              </w:rPr>
              <w:t>Esquema de selección</w:t>
            </w:r>
          </w:p>
        </w:tc>
        <w:tc>
          <w:tcPr>
            <w:tcW w:w="2840" w:type="dxa"/>
          </w:tcPr>
          <w:p w14:paraId="48E09429" w14:textId="77777777" w:rsidR="002F33E9" w:rsidRPr="00585505" w:rsidRDefault="00B45E42" w:rsidP="004C2031">
            <w:pPr>
              <w:ind w:left="0"/>
              <w:jc w:val="both"/>
              <w:rPr>
                <w:rFonts w:ascii="Bookman Old Style" w:hAnsi="Bookman Old Style" w:cs="Arial"/>
                <w:color w:val="000000"/>
                <w:sz w:val="22"/>
              </w:rPr>
            </w:pPr>
            <w:r>
              <w:rPr>
                <w:rFonts w:ascii="Bookman Old Style" w:hAnsi="Bookman Old Style" w:cs="Arial"/>
                <w:color w:val="000000"/>
                <w:sz w:val="22"/>
              </w:rPr>
              <w:t>Cuarenta (40) días hábiles después de la entrega de la organización.</w:t>
            </w:r>
          </w:p>
        </w:tc>
      </w:tr>
      <w:tr w:rsidR="002F33E9" w14:paraId="17A7327E" w14:textId="77777777" w:rsidTr="008D43A2">
        <w:trPr>
          <w:jc w:val="center"/>
        </w:trPr>
        <w:tc>
          <w:tcPr>
            <w:tcW w:w="1060" w:type="dxa"/>
          </w:tcPr>
          <w:p w14:paraId="32253172" w14:textId="77777777" w:rsidR="002F33E9" w:rsidRPr="00585505" w:rsidRDefault="00585505" w:rsidP="002F33E9">
            <w:pPr>
              <w:tabs>
                <w:tab w:val="center" w:pos="4512"/>
                <w:tab w:val="left" w:pos="7088"/>
              </w:tabs>
              <w:suppressAutoHyphens/>
              <w:ind w:left="0" w:right="51"/>
              <w:jc w:val="center"/>
              <w:rPr>
                <w:rFonts w:ascii="Bookman Old Style" w:hAnsi="Bookman Old Style" w:cs="Arial"/>
                <w:caps/>
                <w:color w:val="000000"/>
                <w:sz w:val="22"/>
              </w:rPr>
            </w:pPr>
            <w:r w:rsidRPr="00585505">
              <w:rPr>
                <w:rFonts w:ascii="Bookman Old Style" w:hAnsi="Bookman Old Style" w:cs="Arial"/>
                <w:color w:val="000000"/>
                <w:sz w:val="22"/>
              </w:rPr>
              <w:t>iii</w:t>
            </w:r>
            <w:r w:rsidR="002F33E9" w:rsidRPr="00585505">
              <w:rPr>
                <w:rFonts w:ascii="Bookman Old Style" w:hAnsi="Bookman Old Style" w:cs="Arial"/>
                <w:caps/>
                <w:color w:val="000000"/>
                <w:sz w:val="22"/>
              </w:rPr>
              <w:t>.</w:t>
            </w:r>
          </w:p>
        </w:tc>
        <w:tc>
          <w:tcPr>
            <w:tcW w:w="3335" w:type="dxa"/>
          </w:tcPr>
          <w:p w14:paraId="57E6C205" w14:textId="77777777" w:rsidR="002F33E9" w:rsidRPr="00585505" w:rsidRDefault="002F33E9" w:rsidP="002F33E9">
            <w:pPr>
              <w:ind w:left="0"/>
              <w:rPr>
                <w:rFonts w:ascii="Bookman Old Style" w:hAnsi="Bookman Old Style"/>
                <w:sz w:val="22"/>
              </w:rPr>
            </w:pPr>
            <w:r w:rsidRPr="00585505">
              <w:rPr>
                <w:rFonts w:ascii="Bookman Old Style" w:hAnsi="Bookman Old Style"/>
                <w:sz w:val="22"/>
              </w:rPr>
              <w:t>Construcción y operación de la infraestructura de importación</w:t>
            </w:r>
          </w:p>
        </w:tc>
        <w:tc>
          <w:tcPr>
            <w:tcW w:w="2840" w:type="dxa"/>
          </w:tcPr>
          <w:p w14:paraId="4AAE3154" w14:textId="77777777" w:rsidR="002F33E9" w:rsidRPr="00585505" w:rsidRDefault="00B45E42" w:rsidP="004C2031">
            <w:pPr>
              <w:ind w:left="0"/>
              <w:jc w:val="both"/>
              <w:rPr>
                <w:rFonts w:ascii="Bookman Old Style" w:hAnsi="Bookman Old Style" w:cs="Arial"/>
                <w:color w:val="000000"/>
                <w:sz w:val="22"/>
              </w:rPr>
            </w:pPr>
            <w:r>
              <w:rPr>
                <w:rFonts w:ascii="Bookman Old Style" w:hAnsi="Bookman Old Style" w:cs="Arial"/>
                <w:color w:val="000000"/>
                <w:sz w:val="22"/>
              </w:rPr>
              <w:t>Ciento nueve (109) días hábiles después de la entrega del esquema de selección.</w:t>
            </w:r>
          </w:p>
        </w:tc>
      </w:tr>
      <w:tr w:rsidR="005047AF" w14:paraId="5953068F" w14:textId="77777777" w:rsidTr="008D43A2">
        <w:trPr>
          <w:jc w:val="center"/>
        </w:trPr>
        <w:tc>
          <w:tcPr>
            <w:tcW w:w="1060" w:type="dxa"/>
          </w:tcPr>
          <w:p w14:paraId="0448D07D" w14:textId="77777777" w:rsidR="005047AF" w:rsidRPr="00585505" w:rsidRDefault="00585505" w:rsidP="002F33E9">
            <w:pPr>
              <w:tabs>
                <w:tab w:val="center" w:pos="4512"/>
                <w:tab w:val="left" w:pos="7088"/>
              </w:tabs>
              <w:suppressAutoHyphens/>
              <w:ind w:left="0" w:right="51"/>
              <w:jc w:val="center"/>
              <w:rPr>
                <w:rFonts w:ascii="Bookman Old Style" w:hAnsi="Bookman Old Style" w:cs="Arial"/>
                <w:caps/>
                <w:color w:val="000000"/>
                <w:sz w:val="22"/>
              </w:rPr>
            </w:pPr>
            <w:r w:rsidRPr="00585505">
              <w:rPr>
                <w:rFonts w:ascii="Bookman Old Style" w:hAnsi="Bookman Old Style" w:cs="Arial"/>
                <w:color w:val="000000"/>
                <w:sz w:val="22"/>
              </w:rPr>
              <w:t>iv</w:t>
            </w:r>
            <w:r w:rsidR="005047AF" w:rsidRPr="00585505">
              <w:rPr>
                <w:rFonts w:ascii="Bookman Old Style" w:hAnsi="Bookman Old Style" w:cs="Arial"/>
                <w:caps/>
                <w:color w:val="000000"/>
                <w:sz w:val="22"/>
              </w:rPr>
              <w:t>.</w:t>
            </w:r>
          </w:p>
        </w:tc>
        <w:tc>
          <w:tcPr>
            <w:tcW w:w="3335" w:type="dxa"/>
          </w:tcPr>
          <w:p w14:paraId="7872EE2C" w14:textId="77777777" w:rsidR="005047AF" w:rsidRPr="00585505" w:rsidRDefault="005047AF" w:rsidP="002F33E9">
            <w:pPr>
              <w:ind w:left="0"/>
              <w:rPr>
                <w:rFonts w:ascii="Bookman Old Style" w:hAnsi="Bookman Old Style"/>
                <w:sz w:val="22"/>
              </w:rPr>
            </w:pPr>
            <w:r w:rsidRPr="00585505">
              <w:rPr>
                <w:rFonts w:ascii="Bookman Old Style" w:hAnsi="Bookman Old Style"/>
                <w:sz w:val="22"/>
              </w:rPr>
              <w:t>Contratos de suministro y transporte de gas</w:t>
            </w:r>
          </w:p>
        </w:tc>
        <w:tc>
          <w:tcPr>
            <w:tcW w:w="2840" w:type="dxa"/>
          </w:tcPr>
          <w:p w14:paraId="6C2818F9" w14:textId="77777777" w:rsidR="005047AF" w:rsidRPr="00585505" w:rsidRDefault="00AA7F2F" w:rsidP="004C2031">
            <w:pPr>
              <w:ind w:left="0"/>
              <w:jc w:val="both"/>
              <w:rPr>
                <w:rFonts w:ascii="Bookman Old Style" w:hAnsi="Bookman Old Style" w:cs="Arial"/>
                <w:color w:val="000000"/>
                <w:sz w:val="22"/>
              </w:rPr>
            </w:pPr>
            <w:r>
              <w:rPr>
                <w:rFonts w:ascii="Bookman Old Style" w:hAnsi="Bookman Old Style" w:cs="Arial"/>
                <w:color w:val="000000"/>
                <w:sz w:val="22"/>
              </w:rPr>
              <w:t>Una (1) año antes del período de inicio de las obligaciones</w:t>
            </w:r>
            <w:r w:rsidR="004C2031">
              <w:rPr>
                <w:rFonts w:ascii="Bookman Old Style" w:hAnsi="Bookman Old Style" w:cs="Arial"/>
                <w:color w:val="000000"/>
                <w:sz w:val="22"/>
              </w:rPr>
              <w:t>.</w:t>
            </w:r>
          </w:p>
        </w:tc>
      </w:tr>
    </w:tbl>
    <w:p w14:paraId="612F90C3" w14:textId="77777777" w:rsidR="00855F4D" w:rsidRDefault="00855F4D" w:rsidP="005047AF">
      <w:pPr>
        <w:tabs>
          <w:tab w:val="center" w:pos="4512"/>
          <w:tab w:val="left" w:pos="7088"/>
        </w:tabs>
        <w:suppressAutoHyphens/>
        <w:ind w:left="0" w:right="51"/>
        <w:jc w:val="both"/>
        <w:rPr>
          <w:rFonts w:ascii="Bookman Old Style" w:hAnsi="Bookman Old Style" w:cs="Arial"/>
          <w:color w:val="000000"/>
        </w:rPr>
      </w:pPr>
    </w:p>
    <w:p w14:paraId="78D1697F" w14:textId="274B6491" w:rsidR="005047AF" w:rsidRDefault="005047AF" w:rsidP="005047AF">
      <w:pPr>
        <w:tabs>
          <w:tab w:val="center" w:pos="4512"/>
          <w:tab w:val="left" w:pos="7088"/>
        </w:tabs>
        <w:suppressAutoHyphens/>
        <w:ind w:left="0" w:right="51"/>
        <w:jc w:val="both"/>
        <w:rPr>
          <w:rFonts w:ascii="Bookman Old Style" w:hAnsi="Bookman Old Style" w:cs="Arial"/>
          <w:color w:val="000000"/>
        </w:rPr>
      </w:pPr>
      <w:r w:rsidRPr="005047AF">
        <w:rPr>
          <w:rFonts w:ascii="Bookman Old Style" w:hAnsi="Bookman Old Style" w:cs="Arial"/>
          <w:b/>
          <w:color w:val="000000"/>
        </w:rPr>
        <w:t>Parágrafo</w:t>
      </w:r>
      <w:r>
        <w:rPr>
          <w:rFonts w:ascii="Bookman Old Style" w:hAnsi="Bookman Old Style" w:cs="Arial"/>
          <w:color w:val="000000"/>
        </w:rPr>
        <w:t xml:space="preserve">. Los agentes que respalden OEF asignadas en la subasta 2022-2023 con nueva </w:t>
      </w:r>
      <w:r w:rsidR="00D946C2">
        <w:rPr>
          <w:rFonts w:ascii="Bookman Old Style" w:hAnsi="Bookman Old Style" w:cs="Arial"/>
          <w:color w:val="000000"/>
        </w:rPr>
        <w:t>infraestructura de importación</w:t>
      </w:r>
      <w:r w:rsidR="00BB784E">
        <w:rPr>
          <w:rFonts w:ascii="Bookman Old Style" w:hAnsi="Bookman Old Style" w:cs="Arial"/>
          <w:color w:val="000000"/>
        </w:rPr>
        <w:t xml:space="preserve"> </w:t>
      </w:r>
      <w:r>
        <w:rPr>
          <w:rFonts w:ascii="Bookman Old Style" w:hAnsi="Bookman Old Style" w:cs="Arial"/>
          <w:color w:val="000000"/>
        </w:rPr>
        <w:t>deberán cumplir con todo lo señalado en</w:t>
      </w:r>
      <w:r w:rsidR="00D20A3C">
        <w:rPr>
          <w:rFonts w:ascii="Bookman Old Style" w:hAnsi="Bookman Old Style" w:cs="Arial"/>
          <w:color w:val="000000"/>
        </w:rPr>
        <w:t xml:space="preserve"> la Resolución CREG 106 de 2011, bien sea que la infraestructura de regasificación sea contratada con un tercero o sea desarrollada directamente por el generador.</w:t>
      </w:r>
    </w:p>
    <w:p w14:paraId="14C9131E" w14:textId="77777777" w:rsidR="005047AF" w:rsidRPr="00855F4D" w:rsidRDefault="005047AF" w:rsidP="005047AF">
      <w:pPr>
        <w:tabs>
          <w:tab w:val="center" w:pos="4512"/>
          <w:tab w:val="left" w:pos="7088"/>
        </w:tabs>
        <w:suppressAutoHyphens/>
        <w:ind w:left="0" w:right="51"/>
        <w:jc w:val="both"/>
        <w:rPr>
          <w:rFonts w:ascii="Bookman Old Style" w:hAnsi="Bookman Old Style" w:cs="Arial"/>
          <w:color w:val="000000"/>
        </w:rPr>
      </w:pPr>
    </w:p>
    <w:p w14:paraId="00EF219F" w14:textId="77777777" w:rsidR="001820AD" w:rsidRPr="005047AF" w:rsidRDefault="005047AF" w:rsidP="005047AF">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Artículo 2. Asignación de OEF a plantas térmicas que se acojan a la OPACGNI con nueva infraestructura de importación de gas natural, artículo 7 de la Resolución CREG 106 de 2011.</w:t>
      </w:r>
      <w:r>
        <w:rPr>
          <w:rFonts w:ascii="Bookman Old Style" w:hAnsi="Bookman Old Style" w:cs="Arial"/>
          <w:color w:val="000000"/>
        </w:rPr>
        <w:t xml:space="preserve"> Las plantas y/o unidades térmicas que se acojan a la OPACGNI con nueva infraestructura de importación </w:t>
      </w:r>
      <w:r w:rsidR="00D27BA6">
        <w:rPr>
          <w:rFonts w:ascii="Bookman Old Style" w:hAnsi="Bookman Old Style" w:cs="Arial"/>
          <w:color w:val="000000"/>
        </w:rPr>
        <w:t xml:space="preserve">para respaldar las asignaciones de OEF de la subasta 2022-2023, </w:t>
      </w:r>
      <w:r>
        <w:rPr>
          <w:rFonts w:ascii="Bookman Old Style" w:hAnsi="Bookman Old Style" w:cs="Arial"/>
          <w:color w:val="000000"/>
        </w:rPr>
        <w:t xml:space="preserve">podrán seleccionar el Período de Vigencia de la Obligación de acuerdo con el período definido en la Resolución CREG 071 de 2006 según </w:t>
      </w:r>
      <w:r w:rsidR="00D27BA6">
        <w:rPr>
          <w:rFonts w:ascii="Bookman Old Style" w:hAnsi="Bookman Old Style" w:cs="Arial"/>
          <w:color w:val="000000"/>
        </w:rPr>
        <w:t xml:space="preserve">el tipo de planta. </w:t>
      </w:r>
    </w:p>
    <w:p w14:paraId="70E97B51" w14:textId="77777777" w:rsidR="005D189D" w:rsidRDefault="005D189D" w:rsidP="002E0C73">
      <w:pPr>
        <w:tabs>
          <w:tab w:val="center" w:pos="709"/>
        </w:tabs>
        <w:suppressAutoHyphens/>
        <w:ind w:left="0" w:right="51"/>
        <w:jc w:val="both"/>
        <w:rPr>
          <w:rFonts w:ascii="Bookman Old Style" w:hAnsi="Bookman Old Style" w:cs="Arial"/>
          <w:b/>
          <w:color w:val="000000"/>
          <w:lang w:val="es-CO"/>
        </w:rPr>
      </w:pPr>
    </w:p>
    <w:p w14:paraId="482CD939" w14:textId="77777777" w:rsidR="008259B8" w:rsidRDefault="008259B8" w:rsidP="008259B8">
      <w:pPr>
        <w:tabs>
          <w:tab w:val="center" w:pos="709"/>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3. Cronograma para cumplir con </w:t>
      </w:r>
      <w:r w:rsidR="004C2031">
        <w:rPr>
          <w:rFonts w:ascii="Bookman Old Style" w:hAnsi="Bookman Old Style" w:cs="Arial"/>
          <w:b/>
          <w:color w:val="000000"/>
        </w:rPr>
        <w:t xml:space="preserve">las obligaciones establecidas </w:t>
      </w:r>
      <w:r>
        <w:rPr>
          <w:rFonts w:ascii="Bookman Old Style" w:hAnsi="Bookman Old Style" w:cs="Arial"/>
          <w:b/>
          <w:color w:val="000000"/>
        </w:rPr>
        <w:t>para respaldar OEF asignadas en la subasta 2022-2023 con nueva infraestructura de importación de GLP.</w:t>
      </w:r>
      <w:r>
        <w:rPr>
          <w:rFonts w:ascii="Bookman Old Style" w:hAnsi="Bookman Old Style" w:cs="Arial"/>
          <w:color w:val="000000"/>
        </w:rPr>
        <w:t xml:space="preserve"> El cronograma para cumplir con </w:t>
      </w:r>
      <w:r w:rsidR="00986875">
        <w:rPr>
          <w:rFonts w:ascii="Bookman Old Style" w:hAnsi="Bookman Old Style" w:cs="Arial"/>
          <w:color w:val="000000"/>
        </w:rPr>
        <w:t xml:space="preserve">las obligaciones establecidas </w:t>
      </w:r>
      <w:r>
        <w:rPr>
          <w:rFonts w:ascii="Bookman Old Style" w:hAnsi="Bookman Old Style" w:cs="Arial"/>
          <w:color w:val="000000"/>
        </w:rPr>
        <w:t>para respaldar OEF asignadas en la subasta 2022-2023 con nueva infraestructura de importación de GLP será:</w:t>
      </w:r>
    </w:p>
    <w:p w14:paraId="7B963C64" w14:textId="77777777" w:rsidR="008259B8" w:rsidRDefault="008259B8" w:rsidP="008259B8">
      <w:pPr>
        <w:tabs>
          <w:tab w:val="center" w:pos="709"/>
        </w:tabs>
        <w:suppressAutoHyphens/>
        <w:ind w:left="0" w:right="51"/>
        <w:jc w:val="both"/>
        <w:rPr>
          <w:rFonts w:ascii="Bookman Old Style" w:hAnsi="Bookman Old Style" w:cs="Arial"/>
          <w:color w:val="000000"/>
        </w:rPr>
      </w:pPr>
    </w:p>
    <w:tbl>
      <w:tblPr>
        <w:tblStyle w:val="Cuadrculadetablaclara"/>
        <w:tblW w:w="7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335"/>
        <w:gridCol w:w="2840"/>
      </w:tblGrid>
      <w:tr w:rsidR="008259B8" w:rsidRPr="00855F4D" w14:paraId="0A809605" w14:textId="77777777" w:rsidTr="008D43A2">
        <w:trPr>
          <w:jc w:val="center"/>
        </w:trPr>
        <w:tc>
          <w:tcPr>
            <w:tcW w:w="1060" w:type="dxa"/>
          </w:tcPr>
          <w:p w14:paraId="4D97BC9E" w14:textId="77777777" w:rsidR="008259B8" w:rsidRPr="00855F4D" w:rsidRDefault="008259B8" w:rsidP="009213BD">
            <w:pPr>
              <w:tabs>
                <w:tab w:val="center" w:pos="4512"/>
                <w:tab w:val="left" w:pos="7088"/>
              </w:tabs>
              <w:suppressAutoHyphens/>
              <w:ind w:left="0" w:right="51"/>
              <w:jc w:val="center"/>
              <w:rPr>
                <w:rFonts w:ascii="Bookman Old Style" w:hAnsi="Bookman Old Style" w:cs="Arial"/>
                <w:b/>
                <w:color w:val="000000"/>
              </w:rPr>
            </w:pPr>
            <w:proofErr w:type="spellStart"/>
            <w:r>
              <w:rPr>
                <w:rFonts w:ascii="Bookman Old Style" w:hAnsi="Bookman Old Style" w:cs="Arial"/>
                <w:b/>
                <w:color w:val="000000"/>
              </w:rPr>
              <w:t>Item</w:t>
            </w:r>
            <w:proofErr w:type="spellEnd"/>
          </w:p>
        </w:tc>
        <w:tc>
          <w:tcPr>
            <w:tcW w:w="3335" w:type="dxa"/>
          </w:tcPr>
          <w:p w14:paraId="512BCFA4" w14:textId="77777777" w:rsidR="008259B8" w:rsidRPr="00855F4D" w:rsidRDefault="008259B8" w:rsidP="009213BD">
            <w:pPr>
              <w:tabs>
                <w:tab w:val="center" w:pos="4512"/>
                <w:tab w:val="left" w:pos="7088"/>
              </w:tabs>
              <w:suppressAutoHyphens/>
              <w:ind w:left="0" w:right="51"/>
              <w:jc w:val="center"/>
              <w:rPr>
                <w:rFonts w:ascii="Bookman Old Style" w:hAnsi="Bookman Old Style" w:cs="Arial"/>
                <w:b/>
                <w:color w:val="000000"/>
              </w:rPr>
            </w:pPr>
            <w:r w:rsidRPr="00855F4D">
              <w:rPr>
                <w:rFonts w:ascii="Bookman Old Style" w:hAnsi="Bookman Old Style" w:cs="Arial"/>
                <w:b/>
                <w:color w:val="000000"/>
              </w:rPr>
              <w:t>Requisito</w:t>
            </w:r>
          </w:p>
        </w:tc>
        <w:tc>
          <w:tcPr>
            <w:tcW w:w="2840" w:type="dxa"/>
          </w:tcPr>
          <w:p w14:paraId="18C9A30B" w14:textId="77777777" w:rsidR="008259B8" w:rsidRPr="00855F4D" w:rsidRDefault="008259B8" w:rsidP="009213BD">
            <w:pPr>
              <w:tabs>
                <w:tab w:val="center" w:pos="4512"/>
                <w:tab w:val="left" w:pos="7088"/>
              </w:tabs>
              <w:suppressAutoHyphens/>
              <w:ind w:left="0" w:right="51"/>
              <w:jc w:val="center"/>
              <w:rPr>
                <w:rFonts w:ascii="Bookman Old Style" w:hAnsi="Bookman Old Style" w:cs="Arial"/>
                <w:b/>
                <w:color w:val="000000"/>
              </w:rPr>
            </w:pPr>
            <w:r w:rsidRPr="00855F4D">
              <w:rPr>
                <w:rFonts w:ascii="Bookman Old Style" w:hAnsi="Bookman Old Style" w:cs="Arial"/>
                <w:b/>
                <w:color w:val="000000"/>
              </w:rPr>
              <w:t>Fecha</w:t>
            </w:r>
          </w:p>
        </w:tc>
      </w:tr>
      <w:tr w:rsidR="008259B8" w:rsidRPr="00585505" w14:paraId="67488AB5" w14:textId="77777777" w:rsidTr="008D43A2">
        <w:trPr>
          <w:jc w:val="center"/>
        </w:trPr>
        <w:tc>
          <w:tcPr>
            <w:tcW w:w="1060" w:type="dxa"/>
          </w:tcPr>
          <w:p w14:paraId="0207FA10" w14:textId="77777777" w:rsidR="008259B8" w:rsidRPr="00585505" w:rsidRDefault="008259B8" w:rsidP="009213BD">
            <w:pPr>
              <w:tabs>
                <w:tab w:val="center" w:pos="4512"/>
                <w:tab w:val="left" w:pos="7088"/>
              </w:tabs>
              <w:suppressAutoHyphens/>
              <w:ind w:left="0" w:right="51"/>
              <w:jc w:val="center"/>
              <w:rPr>
                <w:rFonts w:ascii="Bookman Old Style" w:hAnsi="Bookman Old Style" w:cs="Arial"/>
                <w:b/>
                <w:bCs/>
                <w:caps/>
                <w:color w:val="000000"/>
                <w:sz w:val="22"/>
              </w:rPr>
            </w:pPr>
            <w:r w:rsidRPr="00585505">
              <w:rPr>
                <w:rFonts w:ascii="Bookman Old Style" w:hAnsi="Bookman Old Style" w:cs="Arial"/>
                <w:color w:val="000000"/>
                <w:sz w:val="22"/>
              </w:rPr>
              <w:t>i</w:t>
            </w:r>
            <w:r w:rsidRPr="00585505">
              <w:rPr>
                <w:rFonts w:ascii="Bookman Old Style" w:hAnsi="Bookman Old Style" w:cs="Arial"/>
                <w:caps/>
                <w:color w:val="000000"/>
                <w:sz w:val="22"/>
              </w:rPr>
              <w:t>.</w:t>
            </w:r>
          </w:p>
        </w:tc>
        <w:tc>
          <w:tcPr>
            <w:tcW w:w="3335" w:type="dxa"/>
          </w:tcPr>
          <w:p w14:paraId="0710ECCA" w14:textId="77777777" w:rsidR="008259B8" w:rsidRDefault="008259B8" w:rsidP="007B483A">
            <w:pPr>
              <w:ind w:left="0"/>
              <w:jc w:val="both"/>
              <w:rPr>
                <w:rFonts w:ascii="Bookman Old Style" w:hAnsi="Bookman Old Style"/>
                <w:sz w:val="22"/>
              </w:rPr>
            </w:pPr>
            <w:r>
              <w:rPr>
                <w:rFonts w:ascii="Bookman Old Style" w:hAnsi="Bookman Old Style"/>
                <w:sz w:val="22"/>
              </w:rPr>
              <w:t>Curva S y cronograma de con</w:t>
            </w:r>
            <w:r w:rsidR="004C2031">
              <w:rPr>
                <w:rFonts w:ascii="Bookman Old Style" w:hAnsi="Bookman Old Style"/>
                <w:sz w:val="22"/>
              </w:rPr>
              <w:t>s</w:t>
            </w:r>
            <w:r>
              <w:rPr>
                <w:rFonts w:ascii="Bookman Old Style" w:hAnsi="Bookman Old Style"/>
                <w:sz w:val="22"/>
              </w:rPr>
              <w:t>trucción</w:t>
            </w:r>
            <w:r w:rsidR="007B483A">
              <w:rPr>
                <w:rFonts w:ascii="Bookman Old Style" w:hAnsi="Bookman Old Style"/>
                <w:sz w:val="22"/>
              </w:rPr>
              <w:t>.</w:t>
            </w:r>
          </w:p>
          <w:p w14:paraId="2F58C4F9" w14:textId="77777777" w:rsidR="007B483A" w:rsidRDefault="007B483A" w:rsidP="007B483A">
            <w:pPr>
              <w:ind w:left="0"/>
              <w:jc w:val="both"/>
              <w:rPr>
                <w:rFonts w:ascii="Bookman Old Style" w:hAnsi="Bookman Old Style"/>
                <w:sz w:val="22"/>
              </w:rPr>
            </w:pPr>
          </w:p>
          <w:p w14:paraId="7B8948C7" w14:textId="35E7B60F" w:rsidR="007B483A" w:rsidRPr="00585505" w:rsidRDefault="007B483A">
            <w:pPr>
              <w:ind w:left="0"/>
              <w:jc w:val="both"/>
              <w:rPr>
                <w:rFonts w:ascii="Bookman Old Style" w:hAnsi="Bookman Old Style"/>
                <w:sz w:val="22"/>
              </w:rPr>
            </w:pPr>
            <w:r>
              <w:rPr>
                <w:rFonts w:ascii="Bookman Old Style" w:hAnsi="Bookman Old Style"/>
                <w:sz w:val="22"/>
              </w:rPr>
              <w:t xml:space="preserve">Numeral 2 del artículo </w:t>
            </w:r>
            <w:r w:rsidR="00583BD5">
              <w:rPr>
                <w:rFonts w:ascii="Bookman Old Style" w:hAnsi="Bookman Old Style"/>
                <w:sz w:val="22"/>
              </w:rPr>
              <w:t xml:space="preserve">3 </w:t>
            </w:r>
            <w:r>
              <w:rPr>
                <w:rFonts w:ascii="Bookman Old Style" w:hAnsi="Bookman Old Style"/>
                <w:sz w:val="22"/>
              </w:rPr>
              <w:t xml:space="preserve">de la Resolución CREG </w:t>
            </w:r>
            <w:r w:rsidR="00BB784E" w:rsidRPr="00145A72">
              <w:rPr>
                <w:rFonts w:ascii="Bookman Old Style" w:hAnsi="Bookman Old Style"/>
                <w:sz w:val="22"/>
              </w:rPr>
              <w:t>002</w:t>
            </w:r>
            <w:r>
              <w:rPr>
                <w:rFonts w:ascii="Bookman Old Style" w:hAnsi="Bookman Old Style"/>
                <w:sz w:val="22"/>
              </w:rPr>
              <w:t xml:space="preserve"> de 2019.</w:t>
            </w:r>
          </w:p>
        </w:tc>
        <w:tc>
          <w:tcPr>
            <w:tcW w:w="2840" w:type="dxa"/>
          </w:tcPr>
          <w:p w14:paraId="5CBA046C" w14:textId="77777777" w:rsidR="008259B8" w:rsidRPr="00585505" w:rsidRDefault="008259B8" w:rsidP="007B483A">
            <w:pPr>
              <w:ind w:left="0"/>
              <w:jc w:val="both"/>
              <w:rPr>
                <w:rFonts w:ascii="Bookman Old Style" w:hAnsi="Bookman Old Style" w:cs="Arial"/>
                <w:color w:val="000000"/>
                <w:sz w:val="22"/>
              </w:rPr>
            </w:pPr>
            <w:r>
              <w:rPr>
                <w:rFonts w:ascii="Bookman Old Style" w:hAnsi="Bookman Old Style" w:cs="Arial"/>
                <w:color w:val="000000"/>
                <w:sz w:val="22"/>
              </w:rPr>
              <w:t xml:space="preserve">Ciento ochenta </w:t>
            </w:r>
            <w:r w:rsidR="004C2031">
              <w:rPr>
                <w:rFonts w:ascii="Bookman Old Style" w:hAnsi="Bookman Old Style" w:cs="Arial"/>
                <w:color w:val="000000"/>
                <w:sz w:val="22"/>
              </w:rPr>
              <w:t xml:space="preserve">y nueva </w:t>
            </w:r>
            <w:r>
              <w:rPr>
                <w:rFonts w:ascii="Bookman Old Style" w:hAnsi="Bookman Old Style" w:cs="Arial"/>
                <w:color w:val="000000"/>
                <w:sz w:val="22"/>
              </w:rPr>
              <w:t>día</w:t>
            </w:r>
            <w:r w:rsidR="004C2031">
              <w:rPr>
                <w:rFonts w:ascii="Bookman Old Style" w:hAnsi="Bookman Old Style" w:cs="Arial"/>
                <w:color w:val="000000"/>
                <w:sz w:val="22"/>
              </w:rPr>
              <w:t>s</w:t>
            </w:r>
            <w:r>
              <w:rPr>
                <w:rFonts w:ascii="Bookman Old Style" w:hAnsi="Bookman Old Style" w:cs="Arial"/>
                <w:color w:val="000000"/>
                <w:sz w:val="22"/>
              </w:rPr>
              <w:t xml:space="preserve"> (</w:t>
            </w:r>
            <w:r w:rsidR="004C2031">
              <w:rPr>
                <w:rFonts w:ascii="Bookman Old Style" w:hAnsi="Bookman Old Style" w:cs="Arial"/>
                <w:color w:val="000000"/>
                <w:sz w:val="22"/>
              </w:rPr>
              <w:t>189</w:t>
            </w:r>
            <w:r>
              <w:rPr>
                <w:rFonts w:ascii="Bookman Old Style" w:hAnsi="Bookman Old Style" w:cs="Arial"/>
                <w:color w:val="000000"/>
                <w:sz w:val="22"/>
              </w:rPr>
              <w:t>) días hábiles después de la entrega de contratos, según cr</w:t>
            </w:r>
            <w:r w:rsidR="004C2031">
              <w:rPr>
                <w:rFonts w:ascii="Bookman Old Style" w:hAnsi="Bookman Old Style" w:cs="Arial"/>
                <w:color w:val="000000"/>
                <w:sz w:val="22"/>
              </w:rPr>
              <w:t>onograma de la Res. 104 de 2018 o la resolución que lo modifique.</w:t>
            </w:r>
          </w:p>
        </w:tc>
      </w:tr>
      <w:tr w:rsidR="008259B8" w:rsidRPr="00585505" w14:paraId="47264B36" w14:textId="77777777" w:rsidTr="008D43A2">
        <w:trPr>
          <w:jc w:val="center"/>
        </w:trPr>
        <w:tc>
          <w:tcPr>
            <w:tcW w:w="1060" w:type="dxa"/>
          </w:tcPr>
          <w:p w14:paraId="64FE3C09" w14:textId="77777777" w:rsidR="008259B8" w:rsidRPr="00585505" w:rsidRDefault="008259B8" w:rsidP="009213BD">
            <w:pPr>
              <w:tabs>
                <w:tab w:val="center" w:pos="4512"/>
                <w:tab w:val="left" w:pos="7088"/>
              </w:tabs>
              <w:suppressAutoHyphens/>
              <w:ind w:left="0" w:right="51"/>
              <w:jc w:val="center"/>
              <w:rPr>
                <w:rFonts w:ascii="Bookman Old Style" w:hAnsi="Bookman Old Style" w:cs="Arial"/>
                <w:caps/>
                <w:color w:val="000000"/>
                <w:sz w:val="22"/>
              </w:rPr>
            </w:pPr>
            <w:r w:rsidRPr="00585505">
              <w:rPr>
                <w:rFonts w:ascii="Bookman Old Style" w:hAnsi="Bookman Old Style" w:cs="Arial"/>
                <w:color w:val="000000"/>
                <w:sz w:val="22"/>
              </w:rPr>
              <w:t>ii</w:t>
            </w:r>
            <w:r w:rsidRPr="00585505">
              <w:rPr>
                <w:rFonts w:ascii="Bookman Old Style" w:hAnsi="Bookman Old Style" w:cs="Arial"/>
                <w:caps/>
                <w:color w:val="000000"/>
                <w:sz w:val="22"/>
              </w:rPr>
              <w:t>.</w:t>
            </w:r>
          </w:p>
        </w:tc>
        <w:tc>
          <w:tcPr>
            <w:tcW w:w="3335" w:type="dxa"/>
          </w:tcPr>
          <w:p w14:paraId="08520FE5" w14:textId="77777777" w:rsidR="008259B8" w:rsidRDefault="004C2031" w:rsidP="007B483A">
            <w:pPr>
              <w:ind w:left="0"/>
              <w:jc w:val="both"/>
              <w:rPr>
                <w:rFonts w:ascii="Bookman Old Style" w:hAnsi="Bookman Old Style"/>
                <w:sz w:val="22"/>
              </w:rPr>
            </w:pPr>
            <w:r>
              <w:rPr>
                <w:rFonts w:ascii="Bookman Old Style" w:hAnsi="Bookman Old Style"/>
                <w:sz w:val="22"/>
              </w:rPr>
              <w:t xml:space="preserve">Contrato de combustible, contratos de servicios con terceros y el documento de logística de abastecimiento. </w:t>
            </w:r>
          </w:p>
          <w:p w14:paraId="4F3889E0" w14:textId="77777777" w:rsidR="007B483A" w:rsidRDefault="007B483A" w:rsidP="007B483A">
            <w:pPr>
              <w:ind w:left="0"/>
              <w:jc w:val="both"/>
              <w:rPr>
                <w:rFonts w:ascii="Bookman Old Style" w:hAnsi="Bookman Old Style"/>
                <w:sz w:val="22"/>
              </w:rPr>
            </w:pPr>
          </w:p>
          <w:p w14:paraId="470E2D5E" w14:textId="77777777" w:rsidR="007B483A" w:rsidRPr="00585505" w:rsidRDefault="007B483A" w:rsidP="007B483A">
            <w:pPr>
              <w:ind w:left="0"/>
              <w:jc w:val="both"/>
              <w:rPr>
                <w:rFonts w:ascii="Bookman Old Style" w:hAnsi="Bookman Old Style"/>
                <w:sz w:val="22"/>
              </w:rPr>
            </w:pPr>
            <w:r>
              <w:rPr>
                <w:rFonts w:ascii="Bookman Old Style" w:hAnsi="Bookman Old Style" w:cs="Arial"/>
                <w:color w:val="000000"/>
                <w:sz w:val="22"/>
              </w:rPr>
              <w:t>Artículo 13 de la Resolución CREG 85 de 2007, modificada por la Resolución CREG 88 de 2018.</w:t>
            </w:r>
          </w:p>
        </w:tc>
        <w:tc>
          <w:tcPr>
            <w:tcW w:w="2840" w:type="dxa"/>
          </w:tcPr>
          <w:p w14:paraId="05EF4492" w14:textId="77777777" w:rsidR="008259B8" w:rsidRPr="00585505" w:rsidRDefault="004C2031" w:rsidP="007B483A">
            <w:pPr>
              <w:ind w:left="0"/>
              <w:jc w:val="both"/>
              <w:rPr>
                <w:rFonts w:ascii="Bookman Old Style" w:hAnsi="Bookman Old Style" w:cs="Arial"/>
                <w:color w:val="000000"/>
                <w:sz w:val="22"/>
              </w:rPr>
            </w:pPr>
            <w:r>
              <w:rPr>
                <w:rFonts w:ascii="Bookman Old Style" w:hAnsi="Bookman Old Style" w:cs="Arial"/>
                <w:color w:val="000000"/>
                <w:sz w:val="22"/>
              </w:rPr>
              <w:t>Una (1) año antes del período de inicio de las obligaciones.</w:t>
            </w:r>
          </w:p>
        </w:tc>
      </w:tr>
    </w:tbl>
    <w:p w14:paraId="23203CF9" w14:textId="77777777" w:rsidR="008259B8" w:rsidRDefault="008259B8" w:rsidP="008259B8">
      <w:pPr>
        <w:tabs>
          <w:tab w:val="center" w:pos="709"/>
        </w:tabs>
        <w:suppressAutoHyphens/>
        <w:ind w:left="0" w:right="51"/>
        <w:jc w:val="both"/>
        <w:rPr>
          <w:rFonts w:ascii="Bookman Old Style" w:hAnsi="Bookman Old Style" w:cs="Arial"/>
          <w:color w:val="000000"/>
        </w:rPr>
      </w:pPr>
    </w:p>
    <w:p w14:paraId="26CFD495" w14:textId="77777777" w:rsidR="008259B8" w:rsidRPr="008259B8" w:rsidRDefault="008259B8" w:rsidP="008259B8">
      <w:pPr>
        <w:tabs>
          <w:tab w:val="center" w:pos="709"/>
        </w:tabs>
        <w:suppressAutoHyphens/>
        <w:ind w:left="0" w:right="51"/>
        <w:jc w:val="both"/>
        <w:rPr>
          <w:rFonts w:ascii="Bookman Old Style" w:hAnsi="Bookman Old Style" w:cs="Arial"/>
          <w:color w:val="000000"/>
          <w:lang w:val="es-CO"/>
        </w:rPr>
      </w:pPr>
    </w:p>
    <w:p w14:paraId="0E1B0D7B" w14:textId="77777777"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986875">
        <w:rPr>
          <w:rFonts w:ascii="Bookman Old Style" w:hAnsi="Bookman Old Style" w:cs="Arial"/>
          <w:b/>
          <w:color w:val="000000"/>
          <w:lang w:val="es-CO"/>
        </w:rPr>
        <w:t>4</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w:t>
      </w:r>
      <w:r w:rsidRPr="007C7F47">
        <w:rPr>
          <w:rFonts w:ascii="Bookman Old Style" w:hAnsi="Bookman Old Style" w:cs="Arial"/>
          <w:i/>
          <w:color w:val="000000"/>
          <w:lang w:val="es-CO"/>
        </w:rPr>
        <w:t>Diario Oficial</w:t>
      </w:r>
      <w:r>
        <w:rPr>
          <w:rFonts w:ascii="Bookman Old Style" w:hAnsi="Bookman Old Style" w:cs="Arial"/>
          <w:color w:val="000000"/>
          <w:lang w:val="es-CO"/>
        </w:rPr>
        <w:t>.</w:t>
      </w:r>
    </w:p>
    <w:p w14:paraId="3EE0E7BF" w14:textId="77777777"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14:paraId="74A92D76" w14:textId="77777777"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14:paraId="1942102A" w14:textId="77777777"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14:paraId="1672DE52" w14:textId="77777777" w:rsidR="00DF6684" w:rsidRDefault="00DF6684" w:rsidP="00DF6684">
      <w:pPr>
        <w:ind w:left="0"/>
        <w:rPr>
          <w:rFonts w:ascii="Bookman Old Style" w:hAnsi="Bookman Old Style"/>
        </w:rPr>
      </w:pPr>
    </w:p>
    <w:p w14:paraId="4FC7B911" w14:textId="22069040" w:rsidR="00DF6684" w:rsidRDefault="00A837FC" w:rsidP="00DF6684">
      <w:pPr>
        <w:ind w:left="0"/>
        <w:rPr>
          <w:rFonts w:ascii="Bookman Old Style" w:hAnsi="Bookman Old Style"/>
        </w:rPr>
      </w:pPr>
      <w:r>
        <w:rPr>
          <w:rFonts w:ascii="Bookman Old Style" w:hAnsi="Bookman Old Style"/>
        </w:rPr>
        <w:t>Dada en Bogotá, D.C. a</w:t>
      </w:r>
    </w:p>
    <w:p w14:paraId="3C13B3BE" w14:textId="77777777" w:rsidR="00FA28B4" w:rsidRDefault="00FA28B4" w:rsidP="00661E64">
      <w:pPr>
        <w:ind w:left="0"/>
        <w:rPr>
          <w:rFonts w:ascii="Bookman Old Style" w:hAnsi="Bookman Old Style"/>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C9260C" w14:paraId="7F8699A0" w14:textId="77777777" w:rsidTr="00C9260C">
        <w:trPr>
          <w:tblCellSpacing w:w="0" w:type="dxa"/>
          <w:jc w:val="center"/>
        </w:trPr>
        <w:tc>
          <w:tcPr>
            <w:tcW w:w="5033" w:type="dxa"/>
          </w:tcPr>
          <w:p w14:paraId="0855C598" w14:textId="77777777" w:rsidR="00C9260C" w:rsidRPr="007C7F47" w:rsidRDefault="00C9260C">
            <w:pPr>
              <w:rPr>
                <w:rFonts w:ascii="Bookman Old Style" w:hAnsi="Bookman Old Style" w:cs="Arial"/>
                <w:b/>
                <w:spacing w:val="-3"/>
              </w:rPr>
            </w:pPr>
          </w:p>
          <w:p w14:paraId="5D8A18BB" w14:textId="77777777" w:rsidR="00C9260C" w:rsidRPr="007C7F47" w:rsidRDefault="00C9260C">
            <w:pPr>
              <w:rPr>
                <w:rFonts w:ascii="Bookman Old Style" w:hAnsi="Bookman Old Style" w:cs="Arial"/>
                <w:b/>
                <w:spacing w:val="-3"/>
              </w:rPr>
            </w:pPr>
          </w:p>
          <w:p w14:paraId="15E3A6D6" w14:textId="77777777" w:rsidR="00C9260C" w:rsidRPr="007C7F47" w:rsidRDefault="00C9260C">
            <w:pPr>
              <w:ind w:left="66"/>
              <w:jc w:val="center"/>
              <w:rPr>
                <w:rFonts w:ascii="Bookman Old Style" w:hAnsi="Bookman Old Style" w:cs="Arial"/>
                <w:b/>
                <w:spacing w:val="-3"/>
              </w:rPr>
            </w:pPr>
          </w:p>
          <w:p w14:paraId="59841E9B" w14:textId="77777777" w:rsidR="00C9260C" w:rsidRPr="007C7F47" w:rsidRDefault="00C9260C">
            <w:pPr>
              <w:ind w:left="66"/>
              <w:jc w:val="center"/>
              <w:rPr>
                <w:rFonts w:ascii="Bookman Old Style" w:hAnsi="Bookman Old Style" w:cs="Arial"/>
                <w:b/>
                <w:spacing w:val="-3"/>
              </w:rPr>
            </w:pPr>
            <w:r w:rsidRPr="007C7F47">
              <w:rPr>
                <w:rFonts w:ascii="Bookman Old Style" w:hAnsi="Bookman Old Style" w:cs="Arial"/>
                <w:b/>
              </w:rPr>
              <w:t>DIEGO MESA PUYO</w:t>
            </w:r>
          </w:p>
        </w:tc>
        <w:tc>
          <w:tcPr>
            <w:tcW w:w="4465" w:type="dxa"/>
          </w:tcPr>
          <w:p w14:paraId="3C97095C" w14:textId="77777777" w:rsidR="00C9260C" w:rsidRPr="007C7F47" w:rsidRDefault="00C9260C">
            <w:pPr>
              <w:ind w:left="89"/>
              <w:jc w:val="center"/>
              <w:rPr>
                <w:rFonts w:ascii="Bookman Old Style" w:hAnsi="Bookman Old Style" w:cs="Arial"/>
                <w:b/>
                <w:spacing w:val="-3"/>
              </w:rPr>
            </w:pPr>
          </w:p>
          <w:p w14:paraId="094EDB3A" w14:textId="77777777" w:rsidR="00C9260C" w:rsidRPr="007C7F47" w:rsidRDefault="00C9260C">
            <w:pPr>
              <w:ind w:left="89"/>
              <w:jc w:val="center"/>
              <w:rPr>
                <w:rFonts w:ascii="Bookman Old Style" w:hAnsi="Bookman Old Style" w:cs="Arial"/>
                <w:b/>
                <w:spacing w:val="-3"/>
              </w:rPr>
            </w:pPr>
          </w:p>
          <w:p w14:paraId="313CFA84" w14:textId="77777777" w:rsidR="00C9260C" w:rsidRPr="007C7F47" w:rsidRDefault="00C9260C">
            <w:pPr>
              <w:ind w:left="89"/>
              <w:jc w:val="center"/>
              <w:rPr>
                <w:rFonts w:ascii="Bookman Old Style" w:hAnsi="Bookman Old Style" w:cs="Arial"/>
                <w:b/>
                <w:spacing w:val="-3"/>
              </w:rPr>
            </w:pPr>
          </w:p>
          <w:p w14:paraId="0B636782" w14:textId="77777777" w:rsidR="00C9260C" w:rsidRPr="007C7F47" w:rsidRDefault="00C9260C">
            <w:pPr>
              <w:ind w:left="89"/>
              <w:jc w:val="center"/>
              <w:rPr>
                <w:rFonts w:ascii="Bookman Old Style" w:hAnsi="Bookman Old Style" w:cs="Arial"/>
                <w:b/>
                <w:spacing w:val="-3"/>
              </w:rPr>
            </w:pPr>
            <w:r w:rsidRPr="007C7F47">
              <w:rPr>
                <w:rFonts w:ascii="Bookman Old Style" w:hAnsi="Bookman Old Style" w:cs="Arial"/>
                <w:b/>
                <w:spacing w:val="-3"/>
              </w:rPr>
              <w:t>CHRISTIAN JARAMILLO HERRERA</w:t>
            </w:r>
          </w:p>
        </w:tc>
      </w:tr>
      <w:tr w:rsidR="00C9260C" w14:paraId="3D34C92C" w14:textId="77777777" w:rsidTr="00C9260C">
        <w:trPr>
          <w:tblCellSpacing w:w="0" w:type="dxa"/>
          <w:jc w:val="center"/>
        </w:trPr>
        <w:tc>
          <w:tcPr>
            <w:tcW w:w="5033" w:type="dxa"/>
            <w:hideMark/>
          </w:tcPr>
          <w:p w14:paraId="69C08031" w14:textId="77777777" w:rsidR="00C9260C" w:rsidRPr="007C7F47" w:rsidRDefault="00C9260C">
            <w:pPr>
              <w:ind w:left="66"/>
              <w:jc w:val="center"/>
              <w:rPr>
                <w:rFonts w:ascii="Bookman Old Style" w:hAnsi="Bookman Old Style" w:cs="Arial"/>
                <w:spacing w:val="-3"/>
              </w:rPr>
            </w:pPr>
            <w:r w:rsidRPr="007C7F47">
              <w:rPr>
                <w:rFonts w:ascii="Bookman Old Style" w:hAnsi="Bookman Old Style" w:cs="Arial"/>
                <w:spacing w:val="-3"/>
              </w:rPr>
              <w:t>Viceministro de Energía</w:t>
            </w:r>
          </w:p>
          <w:p w14:paraId="1902B564" w14:textId="77777777" w:rsidR="00C9260C" w:rsidRPr="007C7F47" w:rsidRDefault="00C9260C">
            <w:pPr>
              <w:ind w:left="66"/>
              <w:jc w:val="center"/>
              <w:rPr>
                <w:rFonts w:ascii="Bookman Old Style" w:eastAsia="Arial Unicode MS" w:hAnsi="Bookman Old Style" w:cs="Arial"/>
                <w:color w:val="000000"/>
              </w:rPr>
            </w:pPr>
            <w:r w:rsidRPr="007C7F47">
              <w:rPr>
                <w:rFonts w:ascii="Bookman Old Style" w:hAnsi="Bookman Old Style" w:cs="Arial"/>
                <w:spacing w:val="-3"/>
              </w:rPr>
              <w:t>Delegado de la Ministra de Minas y Energía</w:t>
            </w:r>
          </w:p>
        </w:tc>
        <w:tc>
          <w:tcPr>
            <w:tcW w:w="4465" w:type="dxa"/>
            <w:hideMark/>
          </w:tcPr>
          <w:p w14:paraId="17F56BC9" w14:textId="77777777" w:rsidR="00C9260C" w:rsidRPr="007C7F47" w:rsidRDefault="00C9260C">
            <w:pPr>
              <w:jc w:val="center"/>
              <w:rPr>
                <w:rFonts w:ascii="Bookman Old Style" w:eastAsia="Arial Unicode MS" w:hAnsi="Bookman Old Style" w:cs="Arial"/>
                <w:color w:val="000000"/>
              </w:rPr>
            </w:pPr>
            <w:r w:rsidRPr="007C7F47">
              <w:rPr>
                <w:rFonts w:ascii="Bookman Old Style" w:hAnsi="Bookman Old Style" w:cs="Arial"/>
                <w:spacing w:val="-3"/>
              </w:rPr>
              <w:t>Director Ejecutivo</w:t>
            </w:r>
          </w:p>
        </w:tc>
      </w:tr>
      <w:tr w:rsidR="00C9260C" w14:paraId="04BFEB29" w14:textId="77777777" w:rsidTr="00C9260C">
        <w:trPr>
          <w:tblCellSpacing w:w="0" w:type="dxa"/>
          <w:jc w:val="center"/>
        </w:trPr>
        <w:tc>
          <w:tcPr>
            <w:tcW w:w="5033" w:type="dxa"/>
            <w:hideMark/>
          </w:tcPr>
          <w:p w14:paraId="2D167DF1" w14:textId="77777777" w:rsidR="00C9260C" w:rsidRPr="007C7F47" w:rsidRDefault="00C9260C">
            <w:pPr>
              <w:ind w:left="66"/>
              <w:jc w:val="center"/>
              <w:rPr>
                <w:rFonts w:ascii="Bookman Old Style" w:eastAsia="Arial Unicode MS" w:hAnsi="Bookman Old Style" w:cs="Arial"/>
                <w:color w:val="000000"/>
              </w:rPr>
            </w:pPr>
            <w:r w:rsidRPr="007C7F47">
              <w:rPr>
                <w:rFonts w:ascii="Bookman Old Style" w:hAnsi="Bookman Old Style" w:cs="Arial"/>
                <w:spacing w:val="-3"/>
              </w:rPr>
              <w:t>Presidente</w:t>
            </w:r>
          </w:p>
        </w:tc>
        <w:tc>
          <w:tcPr>
            <w:tcW w:w="4465" w:type="dxa"/>
          </w:tcPr>
          <w:p w14:paraId="52EA620A" w14:textId="77777777" w:rsidR="00C9260C" w:rsidRDefault="00C9260C">
            <w:pPr>
              <w:jc w:val="center"/>
              <w:rPr>
                <w:rFonts w:ascii="Bookman Old Style" w:eastAsia="Arial Unicode MS" w:hAnsi="Bookman Old Style" w:cs="Arial"/>
                <w:color w:val="000000"/>
                <w:sz w:val="22"/>
              </w:rPr>
            </w:pPr>
          </w:p>
        </w:tc>
      </w:tr>
    </w:tbl>
    <w:p w14:paraId="51AD28FC" w14:textId="77777777" w:rsidR="002A7E68" w:rsidRDefault="002A7E68" w:rsidP="004C33BE">
      <w:pPr>
        <w:ind w:left="0"/>
        <w:rPr>
          <w:rFonts w:ascii="Bookman Old Style" w:hAnsi="Bookman Old Style"/>
          <w:b/>
          <w:lang w:val="es-CO"/>
        </w:rPr>
      </w:pPr>
    </w:p>
    <w:sectPr w:rsidR="002A7E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F52BE" w14:textId="77777777" w:rsidR="00BD662A" w:rsidRDefault="00BD662A">
      <w:r>
        <w:separator/>
      </w:r>
    </w:p>
  </w:endnote>
  <w:endnote w:type="continuationSeparator" w:id="0">
    <w:p w14:paraId="5B854C95" w14:textId="77777777" w:rsidR="00BD662A" w:rsidRDefault="00BD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FF6DB" w14:textId="77777777" w:rsidR="00BD662A" w:rsidRDefault="00BD662A">
      <w:r>
        <w:separator/>
      </w:r>
    </w:p>
  </w:footnote>
  <w:footnote w:type="continuationSeparator" w:id="0">
    <w:p w14:paraId="529B0EDB" w14:textId="77777777" w:rsidR="00BD662A" w:rsidRDefault="00BD6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2274" w14:textId="77777777" w:rsidR="00CD5F07" w:rsidRDefault="00CD5F07" w:rsidP="00951F79">
    <w:pPr>
      <w:pStyle w:val="Ttulo1"/>
      <w:ind w:right="6"/>
      <w:jc w:val="left"/>
      <w:rPr>
        <w:rFonts w:ascii="Bookman Old Style" w:hAnsi="Bookman Old Style" w:cs="Arial"/>
        <w:b w:val="0"/>
        <w:sz w:val="22"/>
        <w:szCs w:val="22"/>
      </w:rPr>
    </w:pPr>
  </w:p>
  <w:p w14:paraId="00BC8533" w14:textId="05C78363" w:rsidR="00CD5F07" w:rsidRPr="00951F79" w:rsidRDefault="00CD5F0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35FCF">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D35FCF" w:rsidRPr="00D35FCF">
        <w:rPr>
          <w:rFonts w:ascii="Bookman Old Style" w:hAnsi="Bookman Old Style" w:cs="Arial"/>
          <w:b w:val="0"/>
          <w:noProof/>
          <w:sz w:val="22"/>
          <w:szCs w:val="22"/>
        </w:rPr>
        <w:t>4</w:t>
      </w:r>
    </w:fldSimple>
  </w:p>
  <w:p w14:paraId="5B4EACD3" w14:textId="77777777" w:rsidR="00CD5F07" w:rsidRDefault="00CD5F0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0E747CD" wp14:editId="33BA4E8D">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38D0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7448F670" w14:textId="77777777" w:rsidR="0069756D" w:rsidRPr="00A968DD" w:rsidRDefault="00657DFA" w:rsidP="00A837FC">
    <w:pPr>
      <w:ind w:left="0"/>
      <w:jc w:val="both"/>
      <w:rPr>
        <w:rFonts w:ascii="Bookman Old Style" w:hAnsi="Bookman Old Style"/>
        <w:sz w:val="22"/>
      </w:rPr>
    </w:pPr>
    <w:r w:rsidRPr="00A968DD">
      <w:rPr>
        <w:rFonts w:ascii="Bookman Old Style" w:hAnsi="Bookman Old Style"/>
        <w:sz w:val="22"/>
      </w:rPr>
      <w:t>Por la cual se define el cronograma para respaldar OEF asignadas en la subasta 2022-2023 con nueva infraestructura de importación de gas natural</w:t>
    </w:r>
    <w:r w:rsidR="00A968DD" w:rsidRPr="00A968DD">
      <w:rPr>
        <w:rFonts w:ascii="Bookman Old Style" w:hAnsi="Bookman Old Style"/>
        <w:sz w:val="22"/>
      </w:rPr>
      <w:t xml:space="preserve"> y nueva infraestructura de importación de GLP </w:t>
    </w:r>
  </w:p>
  <w:p w14:paraId="2E231F8C" w14:textId="77777777" w:rsidR="00CD5F07" w:rsidRPr="00045D3D" w:rsidRDefault="00CD5F07"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EC07A" w14:textId="77777777" w:rsidR="00CD5F07" w:rsidRDefault="00CD5F07"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C3AD413" w14:textId="77777777" w:rsidR="00CD5F07" w:rsidRDefault="00CD5F07">
    <w:pPr>
      <w:pStyle w:val="Encabezado"/>
      <w:jc w:val="center"/>
      <w:rPr>
        <w:rFonts w:ascii="Arial" w:hAnsi="Arial" w:cs="Arial"/>
        <w:spacing w:val="20"/>
        <w:sz w:val="20"/>
      </w:rPr>
    </w:pPr>
  </w:p>
  <w:p w14:paraId="17E6A8E2" w14:textId="77777777" w:rsidR="00CD5F07" w:rsidRDefault="00CD5F0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D645137" wp14:editId="5C8C6439">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0B3D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240A000F"/>
    <w:lvl w:ilvl="0">
      <w:start w:val="1"/>
      <w:numFmt w:val="decimal"/>
      <w:lvlText w:val="%1."/>
      <w:lvlJc w:val="left"/>
      <w:pPr>
        <w:ind w:left="360" w:hanging="360"/>
      </w:p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9D0C3B"/>
    <w:multiLevelType w:val="hybridMultilevel"/>
    <w:tmpl w:val="30A0BA20"/>
    <w:lvl w:ilvl="0" w:tplc="0EA2A44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E32473"/>
    <w:multiLevelType w:val="hybridMultilevel"/>
    <w:tmpl w:val="F0E629A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91C05A1"/>
    <w:multiLevelType w:val="hybridMultilevel"/>
    <w:tmpl w:val="6BC87A0C"/>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1" w15:restartNumberingAfterBreak="0">
    <w:nsid w:val="22583704"/>
    <w:multiLevelType w:val="hybridMultilevel"/>
    <w:tmpl w:val="C526F7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9"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15:restartNumberingAfterBreak="0">
    <w:nsid w:val="3E3D63DB"/>
    <w:multiLevelType w:val="hybridMultilevel"/>
    <w:tmpl w:val="4D6A4DE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C95322"/>
    <w:multiLevelType w:val="hybridMultilevel"/>
    <w:tmpl w:val="A79EF8FC"/>
    <w:lvl w:ilvl="0" w:tplc="6540C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2DA2E21"/>
    <w:multiLevelType w:val="hybridMultilevel"/>
    <w:tmpl w:val="A1FA9C74"/>
    <w:lvl w:ilvl="0" w:tplc="A0FA0CF6">
      <w:start w:val="1"/>
      <w:numFmt w:val="upp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1292298"/>
    <w:multiLevelType w:val="hybridMultilevel"/>
    <w:tmpl w:val="7D4C3A6A"/>
    <w:lvl w:ilvl="0" w:tplc="4FB8C5C4">
      <w:start w:val="1"/>
      <w:numFmt w:val="bullet"/>
      <w:lvlText w:val="-"/>
      <w:lvlJc w:val="left"/>
      <w:pPr>
        <w:ind w:left="643" w:hanging="360"/>
      </w:pPr>
      <w:rPr>
        <w:rFonts w:ascii="Bookman Old Style" w:eastAsia="Times New Roman" w:hAnsi="Bookman Old Style" w:cs="Times New Roman" w:hint="default"/>
      </w:rPr>
    </w:lvl>
    <w:lvl w:ilvl="1" w:tplc="240A0003" w:tentative="1">
      <w:start w:val="1"/>
      <w:numFmt w:val="bullet"/>
      <w:lvlText w:val="o"/>
      <w:lvlJc w:val="left"/>
      <w:pPr>
        <w:ind w:left="1363" w:hanging="360"/>
      </w:pPr>
      <w:rPr>
        <w:rFonts w:ascii="Courier New" w:hAnsi="Courier New" w:cs="Courier New" w:hint="default"/>
      </w:rPr>
    </w:lvl>
    <w:lvl w:ilvl="2" w:tplc="240A0005" w:tentative="1">
      <w:start w:val="1"/>
      <w:numFmt w:val="bullet"/>
      <w:lvlText w:val=""/>
      <w:lvlJc w:val="left"/>
      <w:pPr>
        <w:ind w:left="2083" w:hanging="360"/>
      </w:pPr>
      <w:rPr>
        <w:rFonts w:ascii="Wingdings" w:hAnsi="Wingdings" w:hint="default"/>
      </w:rPr>
    </w:lvl>
    <w:lvl w:ilvl="3" w:tplc="240A0001" w:tentative="1">
      <w:start w:val="1"/>
      <w:numFmt w:val="bullet"/>
      <w:lvlText w:val=""/>
      <w:lvlJc w:val="left"/>
      <w:pPr>
        <w:ind w:left="2803" w:hanging="360"/>
      </w:pPr>
      <w:rPr>
        <w:rFonts w:ascii="Symbol" w:hAnsi="Symbol" w:hint="default"/>
      </w:rPr>
    </w:lvl>
    <w:lvl w:ilvl="4" w:tplc="240A0003" w:tentative="1">
      <w:start w:val="1"/>
      <w:numFmt w:val="bullet"/>
      <w:lvlText w:val="o"/>
      <w:lvlJc w:val="left"/>
      <w:pPr>
        <w:ind w:left="3523" w:hanging="360"/>
      </w:pPr>
      <w:rPr>
        <w:rFonts w:ascii="Courier New" w:hAnsi="Courier New" w:cs="Courier New" w:hint="default"/>
      </w:rPr>
    </w:lvl>
    <w:lvl w:ilvl="5" w:tplc="240A0005" w:tentative="1">
      <w:start w:val="1"/>
      <w:numFmt w:val="bullet"/>
      <w:lvlText w:val=""/>
      <w:lvlJc w:val="left"/>
      <w:pPr>
        <w:ind w:left="4243" w:hanging="360"/>
      </w:pPr>
      <w:rPr>
        <w:rFonts w:ascii="Wingdings" w:hAnsi="Wingdings" w:hint="default"/>
      </w:rPr>
    </w:lvl>
    <w:lvl w:ilvl="6" w:tplc="240A0001" w:tentative="1">
      <w:start w:val="1"/>
      <w:numFmt w:val="bullet"/>
      <w:lvlText w:val=""/>
      <w:lvlJc w:val="left"/>
      <w:pPr>
        <w:ind w:left="4963" w:hanging="360"/>
      </w:pPr>
      <w:rPr>
        <w:rFonts w:ascii="Symbol" w:hAnsi="Symbol" w:hint="default"/>
      </w:rPr>
    </w:lvl>
    <w:lvl w:ilvl="7" w:tplc="240A0003" w:tentative="1">
      <w:start w:val="1"/>
      <w:numFmt w:val="bullet"/>
      <w:lvlText w:val="o"/>
      <w:lvlJc w:val="left"/>
      <w:pPr>
        <w:ind w:left="5683" w:hanging="360"/>
      </w:pPr>
      <w:rPr>
        <w:rFonts w:ascii="Courier New" w:hAnsi="Courier New" w:cs="Courier New" w:hint="default"/>
      </w:rPr>
    </w:lvl>
    <w:lvl w:ilvl="8" w:tplc="240A0005" w:tentative="1">
      <w:start w:val="1"/>
      <w:numFmt w:val="bullet"/>
      <w:lvlText w:val=""/>
      <w:lvlJc w:val="left"/>
      <w:pPr>
        <w:ind w:left="6403" w:hanging="360"/>
      </w:pPr>
      <w:rPr>
        <w:rFonts w:ascii="Wingdings" w:hAnsi="Wingdings" w:hint="default"/>
      </w:rPr>
    </w:lvl>
  </w:abstractNum>
  <w:abstractNum w:abstractNumId="27" w15:restartNumberingAfterBreak="0">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8E8682C"/>
    <w:multiLevelType w:val="hybridMultilevel"/>
    <w:tmpl w:val="480C451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CF23275"/>
    <w:multiLevelType w:val="hybridMultilevel"/>
    <w:tmpl w:val="9D08D130"/>
    <w:lvl w:ilvl="0" w:tplc="DB807874">
      <w:start w:val="1"/>
      <w:numFmt w:val="upp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8" w15:restartNumberingAfterBreak="0">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33"/>
  </w:num>
  <w:num w:numId="4">
    <w:abstractNumId w:val="32"/>
  </w:num>
  <w:num w:numId="5">
    <w:abstractNumId w:val="38"/>
  </w:num>
  <w:num w:numId="6">
    <w:abstractNumId w:val="3"/>
  </w:num>
  <w:num w:numId="7">
    <w:abstractNumId w:val="13"/>
  </w:num>
  <w:num w:numId="8">
    <w:abstractNumId w:val="14"/>
  </w:num>
  <w:num w:numId="9">
    <w:abstractNumId w:val="34"/>
  </w:num>
  <w:num w:numId="10">
    <w:abstractNumId w:val="10"/>
  </w:num>
  <w:num w:numId="11">
    <w:abstractNumId w:val="16"/>
  </w:num>
  <w:num w:numId="12">
    <w:abstractNumId w:val="31"/>
  </w:num>
  <w:num w:numId="13">
    <w:abstractNumId w:val="28"/>
  </w:num>
  <w:num w:numId="14">
    <w:abstractNumId w:val="4"/>
  </w:num>
  <w:num w:numId="15">
    <w:abstractNumId w:val="23"/>
  </w:num>
  <w:num w:numId="16">
    <w:abstractNumId w:val="2"/>
  </w:num>
  <w:num w:numId="17">
    <w:abstractNumId w:val="8"/>
  </w:num>
  <w:num w:numId="18">
    <w:abstractNumId w:val="27"/>
  </w:num>
  <w:num w:numId="19">
    <w:abstractNumId w:val="18"/>
  </w:num>
  <w:num w:numId="20">
    <w:abstractNumId w:val="35"/>
  </w:num>
  <w:num w:numId="21">
    <w:abstractNumId w:val="17"/>
  </w:num>
  <w:num w:numId="22">
    <w:abstractNumId w:val="9"/>
  </w:num>
  <w:num w:numId="23">
    <w:abstractNumId w:val="22"/>
  </w:num>
  <w:num w:numId="24">
    <w:abstractNumId w:val="36"/>
  </w:num>
  <w:num w:numId="25">
    <w:abstractNumId w:val="12"/>
  </w:num>
  <w:num w:numId="26">
    <w:abstractNumId w:val="24"/>
  </w:num>
  <w:num w:numId="27">
    <w:abstractNumId w:val="15"/>
  </w:num>
  <w:num w:numId="28">
    <w:abstractNumId w:val="30"/>
  </w:num>
  <w:num w:numId="29">
    <w:abstractNumId w:val="29"/>
  </w:num>
  <w:num w:numId="30">
    <w:abstractNumId w:val="20"/>
  </w:num>
  <w:num w:numId="31">
    <w:abstractNumId w:val="19"/>
  </w:num>
  <w:num w:numId="32">
    <w:abstractNumId w:val="11"/>
  </w:num>
  <w:num w:numId="33">
    <w:abstractNumId w:val="6"/>
  </w:num>
  <w:num w:numId="34">
    <w:abstractNumId w:val="7"/>
  </w:num>
  <w:num w:numId="35">
    <w:abstractNumId w:val="5"/>
  </w:num>
  <w:num w:numId="36">
    <w:abstractNumId w:val="37"/>
  </w:num>
  <w:num w:numId="37">
    <w:abstractNumId w:val="25"/>
  </w:num>
  <w:num w:numId="38">
    <w:abstractNumId w:val="21"/>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5FE"/>
    <w:rsid w:val="000025F1"/>
    <w:rsid w:val="00006AE2"/>
    <w:rsid w:val="000076A1"/>
    <w:rsid w:val="000078E0"/>
    <w:rsid w:val="00012259"/>
    <w:rsid w:val="000131B5"/>
    <w:rsid w:val="00021A70"/>
    <w:rsid w:val="0002357E"/>
    <w:rsid w:val="00025383"/>
    <w:rsid w:val="000313A0"/>
    <w:rsid w:val="00031A51"/>
    <w:rsid w:val="00031B7E"/>
    <w:rsid w:val="000357DA"/>
    <w:rsid w:val="00035ECB"/>
    <w:rsid w:val="00041CE4"/>
    <w:rsid w:val="00045D3D"/>
    <w:rsid w:val="00053B50"/>
    <w:rsid w:val="00056D36"/>
    <w:rsid w:val="000577EC"/>
    <w:rsid w:val="00060CB0"/>
    <w:rsid w:val="00063657"/>
    <w:rsid w:val="0006410B"/>
    <w:rsid w:val="000706E3"/>
    <w:rsid w:val="00076680"/>
    <w:rsid w:val="00076A1D"/>
    <w:rsid w:val="0008073E"/>
    <w:rsid w:val="00083EB2"/>
    <w:rsid w:val="00087C09"/>
    <w:rsid w:val="0009093A"/>
    <w:rsid w:val="00091CDB"/>
    <w:rsid w:val="000931F8"/>
    <w:rsid w:val="00094C28"/>
    <w:rsid w:val="00096FE2"/>
    <w:rsid w:val="00097331"/>
    <w:rsid w:val="000A0268"/>
    <w:rsid w:val="000A0B7F"/>
    <w:rsid w:val="000A19AC"/>
    <w:rsid w:val="000A50F0"/>
    <w:rsid w:val="000A5DC5"/>
    <w:rsid w:val="000B06BF"/>
    <w:rsid w:val="000B0FF1"/>
    <w:rsid w:val="000B2EC9"/>
    <w:rsid w:val="000B3D44"/>
    <w:rsid w:val="000B4486"/>
    <w:rsid w:val="000B6074"/>
    <w:rsid w:val="000C1CA5"/>
    <w:rsid w:val="000C7FE5"/>
    <w:rsid w:val="000D0827"/>
    <w:rsid w:val="000D26F8"/>
    <w:rsid w:val="000D3F4B"/>
    <w:rsid w:val="000D6C2C"/>
    <w:rsid w:val="000D7CEC"/>
    <w:rsid w:val="000E3C65"/>
    <w:rsid w:val="000E4151"/>
    <w:rsid w:val="000E52BB"/>
    <w:rsid w:val="000F3D98"/>
    <w:rsid w:val="000F487C"/>
    <w:rsid w:val="0010144E"/>
    <w:rsid w:val="0011058F"/>
    <w:rsid w:val="00112A91"/>
    <w:rsid w:val="00123639"/>
    <w:rsid w:val="00125C5D"/>
    <w:rsid w:val="00126617"/>
    <w:rsid w:val="001317DA"/>
    <w:rsid w:val="0013526C"/>
    <w:rsid w:val="001405C6"/>
    <w:rsid w:val="00141013"/>
    <w:rsid w:val="00145A72"/>
    <w:rsid w:val="0015340A"/>
    <w:rsid w:val="001613F0"/>
    <w:rsid w:val="00162E66"/>
    <w:rsid w:val="001640E6"/>
    <w:rsid w:val="00174A24"/>
    <w:rsid w:val="001820AD"/>
    <w:rsid w:val="00182A27"/>
    <w:rsid w:val="00185A78"/>
    <w:rsid w:val="001866F9"/>
    <w:rsid w:val="00191AD7"/>
    <w:rsid w:val="00192CBF"/>
    <w:rsid w:val="00192FF1"/>
    <w:rsid w:val="001A407D"/>
    <w:rsid w:val="001A5F1B"/>
    <w:rsid w:val="001B0E57"/>
    <w:rsid w:val="001B1433"/>
    <w:rsid w:val="001B1C22"/>
    <w:rsid w:val="001B1D58"/>
    <w:rsid w:val="001B34C6"/>
    <w:rsid w:val="001B53A4"/>
    <w:rsid w:val="001B5904"/>
    <w:rsid w:val="001B7105"/>
    <w:rsid w:val="001C6406"/>
    <w:rsid w:val="001C6D96"/>
    <w:rsid w:val="001C7514"/>
    <w:rsid w:val="001D0A0E"/>
    <w:rsid w:val="001D7832"/>
    <w:rsid w:val="001E05E9"/>
    <w:rsid w:val="001E53FD"/>
    <w:rsid w:val="001E6BF8"/>
    <w:rsid w:val="001F1BA7"/>
    <w:rsid w:val="00202498"/>
    <w:rsid w:val="002043B4"/>
    <w:rsid w:val="00205DDC"/>
    <w:rsid w:val="00205EC3"/>
    <w:rsid w:val="002064D8"/>
    <w:rsid w:val="00207B62"/>
    <w:rsid w:val="00210DC1"/>
    <w:rsid w:val="00211D34"/>
    <w:rsid w:val="00214F04"/>
    <w:rsid w:val="0022170F"/>
    <w:rsid w:val="00226BE9"/>
    <w:rsid w:val="002301FE"/>
    <w:rsid w:val="0023044C"/>
    <w:rsid w:val="00230FBA"/>
    <w:rsid w:val="00231BFA"/>
    <w:rsid w:val="00240E51"/>
    <w:rsid w:val="0024138E"/>
    <w:rsid w:val="00246078"/>
    <w:rsid w:val="00246165"/>
    <w:rsid w:val="00251033"/>
    <w:rsid w:val="002556A6"/>
    <w:rsid w:val="00261F9D"/>
    <w:rsid w:val="00262413"/>
    <w:rsid w:val="00264F30"/>
    <w:rsid w:val="00266CD6"/>
    <w:rsid w:val="00272757"/>
    <w:rsid w:val="00272F3D"/>
    <w:rsid w:val="00275DAB"/>
    <w:rsid w:val="002827E2"/>
    <w:rsid w:val="00283C59"/>
    <w:rsid w:val="002A22B6"/>
    <w:rsid w:val="002A2AB3"/>
    <w:rsid w:val="002A326B"/>
    <w:rsid w:val="002A3CD9"/>
    <w:rsid w:val="002A6428"/>
    <w:rsid w:val="002A782A"/>
    <w:rsid w:val="002A7E68"/>
    <w:rsid w:val="002B11E2"/>
    <w:rsid w:val="002B24B8"/>
    <w:rsid w:val="002B5912"/>
    <w:rsid w:val="002C30E0"/>
    <w:rsid w:val="002C31A9"/>
    <w:rsid w:val="002C6239"/>
    <w:rsid w:val="002D158D"/>
    <w:rsid w:val="002D1700"/>
    <w:rsid w:val="002D3A8E"/>
    <w:rsid w:val="002D3AE9"/>
    <w:rsid w:val="002D4510"/>
    <w:rsid w:val="002D5E2D"/>
    <w:rsid w:val="002D6BD5"/>
    <w:rsid w:val="002D723C"/>
    <w:rsid w:val="002E0C73"/>
    <w:rsid w:val="002E5A6A"/>
    <w:rsid w:val="002F0734"/>
    <w:rsid w:val="002F1D14"/>
    <w:rsid w:val="002F33E9"/>
    <w:rsid w:val="002F4388"/>
    <w:rsid w:val="002F46E7"/>
    <w:rsid w:val="002F471C"/>
    <w:rsid w:val="002F6CF1"/>
    <w:rsid w:val="00301E31"/>
    <w:rsid w:val="00302176"/>
    <w:rsid w:val="003057F3"/>
    <w:rsid w:val="00306523"/>
    <w:rsid w:val="003101DA"/>
    <w:rsid w:val="00314757"/>
    <w:rsid w:val="00314837"/>
    <w:rsid w:val="003163BC"/>
    <w:rsid w:val="00317E66"/>
    <w:rsid w:val="003211CE"/>
    <w:rsid w:val="0032789E"/>
    <w:rsid w:val="00330A28"/>
    <w:rsid w:val="00331C7F"/>
    <w:rsid w:val="0034073A"/>
    <w:rsid w:val="00344373"/>
    <w:rsid w:val="00345679"/>
    <w:rsid w:val="0035403A"/>
    <w:rsid w:val="0035423A"/>
    <w:rsid w:val="0036394B"/>
    <w:rsid w:val="00366DB6"/>
    <w:rsid w:val="0036749E"/>
    <w:rsid w:val="003709B5"/>
    <w:rsid w:val="00371889"/>
    <w:rsid w:val="003759C2"/>
    <w:rsid w:val="0039319D"/>
    <w:rsid w:val="00397365"/>
    <w:rsid w:val="003A250F"/>
    <w:rsid w:val="003A31F6"/>
    <w:rsid w:val="003B08D2"/>
    <w:rsid w:val="003B6640"/>
    <w:rsid w:val="003B752B"/>
    <w:rsid w:val="003C3447"/>
    <w:rsid w:val="003C389E"/>
    <w:rsid w:val="003C3E73"/>
    <w:rsid w:val="003C4403"/>
    <w:rsid w:val="003C4C80"/>
    <w:rsid w:val="003D0673"/>
    <w:rsid w:val="003D076C"/>
    <w:rsid w:val="003D2014"/>
    <w:rsid w:val="003D3E22"/>
    <w:rsid w:val="003D709F"/>
    <w:rsid w:val="003E439A"/>
    <w:rsid w:val="003E4E07"/>
    <w:rsid w:val="003E78B5"/>
    <w:rsid w:val="003F6F00"/>
    <w:rsid w:val="003F786C"/>
    <w:rsid w:val="00401668"/>
    <w:rsid w:val="004126E8"/>
    <w:rsid w:val="00412BC0"/>
    <w:rsid w:val="004140B9"/>
    <w:rsid w:val="0041473D"/>
    <w:rsid w:val="00415BAB"/>
    <w:rsid w:val="00415ED2"/>
    <w:rsid w:val="0042068C"/>
    <w:rsid w:val="00422314"/>
    <w:rsid w:val="00423B5E"/>
    <w:rsid w:val="00424BF4"/>
    <w:rsid w:val="00425617"/>
    <w:rsid w:val="00433002"/>
    <w:rsid w:val="00433CCA"/>
    <w:rsid w:val="004379CA"/>
    <w:rsid w:val="004412D3"/>
    <w:rsid w:val="00442EA6"/>
    <w:rsid w:val="0044318E"/>
    <w:rsid w:val="00443B35"/>
    <w:rsid w:val="00447509"/>
    <w:rsid w:val="00471070"/>
    <w:rsid w:val="0047122B"/>
    <w:rsid w:val="00473B7A"/>
    <w:rsid w:val="004756AE"/>
    <w:rsid w:val="00476509"/>
    <w:rsid w:val="00483C0F"/>
    <w:rsid w:val="00495466"/>
    <w:rsid w:val="00495D61"/>
    <w:rsid w:val="004960E9"/>
    <w:rsid w:val="004968BF"/>
    <w:rsid w:val="00497047"/>
    <w:rsid w:val="004A2E88"/>
    <w:rsid w:val="004A5305"/>
    <w:rsid w:val="004A7930"/>
    <w:rsid w:val="004B082F"/>
    <w:rsid w:val="004B1081"/>
    <w:rsid w:val="004B1680"/>
    <w:rsid w:val="004B2A6F"/>
    <w:rsid w:val="004B517C"/>
    <w:rsid w:val="004B67F7"/>
    <w:rsid w:val="004C1248"/>
    <w:rsid w:val="004C1DE8"/>
    <w:rsid w:val="004C2031"/>
    <w:rsid w:val="004C33BE"/>
    <w:rsid w:val="004C3733"/>
    <w:rsid w:val="004C6D10"/>
    <w:rsid w:val="004D6A51"/>
    <w:rsid w:val="004D7634"/>
    <w:rsid w:val="004D7AAC"/>
    <w:rsid w:val="004E22D9"/>
    <w:rsid w:val="004E361F"/>
    <w:rsid w:val="004E4630"/>
    <w:rsid w:val="004E5334"/>
    <w:rsid w:val="004E611A"/>
    <w:rsid w:val="004F1673"/>
    <w:rsid w:val="004F3640"/>
    <w:rsid w:val="004F39AF"/>
    <w:rsid w:val="005029F7"/>
    <w:rsid w:val="00502BA6"/>
    <w:rsid w:val="00502EB0"/>
    <w:rsid w:val="00503B50"/>
    <w:rsid w:val="005047AF"/>
    <w:rsid w:val="00504ADC"/>
    <w:rsid w:val="00506327"/>
    <w:rsid w:val="00507134"/>
    <w:rsid w:val="0051695A"/>
    <w:rsid w:val="00522C8E"/>
    <w:rsid w:val="00524932"/>
    <w:rsid w:val="00524F2E"/>
    <w:rsid w:val="00525579"/>
    <w:rsid w:val="005300D3"/>
    <w:rsid w:val="00535967"/>
    <w:rsid w:val="00537E6C"/>
    <w:rsid w:val="00541254"/>
    <w:rsid w:val="00543CB7"/>
    <w:rsid w:val="00544F82"/>
    <w:rsid w:val="00546A11"/>
    <w:rsid w:val="005509D2"/>
    <w:rsid w:val="0055152C"/>
    <w:rsid w:val="00551CA0"/>
    <w:rsid w:val="005576BC"/>
    <w:rsid w:val="005660D5"/>
    <w:rsid w:val="005701E8"/>
    <w:rsid w:val="00580106"/>
    <w:rsid w:val="00582F38"/>
    <w:rsid w:val="00583BD5"/>
    <w:rsid w:val="00585505"/>
    <w:rsid w:val="00586025"/>
    <w:rsid w:val="005920DF"/>
    <w:rsid w:val="00593190"/>
    <w:rsid w:val="00593C4F"/>
    <w:rsid w:val="005946A8"/>
    <w:rsid w:val="005A2B4D"/>
    <w:rsid w:val="005A4407"/>
    <w:rsid w:val="005A59EF"/>
    <w:rsid w:val="005A7FBC"/>
    <w:rsid w:val="005B1C7E"/>
    <w:rsid w:val="005B634E"/>
    <w:rsid w:val="005C1BDB"/>
    <w:rsid w:val="005C3F2A"/>
    <w:rsid w:val="005C5B63"/>
    <w:rsid w:val="005C6976"/>
    <w:rsid w:val="005C6EAC"/>
    <w:rsid w:val="005C7DE5"/>
    <w:rsid w:val="005D189D"/>
    <w:rsid w:val="005D3EC6"/>
    <w:rsid w:val="005E17F4"/>
    <w:rsid w:val="005E2A46"/>
    <w:rsid w:val="005F6F41"/>
    <w:rsid w:val="00611A0B"/>
    <w:rsid w:val="006141A4"/>
    <w:rsid w:val="00614D01"/>
    <w:rsid w:val="006252D3"/>
    <w:rsid w:val="00625DC6"/>
    <w:rsid w:val="00633E7A"/>
    <w:rsid w:val="00636B5E"/>
    <w:rsid w:val="00640382"/>
    <w:rsid w:val="00640DF6"/>
    <w:rsid w:val="00642F84"/>
    <w:rsid w:val="0064317D"/>
    <w:rsid w:val="0064391D"/>
    <w:rsid w:val="00644EA2"/>
    <w:rsid w:val="00651404"/>
    <w:rsid w:val="00651821"/>
    <w:rsid w:val="00654384"/>
    <w:rsid w:val="00657DFA"/>
    <w:rsid w:val="00661E64"/>
    <w:rsid w:val="0066698F"/>
    <w:rsid w:val="006675CD"/>
    <w:rsid w:val="0066789E"/>
    <w:rsid w:val="00667AAE"/>
    <w:rsid w:val="0067206E"/>
    <w:rsid w:val="00676709"/>
    <w:rsid w:val="00680722"/>
    <w:rsid w:val="00684D9B"/>
    <w:rsid w:val="0068510A"/>
    <w:rsid w:val="00686525"/>
    <w:rsid w:val="006940C6"/>
    <w:rsid w:val="00694D7C"/>
    <w:rsid w:val="00696155"/>
    <w:rsid w:val="00697556"/>
    <w:rsid w:val="0069756D"/>
    <w:rsid w:val="006978D7"/>
    <w:rsid w:val="006A57CA"/>
    <w:rsid w:val="006A629B"/>
    <w:rsid w:val="006B4647"/>
    <w:rsid w:val="006B4C2B"/>
    <w:rsid w:val="006B50AF"/>
    <w:rsid w:val="006B5F53"/>
    <w:rsid w:val="006B6194"/>
    <w:rsid w:val="006B6D47"/>
    <w:rsid w:val="006C145F"/>
    <w:rsid w:val="006C1EDD"/>
    <w:rsid w:val="006C5AFE"/>
    <w:rsid w:val="006C6C91"/>
    <w:rsid w:val="006C76B0"/>
    <w:rsid w:val="006D33A1"/>
    <w:rsid w:val="006E1564"/>
    <w:rsid w:val="006E4859"/>
    <w:rsid w:val="006E6274"/>
    <w:rsid w:val="006F05C5"/>
    <w:rsid w:val="006F22B5"/>
    <w:rsid w:val="006F6D95"/>
    <w:rsid w:val="00704093"/>
    <w:rsid w:val="0070527B"/>
    <w:rsid w:val="00706F13"/>
    <w:rsid w:val="007072E8"/>
    <w:rsid w:val="007124F3"/>
    <w:rsid w:val="00713D6C"/>
    <w:rsid w:val="007142E0"/>
    <w:rsid w:val="0071618D"/>
    <w:rsid w:val="00720C3C"/>
    <w:rsid w:val="00725FA4"/>
    <w:rsid w:val="007343EA"/>
    <w:rsid w:val="0073555D"/>
    <w:rsid w:val="0073712A"/>
    <w:rsid w:val="00737EE1"/>
    <w:rsid w:val="00737F10"/>
    <w:rsid w:val="00740446"/>
    <w:rsid w:val="00742503"/>
    <w:rsid w:val="00742B65"/>
    <w:rsid w:val="007438A9"/>
    <w:rsid w:val="0074491E"/>
    <w:rsid w:val="0076247A"/>
    <w:rsid w:val="00765652"/>
    <w:rsid w:val="00765AF4"/>
    <w:rsid w:val="0076768F"/>
    <w:rsid w:val="00771817"/>
    <w:rsid w:val="00775964"/>
    <w:rsid w:val="007765FE"/>
    <w:rsid w:val="00777516"/>
    <w:rsid w:val="00785DCD"/>
    <w:rsid w:val="00792978"/>
    <w:rsid w:val="00794E2E"/>
    <w:rsid w:val="00795BFB"/>
    <w:rsid w:val="0079603D"/>
    <w:rsid w:val="007A47E1"/>
    <w:rsid w:val="007B2756"/>
    <w:rsid w:val="007B2760"/>
    <w:rsid w:val="007B43AE"/>
    <w:rsid w:val="007B483A"/>
    <w:rsid w:val="007B578B"/>
    <w:rsid w:val="007B5922"/>
    <w:rsid w:val="007B616A"/>
    <w:rsid w:val="007B6A66"/>
    <w:rsid w:val="007C1157"/>
    <w:rsid w:val="007C652E"/>
    <w:rsid w:val="007C6982"/>
    <w:rsid w:val="007C7F47"/>
    <w:rsid w:val="007D0057"/>
    <w:rsid w:val="007E1530"/>
    <w:rsid w:val="007E5749"/>
    <w:rsid w:val="007E60EC"/>
    <w:rsid w:val="007F0A17"/>
    <w:rsid w:val="007F7175"/>
    <w:rsid w:val="00801BF8"/>
    <w:rsid w:val="00805E3F"/>
    <w:rsid w:val="008066F0"/>
    <w:rsid w:val="00806C01"/>
    <w:rsid w:val="00812DCC"/>
    <w:rsid w:val="008148CC"/>
    <w:rsid w:val="0081575C"/>
    <w:rsid w:val="008211A4"/>
    <w:rsid w:val="008211D5"/>
    <w:rsid w:val="008259B8"/>
    <w:rsid w:val="008277AE"/>
    <w:rsid w:val="00834DC9"/>
    <w:rsid w:val="00845EFB"/>
    <w:rsid w:val="00854351"/>
    <w:rsid w:val="00855F3F"/>
    <w:rsid w:val="00855F4D"/>
    <w:rsid w:val="00872A77"/>
    <w:rsid w:val="00873150"/>
    <w:rsid w:val="00875920"/>
    <w:rsid w:val="0087657D"/>
    <w:rsid w:val="00876CA9"/>
    <w:rsid w:val="008807D5"/>
    <w:rsid w:val="00880832"/>
    <w:rsid w:val="0088328A"/>
    <w:rsid w:val="00883AFD"/>
    <w:rsid w:val="00884D9F"/>
    <w:rsid w:val="00886EE1"/>
    <w:rsid w:val="0088727D"/>
    <w:rsid w:val="008925C9"/>
    <w:rsid w:val="008954C9"/>
    <w:rsid w:val="00897C75"/>
    <w:rsid w:val="008A645A"/>
    <w:rsid w:val="008A64E3"/>
    <w:rsid w:val="008A6CC8"/>
    <w:rsid w:val="008B194E"/>
    <w:rsid w:val="008B573C"/>
    <w:rsid w:val="008C1130"/>
    <w:rsid w:val="008C2C5A"/>
    <w:rsid w:val="008C56A2"/>
    <w:rsid w:val="008D0E4E"/>
    <w:rsid w:val="008D18E6"/>
    <w:rsid w:val="008D2FF2"/>
    <w:rsid w:val="008D43A2"/>
    <w:rsid w:val="008D502B"/>
    <w:rsid w:val="008D7A9B"/>
    <w:rsid w:val="008E0060"/>
    <w:rsid w:val="008E3EFF"/>
    <w:rsid w:val="008E7091"/>
    <w:rsid w:val="008E76AC"/>
    <w:rsid w:val="008F21F6"/>
    <w:rsid w:val="008F2B56"/>
    <w:rsid w:val="00902B57"/>
    <w:rsid w:val="00905646"/>
    <w:rsid w:val="00905CA9"/>
    <w:rsid w:val="00905CFA"/>
    <w:rsid w:val="00906440"/>
    <w:rsid w:val="00910DEB"/>
    <w:rsid w:val="00913ADF"/>
    <w:rsid w:val="00913DC8"/>
    <w:rsid w:val="00922962"/>
    <w:rsid w:val="00923EDB"/>
    <w:rsid w:val="00935660"/>
    <w:rsid w:val="00946544"/>
    <w:rsid w:val="00946A97"/>
    <w:rsid w:val="009503E6"/>
    <w:rsid w:val="0095126F"/>
    <w:rsid w:val="00951F79"/>
    <w:rsid w:val="00952614"/>
    <w:rsid w:val="009625F2"/>
    <w:rsid w:val="00963DA8"/>
    <w:rsid w:val="00964F16"/>
    <w:rsid w:val="0097224B"/>
    <w:rsid w:val="00974AB5"/>
    <w:rsid w:val="00975314"/>
    <w:rsid w:val="0097632B"/>
    <w:rsid w:val="009763E9"/>
    <w:rsid w:val="00980FED"/>
    <w:rsid w:val="00981C84"/>
    <w:rsid w:val="00982465"/>
    <w:rsid w:val="009841D5"/>
    <w:rsid w:val="009857F5"/>
    <w:rsid w:val="00986875"/>
    <w:rsid w:val="0098706D"/>
    <w:rsid w:val="00992A19"/>
    <w:rsid w:val="009935FB"/>
    <w:rsid w:val="00995A1B"/>
    <w:rsid w:val="009A2368"/>
    <w:rsid w:val="009A7B7F"/>
    <w:rsid w:val="009B09AF"/>
    <w:rsid w:val="009B27A6"/>
    <w:rsid w:val="009B519B"/>
    <w:rsid w:val="009C3BEE"/>
    <w:rsid w:val="009D2856"/>
    <w:rsid w:val="009D2BC7"/>
    <w:rsid w:val="009E7022"/>
    <w:rsid w:val="009F1672"/>
    <w:rsid w:val="009F1E53"/>
    <w:rsid w:val="009F2FD4"/>
    <w:rsid w:val="009F4A54"/>
    <w:rsid w:val="009F4BEC"/>
    <w:rsid w:val="009F5874"/>
    <w:rsid w:val="009F6F54"/>
    <w:rsid w:val="00A00382"/>
    <w:rsid w:val="00A14B8B"/>
    <w:rsid w:val="00A165DC"/>
    <w:rsid w:val="00A25FD7"/>
    <w:rsid w:val="00A26CC4"/>
    <w:rsid w:val="00A278E9"/>
    <w:rsid w:val="00A310EC"/>
    <w:rsid w:val="00A43AFF"/>
    <w:rsid w:val="00A43CA4"/>
    <w:rsid w:val="00A44B63"/>
    <w:rsid w:val="00A44D18"/>
    <w:rsid w:val="00A46AC7"/>
    <w:rsid w:val="00A60C08"/>
    <w:rsid w:val="00A755E7"/>
    <w:rsid w:val="00A75B79"/>
    <w:rsid w:val="00A7793A"/>
    <w:rsid w:val="00A837FC"/>
    <w:rsid w:val="00A918E9"/>
    <w:rsid w:val="00A923AA"/>
    <w:rsid w:val="00A93BB1"/>
    <w:rsid w:val="00A968DD"/>
    <w:rsid w:val="00AA1AD1"/>
    <w:rsid w:val="00AA34DE"/>
    <w:rsid w:val="00AA4CC7"/>
    <w:rsid w:val="00AA5E8E"/>
    <w:rsid w:val="00AA63BE"/>
    <w:rsid w:val="00AA7F2F"/>
    <w:rsid w:val="00AB2C5F"/>
    <w:rsid w:val="00AB6CA7"/>
    <w:rsid w:val="00AD01E4"/>
    <w:rsid w:val="00AD0858"/>
    <w:rsid w:val="00AD0BD2"/>
    <w:rsid w:val="00AD4B14"/>
    <w:rsid w:val="00AE1881"/>
    <w:rsid w:val="00AE2BC9"/>
    <w:rsid w:val="00AE7340"/>
    <w:rsid w:val="00AF0BCC"/>
    <w:rsid w:val="00AF1BBD"/>
    <w:rsid w:val="00AF221E"/>
    <w:rsid w:val="00AF2491"/>
    <w:rsid w:val="00AF2EDE"/>
    <w:rsid w:val="00B004BE"/>
    <w:rsid w:val="00B0050E"/>
    <w:rsid w:val="00B01240"/>
    <w:rsid w:val="00B01CD6"/>
    <w:rsid w:val="00B10207"/>
    <w:rsid w:val="00B1360B"/>
    <w:rsid w:val="00B141E7"/>
    <w:rsid w:val="00B1534C"/>
    <w:rsid w:val="00B153A4"/>
    <w:rsid w:val="00B25C1B"/>
    <w:rsid w:val="00B26CA0"/>
    <w:rsid w:val="00B311C3"/>
    <w:rsid w:val="00B351B4"/>
    <w:rsid w:val="00B353B4"/>
    <w:rsid w:val="00B40971"/>
    <w:rsid w:val="00B447E5"/>
    <w:rsid w:val="00B45E42"/>
    <w:rsid w:val="00B468CA"/>
    <w:rsid w:val="00B46BCA"/>
    <w:rsid w:val="00B478AA"/>
    <w:rsid w:val="00B53A10"/>
    <w:rsid w:val="00B634EA"/>
    <w:rsid w:val="00B642EA"/>
    <w:rsid w:val="00B65873"/>
    <w:rsid w:val="00B70245"/>
    <w:rsid w:val="00B70679"/>
    <w:rsid w:val="00B70AB3"/>
    <w:rsid w:val="00B71BE8"/>
    <w:rsid w:val="00B75E93"/>
    <w:rsid w:val="00B7644C"/>
    <w:rsid w:val="00B77653"/>
    <w:rsid w:val="00B8290B"/>
    <w:rsid w:val="00B8746F"/>
    <w:rsid w:val="00B87806"/>
    <w:rsid w:val="00B87EC9"/>
    <w:rsid w:val="00B91B77"/>
    <w:rsid w:val="00BA3CCB"/>
    <w:rsid w:val="00BA7C4B"/>
    <w:rsid w:val="00BB02A5"/>
    <w:rsid w:val="00BB08A8"/>
    <w:rsid w:val="00BB1822"/>
    <w:rsid w:val="00BB5D62"/>
    <w:rsid w:val="00BB6211"/>
    <w:rsid w:val="00BB784E"/>
    <w:rsid w:val="00BC38FD"/>
    <w:rsid w:val="00BC4506"/>
    <w:rsid w:val="00BC4C75"/>
    <w:rsid w:val="00BC5C7E"/>
    <w:rsid w:val="00BC7A94"/>
    <w:rsid w:val="00BC7E5B"/>
    <w:rsid w:val="00BD662A"/>
    <w:rsid w:val="00BE4720"/>
    <w:rsid w:val="00BF5B71"/>
    <w:rsid w:val="00BF78B7"/>
    <w:rsid w:val="00C034CB"/>
    <w:rsid w:val="00C050A4"/>
    <w:rsid w:val="00C051A8"/>
    <w:rsid w:val="00C054BC"/>
    <w:rsid w:val="00C0581F"/>
    <w:rsid w:val="00C100E9"/>
    <w:rsid w:val="00C10BF5"/>
    <w:rsid w:val="00C14A4F"/>
    <w:rsid w:val="00C165F2"/>
    <w:rsid w:val="00C16EF4"/>
    <w:rsid w:val="00C17897"/>
    <w:rsid w:val="00C2797E"/>
    <w:rsid w:val="00C409D5"/>
    <w:rsid w:val="00C4282F"/>
    <w:rsid w:val="00C429E2"/>
    <w:rsid w:val="00C435C3"/>
    <w:rsid w:val="00C45836"/>
    <w:rsid w:val="00C462FD"/>
    <w:rsid w:val="00C502C0"/>
    <w:rsid w:val="00C5095A"/>
    <w:rsid w:val="00C51B82"/>
    <w:rsid w:val="00C527FD"/>
    <w:rsid w:val="00C54A65"/>
    <w:rsid w:val="00C6234B"/>
    <w:rsid w:val="00C63EAE"/>
    <w:rsid w:val="00C73260"/>
    <w:rsid w:val="00C75829"/>
    <w:rsid w:val="00C7629F"/>
    <w:rsid w:val="00C8049D"/>
    <w:rsid w:val="00C81C75"/>
    <w:rsid w:val="00C8661B"/>
    <w:rsid w:val="00C87143"/>
    <w:rsid w:val="00C9105E"/>
    <w:rsid w:val="00C91212"/>
    <w:rsid w:val="00C9260C"/>
    <w:rsid w:val="00C9746F"/>
    <w:rsid w:val="00CA139A"/>
    <w:rsid w:val="00CA2899"/>
    <w:rsid w:val="00CA3A3D"/>
    <w:rsid w:val="00CA642F"/>
    <w:rsid w:val="00CA6605"/>
    <w:rsid w:val="00CA77FB"/>
    <w:rsid w:val="00CB16DA"/>
    <w:rsid w:val="00CB379B"/>
    <w:rsid w:val="00CB5DD0"/>
    <w:rsid w:val="00CC0D34"/>
    <w:rsid w:val="00CC239F"/>
    <w:rsid w:val="00CC36C0"/>
    <w:rsid w:val="00CC4ED2"/>
    <w:rsid w:val="00CC51D4"/>
    <w:rsid w:val="00CC5F73"/>
    <w:rsid w:val="00CC65DA"/>
    <w:rsid w:val="00CD2B14"/>
    <w:rsid w:val="00CD5E2B"/>
    <w:rsid w:val="00CD5F07"/>
    <w:rsid w:val="00CD713C"/>
    <w:rsid w:val="00CE00F2"/>
    <w:rsid w:val="00CF0D18"/>
    <w:rsid w:val="00CF21B9"/>
    <w:rsid w:val="00CF39E4"/>
    <w:rsid w:val="00CF6BF9"/>
    <w:rsid w:val="00D03800"/>
    <w:rsid w:val="00D065D3"/>
    <w:rsid w:val="00D14C94"/>
    <w:rsid w:val="00D20A3C"/>
    <w:rsid w:val="00D22290"/>
    <w:rsid w:val="00D22776"/>
    <w:rsid w:val="00D22A1E"/>
    <w:rsid w:val="00D23890"/>
    <w:rsid w:val="00D275D7"/>
    <w:rsid w:val="00D27BA6"/>
    <w:rsid w:val="00D3164A"/>
    <w:rsid w:val="00D318DC"/>
    <w:rsid w:val="00D321BF"/>
    <w:rsid w:val="00D342A6"/>
    <w:rsid w:val="00D34602"/>
    <w:rsid w:val="00D3463A"/>
    <w:rsid w:val="00D35E58"/>
    <w:rsid w:val="00D35FCF"/>
    <w:rsid w:val="00D365E8"/>
    <w:rsid w:val="00D36D1A"/>
    <w:rsid w:val="00D40BEF"/>
    <w:rsid w:val="00D45CA6"/>
    <w:rsid w:val="00D45DF6"/>
    <w:rsid w:val="00D464BF"/>
    <w:rsid w:val="00D53201"/>
    <w:rsid w:val="00D53E26"/>
    <w:rsid w:val="00D56709"/>
    <w:rsid w:val="00D60BE4"/>
    <w:rsid w:val="00D66E45"/>
    <w:rsid w:val="00D73472"/>
    <w:rsid w:val="00D73BCE"/>
    <w:rsid w:val="00D80DDD"/>
    <w:rsid w:val="00D82A14"/>
    <w:rsid w:val="00D8712E"/>
    <w:rsid w:val="00D946C2"/>
    <w:rsid w:val="00D967A6"/>
    <w:rsid w:val="00DA3E0B"/>
    <w:rsid w:val="00DA3F77"/>
    <w:rsid w:val="00DB44E6"/>
    <w:rsid w:val="00DC2DC9"/>
    <w:rsid w:val="00DC4F83"/>
    <w:rsid w:val="00DC5BAA"/>
    <w:rsid w:val="00DD4F0E"/>
    <w:rsid w:val="00DD5242"/>
    <w:rsid w:val="00DD5A35"/>
    <w:rsid w:val="00DE65E0"/>
    <w:rsid w:val="00DE7B19"/>
    <w:rsid w:val="00DF0BF0"/>
    <w:rsid w:val="00DF3CA2"/>
    <w:rsid w:val="00DF3E56"/>
    <w:rsid w:val="00DF3EE6"/>
    <w:rsid w:val="00DF6684"/>
    <w:rsid w:val="00DF6D85"/>
    <w:rsid w:val="00E01463"/>
    <w:rsid w:val="00E0316A"/>
    <w:rsid w:val="00E05E0A"/>
    <w:rsid w:val="00E060BE"/>
    <w:rsid w:val="00E06AEF"/>
    <w:rsid w:val="00E07458"/>
    <w:rsid w:val="00E07C0A"/>
    <w:rsid w:val="00E10794"/>
    <w:rsid w:val="00E130FE"/>
    <w:rsid w:val="00E159AB"/>
    <w:rsid w:val="00E15B9C"/>
    <w:rsid w:val="00E23B97"/>
    <w:rsid w:val="00E34B92"/>
    <w:rsid w:val="00E449B9"/>
    <w:rsid w:val="00E4536D"/>
    <w:rsid w:val="00E46432"/>
    <w:rsid w:val="00E46BB3"/>
    <w:rsid w:val="00E52189"/>
    <w:rsid w:val="00E52279"/>
    <w:rsid w:val="00E534CF"/>
    <w:rsid w:val="00E53D0C"/>
    <w:rsid w:val="00E60C09"/>
    <w:rsid w:val="00E61367"/>
    <w:rsid w:val="00E61576"/>
    <w:rsid w:val="00E63388"/>
    <w:rsid w:val="00E76D75"/>
    <w:rsid w:val="00E81CB4"/>
    <w:rsid w:val="00E8585B"/>
    <w:rsid w:val="00E85F95"/>
    <w:rsid w:val="00E86F6A"/>
    <w:rsid w:val="00E920F7"/>
    <w:rsid w:val="00E93137"/>
    <w:rsid w:val="00E943AE"/>
    <w:rsid w:val="00E95942"/>
    <w:rsid w:val="00E971C6"/>
    <w:rsid w:val="00E97940"/>
    <w:rsid w:val="00EA142B"/>
    <w:rsid w:val="00EA24A6"/>
    <w:rsid w:val="00EA3F15"/>
    <w:rsid w:val="00EA472E"/>
    <w:rsid w:val="00EA67AE"/>
    <w:rsid w:val="00EA7847"/>
    <w:rsid w:val="00EB1590"/>
    <w:rsid w:val="00EB4C2F"/>
    <w:rsid w:val="00EB72BA"/>
    <w:rsid w:val="00EC5AAB"/>
    <w:rsid w:val="00ED0E88"/>
    <w:rsid w:val="00ED7010"/>
    <w:rsid w:val="00EE2E6E"/>
    <w:rsid w:val="00EE463E"/>
    <w:rsid w:val="00EE534C"/>
    <w:rsid w:val="00EF0AFF"/>
    <w:rsid w:val="00F0055F"/>
    <w:rsid w:val="00F026F9"/>
    <w:rsid w:val="00F03DF9"/>
    <w:rsid w:val="00F0759E"/>
    <w:rsid w:val="00F13E8E"/>
    <w:rsid w:val="00F16A43"/>
    <w:rsid w:val="00F16BFC"/>
    <w:rsid w:val="00F16EC7"/>
    <w:rsid w:val="00F22ACC"/>
    <w:rsid w:val="00F27297"/>
    <w:rsid w:val="00F31B8B"/>
    <w:rsid w:val="00F33387"/>
    <w:rsid w:val="00F34756"/>
    <w:rsid w:val="00F4236B"/>
    <w:rsid w:val="00F430A1"/>
    <w:rsid w:val="00F45114"/>
    <w:rsid w:val="00F46780"/>
    <w:rsid w:val="00F505A9"/>
    <w:rsid w:val="00F52DA3"/>
    <w:rsid w:val="00F6076E"/>
    <w:rsid w:val="00F616A3"/>
    <w:rsid w:val="00F6430F"/>
    <w:rsid w:val="00F67D3A"/>
    <w:rsid w:val="00F71CDA"/>
    <w:rsid w:val="00F76889"/>
    <w:rsid w:val="00F76A7C"/>
    <w:rsid w:val="00F77FDF"/>
    <w:rsid w:val="00F80FD4"/>
    <w:rsid w:val="00F821A3"/>
    <w:rsid w:val="00F83667"/>
    <w:rsid w:val="00F90E62"/>
    <w:rsid w:val="00F9314A"/>
    <w:rsid w:val="00F93AA1"/>
    <w:rsid w:val="00F93B8D"/>
    <w:rsid w:val="00F93D24"/>
    <w:rsid w:val="00F940B2"/>
    <w:rsid w:val="00FA1494"/>
    <w:rsid w:val="00FA1BB9"/>
    <w:rsid w:val="00FA1C49"/>
    <w:rsid w:val="00FA28B4"/>
    <w:rsid w:val="00FA2B45"/>
    <w:rsid w:val="00FA4E1D"/>
    <w:rsid w:val="00FB4010"/>
    <w:rsid w:val="00FC4907"/>
    <w:rsid w:val="00FC58EF"/>
    <w:rsid w:val="00FC7584"/>
    <w:rsid w:val="00FD2694"/>
    <w:rsid w:val="00FD2EE5"/>
    <w:rsid w:val="00FD33DF"/>
    <w:rsid w:val="00FE39D7"/>
    <w:rsid w:val="00FF3D49"/>
    <w:rsid w:val="00FF4C18"/>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4E1D91"/>
  <w15:docId w15:val="{5EC0F3AF-191D-4707-96A5-75CDDE44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 w:type="table" w:styleId="Tablanormal3">
    <w:name w:val="Plain Table 3"/>
    <w:basedOn w:val="Tablanormal"/>
    <w:uiPriority w:val="43"/>
    <w:rsid w:val="00855F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855F4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F33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2F33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156850592">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285382925">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373379469">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D1C21-B580-469E-9FA1-4B13FBBD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Pages>
  <Words>1355</Words>
  <Characters>7006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2018-11-06T20:08:00Z</cp:lastPrinted>
  <dcterms:created xsi:type="dcterms:W3CDTF">2019-01-22T22:51:00Z</dcterms:created>
  <dcterms:modified xsi:type="dcterms:W3CDTF">2019-01-22T22:51:00Z</dcterms:modified>
</cp:coreProperties>
</file>