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4994" w14:textId="77777777" w:rsidR="00497B8F" w:rsidRPr="00BB17D5" w:rsidRDefault="008B0FDB" w:rsidP="00F47C70">
      <w:pPr>
        <w:pStyle w:val="Ttulo1"/>
        <w:ind w:left="709" w:hanging="709"/>
      </w:pPr>
      <w:r>
        <w:rPr>
          <w:noProof/>
          <w:lang w:eastAsia="es-ES"/>
        </w:rPr>
        <w:object w:dxaOrig="1440" w:dyaOrig="1440" w14:anchorId="0255B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7.15pt;margin-top:-53.35pt;width:52.5pt;height:48.75pt;z-index:251658240" fillcolor="#0c9">
            <v:imagedata r:id="rId11" o:title=""/>
          </v:shape>
          <o:OLEObject Type="Embed" ProgID="PBrush" ShapeID="_x0000_s2051" DrawAspect="Content" ObjectID="_1716705329" r:id="rId12"/>
        </w:object>
      </w:r>
      <w:r w:rsidR="00497B8F" w:rsidRPr="00BB17D5">
        <w:t xml:space="preserve">                                                </w:t>
      </w:r>
    </w:p>
    <w:p w14:paraId="21FAB1B2" w14:textId="77777777" w:rsidR="00497B8F" w:rsidRPr="00BB17D5" w:rsidRDefault="00497B8F" w:rsidP="00497B8F">
      <w:pPr>
        <w:pStyle w:val="Ttulo4"/>
        <w:tabs>
          <w:tab w:val="left" w:pos="0"/>
          <w:tab w:val="right" w:pos="9356"/>
        </w:tabs>
        <w:ind w:left="0"/>
        <w:rPr>
          <w:rFonts w:ascii="Bookman Old Style" w:hAnsi="Bookman Old Style"/>
          <w:b w:val="0"/>
          <w:bCs/>
          <w:noProof/>
          <w:sz w:val="24"/>
          <w:szCs w:val="24"/>
          <w:lang w:val="es-ES"/>
        </w:rPr>
      </w:pPr>
      <w:r w:rsidRPr="00BB17D5">
        <w:rPr>
          <w:rFonts w:ascii="Bookman Old Style" w:hAnsi="Bookman Old Style"/>
          <w:b w:val="0"/>
          <w:bCs/>
          <w:sz w:val="24"/>
          <w:szCs w:val="24"/>
        </w:rPr>
        <w:t>Ministerio de Minas y Energía</w:t>
      </w:r>
    </w:p>
    <w:p w14:paraId="297FC81E" w14:textId="77777777" w:rsidR="00497B8F" w:rsidRPr="007E263F" w:rsidRDefault="00497B8F" w:rsidP="00497B8F">
      <w:pPr>
        <w:rPr>
          <w:rFonts w:ascii="Bookman Old Style" w:hAnsi="Bookman Old Style"/>
        </w:rPr>
      </w:pPr>
    </w:p>
    <w:p w14:paraId="262CE132" w14:textId="77777777" w:rsidR="00497B8F" w:rsidRPr="000F1290" w:rsidRDefault="00497B8F" w:rsidP="00497B8F">
      <w:pPr>
        <w:pStyle w:val="Ttulo3"/>
        <w:tabs>
          <w:tab w:val="left" w:pos="0"/>
          <w:tab w:val="right" w:pos="9356"/>
        </w:tabs>
        <w:ind w:left="0"/>
        <w:rPr>
          <w:rFonts w:ascii="Bookman Old Style" w:hAnsi="Bookman Old Style" w:cs="Arial"/>
          <w:spacing w:val="20"/>
          <w:szCs w:val="24"/>
        </w:rPr>
      </w:pPr>
      <w:r w:rsidRPr="000F1290">
        <w:rPr>
          <w:rFonts w:ascii="Bookman Old Style" w:hAnsi="Bookman Old Style" w:cs="Arial"/>
          <w:spacing w:val="20"/>
          <w:szCs w:val="24"/>
        </w:rPr>
        <w:t>COMISIÓN DE REGULACIÓN DE ENERGÍA Y GAS</w:t>
      </w:r>
    </w:p>
    <w:p w14:paraId="22C7FAC8" w14:textId="77777777" w:rsidR="00497B8F" w:rsidRPr="00BB17D5" w:rsidRDefault="00497B8F" w:rsidP="00497B8F">
      <w:pPr>
        <w:pStyle w:val="Ttulo5"/>
        <w:tabs>
          <w:tab w:val="left" w:pos="0"/>
          <w:tab w:val="right" w:pos="9356"/>
        </w:tabs>
        <w:ind w:left="0"/>
        <w:rPr>
          <w:rFonts w:ascii="Bookman Old Style" w:hAnsi="Bookman Old Style"/>
          <w:sz w:val="24"/>
          <w:szCs w:val="24"/>
        </w:rPr>
      </w:pPr>
    </w:p>
    <w:p w14:paraId="6CEC864C" w14:textId="77777777" w:rsidR="00497B8F" w:rsidRPr="00BB17D5" w:rsidRDefault="00497B8F" w:rsidP="00497B8F">
      <w:pPr>
        <w:pStyle w:val="Ttulo5"/>
        <w:tabs>
          <w:tab w:val="left" w:pos="0"/>
          <w:tab w:val="right" w:pos="9356"/>
        </w:tabs>
        <w:ind w:left="0"/>
        <w:rPr>
          <w:rFonts w:ascii="Bookman Old Style" w:hAnsi="Bookman Old Style"/>
          <w:sz w:val="24"/>
          <w:szCs w:val="24"/>
        </w:rPr>
      </w:pPr>
    </w:p>
    <w:p w14:paraId="53894EA8" w14:textId="529664FF" w:rsidR="006D72C0" w:rsidRPr="005263BE" w:rsidRDefault="00274973" w:rsidP="006D72C0">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w:t>
      </w:r>
      <w:r w:rsidR="006D72C0" w:rsidRPr="005263BE">
        <w:rPr>
          <w:rFonts w:ascii="Bookman Old Style" w:hAnsi="Bookman Old Style"/>
          <w:sz w:val="24"/>
          <w:szCs w:val="24"/>
        </w:rPr>
        <w:t xml:space="preserve">RESOLUCIÓN No. </w:t>
      </w:r>
      <w:r w:rsidR="006D72C0">
        <w:rPr>
          <w:rFonts w:ascii="Bookman Old Style" w:hAnsi="Bookman Old Style"/>
          <w:sz w:val="32"/>
          <w:szCs w:val="32"/>
        </w:rPr>
        <w:t>702 00</w:t>
      </w:r>
      <w:r>
        <w:rPr>
          <w:rFonts w:ascii="Bookman Old Style" w:hAnsi="Bookman Old Style"/>
          <w:sz w:val="32"/>
          <w:szCs w:val="32"/>
        </w:rPr>
        <w:t>6</w:t>
      </w:r>
      <w:r w:rsidR="006D72C0" w:rsidRPr="00825F63">
        <w:rPr>
          <w:rFonts w:ascii="Bookman Old Style" w:hAnsi="Bookman Old Style"/>
          <w:sz w:val="32"/>
          <w:szCs w:val="32"/>
        </w:rPr>
        <w:t xml:space="preserve"> </w:t>
      </w:r>
      <w:r w:rsidR="006D72C0" w:rsidRPr="005263BE">
        <w:rPr>
          <w:rFonts w:ascii="Bookman Old Style" w:hAnsi="Bookman Old Style"/>
          <w:sz w:val="24"/>
          <w:szCs w:val="24"/>
        </w:rPr>
        <w:t xml:space="preserve">  </w:t>
      </w:r>
    </w:p>
    <w:p w14:paraId="559B675C" w14:textId="77777777" w:rsidR="006D72C0" w:rsidRPr="005263BE" w:rsidRDefault="006D72C0" w:rsidP="006D72C0">
      <w:pPr>
        <w:tabs>
          <w:tab w:val="left" w:pos="0"/>
          <w:tab w:val="right" w:pos="9356"/>
        </w:tabs>
        <w:jc w:val="center"/>
        <w:rPr>
          <w:rFonts w:ascii="Bookman Old Style" w:hAnsi="Bookman Old Style" w:cs="Arial"/>
          <w:b/>
          <w:snapToGrid w:val="0"/>
          <w:color w:val="000000"/>
          <w:lang w:val="es-ES_tradnl"/>
        </w:rPr>
      </w:pPr>
    </w:p>
    <w:p w14:paraId="45D91694" w14:textId="333721D4" w:rsidR="006D72C0" w:rsidRPr="005263BE" w:rsidRDefault="006D72C0" w:rsidP="006D72C0">
      <w:pPr>
        <w:pStyle w:val="Ttulo3"/>
        <w:tabs>
          <w:tab w:val="left" w:pos="0"/>
          <w:tab w:val="right" w:pos="9356"/>
        </w:tabs>
        <w:ind w:left="0"/>
        <w:rPr>
          <w:rFonts w:ascii="Bookman Old Style" w:hAnsi="Bookman Old Style"/>
          <w:b w:val="0"/>
          <w:szCs w:val="24"/>
        </w:rPr>
      </w:pPr>
      <w:r w:rsidRPr="005263BE">
        <w:rPr>
          <w:rFonts w:ascii="Bookman Old Style" w:hAnsi="Bookman Old Style"/>
          <w:b w:val="0"/>
          <w:szCs w:val="24"/>
        </w:rPr>
        <w:t xml:space="preserve">(   </w:t>
      </w:r>
      <w:r w:rsidR="00274973">
        <w:rPr>
          <w:rFonts w:ascii="Bookman Old Style" w:hAnsi="Bookman Old Style"/>
          <w:bCs/>
          <w:sz w:val="32"/>
          <w:szCs w:val="32"/>
        </w:rPr>
        <w:t>31</w:t>
      </w:r>
      <w:r>
        <w:rPr>
          <w:rFonts w:ascii="Bookman Old Style" w:hAnsi="Bookman Old Style"/>
          <w:bCs/>
          <w:sz w:val="32"/>
          <w:szCs w:val="32"/>
        </w:rPr>
        <w:t xml:space="preserve"> </w:t>
      </w:r>
      <w:r w:rsidR="00274973">
        <w:rPr>
          <w:rFonts w:ascii="Bookman Old Style" w:hAnsi="Bookman Old Style"/>
          <w:bCs/>
          <w:sz w:val="32"/>
          <w:szCs w:val="32"/>
        </w:rPr>
        <w:t>MAY.</w:t>
      </w:r>
      <w:r>
        <w:rPr>
          <w:rFonts w:ascii="Bookman Old Style" w:hAnsi="Bookman Old Style"/>
          <w:bCs/>
          <w:sz w:val="32"/>
          <w:szCs w:val="32"/>
        </w:rPr>
        <w:t xml:space="preserve"> 2022</w:t>
      </w:r>
      <w:r w:rsidRPr="005263BE">
        <w:rPr>
          <w:rFonts w:ascii="Bookman Old Style" w:hAnsi="Bookman Old Style"/>
          <w:b w:val="0"/>
          <w:szCs w:val="24"/>
        </w:rPr>
        <w:t xml:space="preserve">  )</w:t>
      </w:r>
    </w:p>
    <w:p w14:paraId="344403A8" w14:textId="77777777" w:rsidR="006D72C0" w:rsidRPr="00F23AE8" w:rsidRDefault="006D72C0" w:rsidP="006D72C0">
      <w:pPr>
        <w:tabs>
          <w:tab w:val="left" w:pos="0"/>
          <w:tab w:val="right" w:pos="9356"/>
        </w:tabs>
        <w:jc w:val="center"/>
        <w:rPr>
          <w:rFonts w:ascii="Bookman Old Style" w:hAnsi="Bookman Old Style"/>
          <w:lang w:val="es-ES_tradnl"/>
        </w:rPr>
      </w:pPr>
    </w:p>
    <w:p w14:paraId="304D2058" w14:textId="77777777" w:rsidR="006D72C0" w:rsidRPr="00F23AE8" w:rsidRDefault="006D72C0" w:rsidP="006D72C0">
      <w:pPr>
        <w:rPr>
          <w:rFonts w:ascii="Bookman Old Style" w:hAnsi="Bookman Old Style"/>
          <w:bCs/>
        </w:rPr>
      </w:pPr>
    </w:p>
    <w:p w14:paraId="19DEA16B" w14:textId="344732FD" w:rsidR="006D72C0" w:rsidRPr="001A573D" w:rsidRDefault="006D72C0" w:rsidP="006D72C0">
      <w:pPr>
        <w:ind w:left="0" w:right="51"/>
        <w:jc w:val="both"/>
        <w:rPr>
          <w:rFonts w:ascii="Bookman Old Style" w:hAnsi="Bookman Old Style"/>
          <w:bCs/>
        </w:rPr>
      </w:pPr>
      <w:r w:rsidRPr="001A573D">
        <w:rPr>
          <w:rFonts w:ascii="Bookman Old Style" w:hAnsi="Bookman Old Style"/>
          <w:bCs/>
        </w:rPr>
        <w:t xml:space="preserve">La Comisión de Regulación de Energía y Gas, en su sesión </w:t>
      </w:r>
      <w:r w:rsidR="00B1184A">
        <w:rPr>
          <w:rFonts w:ascii="Bookman Old Style" w:hAnsi="Bookman Old Style"/>
          <w:bCs/>
        </w:rPr>
        <w:t>1172</w:t>
      </w:r>
      <w:r w:rsidR="00A309BA">
        <w:rPr>
          <w:rFonts w:ascii="Bookman Old Style" w:hAnsi="Bookman Old Style"/>
          <w:bCs/>
        </w:rPr>
        <w:t xml:space="preserve"> </w:t>
      </w:r>
      <w:r w:rsidRPr="001A573D">
        <w:rPr>
          <w:rFonts w:ascii="Bookman Old Style" w:hAnsi="Bookman Old Style"/>
          <w:bCs/>
        </w:rPr>
        <w:t xml:space="preserve">del </w:t>
      </w:r>
      <w:r w:rsidR="00A309BA">
        <w:rPr>
          <w:rFonts w:ascii="Bookman Old Style" w:hAnsi="Bookman Old Style"/>
          <w:bCs/>
        </w:rPr>
        <w:t>31</w:t>
      </w:r>
      <w:r w:rsidR="00A309BA" w:rsidRPr="001A573D">
        <w:rPr>
          <w:rFonts w:ascii="Bookman Old Style" w:hAnsi="Bookman Old Style"/>
          <w:bCs/>
        </w:rPr>
        <w:t xml:space="preserve"> </w:t>
      </w:r>
      <w:r w:rsidRPr="001A573D">
        <w:rPr>
          <w:rFonts w:ascii="Bookman Old Style" w:hAnsi="Bookman Old Style"/>
          <w:bCs/>
        </w:rPr>
        <w:t>de mayo de 2022, aprobó someter a consulta pública el proyecto de resolución “</w:t>
      </w:r>
      <w:r w:rsidRPr="001A573D">
        <w:rPr>
          <w:rFonts w:ascii="Bookman Old Style" w:hAnsi="Bookman Old Style" w:cs="Arial"/>
          <w:i/>
          <w:iCs/>
        </w:rPr>
        <w:t>Por la cual se modifica hacen unos ajustes y se compila la Resolución CREG 1</w:t>
      </w:r>
      <w:r>
        <w:rPr>
          <w:rFonts w:ascii="Bookman Old Style" w:hAnsi="Bookman Old Style" w:cs="Arial"/>
          <w:i/>
          <w:iCs/>
        </w:rPr>
        <w:t>52</w:t>
      </w:r>
      <w:r w:rsidRPr="001A573D">
        <w:rPr>
          <w:rFonts w:ascii="Bookman Old Style" w:hAnsi="Bookman Old Style" w:cs="Arial"/>
          <w:i/>
          <w:iCs/>
        </w:rPr>
        <w:t xml:space="preserve"> de 2017</w:t>
      </w:r>
      <w:r w:rsidRPr="001A573D">
        <w:rPr>
          <w:rFonts w:ascii="Bookman Old Style" w:hAnsi="Bookman Old Style" w:cs="Arial"/>
        </w:rPr>
        <w:t xml:space="preserve">”, </w:t>
      </w:r>
      <w:r w:rsidRPr="001A573D">
        <w:rPr>
          <w:rFonts w:ascii="Bookman Old Style" w:hAnsi="Bookman Old Style"/>
          <w:bCs/>
        </w:rPr>
        <w:t xml:space="preserve">por un término de </w:t>
      </w:r>
      <w:r w:rsidR="00A309BA">
        <w:rPr>
          <w:rFonts w:ascii="Bookman Old Style" w:hAnsi="Bookman Old Style"/>
          <w:bCs/>
        </w:rPr>
        <w:t>diez</w:t>
      </w:r>
      <w:r w:rsidR="00A309BA" w:rsidRPr="001A573D">
        <w:rPr>
          <w:rFonts w:ascii="Bookman Old Style" w:hAnsi="Bookman Old Style"/>
          <w:bCs/>
        </w:rPr>
        <w:t xml:space="preserve"> </w:t>
      </w:r>
      <w:r w:rsidRPr="001A573D">
        <w:rPr>
          <w:rFonts w:ascii="Bookman Old Style" w:hAnsi="Bookman Old Style"/>
          <w:bCs/>
        </w:rPr>
        <w:t>(1</w:t>
      </w:r>
      <w:r w:rsidR="00A309BA">
        <w:rPr>
          <w:rFonts w:ascii="Bookman Old Style" w:hAnsi="Bookman Old Style"/>
          <w:bCs/>
        </w:rPr>
        <w:t>0</w:t>
      </w:r>
      <w:r w:rsidRPr="001A573D">
        <w:rPr>
          <w:rFonts w:ascii="Bookman Old Style" w:hAnsi="Bookman Old Style"/>
          <w:bCs/>
        </w:rPr>
        <w:t>) días hábiles, contados a partir del día siguiente a su publicación en el portal web de la CREG.</w:t>
      </w:r>
    </w:p>
    <w:p w14:paraId="762754C1" w14:textId="77777777" w:rsidR="006D72C0" w:rsidRDefault="006D72C0" w:rsidP="006D72C0">
      <w:pPr>
        <w:tabs>
          <w:tab w:val="left" w:pos="3418"/>
        </w:tabs>
        <w:ind w:left="0"/>
        <w:jc w:val="both"/>
        <w:rPr>
          <w:rFonts w:ascii="Bookman Old Style" w:hAnsi="Bookman Old Style"/>
          <w:bCs/>
        </w:rPr>
      </w:pPr>
    </w:p>
    <w:p w14:paraId="0CE34A5C" w14:textId="5715B0AA" w:rsidR="006D72C0" w:rsidRPr="001A573D" w:rsidRDefault="006D72C0" w:rsidP="006D72C0">
      <w:pPr>
        <w:tabs>
          <w:tab w:val="left" w:pos="3418"/>
        </w:tabs>
        <w:ind w:left="0"/>
        <w:jc w:val="both"/>
        <w:rPr>
          <w:rFonts w:ascii="Bookman Old Style" w:hAnsi="Bookman Old Style"/>
          <w:bCs/>
        </w:rPr>
      </w:pPr>
      <w:r w:rsidRPr="001A573D">
        <w:rPr>
          <w:rFonts w:ascii="Bookman Old Style" w:hAnsi="Bookman Old Style"/>
          <w:bCs/>
        </w:rPr>
        <w:t xml:space="preserve">En consecuencia, se invita a los agentes regulados, usuarios, autoridades competentes y demás interesados a presentar sus observaciones o sugerencias sobre la propuesta dentro del término estipulado ante la Dirección Ejecutiva de la CREG, al correo electrónico www.creg.gov.co.  </w:t>
      </w:r>
    </w:p>
    <w:p w14:paraId="28B44E0B" w14:textId="77777777" w:rsidR="006D72C0" w:rsidRDefault="006D72C0" w:rsidP="006D72C0">
      <w:pPr>
        <w:tabs>
          <w:tab w:val="left" w:pos="3418"/>
        </w:tabs>
        <w:ind w:left="0"/>
        <w:jc w:val="both"/>
        <w:rPr>
          <w:rFonts w:ascii="Bookman Old Style" w:hAnsi="Bookman Old Style"/>
          <w:bCs/>
        </w:rPr>
      </w:pPr>
    </w:p>
    <w:p w14:paraId="7BA65C21" w14:textId="77777777" w:rsidR="00AB3E8F" w:rsidRDefault="00AB3E8F" w:rsidP="00AB3E8F">
      <w:pPr>
        <w:widowControl w:val="0"/>
        <w:tabs>
          <w:tab w:val="left" w:pos="0"/>
        </w:tabs>
        <w:ind w:left="0"/>
        <w:contextualSpacing/>
        <w:jc w:val="both"/>
        <w:rPr>
          <w:rFonts w:ascii="Bookman Old Style" w:hAnsi="Bookman Old Style"/>
        </w:rPr>
      </w:pPr>
      <w:r>
        <w:rPr>
          <w:rFonts w:ascii="Bookman Old Style" w:hAnsi="Bookman Old Style"/>
        </w:rPr>
        <w:t xml:space="preserve">Al </w:t>
      </w:r>
      <w:r w:rsidRPr="00404AF8">
        <w:rPr>
          <w:rFonts w:ascii="Bookman Old Style" w:hAnsi="Bookman Old Style" w:cstheme="minorBidi"/>
        </w:rPr>
        <w:t xml:space="preserve">presentar completa la Resolución CREG </w:t>
      </w:r>
      <w:r>
        <w:rPr>
          <w:rFonts w:ascii="Bookman Old Style" w:hAnsi="Bookman Old Style"/>
        </w:rPr>
        <w:t>107 de 2017</w:t>
      </w:r>
      <w:r w:rsidRPr="00404AF8">
        <w:rPr>
          <w:rFonts w:ascii="Bookman Old Style" w:hAnsi="Bookman Old Style" w:cstheme="minorBidi"/>
        </w:rPr>
        <w:t xml:space="preserve"> se introducen los ajustes propuestos en un formato particular, así: </w:t>
      </w:r>
      <w:r w:rsidRPr="00404AF8">
        <w:rPr>
          <w:rFonts w:ascii="Bookman Old Style" w:hAnsi="Bookman Old Style" w:cstheme="minorBidi"/>
          <w:b/>
          <w:bCs/>
          <w:u w:val="single"/>
        </w:rPr>
        <w:t>propuesta</w:t>
      </w:r>
      <w:r w:rsidRPr="00404AF8">
        <w:rPr>
          <w:rFonts w:ascii="Bookman Old Style" w:hAnsi="Bookman Old Style" w:cstheme="minorBidi"/>
        </w:rPr>
        <w:t xml:space="preserve">, advirtiendo que solo se somete a comentarios </w:t>
      </w:r>
      <w:r>
        <w:rPr>
          <w:rFonts w:ascii="Bookman Old Style" w:hAnsi="Bookman Old Style"/>
        </w:rPr>
        <w:t>lo que se encuentra dispuesto a lo largo de la resolución de esa forma</w:t>
      </w:r>
      <w:r w:rsidRPr="00404AF8">
        <w:rPr>
          <w:rFonts w:ascii="Bookman Old Style" w:hAnsi="Bookman Old Style" w:cstheme="minorBidi"/>
        </w:rPr>
        <w:t xml:space="preserve">. </w:t>
      </w:r>
    </w:p>
    <w:p w14:paraId="3829623D" w14:textId="77777777" w:rsidR="00AB3E8F" w:rsidRDefault="00AB3E8F" w:rsidP="00AB3E8F">
      <w:pPr>
        <w:widowControl w:val="0"/>
        <w:tabs>
          <w:tab w:val="left" w:pos="0"/>
        </w:tabs>
        <w:contextualSpacing/>
        <w:jc w:val="both"/>
        <w:rPr>
          <w:rFonts w:ascii="Bookman Old Style" w:hAnsi="Bookman Old Style"/>
          <w:bCs/>
        </w:rPr>
      </w:pPr>
    </w:p>
    <w:p w14:paraId="26AA8891" w14:textId="77777777" w:rsidR="00AB3E8F" w:rsidRDefault="00AB3E8F" w:rsidP="00AB3E8F">
      <w:pPr>
        <w:widowControl w:val="0"/>
        <w:tabs>
          <w:tab w:val="left" w:pos="0"/>
        </w:tabs>
        <w:ind w:left="0"/>
        <w:contextualSpacing/>
        <w:jc w:val="both"/>
        <w:rPr>
          <w:rFonts w:ascii="Bookman Old Style" w:hAnsi="Bookman Old Style"/>
          <w:bCs/>
        </w:rPr>
      </w:pPr>
      <w:r w:rsidRPr="000F4D2C">
        <w:rPr>
          <w:rFonts w:ascii="Bookman Old Style" w:hAnsi="Bookman Old Style"/>
          <w:bCs/>
        </w:rPr>
        <w:t xml:space="preserve">En el documento soporte de la presente resolución se exponen los análisis y la justificación de la propuesta regulatoria que se somete al proceso </w:t>
      </w:r>
      <w:r>
        <w:rPr>
          <w:rFonts w:ascii="Bookman Old Style" w:hAnsi="Bookman Old Style"/>
          <w:bCs/>
        </w:rPr>
        <w:t xml:space="preserve">de </w:t>
      </w:r>
      <w:r w:rsidRPr="000F4D2C">
        <w:rPr>
          <w:rFonts w:ascii="Bookman Old Style" w:hAnsi="Bookman Old Style"/>
          <w:bCs/>
        </w:rPr>
        <w:t>consulta pública.</w:t>
      </w:r>
    </w:p>
    <w:p w14:paraId="7745E44F" w14:textId="77777777" w:rsidR="00AB3E8F" w:rsidRDefault="00AB3E8F" w:rsidP="00AB3E8F">
      <w:pPr>
        <w:widowControl w:val="0"/>
        <w:tabs>
          <w:tab w:val="left" w:pos="0"/>
        </w:tabs>
        <w:contextualSpacing/>
        <w:jc w:val="both"/>
        <w:rPr>
          <w:rFonts w:ascii="Bookman Old Style" w:hAnsi="Bookman Old Style"/>
          <w:bCs/>
        </w:rPr>
      </w:pPr>
    </w:p>
    <w:p w14:paraId="065B5B47" w14:textId="77777777" w:rsidR="00A309BA" w:rsidRPr="001A573D" w:rsidRDefault="00A309BA" w:rsidP="006D72C0">
      <w:pPr>
        <w:tabs>
          <w:tab w:val="left" w:pos="3418"/>
        </w:tabs>
        <w:ind w:left="0"/>
        <w:jc w:val="both"/>
        <w:rPr>
          <w:rFonts w:ascii="Bookman Old Style" w:hAnsi="Bookman Old Style"/>
          <w:bCs/>
        </w:rPr>
      </w:pPr>
    </w:p>
    <w:p w14:paraId="046A2DF0" w14:textId="77777777" w:rsidR="006D72C0" w:rsidRPr="001A573D" w:rsidRDefault="006D72C0" w:rsidP="006D72C0">
      <w:pPr>
        <w:tabs>
          <w:tab w:val="left" w:pos="3418"/>
        </w:tabs>
        <w:rPr>
          <w:rFonts w:ascii="Bookman Old Style" w:hAnsi="Bookman Old Style"/>
          <w:bCs/>
        </w:rPr>
      </w:pPr>
    </w:p>
    <w:p w14:paraId="7871005D" w14:textId="2015D969" w:rsidR="006D72C0" w:rsidRPr="001A573D" w:rsidRDefault="006D72C0" w:rsidP="006D72C0">
      <w:pPr>
        <w:ind w:right="51"/>
        <w:jc w:val="center"/>
        <w:rPr>
          <w:rFonts w:ascii="Bookman Old Style" w:hAnsi="Bookman Old Style"/>
          <w:b/>
          <w:i/>
          <w:iCs/>
        </w:rPr>
      </w:pPr>
      <w:r w:rsidRPr="001A573D">
        <w:rPr>
          <w:rFonts w:ascii="Bookman Old Style" w:hAnsi="Bookman Old Style" w:cs="Arial"/>
          <w:i/>
          <w:iCs/>
        </w:rPr>
        <w:t>Por la cual se modifica hacen unos ajustes y se compila la Resolución CREG 1</w:t>
      </w:r>
      <w:r>
        <w:rPr>
          <w:rFonts w:ascii="Bookman Old Style" w:hAnsi="Bookman Old Style" w:cs="Arial"/>
          <w:i/>
          <w:iCs/>
        </w:rPr>
        <w:t>52</w:t>
      </w:r>
      <w:r w:rsidRPr="001A573D">
        <w:rPr>
          <w:rFonts w:ascii="Bookman Old Style" w:hAnsi="Bookman Old Style" w:cs="Arial"/>
          <w:i/>
          <w:iCs/>
        </w:rPr>
        <w:t xml:space="preserve"> de 2017</w:t>
      </w:r>
    </w:p>
    <w:p w14:paraId="00C71841" w14:textId="77777777" w:rsidR="00497B8F" w:rsidRPr="00BB17D5" w:rsidRDefault="00497B8F" w:rsidP="00497B8F">
      <w:pPr>
        <w:ind w:left="0"/>
        <w:jc w:val="center"/>
        <w:rPr>
          <w:rFonts w:ascii="Bookman Old Style" w:hAnsi="Bookman Old Style" w:cs="Arial"/>
          <w:color w:val="000000"/>
        </w:rPr>
      </w:pPr>
    </w:p>
    <w:p w14:paraId="70FA2065" w14:textId="77777777" w:rsidR="00497B8F" w:rsidRPr="00BB17D5" w:rsidRDefault="00497B8F" w:rsidP="00497B8F">
      <w:pPr>
        <w:ind w:left="0"/>
        <w:jc w:val="center"/>
        <w:rPr>
          <w:rFonts w:ascii="Bookman Old Style" w:hAnsi="Bookman Old Style" w:cs="Arial"/>
          <w:color w:val="000000" w:themeColor="text1"/>
          <w:lang w:eastAsia="es-CO"/>
        </w:rPr>
      </w:pPr>
      <w:r w:rsidRPr="00BB17D5">
        <w:rPr>
          <w:rFonts w:ascii="Bookman Old Style" w:hAnsi="Bookman Old Style" w:cs="Arial"/>
          <w:b/>
          <w:bCs/>
          <w:color w:val="000000" w:themeColor="text1"/>
          <w:lang w:eastAsia="es-CO"/>
        </w:rPr>
        <w:t>LA COMISIÓN DE REGULACIÓN DE ENERGÍA Y GAS</w:t>
      </w:r>
    </w:p>
    <w:p w14:paraId="46B9B808" w14:textId="77777777" w:rsidR="00497B8F" w:rsidRPr="00BB17D5" w:rsidRDefault="00497B8F" w:rsidP="00497B8F">
      <w:pPr>
        <w:ind w:left="0"/>
        <w:jc w:val="center"/>
        <w:rPr>
          <w:rFonts w:ascii="Bookman Old Style" w:hAnsi="Bookman Old Style" w:cs="Arial"/>
          <w:color w:val="000000"/>
        </w:rPr>
      </w:pPr>
    </w:p>
    <w:p w14:paraId="5DD5DB27" w14:textId="77777777" w:rsidR="00497B8F" w:rsidRPr="00BB17D5" w:rsidRDefault="00497B8F" w:rsidP="00497B8F">
      <w:pPr>
        <w:ind w:left="0"/>
        <w:jc w:val="center"/>
        <w:rPr>
          <w:rFonts w:ascii="Bookman Old Style" w:hAnsi="Bookman Old Style" w:cs="Arial"/>
          <w:color w:val="000000"/>
        </w:rPr>
      </w:pPr>
    </w:p>
    <w:p w14:paraId="7045559C" w14:textId="77777777" w:rsidR="00497B8F" w:rsidRPr="00BB17D5" w:rsidRDefault="00497B8F" w:rsidP="00497B8F">
      <w:pPr>
        <w:ind w:left="0"/>
        <w:jc w:val="center"/>
        <w:rPr>
          <w:rFonts w:ascii="Bookman Old Style" w:hAnsi="Bookman Old Style" w:cs="Arial"/>
          <w:color w:val="000000"/>
        </w:rPr>
      </w:pPr>
      <w:r w:rsidRPr="00BB17D5">
        <w:rPr>
          <w:rFonts w:ascii="Bookman Old Style" w:hAnsi="Bookman Old Style" w:cs="Arial"/>
          <w:color w:val="000000"/>
        </w:rPr>
        <w:t>En ejercicio de las atribuciones constitucionales y legales, en especial las conferidas por la Ley 142 de 1994 y los decretos 1523 y 2253 de 1994 y 1260 de 2013, y</w:t>
      </w:r>
    </w:p>
    <w:p w14:paraId="2EF237D6" w14:textId="77777777" w:rsidR="00497B8F" w:rsidRPr="00BB17D5" w:rsidRDefault="00497B8F" w:rsidP="00497B8F">
      <w:pPr>
        <w:ind w:left="0"/>
        <w:jc w:val="center"/>
        <w:rPr>
          <w:rFonts w:ascii="Bookman Old Style" w:hAnsi="Bookman Old Style" w:cs="Arial"/>
          <w:color w:val="000000"/>
        </w:rPr>
      </w:pPr>
    </w:p>
    <w:p w14:paraId="1D54D174" w14:textId="77777777" w:rsidR="00497B8F" w:rsidRPr="00BB17D5" w:rsidRDefault="00497B8F" w:rsidP="00497B8F">
      <w:pPr>
        <w:ind w:left="0"/>
        <w:rPr>
          <w:rFonts w:ascii="Bookman Old Style" w:hAnsi="Bookman Old Style" w:cs="Arial"/>
          <w:color w:val="000000"/>
        </w:rPr>
      </w:pPr>
    </w:p>
    <w:p w14:paraId="59F41845" w14:textId="77777777" w:rsidR="00497B8F" w:rsidRPr="00BB17D5" w:rsidRDefault="00497B8F" w:rsidP="00497B8F">
      <w:pPr>
        <w:ind w:left="0"/>
        <w:jc w:val="center"/>
        <w:rPr>
          <w:rFonts w:ascii="Bookman Old Style" w:hAnsi="Bookman Old Style" w:cs="Arial"/>
          <w:b/>
          <w:color w:val="000000"/>
        </w:rPr>
      </w:pPr>
      <w:r w:rsidRPr="00BB17D5">
        <w:rPr>
          <w:rFonts w:ascii="Bookman Old Style" w:hAnsi="Bookman Old Style" w:cs="Arial"/>
          <w:b/>
          <w:color w:val="000000"/>
        </w:rPr>
        <w:t>C O N S I D E R A N D O  Q U E:</w:t>
      </w:r>
    </w:p>
    <w:p w14:paraId="0453F3B3" w14:textId="77777777" w:rsidR="00497B8F" w:rsidRPr="007E263F" w:rsidRDefault="00497B8F" w:rsidP="00497B8F">
      <w:pPr>
        <w:rPr>
          <w:rFonts w:ascii="Bookman Old Style" w:hAnsi="Bookman Old Style"/>
        </w:rPr>
      </w:pPr>
    </w:p>
    <w:p w14:paraId="23B8CB55" w14:textId="77777777" w:rsidR="00497B8F" w:rsidRPr="000F1290" w:rsidRDefault="00497B8F" w:rsidP="00497B8F">
      <w:pPr>
        <w:ind w:left="0"/>
        <w:rPr>
          <w:rFonts w:ascii="Bookman Old Style" w:hAnsi="Bookman Old Style" w:cs="Arial"/>
          <w:color w:val="000000"/>
        </w:rPr>
      </w:pPr>
    </w:p>
    <w:p w14:paraId="035D434A" w14:textId="77777777" w:rsidR="00497B8F" w:rsidRPr="00BB17D5" w:rsidRDefault="00497B8F" w:rsidP="00497B8F">
      <w:pPr>
        <w:ind w:left="0"/>
        <w:jc w:val="both"/>
        <w:rPr>
          <w:rFonts w:ascii="Bookman Old Style" w:hAnsi="Bookman Old Style" w:cs="Arial"/>
          <w:lang w:val="es-CO" w:eastAsia="es-CO"/>
        </w:rPr>
      </w:pPr>
      <w:r w:rsidRPr="00BB17D5">
        <w:rPr>
          <w:rFonts w:ascii="Bookman Old Style" w:hAnsi="Bookman Old Style" w:cs="Arial"/>
          <w:lang w:val="es-CO" w:eastAsia="es-CO"/>
        </w:rPr>
        <w:t xml:space="preserve">Uno de los fines de la intervención en los servicios públicos es la prestación continua e ininterrumpida de éstos. </w:t>
      </w:r>
    </w:p>
    <w:p w14:paraId="2BEB2555" w14:textId="77777777" w:rsidR="00497B8F" w:rsidRPr="00BB17D5" w:rsidRDefault="00497B8F" w:rsidP="00497B8F">
      <w:pPr>
        <w:ind w:left="0"/>
        <w:jc w:val="both"/>
        <w:rPr>
          <w:rFonts w:ascii="Bookman Old Style" w:hAnsi="Bookman Old Style" w:cs="Arial"/>
          <w:lang w:val="es-CO" w:eastAsia="es-CO"/>
        </w:rPr>
      </w:pPr>
    </w:p>
    <w:p w14:paraId="7703F13D" w14:textId="77777777" w:rsidR="00497B8F" w:rsidRPr="00BB17D5" w:rsidRDefault="00497B8F" w:rsidP="00497B8F">
      <w:pPr>
        <w:ind w:left="0"/>
        <w:jc w:val="both"/>
        <w:rPr>
          <w:rFonts w:ascii="Bookman Old Style" w:hAnsi="Bookman Old Style" w:cs="Arial"/>
          <w:lang w:val="es-CO" w:eastAsia="es-CO"/>
        </w:rPr>
      </w:pPr>
      <w:r w:rsidRPr="00BB17D5">
        <w:rPr>
          <w:rFonts w:ascii="Bookman Old Style" w:hAnsi="Bookman Old Style" w:cs="Arial"/>
          <w:lang w:val="es-CO" w:eastAsia="es-CO"/>
        </w:rPr>
        <w:lastRenderedPageBreak/>
        <w:t xml:space="preserve">Conforme al Artículo 11 de la Ley 142 de 1994, es obligación de quienes prestan servicios públicos, asegurar que los mismos se prestan de forma continua y eficiente. </w:t>
      </w:r>
    </w:p>
    <w:p w14:paraId="6D4A9650" w14:textId="77777777" w:rsidR="00497B8F" w:rsidRPr="00BB17D5" w:rsidRDefault="00497B8F" w:rsidP="00497B8F">
      <w:pPr>
        <w:ind w:left="0"/>
        <w:jc w:val="both"/>
        <w:rPr>
          <w:rFonts w:ascii="Bookman Old Style" w:hAnsi="Bookman Old Style" w:cs="Arial"/>
          <w:lang w:val="es-CO" w:eastAsia="es-CO"/>
        </w:rPr>
      </w:pPr>
    </w:p>
    <w:p w14:paraId="61755D4B" w14:textId="77777777" w:rsidR="00497B8F" w:rsidRPr="00BB17D5" w:rsidRDefault="00497B8F" w:rsidP="00497B8F">
      <w:pPr>
        <w:ind w:left="0"/>
        <w:jc w:val="both"/>
        <w:rPr>
          <w:rFonts w:ascii="Bookman Old Style" w:hAnsi="Bookman Old Style" w:cs="Arial"/>
          <w:color w:val="000000"/>
        </w:rPr>
      </w:pPr>
      <w:r w:rsidRPr="00BB17D5">
        <w:rPr>
          <w:rFonts w:ascii="Bookman Old Style" w:hAnsi="Bookman Old Style" w:cs="Arial"/>
          <w:lang w:val="es-CO" w:eastAsia="es-CO"/>
        </w:rPr>
        <w:t>De acuerdo con el numeral 14.28 del artículo 14 de la Ley 142 de 1994, el servicio público domiciliario de gas combustible 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14:paraId="6E88E52D" w14:textId="77777777" w:rsidR="00497B8F" w:rsidRPr="00BB17D5" w:rsidRDefault="00497B8F" w:rsidP="00497B8F">
      <w:pPr>
        <w:ind w:left="0"/>
        <w:jc w:val="both"/>
        <w:rPr>
          <w:rFonts w:ascii="Bookman Old Style" w:hAnsi="Bookman Old Style" w:cs="Arial"/>
          <w:color w:val="000000"/>
        </w:rPr>
      </w:pPr>
    </w:p>
    <w:p w14:paraId="14CCF4DF" w14:textId="77777777" w:rsidR="00497B8F" w:rsidRPr="00BB17D5" w:rsidRDefault="00497B8F" w:rsidP="00497B8F">
      <w:pPr>
        <w:ind w:left="0"/>
        <w:jc w:val="both"/>
        <w:rPr>
          <w:rFonts w:ascii="Bookman Old Style" w:hAnsi="Bookman Old Style" w:cs="Arial"/>
          <w:color w:val="000000"/>
        </w:rPr>
      </w:pPr>
      <w:r w:rsidRPr="00BB17D5">
        <w:rPr>
          <w:rFonts w:ascii="Bookman Old Style" w:hAnsi="Bookman Old Style" w:cs="Arial"/>
          <w:color w:val="000000"/>
        </w:rPr>
        <w:t>El artículo 11 de la Ley 401 de 1997, estableció que todas aquellas actividades distintas a la exploración, explotación y procesamiento de gas combustible que se transporte por red física a todos los usuarios del territorio nacional se regirán por las disposiciones contenidas en la Ley 142 de 1994. Asimismo, el parágrafo 2 del mencionado artículo estableció que las competencias previstas en la Ley 142 de 1994 en lo relacionado con el servicio público domiciliario, comercial e industrial de gas combustible, sólo se predicarán en los casos en que el gas se utilice efectivamente como combustible y no como materia prima de procesos industriales petroquímicos.</w:t>
      </w:r>
    </w:p>
    <w:p w14:paraId="15DADCDD" w14:textId="77777777" w:rsidR="00497B8F" w:rsidRPr="00BB17D5" w:rsidRDefault="00497B8F" w:rsidP="00497B8F">
      <w:pPr>
        <w:ind w:left="0"/>
        <w:jc w:val="both"/>
        <w:rPr>
          <w:rFonts w:ascii="Bookman Old Style" w:hAnsi="Bookman Old Style" w:cs="Arial"/>
          <w:color w:val="000000"/>
        </w:rPr>
      </w:pPr>
    </w:p>
    <w:p w14:paraId="0857D990" w14:textId="77777777" w:rsidR="00497B8F" w:rsidRPr="00BB17D5" w:rsidRDefault="00497B8F" w:rsidP="00497B8F">
      <w:pPr>
        <w:ind w:left="0"/>
        <w:jc w:val="both"/>
        <w:rPr>
          <w:rFonts w:ascii="Bookman Old Style" w:hAnsi="Bookman Old Style"/>
          <w:color w:val="000000"/>
        </w:rPr>
      </w:pPr>
      <w:r w:rsidRPr="00BB17D5">
        <w:rPr>
          <w:rFonts w:ascii="Bookman Old Style" w:hAnsi="Bookman Old Style" w:cs="Arial"/>
          <w:color w:val="000000"/>
        </w:rPr>
        <w:t>Es derecho de todas las empresas de servicios públicos, construir, operar y modificar sus redes e instalaciones para prestar los servicios públicos, para lo cual cumplirán con los mismos requisitos exigidos por la ley a todos los prestadores, como lo garantiza el Artículo 28 de la Ley 142 de 1994.</w:t>
      </w:r>
    </w:p>
    <w:p w14:paraId="2D422389" w14:textId="77777777" w:rsidR="00497B8F" w:rsidRPr="00BB17D5" w:rsidRDefault="00497B8F" w:rsidP="00497B8F">
      <w:pPr>
        <w:ind w:left="0"/>
        <w:jc w:val="both"/>
        <w:rPr>
          <w:rFonts w:ascii="Bookman Old Style" w:hAnsi="Bookman Old Style" w:cs="Arial"/>
          <w:color w:val="000000"/>
        </w:rPr>
      </w:pPr>
    </w:p>
    <w:p w14:paraId="5D59F76A" w14:textId="77777777" w:rsidR="00497B8F" w:rsidRPr="00BB17D5" w:rsidRDefault="00497B8F" w:rsidP="00497B8F">
      <w:pPr>
        <w:ind w:left="0"/>
        <w:jc w:val="both"/>
        <w:rPr>
          <w:rFonts w:ascii="Bookman Old Style" w:hAnsi="Bookman Old Style"/>
          <w:color w:val="000000"/>
        </w:rPr>
      </w:pPr>
      <w:r w:rsidRPr="00BB17D5">
        <w:rPr>
          <w:rFonts w:ascii="Bookman Old Style" w:hAnsi="Bookman Old Style" w:cs="Arial"/>
          <w:color w:val="000000"/>
        </w:rPr>
        <w:t>De acuerdo con lo previsto en la Ley 142 de 1994 y en especial ateniéndose a lo dispuesto en los artículos 15 y 16, las personas jurídicas que produzcan para ellas mismas, o como consecuencia o complemento de su actividad principal, los bienes y servicios propios del objeto de las empresas de servicios públicos, pueden prestar las actividades que integran el servicio público y deberán celebrar todos los actos o contratos tendientes al suministro de los bienes o servicios cuya prestación sea parte del objeto de las empresas de servicios públicos, a otras personas en forma masiva, a cambio de cualquier clase de remuneración, y por lo tanto están obligadas a constituirse como tal cuando la Comisión de Regulación de Energía y Gas, en adelante CREG, así lo exija.</w:t>
      </w:r>
    </w:p>
    <w:p w14:paraId="5F7583A2" w14:textId="77777777" w:rsidR="00497B8F" w:rsidRPr="00BB17D5" w:rsidRDefault="00497B8F" w:rsidP="00497B8F">
      <w:pPr>
        <w:ind w:left="0"/>
        <w:rPr>
          <w:rFonts w:ascii="Bookman Old Style" w:hAnsi="Bookman Old Style"/>
          <w:color w:val="000000"/>
        </w:rPr>
      </w:pPr>
    </w:p>
    <w:p w14:paraId="3A47CDCC" w14:textId="77777777" w:rsidR="00497B8F" w:rsidRPr="00BB17D5" w:rsidRDefault="00497B8F" w:rsidP="00497B8F">
      <w:pPr>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La Ley 142 de 1994 obliga a todos los prestadores del servicio a facilitar el acceso e interconexión de otras empresas o entidades que prestan servicios públicos, o que sean grandes usuarios de ellos, a los bienes empleados para la organización y prestación de los servicios; los faculta para celebrar contratos que regulan el acceso compartido o de interconexión de bienes indispensables para la prestación de servicios públicos; y en su defecto, los somete a la </w:t>
      </w:r>
      <w:r w:rsidRPr="00BB17D5">
        <w:rPr>
          <w:rFonts w:ascii="Bookman Old Style" w:hAnsi="Bookman Old Style" w:cs="Arial"/>
          <w:color w:val="000000"/>
        </w:rPr>
        <w:t>servidumbre</w:t>
      </w:r>
      <w:r w:rsidRPr="00BB17D5">
        <w:rPr>
          <w:rFonts w:ascii="Bookman Old Style" w:hAnsi="Bookman Old Style"/>
          <w:color w:val="000000"/>
          <w:lang w:val="es-ES_tradnl"/>
        </w:rPr>
        <w:t xml:space="preserve"> que puede imponer la CREG para tales efectos. </w:t>
      </w:r>
    </w:p>
    <w:p w14:paraId="6FAECCD2" w14:textId="77777777" w:rsidR="00497B8F" w:rsidRPr="00BB17D5" w:rsidRDefault="00497B8F" w:rsidP="00497B8F">
      <w:pPr>
        <w:ind w:left="0"/>
        <w:jc w:val="both"/>
        <w:rPr>
          <w:rFonts w:ascii="Bookman Old Style" w:hAnsi="Bookman Old Style"/>
          <w:color w:val="000000"/>
          <w:lang w:val="es-ES_tradnl"/>
        </w:rPr>
      </w:pPr>
    </w:p>
    <w:p w14:paraId="1FF47998" w14:textId="77777777" w:rsidR="00497B8F" w:rsidRPr="00BB17D5" w:rsidRDefault="00497B8F" w:rsidP="00497B8F">
      <w:pPr>
        <w:ind w:left="0"/>
        <w:jc w:val="both"/>
        <w:rPr>
          <w:rFonts w:ascii="Bookman Old Style" w:hAnsi="Bookman Old Style"/>
          <w:color w:val="000000"/>
          <w:lang w:val="es-419"/>
        </w:rPr>
      </w:pPr>
      <w:r w:rsidRPr="00BB17D5">
        <w:rPr>
          <w:rFonts w:ascii="Bookman Old Style" w:hAnsi="Bookman Old Style"/>
          <w:color w:val="000000"/>
        </w:rPr>
        <w:t xml:space="preserve">Según el numeral 74.1 del Artículo 74 de la Ley 142 de 1994, corresponde a la CREG, regular el ejercicio de las actividades de los sectores de energía y gas combustible para asegurar la disponibilidad de una oferta energética eficiente. </w:t>
      </w:r>
      <w:r w:rsidRPr="00BB17D5">
        <w:rPr>
          <w:rFonts w:ascii="Bookman Old Style" w:hAnsi="Bookman Old Style"/>
          <w:color w:val="000000"/>
        </w:rPr>
        <w:lastRenderedPageBreak/>
        <w:t xml:space="preserve">Así mismo dispone que, </w:t>
      </w:r>
      <w:r w:rsidRPr="00BB17D5">
        <w:rPr>
          <w:rFonts w:ascii="Bookman Old Style" w:hAnsi="Bookman Old Style"/>
          <w:color w:val="000000"/>
          <w:lang w:val="es-419"/>
        </w:rPr>
        <w:t>en este ejercicio la C</w:t>
      </w:r>
      <w:r w:rsidRPr="00BB17D5">
        <w:rPr>
          <w:rFonts w:ascii="Bookman Old Style" w:hAnsi="Bookman Old Style"/>
          <w:color w:val="000000"/>
          <w:lang w:val="es-CO"/>
        </w:rPr>
        <w:t>REG</w:t>
      </w:r>
      <w:r w:rsidRPr="00BB17D5">
        <w:rPr>
          <w:rFonts w:ascii="Bookman Old Style" w:hAnsi="Bookman Old Style"/>
          <w:color w:val="000000"/>
          <w:lang w:val="es-419"/>
        </w:rPr>
        <w:t xml:space="preserve"> podrá adoptar reglas de comportamiento diferencial, según la posición de las empresas en el mercado.</w:t>
      </w:r>
    </w:p>
    <w:p w14:paraId="00E985E1" w14:textId="77777777" w:rsidR="00497B8F" w:rsidRPr="00BB17D5" w:rsidRDefault="00497B8F" w:rsidP="00497B8F">
      <w:pPr>
        <w:ind w:left="0"/>
        <w:jc w:val="both"/>
        <w:rPr>
          <w:rFonts w:ascii="Bookman Old Style" w:hAnsi="Bookman Old Style"/>
          <w:spacing w:val="-3"/>
          <w:sz w:val="20"/>
        </w:rPr>
      </w:pPr>
    </w:p>
    <w:p w14:paraId="19C1AB0F" w14:textId="77777777" w:rsidR="00497B8F" w:rsidRPr="00BB17D5" w:rsidRDefault="00497B8F" w:rsidP="00497B8F">
      <w:pPr>
        <w:ind w:left="0"/>
        <w:jc w:val="both"/>
        <w:rPr>
          <w:rFonts w:ascii="Bookman Old Style" w:hAnsi="Bookman Old Style" w:cs="Arial"/>
          <w:color w:val="000000"/>
        </w:rPr>
      </w:pPr>
      <w:r w:rsidRPr="00BB17D5">
        <w:rPr>
          <w:rFonts w:ascii="Bookman Old Style" w:hAnsi="Bookman Old Style"/>
          <w:spacing w:val="-3"/>
        </w:rPr>
        <w:t>La CREG tiene, de acuerdo con lo dispuesto en el artículo 73 de la Ley 142 de 1994,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35CC1945" w14:textId="77777777" w:rsidR="00497B8F" w:rsidRPr="00BB17D5" w:rsidRDefault="00497B8F" w:rsidP="00497B8F">
      <w:pPr>
        <w:ind w:left="0"/>
        <w:jc w:val="both"/>
        <w:rPr>
          <w:rFonts w:ascii="Bookman Old Style" w:hAnsi="Bookman Old Style"/>
          <w:color w:val="000000"/>
          <w:lang w:val="es-ES_tradnl"/>
        </w:rPr>
      </w:pPr>
    </w:p>
    <w:p w14:paraId="71F24198"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La CREG debe adoptar las fórmulas tarifarias para cobrar por el transporte e interconexión a las redes, con sujeción a los criterios que según dicha ley deben orientar el régimen tarifario. En estas fórmulas se pueden establecer topes máximos y mínimos de tarifas, conforme a los numerales 73.11 y 73.22 del Artículo 73 y el Artículo 88, todos de la Ley 142 de 1994.</w:t>
      </w:r>
    </w:p>
    <w:p w14:paraId="75CB5E59"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15EF7F89"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Las fórmulas tarifarias que defina la CREG deben garantizar a los usuarios, a lo largo del tiempo, los beneficios de la reducción promedio de costos en las empresas que prestan el servicio, según exigencia del Artículo 92 de la Ley 142 de 1994. </w:t>
      </w:r>
    </w:p>
    <w:p w14:paraId="1FFC6058"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3008E4F0"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Toda tarifa debe tener un carácter integral, en el sentido de que supondrá una calidad y grado de cobertura del servicio, cuyas características definirán las comisiones reguladoras, tal y como lo exige el numeral 87.8, del artículo 87 de la Ley 142 de 1994.</w:t>
      </w:r>
    </w:p>
    <w:p w14:paraId="6043A447"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1E021083"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Mediante la Resolución CREG 071 de 1999, y aquellas que la han modificado o sustituido, la CREG estableció el reglamento único de transporte de gas natural, RUT. </w:t>
      </w:r>
    </w:p>
    <w:p w14:paraId="50402776"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4836CAB6" w14:textId="77777777" w:rsidR="00497B8F" w:rsidRPr="00BB17D5" w:rsidRDefault="00497B8F" w:rsidP="00497B8F">
      <w:pPr>
        <w:pStyle w:val="Textoindependiente2"/>
        <w:spacing w:after="0" w:line="240" w:lineRule="auto"/>
        <w:ind w:left="0"/>
        <w:jc w:val="both"/>
        <w:rPr>
          <w:rFonts w:ascii="Bookman Old Style" w:hAnsi="Bookman Old Style" w:cs="Arial"/>
          <w:color w:val="000000"/>
        </w:rPr>
      </w:pPr>
      <w:r w:rsidRPr="00BB17D5">
        <w:rPr>
          <w:rFonts w:ascii="Bookman Old Style" w:hAnsi="Bookman Old Style" w:cs="Arial"/>
          <w:color w:val="000000"/>
        </w:rPr>
        <w:t>Mediante la Resolución CREG 114 de 2017 y aquellas que la modifiquen o sustituyan, la CREG expidió disposiciones relacionadas con los aspectos comerciales del mercado mayorista de gas natural, que hacen parte del reglamento de operación de gas natural. La resolución mencionada contiene el conjunto de disposiciones aplicables a las negociaciones del suministro y del transporte del gas natural utilizado efectivamente como combustible que se realicen en el mercado primario y en el mercado secundario.</w:t>
      </w:r>
    </w:p>
    <w:p w14:paraId="790B70B8" w14:textId="77777777" w:rsidR="00497B8F" w:rsidRPr="00BB17D5" w:rsidRDefault="00497B8F" w:rsidP="00497B8F">
      <w:pPr>
        <w:pStyle w:val="Textoindependiente2"/>
        <w:spacing w:after="0" w:line="240" w:lineRule="auto"/>
        <w:ind w:left="0"/>
        <w:jc w:val="both"/>
        <w:rPr>
          <w:rFonts w:ascii="Bookman Old Style" w:hAnsi="Bookman Old Style" w:cs="Arial"/>
          <w:color w:val="000000"/>
        </w:rPr>
      </w:pPr>
    </w:p>
    <w:p w14:paraId="46F0436C" w14:textId="77777777" w:rsidR="00497B8F" w:rsidRPr="00BB17D5" w:rsidRDefault="00497B8F" w:rsidP="00497B8F">
      <w:pPr>
        <w:pStyle w:val="Textoindependiente2"/>
        <w:spacing w:after="0" w:line="240" w:lineRule="auto"/>
        <w:ind w:left="0"/>
        <w:jc w:val="both"/>
        <w:rPr>
          <w:rFonts w:ascii="Bookman Old Style" w:hAnsi="Bookman Old Style"/>
          <w:i/>
          <w:color w:val="000000"/>
          <w:lang w:val="es-ES_tradnl"/>
        </w:rPr>
      </w:pPr>
      <w:r w:rsidRPr="00BB17D5">
        <w:rPr>
          <w:rFonts w:ascii="Bookman Old Style" w:hAnsi="Bookman Old Style"/>
          <w:color w:val="000000"/>
          <w:lang w:val="es-ES_tradnl"/>
        </w:rPr>
        <w:t xml:space="preserve">El 26 de mayo de 2015, se profirió el Decreto 1073 de 2015, </w:t>
      </w:r>
      <w:r w:rsidRPr="00BB17D5">
        <w:rPr>
          <w:rFonts w:ascii="Bookman Old Style" w:hAnsi="Bookman Old Style"/>
          <w:i/>
          <w:color w:val="000000"/>
          <w:lang w:val="es-ES_tradnl"/>
        </w:rPr>
        <w:t>Por medio del cual se expide el Decreto Único Reglamentario del Sector Administrativo de Minas y Energía.</w:t>
      </w:r>
    </w:p>
    <w:p w14:paraId="0A575463"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534D1EC0" w14:textId="0F9A1D2F"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artículo 22 del Decreto 2100 de 2011, compilado por el </w:t>
      </w:r>
      <w:r w:rsidR="006D15A4">
        <w:rPr>
          <w:rFonts w:ascii="Bookman Old Style" w:hAnsi="Bookman Old Style"/>
          <w:color w:val="000000"/>
          <w:lang w:val="es-ES_tradnl"/>
        </w:rPr>
        <w:t>A</w:t>
      </w:r>
      <w:r w:rsidRPr="00BB17D5">
        <w:rPr>
          <w:rFonts w:ascii="Bookman Old Style" w:hAnsi="Bookman Old Style"/>
          <w:color w:val="000000"/>
          <w:lang w:val="es-ES_tradnl"/>
        </w:rPr>
        <w:t>rtículo 2.2.2.2.33 del Decreto Único Reglamentario del sector administrativo de Minas y Energía 1073 de 2015, establece que la naturaleza de las exportaciones e importaciones de gas, para usos distintos al servicio público domiciliario no constituyen actividades complementarias al servicio público domiciliario de gas combustible. En el caso de la comercialización del gas importado con destino al servicio público domiciliario, este deberá someterse a las disposiciones expedidas por la CREG para la actividad de comercialización del gas.</w:t>
      </w:r>
    </w:p>
    <w:p w14:paraId="50A17BD9"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5E191457" w14:textId="3C3F87CC"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w:t>
      </w:r>
      <w:r w:rsidR="006D15A4">
        <w:rPr>
          <w:rFonts w:ascii="Bookman Old Style" w:hAnsi="Bookman Old Style"/>
          <w:color w:val="000000"/>
          <w:lang w:val="es-ES_tradnl"/>
        </w:rPr>
        <w:t>A</w:t>
      </w:r>
      <w:r w:rsidRPr="00BB17D5">
        <w:rPr>
          <w:rFonts w:ascii="Bookman Old Style" w:hAnsi="Bookman Old Style"/>
          <w:color w:val="000000"/>
          <w:lang w:val="es-ES_tradnl"/>
        </w:rPr>
        <w:t>rtículo 2 del Decreto 2100 de 2011, compilado por el artículo 2.2.2.1.4 del Decreto Único Reglamentario del sector administrativo de Minas y Energía 1073 de 2015, define la infraestructura de regasificación como el “</w:t>
      </w:r>
      <w:r w:rsidRPr="00BB17D5">
        <w:rPr>
          <w:rFonts w:ascii="Bookman Old Style" w:hAnsi="Bookman Old Style"/>
          <w:i/>
          <w:color w:val="000000"/>
          <w:lang w:val="es-ES_tradnl"/>
        </w:rPr>
        <w:t>conjunto de instalaciones que permiten transformar el gas natural de estado líquido a estado gaseoso que incluyen, entre otras instalaciones complementarias, las requeridas para descargar, transportar, almacenar, procesar y tratar el gas natural importado</w:t>
      </w:r>
      <w:r w:rsidRPr="00BB17D5">
        <w:rPr>
          <w:rFonts w:ascii="Bookman Old Style" w:hAnsi="Bookman Old Style"/>
          <w:color w:val="000000"/>
          <w:lang w:val="es-ES_tradnl"/>
        </w:rPr>
        <w:t>”, así mismo define como agente a los propietarios y/u operadores de la infraestructura de regasificación.</w:t>
      </w:r>
    </w:p>
    <w:p w14:paraId="032E25A6"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1C671531" w14:textId="2DF4DDB1" w:rsidR="00497B8F" w:rsidRPr="00BB17D5" w:rsidRDefault="006D15A4" w:rsidP="00497B8F">
      <w:pPr>
        <w:pStyle w:val="Textoindependiente2"/>
        <w:spacing w:after="0" w:line="240" w:lineRule="auto"/>
        <w:ind w:left="0"/>
        <w:jc w:val="both"/>
        <w:rPr>
          <w:rFonts w:ascii="Bookman Old Style" w:hAnsi="Bookman Old Style"/>
          <w:color w:val="000000"/>
          <w:lang w:val="es-ES_tradnl"/>
        </w:rPr>
      </w:pPr>
      <w:r>
        <w:rPr>
          <w:rFonts w:ascii="Bookman Old Style" w:hAnsi="Bookman Old Style"/>
          <w:color w:val="000000"/>
          <w:lang w:val="es-ES_tradnl"/>
        </w:rPr>
        <w:t>Por su parte, el A</w:t>
      </w:r>
      <w:r w:rsidR="00497B8F" w:rsidRPr="00BB17D5">
        <w:rPr>
          <w:rFonts w:ascii="Bookman Old Style" w:hAnsi="Bookman Old Style"/>
          <w:color w:val="000000"/>
          <w:lang w:val="es-ES_tradnl"/>
        </w:rPr>
        <w:t>rtículo 29 del Decreto 2100 de 2011, compilado por el artículo 2.2.2.2.40 del Decreto Único Reglamentario del sector administrativo de Minas y Energía 1073 de 2015, establece las condiciones para el acceso a la capacidad de infraestructura de regasificación para la capacidad no utilizada y/o comprometida a los agentes que la requieran, siempre y cuando, se cuente con capacidad disponible y no se interfiera o se ponga en riesgo el cumplimiento de los contratos vigentes.</w:t>
      </w:r>
    </w:p>
    <w:p w14:paraId="39A4C202"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00B3A2F8" w14:textId="18193345"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A través del Decreto 2345 de 2015 se adicionó el Decreto Único Reglamentario del Sector Administrativo de Minas y Energía, 1073 de 2015, con lineamientos orientados a aumentar la confiabilidad y seguridad de abastecimiento de gas natural, estableciendo ordenamientos para la identificación, ejecución y remuneración de los proyectos requeridos con este fin.</w:t>
      </w:r>
    </w:p>
    <w:p w14:paraId="067FA837"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6A64E839" w14:textId="3402791B" w:rsidR="00497B8F" w:rsidRPr="00BB17D5" w:rsidRDefault="006D15A4" w:rsidP="00497B8F">
      <w:pPr>
        <w:pStyle w:val="Textoindependiente2"/>
        <w:spacing w:after="0" w:line="240" w:lineRule="auto"/>
        <w:ind w:left="0"/>
        <w:jc w:val="both"/>
        <w:rPr>
          <w:rFonts w:ascii="Bookman Old Style" w:hAnsi="Bookman Old Style"/>
          <w:color w:val="000000"/>
          <w:lang w:val="es-ES_tradnl"/>
        </w:rPr>
      </w:pPr>
      <w:r>
        <w:rPr>
          <w:rFonts w:ascii="Bookman Old Style" w:hAnsi="Bookman Old Style"/>
          <w:color w:val="000000"/>
          <w:lang w:val="es-ES_tradnl"/>
        </w:rPr>
        <w:t>Para ello, en el A</w:t>
      </w:r>
      <w:r w:rsidR="00497B8F" w:rsidRPr="00BB17D5">
        <w:rPr>
          <w:rFonts w:ascii="Bookman Old Style" w:hAnsi="Bookman Old Style"/>
          <w:color w:val="000000"/>
          <w:lang w:val="es-ES_tradnl"/>
        </w:rPr>
        <w:t>rtículo 1 del Decreto 2345 de 2015, el cual a su vez modifica el artículo 2.2.2.1.4 del Decreto Único Reglamentario del sector administrativo de Minas y Energía 1073 de 2015, define la confiabilidad como “la capacidad del sistema de producción, transporte, almacenamiento y distribución de gas natural de prestar el servicio sin interrupciones de corta duración ante fallas en la infraestructura” y adicionalmente define la seguridad de abastecimiento como “la capacidad del sistema de producción, transporte, almacenamiento y distribución de gas natural, bajo condiciones normales de operación, para atender la demanda en el mediano y largo plazo”.</w:t>
      </w:r>
    </w:p>
    <w:p w14:paraId="3C2DB86B"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4108B611" w14:textId="23D097A6"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El </w:t>
      </w:r>
      <w:r w:rsidR="006D15A4">
        <w:rPr>
          <w:rFonts w:ascii="Bookman Old Style" w:hAnsi="Bookman Old Style"/>
          <w:color w:val="000000"/>
          <w:lang w:val="es-ES_tradnl"/>
        </w:rPr>
        <w:t>A</w:t>
      </w:r>
      <w:r w:rsidRPr="00BB17D5">
        <w:rPr>
          <w:rFonts w:ascii="Bookman Old Style" w:hAnsi="Bookman Old Style"/>
          <w:color w:val="000000"/>
          <w:lang w:val="es-ES_tradnl"/>
        </w:rPr>
        <w:t xml:space="preserve">rtículo 4 del Decreto 2345 de 2015, que a su vez adiciona el Artículo 2.2.2.2.28 del Decreto Único Reglamentario del sector administrativo de Minas y Energía 1073 de 2015, establece que “Con el objeto de identificar los proyectos necesarios para garantizar la seguridad de abastecimiento y la confiabilidad del servicio de gas natural, el Ministerio de Minas y Energía adoptará un Plan de Abastecimiento de Gas Natural para un período de diez (10) años...”. </w:t>
      </w:r>
    </w:p>
    <w:p w14:paraId="063D71D0"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7E43DE8C"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El Artículo 5 del Decreto 2345 de 2015, que a su vez modifica el Artículo 2.2.2.2.29 del Decreto Único Reglamentario del sector administrativo de Minas y Energía 1073 de 2015, delega en la CREG la expedición de la regulación aplicable a los proyectos incluidos en el plan de abastecimiento de gas natural, la definición de los mecanismo</w:t>
      </w:r>
      <w:r w:rsidRPr="00BB17D5">
        <w:rPr>
          <w:rFonts w:ascii="Bookman Old Style" w:hAnsi="Bookman Old Style"/>
          <w:color w:val="000000"/>
          <w:lang w:val="es-419"/>
        </w:rPr>
        <w:t xml:space="preserve">s necesarios para el </w:t>
      </w:r>
      <w:r w:rsidRPr="00BB17D5">
        <w:rPr>
          <w:rFonts w:ascii="Bookman Old Style" w:hAnsi="Bookman Old Style"/>
          <w:color w:val="000000"/>
          <w:lang w:val="es-ES_tradnl"/>
        </w:rPr>
        <w:t>desarrollo de los proyectos</w:t>
      </w:r>
      <w:r w:rsidRPr="00BB17D5">
        <w:rPr>
          <w:rFonts w:ascii="Bookman Old Style" w:hAnsi="Bookman Old Style"/>
          <w:color w:val="000000"/>
          <w:lang w:val="es-419"/>
        </w:rPr>
        <w:t xml:space="preserve"> por los transportadores o por </w:t>
      </w:r>
      <w:r w:rsidRPr="00BB17D5">
        <w:rPr>
          <w:rFonts w:ascii="Bookman Old Style" w:hAnsi="Bookman Old Style"/>
          <w:color w:val="000000"/>
          <w:lang w:val="es-ES_tradnl"/>
        </w:rPr>
        <w:t>mecanismos abiertos y competitivos, la metodología de remuneración y las obligaciones de los agentes en la ejecución de proyectos.</w:t>
      </w:r>
    </w:p>
    <w:p w14:paraId="0CBDA496"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625FCE8E"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lastRenderedPageBreak/>
        <w:t xml:space="preserve">Continúa el mencionado artículo y para la definición de las metodologías de remuneración de los proyectos de confiabilidad y/o seguridad de abastecimiento estableció que la CREG tendría en cuenta los costos de racionamiento, la consideración de cargos fijos y cargos variables y otras variables técnicas que determine en el ejercicio de sus funciones. Asimismo, estableció que todos los usuarios, incluyendo los de la demanda esencial, deberán ser sujetos de cobro para remunerar los proyectos de confiabilidad y seguridad de abastecimiento de los que son beneficiarios. </w:t>
      </w:r>
    </w:p>
    <w:p w14:paraId="1084030B" w14:textId="77777777" w:rsidR="00497B8F" w:rsidRPr="00BB17D5" w:rsidRDefault="00497B8F" w:rsidP="00497B8F">
      <w:pPr>
        <w:pStyle w:val="Textoindependiente2"/>
        <w:spacing w:after="0" w:line="240" w:lineRule="auto"/>
        <w:ind w:left="0"/>
        <w:jc w:val="both"/>
        <w:rPr>
          <w:rFonts w:ascii="Bookman Old Style" w:hAnsi="Bookman Old Style"/>
          <w:color w:val="FF0000"/>
          <w:lang w:val="es-419"/>
        </w:rPr>
      </w:pPr>
    </w:p>
    <w:p w14:paraId="33756E3A"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Finalmente</w:t>
      </w:r>
      <w:r>
        <w:rPr>
          <w:rFonts w:ascii="Bookman Old Style" w:hAnsi="Bookman Old Style"/>
          <w:color w:val="000000"/>
          <w:lang w:val="es-ES_tradnl"/>
        </w:rPr>
        <w:t>,</w:t>
      </w:r>
      <w:r w:rsidRPr="00BB17D5">
        <w:rPr>
          <w:rFonts w:ascii="Bookman Old Style" w:hAnsi="Bookman Old Style"/>
          <w:color w:val="000000"/>
          <w:lang w:val="es-ES_tradnl"/>
        </w:rPr>
        <w:t xml:space="preserve"> y en relación con el artículo en mención, el parágrafo del mismo establece que “La UPME será responsable de la aplicación de los mecanismos abiertos y competitivos a los que se refiere este artículo”. </w:t>
      </w:r>
    </w:p>
    <w:p w14:paraId="3B126782" w14:textId="77777777" w:rsidR="00497B8F" w:rsidRPr="00BB17D5" w:rsidRDefault="00497B8F" w:rsidP="00497B8F">
      <w:pPr>
        <w:pStyle w:val="Textoindependiente2"/>
        <w:spacing w:after="0" w:line="240" w:lineRule="auto"/>
        <w:ind w:left="0"/>
        <w:jc w:val="both"/>
        <w:rPr>
          <w:rFonts w:ascii="Bookman Old Style" w:hAnsi="Bookman Old Style"/>
          <w:lang w:val="es-419"/>
        </w:rPr>
      </w:pPr>
    </w:p>
    <w:p w14:paraId="4C19C828" w14:textId="16E7AAA4"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 xml:space="preserve">Mediante la expedición de la Resolución 40052 de 2016 por parte del Ministerio de Minas y Energía se desarrolló el </w:t>
      </w:r>
      <w:r w:rsidR="006D15A4">
        <w:rPr>
          <w:rFonts w:ascii="Bookman Old Style" w:hAnsi="Bookman Old Style"/>
          <w:color w:val="000000"/>
          <w:lang w:val="es-ES_tradnl"/>
        </w:rPr>
        <w:t>A</w:t>
      </w:r>
      <w:r w:rsidRPr="00BB17D5">
        <w:rPr>
          <w:rFonts w:ascii="Bookman Old Style" w:hAnsi="Bookman Old Style"/>
          <w:color w:val="000000"/>
          <w:lang w:val="es-ES_tradnl"/>
        </w:rPr>
        <w:t xml:space="preserve">rtículo 4 del Decreto 2345 de 2015, el cual a su vez modificó el artículo 2.2.2.2.28 del Decreto Único Reglamentario del sector administrativo de Minas y Energía 1073 de 2015. </w:t>
      </w:r>
    </w:p>
    <w:p w14:paraId="14208FE2"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403C936A"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ES_tradnl"/>
        </w:rPr>
        <w:t>En el Artículo 1 de la Resolución 40052 de 2016 se establecen los elementos que debe contener el estudio técnico que elaborará la Unidad de Planeación Minero Energética (UPME) para consideración del Ministerio de Minas y Energía en la adopción del plan de abastecimiento de gas natural. Entre otros elementos, la UPME debe considerar en el estudio técnico: i) la descripción de los proyectos recomendados a ser incluidos en el plan de abastecimiento de gas natural, ii) la identificación de los beneficiarios de cada proyecto, iii) el análisis de costo-beneficio que soportan las recomendaciones mencionadas, y iv) indicadores y metas cuantitativas de abastecimiento y confiabilidad del servicio. Asimismo, dispone que “…en el estudio técnico se deberán considerar proyectos asociados a infraestructura para importación, almacenamiento, aumento de la capacidad de transporte, extensión de los sistemas de transporte, redundancias en gasoductos, redundancias en sistemas de compresión, conexiones entre sistemas de transporte, entre otros…”.</w:t>
      </w:r>
    </w:p>
    <w:p w14:paraId="6EF019D4" w14:textId="77777777" w:rsidR="00497B8F" w:rsidRPr="00BB17D5" w:rsidRDefault="00497B8F" w:rsidP="00497B8F">
      <w:pPr>
        <w:pStyle w:val="Textoindependiente2"/>
        <w:spacing w:after="0" w:line="240" w:lineRule="auto"/>
        <w:ind w:left="426"/>
        <w:jc w:val="both"/>
        <w:rPr>
          <w:rFonts w:ascii="Bookman Old Style" w:hAnsi="Bookman Old Style"/>
          <w:color w:val="000000"/>
          <w:lang w:val="es-ES_tradnl"/>
        </w:rPr>
      </w:pPr>
    </w:p>
    <w:p w14:paraId="0C1BCF6F"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419"/>
        </w:rPr>
      </w:pPr>
      <w:r w:rsidRPr="00BB17D5">
        <w:rPr>
          <w:rFonts w:ascii="Bookman Old Style" w:hAnsi="Bookman Old Style"/>
          <w:color w:val="000000"/>
          <w:lang w:val="es-419"/>
        </w:rPr>
        <w:t xml:space="preserve">En cumplimiento de lo previsto en el Decreto 2345 de 2015, que adiciona el Decreto </w:t>
      </w:r>
      <w:r w:rsidRPr="00BB17D5">
        <w:rPr>
          <w:rFonts w:ascii="Bookman Old Style" w:hAnsi="Bookman Old Style"/>
          <w:color w:val="000000"/>
          <w:lang w:val="es-ES_tradnl"/>
        </w:rPr>
        <w:t xml:space="preserve">Único Reglamentario del sector administrativo de Minas y Energía </w:t>
      </w:r>
      <w:r w:rsidRPr="00BB17D5">
        <w:rPr>
          <w:rFonts w:ascii="Bookman Old Style" w:hAnsi="Bookman Old Style"/>
          <w:color w:val="000000"/>
          <w:lang w:val="es-419"/>
        </w:rPr>
        <w:t xml:space="preserve">1073 de 2015, el Ministerio de Minas y Energía, mediante </w:t>
      </w:r>
      <w:r w:rsidRPr="00BB17D5">
        <w:rPr>
          <w:rFonts w:ascii="Bookman Old Style" w:hAnsi="Bookman Old Style"/>
          <w:color w:val="000000"/>
          <w:lang w:val="es-CO"/>
        </w:rPr>
        <w:t xml:space="preserve">la </w:t>
      </w:r>
      <w:r w:rsidRPr="00BB17D5">
        <w:rPr>
          <w:rFonts w:ascii="Bookman Old Style" w:hAnsi="Bookman Old Style"/>
          <w:color w:val="000000"/>
          <w:lang w:val="es-419"/>
        </w:rPr>
        <w:t>Resolución 4 0006 de 2017</w:t>
      </w:r>
      <w:r w:rsidRPr="00BB17D5">
        <w:rPr>
          <w:rFonts w:ascii="Bookman Old Style" w:hAnsi="Bookman Old Style"/>
          <w:color w:val="000000"/>
          <w:lang w:val="es-CO"/>
        </w:rPr>
        <w:t>,</w:t>
      </w:r>
      <w:r w:rsidRPr="00BB17D5">
        <w:rPr>
          <w:rFonts w:ascii="Bookman Old Style" w:hAnsi="Bookman Old Style"/>
          <w:color w:val="000000"/>
          <w:lang w:val="es-419"/>
        </w:rPr>
        <w:t xml:space="preserve"> adoptó el </w:t>
      </w:r>
      <w:r w:rsidRPr="00BB17D5">
        <w:rPr>
          <w:rFonts w:ascii="Bookman Old Style" w:hAnsi="Bookman Old Style"/>
          <w:color w:val="000000"/>
          <w:lang w:val="es-CO"/>
        </w:rPr>
        <w:t>p</w:t>
      </w:r>
      <w:r w:rsidRPr="00BB17D5">
        <w:rPr>
          <w:rFonts w:ascii="Bookman Old Style" w:hAnsi="Bookman Old Style"/>
          <w:color w:val="000000"/>
          <w:lang w:val="es-419"/>
        </w:rPr>
        <w:t xml:space="preserve">lan </w:t>
      </w:r>
      <w:r w:rsidRPr="00BB17D5">
        <w:rPr>
          <w:rFonts w:ascii="Bookman Old Style" w:hAnsi="Bookman Old Style"/>
          <w:color w:val="000000"/>
          <w:lang w:val="es-CO"/>
        </w:rPr>
        <w:t>t</w:t>
      </w:r>
      <w:r w:rsidRPr="00BB17D5">
        <w:rPr>
          <w:rFonts w:ascii="Bookman Old Style" w:hAnsi="Bookman Old Style"/>
          <w:color w:val="000000"/>
          <w:lang w:val="es-419"/>
        </w:rPr>
        <w:t xml:space="preserve">ransitorio de </w:t>
      </w:r>
      <w:r w:rsidRPr="00BB17D5">
        <w:rPr>
          <w:rFonts w:ascii="Bookman Old Style" w:hAnsi="Bookman Old Style"/>
          <w:color w:val="000000"/>
          <w:lang w:val="es-CO"/>
        </w:rPr>
        <w:t>a</w:t>
      </w:r>
      <w:r w:rsidRPr="00BB17D5">
        <w:rPr>
          <w:rFonts w:ascii="Bookman Old Style" w:hAnsi="Bookman Old Style"/>
          <w:color w:val="000000"/>
          <w:lang w:val="es-419"/>
        </w:rPr>
        <w:t xml:space="preserve">bastecimiento de </w:t>
      </w:r>
      <w:r w:rsidRPr="00BB17D5">
        <w:rPr>
          <w:rFonts w:ascii="Bookman Old Style" w:hAnsi="Bookman Old Style"/>
          <w:color w:val="000000"/>
          <w:lang w:val="es-CO"/>
        </w:rPr>
        <w:t>g</w:t>
      </w:r>
      <w:r w:rsidRPr="00BB17D5">
        <w:rPr>
          <w:rFonts w:ascii="Bookman Old Style" w:hAnsi="Bookman Old Style"/>
          <w:color w:val="000000"/>
          <w:lang w:val="es-419"/>
        </w:rPr>
        <w:t xml:space="preserve">as </w:t>
      </w:r>
      <w:r w:rsidRPr="00BB17D5">
        <w:rPr>
          <w:rFonts w:ascii="Bookman Old Style" w:hAnsi="Bookman Old Style"/>
          <w:color w:val="000000"/>
          <w:lang w:val="es-CO"/>
        </w:rPr>
        <w:t>n</w:t>
      </w:r>
      <w:r w:rsidRPr="00BB17D5">
        <w:rPr>
          <w:rFonts w:ascii="Bookman Old Style" w:hAnsi="Bookman Old Style"/>
          <w:color w:val="000000"/>
          <w:lang w:val="es-419"/>
        </w:rPr>
        <w:t xml:space="preserve">atural. </w:t>
      </w:r>
    </w:p>
    <w:p w14:paraId="21F17AB7"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419"/>
        </w:rPr>
      </w:pPr>
    </w:p>
    <w:p w14:paraId="47FD8A75"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CO"/>
        </w:rPr>
      </w:pPr>
      <w:r w:rsidRPr="00BB17D5">
        <w:rPr>
          <w:rFonts w:ascii="Bookman Old Style" w:hAnsi="Bookman Old Style"/>
          <w:color w:val="000000"/>
          <w:lang w:val="es-419"/>
        </w:rPr>
        <w:t>E</w:t>
      </w:r>
      <w:r w:rsidRPr="00BB17D5">
        <w:rPr>
          <w:rFonts w:ascii="Bookman Old Style" w:hAnsi="Bookman Old Style"/>
          <w:color w:val="000000"/>
          <w:lang w:val="es-CO"/>
        </w:rPr>
        <w:t xml:space="preserve">n </w:t>
      </w:r>
      <w:r w:rsidRPr="00BB17D5">
        <w:rPr>
          <w:rFonts w:ascii="Bookman Old Style" w:hAnsi="Bookman Old Style"/>
          <w:color w:val="000000"/>
          <w:lang w:val="es-419"/>
        </w:rPr>
        <w:t>artículo 1 de la resolución</w:t>
      </w:r>
      <w:r w:rsidRPr="00BB17D5">
        <w:rPr>
          <w:rFonts w:ascii="Bookman Old Style" w:hAnsi="Bookman Old Style"/>
          <w:color w:val="000000"/>
          <w:lang w:val="es-CO"/>
        </w:rPr>
        <w:t xml:space="preserve"> en mención se incluyen los proyectos y las fechas en las que cada proyecto debe entrar en operación:</w:t>
      </w:r>
    </w:p>
    <w:p w14:paraId="64B58B62"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962"/>
        <w:gridCol w:w="1913"/>
      </w:tblGrid>
      <w:tr w:rsidR="00497B8F" w:rsidRPr="00BB17D5" w14:paraId="46D3D73A" w14:textId="77777777" w:rsidTr="009E5850">
        <w:trPr>
          <w:jc w:val="center"/>
        </w:trPr>
        <w:tc>
          <w:tcPr>
            <w:tcW w:w="1058" w:type="dxa"/>
            <w:shd w:val="clear" w:color="auto" w:fill="auto"/>
            <w:vAlign w:val="center"/>
          </w:tcPr>
          <w:p w14:paraId="23B1297C" w14:textId="77777777" w:rsidR="00497B8F" w:rsidRPr="00BB17D5" w:rsidRDefault="00497B8F" w:rsidP="009E5850">
            <w:pPr>
              <w:ind w:left="29"/>
              <w:jc w:val="center"/>
              <w:rPr>
                <w:rFonts w:ascii="Bookman Old Style" w:hAnsi="Bookman Old Style"/>
                <w:b/>
                <w:sz w:val="20"/>
              </w:rPr>
            </w:pPr>
            <w:r w:rsidRPr="00BB17D5">
              <w:rPr>
                <w:rFonts w:ascii="Bookman Old Style" w:hAnsi="Bookman Old Style"/>
                <w:b/>
                <w:sz w:val="20"/>
              </w:rPr>
              <w:t>Número</w:t>
            </w:r>
          </w:p>
        </w:tc>
        <w:tc>
          <w:tcPr>
            <w:tcW w:w="4962" w:type="dxa"/>
            <w:shd w:val="clear" w:color="auto" w:fill="auto"/>
            <w:vAlign w:val="center"/>
          </w:tcPr>
          <w:p w14:paraId="5E914FB0" w14:textId="77777777" w:rsidR="00497B8F" w:rsidRPr="00BB17D5" w:rsidRDefault="00497B8F" w:rsidP="009E5850">
            <w:pPr>
              <w:ind w:left="134"/>
              <w:jc w:val="center"/>
              <w:rPr>
                <w:rFonts w:ascii="Bookman Old Style" w:hAnsi="Bookman Old Style"/>
                <w:b/>
                <w:sz w:val="20"/>
              </w:rPr>
            </w:pPr>
            <w:r w:rsidRPr="00BB17D5">
              <w:rPr>
                <w:rFonts w:ascii="Bookman Old Style" w:hAnsi="Bookman Old Style"/>
                <w:b/>
                <w:sz w:val="20"/>
              </w:rPr>
              <w:t>Proyecto</w:t>
            </w:r>
          </w:p>
        </w:tc>
        <w:tc>
          <w:tcPr>
            <w:tcW w:w="1913" w:type="dxa"/>
            <w:shd w:val="clear" w:color="auto" w:fill="auto"/>
            <w:vAlign w:val="center"/>
          </w:tcPr>
          <w:p w14:paraId="07AB0462" w14:textId="77777777" w:rsidR="00497B8F" w:rsidRPr="00BB17D5" w:rsidRDefault="00497B8F" w:rsidP="009E5850">
            <w:pPr>
              <w:ind w:left="104"/>
              <w:jc w:val="center"/>
              <w:rPr>
                <w:rFonts w:ascii="Bookman Old Style" w:hAnsi="Bookman Old Style"/>
                <w:b/>
                <w:sz w:val="20"/>
              </w:rPr>
            </w:pPr>
            <w:r w:rsidRPr="00BB17D5">
              <w:rPr>
                <w:rFonts w:ascii="Bookman Old Style" w:hAnsi="Bookman Old Style"/>
                <w:b/>
                <w:sz w:val="20"/>
              </w:rPr>
              <w:t>Año y mes de entrada en operación</w:t>
            </w:r>
          </w:p>
        </w:tc>
      </w:tr>
      <w:tr w:rsidR="00497B8F" w:rsidRPr="00BB17D5" w14:paraId="0891A0C5" w14:textId="77777777" w:rsidTr="009E5850">
        <w:trPr>
          <w:jc w:val="center"/>
        </w:trPr>
        <w:tc>
          <w:tcPr>
            <w:tcW w:w="1058" w:type="dxa"/>
            <w:shd w:val="clear" w:color="auto" w:fill="auto"/>
            <w:vAlign w:val="center"/>
          </w:tcPr>
          <w:p w14:paraId="47F4ABAE"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1</w:t>
            </w:r>
          </w:p>
        </w:tc>
        <w:tc>
          <w:tcPr>
            <w:tcW w:w="4962" w:type="dxa"/>
            <w:shd w:val="clear" w:color="auto" w:fill="auto"/>
          </w:tcPr>
          <w:p w14:paraId="106B035D"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Construcción planta de regasificación del Pacífico</w:t>
            </w:r>
          </w:p>
        </w:tc>
        <w:tc>
          <w:tcPr>
            <w:tcW w:w="1913" w:type="dxa"/>
            <w:shd w:val="clear" w:color="auto" w:fill="auto"/>
            <w:vAlign w:val="center"/>
          </w:tcPr>
          <w:p w14:paraId="746CAF65"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2021</w:t>
            </w:r>
          </w:p>
        </w:tc>
      </w:tr>
      <w:tr w:rsidR="00497B8F" w:rsidRPr="00BB17D5" w14:paraId="1CB803CE" w14:textId="77777777" w:rsidTr="009E5850">
        <w:trPr>
          <w:jc w:val="center"/>
        </w:trPr>
        <w:tc>
          <w:tcPr>
            <w:tcW w:w="1058" w:type="dxa"/>
            <w:shd w:val="clear" w:color="auto" w:fill="auto"/>
            <w:vAlign w:val="center"/>
          </w:tcPr>
          <w:p w14:paraId="55D14868"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2</w:t>
            </w:r>
          </w:p>
        </w:tc>
        <w:tc>
          <w:tcPr>
            <w:tcW w:w="4962" w:type="dxa"/>
            <w:shd w:val="clear" w:color="auto" w:fill="auto"/>
          </w:tcPr>
          <w:p w14:paraId="58D3A961"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 xml:space="preserve">Construcción del gasoducto Buenaventura </w:t>
            </w:r>
            <w:r>
              <w:rPr>
                <w:rFonts w:ascii="Bookman Old Style" w:hAnsi="Bookman Old Style"/>
                <w:sz w:val="20"/>
              </w:rPr>
              <w:t>–</w:t>
            </w:r>
            <w:r w:rsidRPr="00BB17D5">
              <w:rPr>
                <w:rFonts w:ascii="Bookman Old Style" w:hAnsi="Bookman Old Style"/>
                <w:sz w:val="20"/>
              </w:rPr>
              <w:t xml:space="preserve"> Yumbo</w:t>
            </w:r>
          </w:p>
        </w:tc>
        <w:tc>
          <w:tcPr>
            <w:tcW w:w="1913" w:type="dxa"/>
            <w:shd w:val="clear" w:color="auto" w:fill="auto"/>
            <w:vAlign w:val="center"/>
          </w:tcPr>
          <w:p w14:paraId="4B15C1C8"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2021</w:t>
            </w:r>
          </w:p>
        </w:tc>
      </w:tr>
      <w:tr w:rsidR="00497B8F" w:rsidRPr="00BB17D5" w14:paraId="2F7EEB61" w14:textId="77777777" w:rsidTr="009E5850">
        <w:trPr>
          <w:jc w:val="center"/>
        </w:trPr>
        <w:tc>
          <w:tcPr>
            <w:tcW w:w="1058" w:type="dxa"/>
            <w:shd w:val="clear" w:color="auto" w:fill="auto"/>
            <w:vAlign w:val="center"/>
          </w:tcPr>
          <w:p w14:paraId="5A76A9C3"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3</w:t>
            </w:r>
          </w:p>
        </w:tc>
        <w:tc>
          <w:tcPr>
            <w:tcW w:w="4962" w:type="dxa"/>
            <w:shd w:val="clear" w:color="auto" w:fill="auto"/>
          </w:tcPr>
          <w:p w14:paraId="155B72F6"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Bidireccionalidad Yumbo - Mariquita</w:t>
            </w:r>
          </w:p>
        </w:tc>
        <w:tc>
          <w:tcPr>
            <w:tcW w:w="1913" w:type="dxa"/>
            <w:shd w:val="clear" w:color="auto" w:fill="auto"/>
            <w:vAlign w:val="center"/>
          </w:tcPr>
          <w:p w14:paraId="70560807"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2021</w:t>
            </w:r>
          </w:p>
        </w:tc>
      </w:tr>
      <w:tr w:rsidR="00497B8F" w:rsidRPr="00BB17D5" w14:paraId="24E26EEA" w14:textId="77777777" w:rsidTr="009E5850">
        <w:trPr>
          <w:jc w:val="center"/>
        </w:trPr>
        <w:tc>
          <w:tcPr>
            <w:tcW w:w="1058" w:type="dxa"/>
            <w:shd w:val="clear" w:color="auto" w:fill="auto"/>
            <w:vAlign w:val="center"/>
          </w:tcPr>
          <w:p w14:paraId="3318C560"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4</w:t>
            </w:r>
          </w:p>
        </w:tc>
        <w:tc>
          <w:tcPr>
            <w:tcW w:w="4962" w:type="dxa"/>
            <w:shd w:val="clear" w:color="auto" w:fill="auto"/>
          </w:tcPr>
          <w:p w14:paraId="5858C53F"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Construcción Loop 10” Mariquita - Gualanday</w:t>
            </w:r>
          </w:p>
        </w:tc>
        <w:tc>
          <w:tcPr>
            <w:tcW w:w="1913" w:type="dxa"/>
            <w:shd w:val="clear" w:color="auto" w:fill="auto"/>
            <w:vAlign w:val="center"/>
          </w:tcPr>
          <w:p w14:paraId="6093E5C4"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2020</w:t>
            </w:r>
          </w:p>
        </w:tc>
      </w:tr>
      <w:tr w:rsidR="00497B8F" w:rsidRPr="00BB17D5" w14:paraId="538DFDAA" w14:textId="77777777" w:rsidTr="009E5850">
        <w:trPr>
          <w:jc w:val="center"/>
        </w:trPr>
        <w:tc>
          <w:tcPr>
            <w:tcW w:w="1058" w:type="dxa"/>
            <w:shd w:val="clear" w:color="auto" w:fill="auto"/>
            <w:vAlign w:val="center"/>
          </w:tcPr>
          <w:p w14:paraId="1DC5D144"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5</w:t>
            </w:r>
          </w:p>
        </w:tc>
        <w:tc>
          <w:tcPr>
            <w:tcW w:w="4962" w:type="dxa"/>
            <w:shd w:val="clear" w:color="auto" w:fill="auto"/>
          </w:tcPr>
          <w:p w14:paraId="48F9D167"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Bidireccionalidad Barrancabermeja - Ballena</w:t>
            </w:r>
          </w:p>
        </w:tc>
        <w:tc>
          <w:tcPr>
            <w:tcW w:w="1913" w:type="dxa"/>
            <w:shd w:val="clear" w:color="auto" w:fill="auto"/>
            <w:vAlign w:val="center"/>
          </w:tcPr>
          <w:p w14:paraId="32E342FF"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2020</w:t>
            </w:r>
          </w:p>
        </w:tc>
      </w:tr>
      <w:tr w:rsidR="00497B8F" w:rsidRPr="00BB17D5" w14:paraId="0C521634" w14:textId="77777777" w:rsidTr="009E5850">
        <w:trPr>
          <w:jc w:val="center"/>
        </w:trPr>
        <w:tc>
          <w:tcPr>
            <w:tcW w:w="1058" w:type="dxa"/>
            <w:shd w:val="clear" w:color="auto" w:fill="auto"/>
            <w:vAlign w:val="center"/>
          </w:tcPr>
          <w:p w14:paraId="0949321C"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6</w:t>
            </w:r>
          </w:p>
        </w:tc>
        <w:tc>
          <w:tcPr>
            <w:tcW w:w="4962" w:type="dxa"/>
            <w:shd w:val="clear" w:color="auto" w:fill="auto"/>
          </w:tcPr>
          <w:p w14:paraId="58141D5C"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Bidireccionalidad Barranquilla - Ballena</w:t>
            </w:r>
          </w:p>
        </w:tc>
        <w:tc>
          <w:tcPr>
            <w:tcW w:w="1913" w:type="dxa"/>
            <w:shd w:val="clear" w:color="auto" w:fill="auto"/>
            <w:vAlign w:val="center"/>
          </w:tcPr>
          <w:p w14:paraId="16B72D50"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2020</w:t>
            </w:r>
          </w:p>
        </w:tc>
      </w:tr>
      <w:tr w:rsidR="00497B8F" w:rsidRPr="00BB17D5" w14:paraId="7792CBB8" w14:textId="77777777" w:rsidTr="009E5850">
        <w:trPr>
          <w:jc w:val="center"/>
        </w:trPr>
        <w:tc>
          <w:tcPr>
            <w:tcW w:w="1058" w:type="dxa"/>
            <w:shd w:val="clear" w:color="auto" w:fill="auto"/>
            <w:vAlign w:val="center"/>
          </w:tcPr>
          <w:p w14:paraId="442A8EF3" w14:textId="77777777" w:rsidR="00497B8F" w:rsidRPr="000F1290" w:rsidRDefault="00497B8F" w:rsidP="009E5850">
            <w:pPr>
              <w:ind w:left="29"/>
              <w:jc w:val="center"/>
              <w:rPr>
                <w:rFonts w:ascii="Bookman Old Style" w:hAnsi="Bookman Old Style"/>
                <w:sz w:val="20"/>
              </w:rPr>
            </w:pPr>
            <w:r w:rsidRPr="000F1290">
              <w:rPr>
                <w:rFonts w:ascii="Bookman Old Style" w:hAnsi="Bookman Old Style"/>
                <w:sz w:val="20"/>
              </w:rPr>
              <w:t>7</w:t>
            </w:r>
          </w:p>
        </w:tc>
        <w:tc>
          <w:tcPr>
            <w:tcW w:w="4962" w:type="dxa"/>
            <w:shd w:val="clear" w:color="auto" w:fill="auto"/>
          </w:tcPr>
          <w:p w14:paraId="2FBAD3C0" w14:textId="77777777" w:rsidR="00497B8F" w:rsidRPr="00BB17D5" w:rsidRDefault="00497B8F" w:rsidP="009E5850">
            <w:pPr>
              <w:ind w:left="134"/>
              <w:rPr>
                <w:rFonts w:ascii="Bookman Old Style" w:hAnsi="Bookman Old Style"/>
                <w:sz w:val="20"/>
              </w:rPr>
            </w:pPr>
            <w:r w:rsidRPr="00BB17D5">
              <w:rPr>
                <w:rFonts w:ascii="Bookman Old Style" w:hAnsi="Bookman Old Style"/>
                <w:sz w:val="20"/>
              </w:rPr>
              <w:t>Compresores El Cerrito - Popayán</w:t>
            </w:r>
          </w:p>
        </w:tc>
        <w:tc>
          <w:tcPr>
            <w:tcW w:w="1913" w:type="dxa"/>
            <w:shd w:val="clear" w:color="auto" w:fill="auto"/>
            <w:vAlign w:val="center"/>
          </w:tcPr>
          <w:p w14:paraId="2D5A2D90" w14:textId="77777777" w:rsidR="00497B8F" w:rsidRPr="00BB17D5" w:rsidRDefault="00497B8F" w:rsidP="009E5850">
            <w:pPr>
              <w:ind w:left="104"/>
              <w:jc w:val="center"/>
              <w:rPr>
                <w:rFonts w:ascii="Bookman Old Style" w:hAnsi="Bookman Old Style"/>
                <w:sz w:val="20"/>
              </w:rPr>
            </w:pPr>
            <w:r w:rsidRPr="00BB17D5">
              <w:rPr>
                <w:rFonts w:ascii="Bookman Old Style" w:hAnsi="Bookman Old Style"/>
                <w:sz w:val="20"/>
              </w:rPr>
              <w:t>Enero 2020</w:t>
            </w:r>
          </w:p>
        </w:tc>
      </w:tr>
    </w:tbl>
    <w:p w14:paraId="559E4CF3" w14:textId="77777777" w:rsidR="00497B8F" w:rsidRPr="000F1290" w:rsidRDefault="00497B8F" w:rsidP="00497B8F">
      <w:pPr>
        <w:pStyle w:val="Textoindependiente2"/>
        <w:spacing w:after="0" w:line="240" w:lineRule="auto"/>
        <w:ind w:left="0"/>
        <w:jc w:val="both"/>
        <w:rPr>
          <w:rFonts w:ascii="Bookman Old Style" w:hAnsi="Bookman Old Style"/>
          <w:color w:val="000000"/>
          <w:lang w:val="es-CO"/>
        </w:rPr>
      </w:pPr>
    </w:p>
    <w:p w14:paraId="34FAF0E7" w14:textId="7D752C16"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r w:rsidRPr="00BB17D5">
        <w:rPr>
          <w:rFonts w:ascii="Bookman Old Style" w:hAnsi="Bookman Old Style"/>
          <w:color w:val="000000"/>
          <w:lang w:val="es-419"/>
        </w:rPr>
        <w:t xml:space="preserve">Asimismo, el </w:t>
      </w:r>
      <w:r w:rsidR="006D15A4">
        <w:rPr>
          <w:rFonts w:ascii="Bookman Old Style" w:hAnsi="Bookman Old Style"/>
          <w:color w:val="000000"/>
          <w:lang w:val="es-419"/>
        </w:rPr>
        <w:t>A</w:t>
      </w:r>
      <w:r w:rsidRPr="00BB17D5">
        <w:rPr>
          <w:rFonts w:ascii="Bookman Old Style" w:hAnsi="Bookman Old Style"/>
          <w:color w:val="000000"/>
          <w:lang w:val="es-419"/>
        </w:rPr>
        <w:t xml:space="preserve">rtículo 2 </w:t>
      </w:r>
      <w:r w:rsidRPr="00BB17D5">
        <w:rPr>
          <w:rFonts w:ascii="Bookman Old Style" w:hAnsi="Bookman Old Style"/>
          <w:color w:val="000000"/>
          <w:lang w:val="es-CO"/>
        </w:rPr>
        <w:t xml:space="preserve">de la misma resolución </w:t>
      </w:r>
      <w:r w:rsidRPr="00BB17D5">
        <w:rPr>
          <w:rFonts w:ascii="Bookman Old Style" w:hAnsi="Bookman Old Style"/>
          <w:color w:val="000000"/>
          <w:lang w:val="es-419"/>
        </w:rPr>
        <w:t>establece que la UPME será la entidad responsable de aplicar los mecanismos abiertos y competitivos para la ejecución de los proyectos identificados en el artículo 1, conforme a las reglas que para tal efecto defina la CREG.</w:t>
      </w:r>
    </w:p>
    <w:p w14:paraId="19F8939B" w14:textId="77777777" w:rsidR="00497B8F" w:rsidRPr="00BB17D5" w:rsidRDefault="00497B8F" w:rsidP="00497B8F">
      <w:pPr>
        <w:pStyle w:val="Textoindependiente2"/>
        <w:spacing w:after="0" w:line="240" w:lineRule="auto"/>
        <w:ind w:left="0"/>
        <w:jc w:val="both"/>
        <w:rPr>
          <w:rFonts w:ascii="Bookman Old Style" w:hAnsi="Bookman Old Style"/>
          <w:color w:val="000000"/>
          <w:lang w:val="es-ES_tradnl"/>
        </w:rPr>
      </w:pPr>
    </w:p>
    <w:p w14:paraId="704351EF" w14:textId="77777777" w:rsidR="00497B8F" w:rsidRPr="00BB17D5" w:rsidRDefault="00497B8F" w:rsidP="00497B8F">
      <w:pPr>
        <w:pStyle w:val="Textoindependiente2"/>
        <w:spacing w:after="0" w:line="240" w:lineRule="auto"/>
        <w:ind w:left="0"/>
        <w:jc w:val="both"/>
        <w:rPr>
          <w:rFonts w:ascii="Bookman Old Style" w:hAnsi="Bookman Old Style"/>
        </w:rPr>
      </w:pPr>
      <w:r w:rsidRPr="00BB17D5">
        <w:rPr>
          <w:rFonts w:ascii="Bookman Old Style" w:hAnsi="Bookman Old Style"/>
          <w:color w:val="000000"/>
          <w:lang w:val="es-ES_tradnl"/>
        </w:rPr>
        <w:t xml:space="preserve">Mediante la Resolución CREG 107 de 2017 </w:t>
      </w:r>
      <w:r w:rsidRPr="00BB17D5">
        <w:rPr>
          <w:rFonts w:ascii="Bookman Old Style" w:hAnsi="Bookman Old Style"/>
          <w:color w:val="000000" w:themeColor="text1"/>
          <w:lang w:val="es-CO"/>
        </w:rPr>
        <w:t xml:space="preserve">la Comisión </w:t>
      </w:r>
      <w:r w:rsidRPr="00BB17D5">
        <w:rPr>
          <w:rFonts w:ascii="Bookman Old Style" w:hAnsi="Bookman Old Style"/>
        </w:rPr>
        <w:t xml:space="preserve">estableció los procedimientos que se deben seguir para ejecutar proyectos del plan de abastecimiento de gas natural. </w:t>
      </w:r>
    </w:p>
    <w:p w14:paraId="61AB399B" w14:textId="77777777" w:rsidR="00497B8F" w:rsidRPr="00BB17D5" w:rsidRDefault="00497B8F" w:rsidP="00497B8F">
      <w:pPr>
        <w:pStyle w:val="Textoindependiente2"/>
        <w:spacing w:after="0" w:line="240" w:lineRule="auto"/>
        <w:ind w:left="0"/>
        <w:jc w:val="both"/>
        <w:rPr>
          <w:rFonts w:ascii="Bookman Old Style" w:hAnsi="Bookman Old Style"/>
        </w:rPr>
      </w:pPr>
    </w:p>
    <w:p w14:paraId="548C9E9F" w14:textId="38C2114F" w:rsidR="009E7DB3" w:rsidRDefault="006D15A4" w:rsidP="00497B8F">
      <w:pPr>
        <w:pStyle w:val="Textoindependiente2"/>
        <w:spacing w:after="0" w:line="240" w:lineRule="auto"/>
        <w:ind w:left="0"/>
        <w:jc w:val="both"/>
        <w:rPr>
          <w:rFonts w:ascii="Bookman Old Style" w:hAnsi="Bookman Old Style"/>
        </w:rPr>
      </w:pPr>
      <w:r>
        <w:rPr>
          <w:rFonts w:ascii="Bookman Old Style" w:hAnsi="Bookman Old Style"/>
          <w:color w:val="000000"/>
          <w:lang w:val="es-ES_tradnl"/>
        </w:rPr>
        <w:t>En el Parágrafo 3 del A</w:t>
      </w:r>
      <w:r w:rsidR="00497B8F" w:rsidRPr="00BB17D5">
        <w:rPr>
          <w:rFonts w:ascii="Bookman Old Style" w:hAnsi="Bookman Old Style"/>
          <w:color w:val="000000"/>
          <w:lang w:val="es-ES_tradnl"/>
        </w:rPr>
        <w:t>rtículo 5 de la Resolución CREG 107 de 2017 se establece que “</w:t>
      </w:r>
      <w:r w:rsidR="00497B8F" w:rsidRPr="00BB17D5">
        <w:rPr>
          <w:rFonts w:ascii="Bookman Old Style" w:hAnsi="Bookman Old Style"/>
        </w:rPr>
        <w:t>En Resolución aparte la CREG podrá adoptar regulación complementaria para ejecutar proyectos prioritarios del plan de abastecimiento de gas natural, o del plan transitorio de abastecimiento de gas natural, que por sus características requieran desarrollo regulatorio adicional al establecido en la presente Resolución”.</w:t>
      </w:r>
    </w:p>
    <w:p w14:paraId="127FCEDD" w14:textId="77777777" w:rsidR="009E7DB3" w:rsidRDefault="009E7DB3" w:rsidP="00497B8F">
      <w:pPr>
        <w:pStyle w:val="Textoindependiente2"/>
        <w:spacing w:after="0" w:line="240" w:lineRule="auto"/>
        <w:ind w:left="0"/>
        <w:jc w:val="both"/>
        <w:rPr>
          <w:rFonts w:ascii="Bookman Old Style" w:hAnsi="Bookman Old Style"/>
        </w:rPr>
      </w:pPr>
    </w:p>
    <w:p w14:paraId="21739482" w14:textId="090151F3" w:rsidR="009A5DC1" w:rsidRPr="00BB17D5" w:rsidRDefault="00517554" w:rsidP="00ED11BA">
      <w:pPr>
        <w:pStyle w:val="ARTICULOS"/>
        <w:numPr>
          <w:ilvl w:val="0"/>
          <w:numId w:val="0"/>
        </w:numPr>
      </w:pPr>
      <w:r>
        <w:t xml:space="preserve">Con base en ello, </w:t>
      </w:r>
      <w:r w:rsidR="009A5DC1">
        <w:t xml:space="preserve">se expidió la Resolución CREG 152 de 2017, la cual tiene por objeto </w:t>
      </w:r>
      <w:r w:rsidR="009A5DC1" w:rsidRPr="00BB17D5">
        <w:t xml:space="preserve">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que la modifiquen o sustituyan. </w:t>
      </w:r>
    </w:p>
    <w:p w14:paraId="15C07A0E" w14:textId="77777777" w:rsidR="00B3755C" w:rsidRDefault="00B3755C" w:rsidP="00497B8F">
      <w:pPr>
        <w:pStyle w:val="Textoindependiente2"/>
        <w:spacing w:after="0" w:line="240" w:lineRule="auto"/>
        <w:ind w:left="0"/>
        <w:jc w:val="both"/>
        <w:rPr>
          <w:rFonts w:ascii="Bookman Old Style" w:hAnsi="Bookman Old Style"/>
        </w:rPr>
      </w:pPr>
    </w:p>
    <w:p w14:paraId="693929E3" w14:textId="35682650" w:rsidR="00BB01C3" w:rsidRDefault="00691993" w:rsidP="00FC5004">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En el artículo 5 de la mencionada resolución se</w:t>
      </w:r>
      <w:r w:rsidR="00FC5004">
        <w:rPr>
          <w:rFonts w:ascii="Bookman Old Style" w:hAnsi="Bookman Old Style"/>
          <w:color w:val="000000"/>
          <w:lang w:val="es-CO"/>
        </w:rPr>
        <w:t xml:space="preserve"> disponía quienes </w:t>
      </w:r>
      <w:r w:rsidR="00656879">
        <w:rPr>
          <w:rFonts w:ascii="Bookman Old Style" w:hAnsi="Bookman Old Style"/>
          <w:color w:val="000000"/>
          <w:lang w:val="es-CO"/>
        </w:rPr>
        <w:t>podían</w:t>
      </w:r>
      <w:r w:rsidR="00FC5004">
        <w:rPr>
          <w:rFonts w:ascii="Bookman Old Style" w:hAnsi="Bookman Old Style"/>
          <w:color w:val="000000"/>
          <w:lang w:val="es-CO"/>
        </w:rPr>
        <w:t xml:space="preserve"> participar en el proceso de selección para la ejecución del proyecto</w:t>
      </w:r>
      <w:r w:rsidR="00BB01C3">
        <w:rPr>
          <w:rFonts w:ascii="Bookman Old Style" w:hAnsi="Bookman Old Style"/>
          <w:color w:val="000000"/>
          <w:lang w:val="es-CO"/>
        </w:rPr>
        <w:t xml:space="preserve"> y </w:t>
      </w:r>
      <w:r>
        <w:rPr>
          <w:rFonts w:ascii="Bookman Old Style" w:hAnsi="Bookman Old Style"/>
          <w:color w:val="000000"/>
          <w:lang w:val="es-CO"/>
        </w:rPr>
        <w:t>se observó que la disposición contenida resultó muy restrictiva y en consecuencia se concluyó que podía limitar el número potencial de participantes en el proceso de selección de la infraestructura de importación de gas del Pacífico.</w:t>
      </w:r>
    </w:p>
    <w:p w14:paraId="641AA15F" w14:textId="77777777" w:rsidR="00BB01C3" w:rsidRDefault="00BB01C3" w:rsidP="00FC5004">
      <w:pPr>
        <w:pStyle w:val="Textoindependiente2"/>
        <w:spacing w:after="0" w:line="240" w:lineRule="auto"/>
        <w:ind w:left="0"/>
        <w:jc w:val="both"/>
        <w:rPr>
          <w:rFonts w:ascii="Bookman Old Style" w:hAnsi="Bookman Old Style"/>
          <w:color w:val="000000"/>
          <w:lang w:val="es-CO"/>
        </w:rPr>
      </w:pPr>
    </w:p>
    <w:p w14:paraId="2415C4BF" w14:textId="73F65DF1" w:rsidR="00691993" w:rsidRDefault="009B4A90" w:rsidP="00FC5004">
      <w:pPr>
        <w:pStyle w:val="Textoindependiente2"/>
        <w:spacing w:after="0" w:line="240" w:lineRule="auto"/>
        <w:ind w:left="0"/>
        <w:jc w:val="both"/>
        <w:rPr>
          <w:rFonts w:ascii="Bookman Old Style" w:hAnsi="Bookman Old Style"/>
          <w:color w:val="000000"/>
          <w:lang w:val="es-CO"/>
        </w:rPr>
      </w:pPr>
      <w:r>
        <w:rPr>
          <w:rFonts w:ascii="Bookman Old Style" w:hAnsi="Bookman Old Style"/>
          <w:color w:val="000000"/>
          <w:lang w:val="es-CO"/>
        </w:rPr>
        <w:t xml:space="preserve">Con base en lo anterior se expidió la Resolución CREG 113 de 2018, </w:t>
      </w:r>
      <w:r>
        <w:rPr>
          <w:rFonts w:ascii="Bookman Old Style" w:hAnsi="Bookman Old Style"/>
          <w:i/>
          <w:iCs/>
          <w:color w:val="000000"/>
          <w:lang w:val="es-CO"/>
        </w:rPr>
        <w:t xml:space="preserve">Por la cual se modifica el Artículo 5 de la Resolución CREG 152 de </w:t>
      </w:r>
      <w:r w:rsidR="00323065">
        <w:rPr>
          <w:rFonts w:ascii="Bookman Old Style" w:hAnsi="Bookman Old Style"/>
          <w:i/>
          <w:iCs/>
          <w:color w:val="000000"/>
          <w:lang w:val="es-CO"/>
        </w:rPr>
        <w:t>2017</w:t>
      </w:r>
      <w:r w:rsidR="00D425B2">
        <w:rPr>
          <w:rFonts w:ascii="Bookman Old Style" w:hAnsi="Bookman Old Style"/>
          <w:i/>
          <w:iCs/>
          <w:color w:val="000000"/>
          <w:lang w:val="es-CO"/>
        </w:rPr>
        <w:t>”</w:t>
      </w:r>
      <w:r w:rsidR="00323065">
        <w:rPr>
          <w:rFonts w:ascii="Bookman Old Style" w:hAnsi="Bookman Old Style"/>
          <w:i/>
          <w:iCs/>
          <w:color w:val="000000"/>
          <w:lang w:val="es-CO"/>
        </w:rPr>
        <w:t>.</w:t>
      </w:r>
      <w:r w:rsidR="00691993">
        <w:rPr>
          <w:rFonts w:ascii="Bookman Old Style" w:hAnsi="Bookman Old Style"/>
          <w:color w:val="000000"/>
          <w:lang w:val="es-CO"/>
        </w:rPr>
        <w:t xml:space="preserve"> </w:t>
      </w:r>
    </w:p>
    <w:p w14:paraId="7871589C" w14:textId="77777777" w:rsidR="00B3755C" w:rsidRDefault="00B3755C" w:rsidP="00497B8F">
      <w:pPr>
        <w:pStyle w:val="Textoindependiente2"/>
        <w:spacing w:after="0" w:line="240" w:lineRule="auto"/>
        <w:ind w:left="0"/>
        <w:jc w:val="both"/>
        <w:rPr>
          <w:rFonts w:ascii="Bookman Old Style" w:hAnsi="Bookman Old Style"/>
        </w:rPr>
      </w:pPr>
    </w:p>
    <w:p w14:paraId="734B9C45" w14:textId="77777777" w:rsidR="00E90F91" w:rsidRPr="00356462" w:rsidRDefault="00E90F91" w:rsidP="00E90F9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La Unidad de Planeación Minero Energétic</w:t>
      </w:r>
      <w:r>
        <w:rPr>
          <w:rFonts w:ascii="Bookman Old Style" w:hAnsi="Bookman Old Style"/>
          <w:color w:val="000000"/>
          <w:lang w:val="es-CO"/>
        </w:rPr>
        <w:t>o</w:t>
      </w:r>
      <w:r w:rsidRPr="00356462">
        <w:rPr>
          <w:rFonts w:ascii="Bookman Old Style" w:hAnsi="Bookman Old Style"/>
          <w:color w:val="000000"/>
          <w:lang w:val="es-CO"/>
        </w:rPr>
        <w:t xml:space="preserve"> identificó, en el documento “</w:t>
      </w:r>
      <w:r w:rsidRPr="00356462">
        <w:rPr>
          <w:rFonts w:ascii="Bookman Old Style" w:hAnsi="Bookman Old Style"/>
          <w:i/>
          <w:iCs/>
          <w:color w:val="000000"/>
          <w:lang w:val="es-CO"/>
        </w:rPr>
        <w:t>Análisis de Abastecimiento y Confiabilidad del Sector Gas Natural</w:t>
      </w:r>
      <w:r w:rsidRPr="00356462">
        <w:rPr>
          <w:rFonts w:ascii="Bookman Old Style" w:hAnsi="Bookman Old Style"/>
          <w:color w:val="000000"/>
          <w:lang w:val="es-CO"/>
        </w:rPr>
        <w:t>” de julio de 2018, la necesidad de incluir un inventario mínimo como parte del almacenamiento de gas natural licuado de los servicios asociados a la planta de regasificación, con el fin de contar con un volumen interno de inventario con el cual se pueda contar en caso de contingencias</w:t>
      </w:r>
      <w:r>
        <w:rPr>
          <w:rFonts w:ascii="Bookman Old Style" w:hAnsi="Bookman Old Style"/>
          <w:color w:val="000000"/>
          <w:lang w:val="es-CO"/>
        </w:rPr>
        <w:t>,</w:t>
      </w:r>
      <w:r w:rsidRPr="00356462">
        <w:rPr>
          <w:rFonts w:ascii="Bookman Old Style" w:hAnsi="Bookman Old Style"/>
          <w:color w:val="000000"/>
          <w:lang w:val="es-CO"/>
        </w:rPr>
        <w:t xml:space="preserve"> como aspecto de confiabilidad</w:t>
      </w:r>
      <w:r>
        <w:rPr>
          <w:rFonts w:ascii="Bookman Old Style" w:hAnsi="Bookman Old Style"/>
          <w:color w:val="000000"/>
          <w:lang w:val="es-CO"/>
        </w:rPr>
        <w:t>.</w:t>
      </w:r>
      <w:r w:rsidRPr="00356462">
        <w:rPr>
          <w:rFonts w:ascii="Bookman Old Style" w:hAnsi="Bookman Old Style"/>
          <w:color w:val="000000"/>
          <w:lang w:val="es-CO"/>
        </w:rPr>
        <w:t xml:space="preserve"> </w:t>
      </w:r>
      <w:r>
        <w:rPr>
          <w:rFonts w:ascii="Bookman Old Style" w:hAnsi="Bookman Old Style"/>
          <w:color w:val="000000"/>
          <w:lang w:val="es-CO"/>
        </w:rPr>
        <w:t>S</w:t>
      </w:r>
      <w:r w:rsidRPr="00356462">
        <w:rPr>
          <w:rFonts w:ascii="Bookman Old Style" w:hAnsi="Bookman Old Style"/>
          <w:color w:val="000000"/>
          <w:lang w:val="es-CO"/>
        </w:rPr>
        <w:t>e hace necesario incluir el manejo de dicho inventario por parte del adjudicatario y de los agentes que hagan uso del mismo.</w:t>
      </w:r>
    </w:p>
    <w:p w14:paraId="36B6FB2D" w14:textId="77777777" w:rsidR="00E90F91" w:rsidRPr="00356462" w:rsidRDefault="00E90F91" w:rsidP="00E90F91">
      <w:pPr>
        <w:pStyle w:val="Textoindependiente2"/>
        <w:spacing w:after="0" w:line="240" w:lineRule="auto"/>
        <w:ind w:left="0"/>
        <w:jc w:val="both"/>
        <w:rPr>
          <w:rFonts w:ascii="Bookman Old Style" w:hAnsi="Bookman Old Style"/>
          <w:lang w:val="es-419"/>
        </w:rPr>
      </w:pPr>
    </w:p>
    <w:p w14:paraId="24CECDC8" w14:textId="77777777" w:rsidR="00E90F91" w:rsidRPr="00356462" w:rsidRDefault="00E90F91" w:rsidP="00E90F91">
      <w:pPr>
        <w:pStyle w:val="Textoindependiente2"/>
        <w:spacing w:after="0" w:line="240" w:lineRule="auto"/>
        <w:ind w:left="0"/>
        <w:jc w:val="both"/>
        <w:rPr>
          <w:rFonts w:ascii="Bookman Old Style" w:hAnsi="Bookman Old Style"/>
          <w:lang w:val="es-419"/>
        </w:rPr>
      </w:pPr>
      <w:r w:rsidRPr="00356462">
        <w:rPr>
          <w:rFonts w:ascii="Bookman Old Style" w:hAnsi="Bookman Old Style"/>
          <w:lang w:val="es-419"/>
        </w:rPr>
        <w:t>En cumplimiento de lo previsto en el Decreto 2345 de 2015, que adiciona el Decreto Único Reglamentario del sector administrativo de Minas y Energía</w:t>
      </w:r>
      <w:r>
        <w:rPr>
          <w:rFonts w:ascii="Bookman Old Style" w:hAnsi="Bookman Old Style"/>
          <w:lang w:val="es-419"/>
        </w:rPr>
        <w:t>,</w:t>
      </w:r>
      <w:r w:rsidRPr="00356462">
        <w:rPr>
          <w:rFonts w:ascii="Bookman Old Style" w:hAnsi="Bookman Old Style"/>
          <w:lang w:val="es-419"/>
        </w:rPr>
        <w:t xml:space="preserve"> 1073 de 2015, el Ministerio de Minas y Energía, mediante Resolución 40304 de 2020, adoptó el Plan de Abastecimiento de Gas Natural 2019 – 2028</w:t>
      </w:r>
      <w:r>
        <w:rPr>
          <w:rFonts w:ascii="Bookman Old Style" w:hAnsi="Bookman Old Style"/>
          <w:lang w:val="es-419"/>
        </w:rPr>
        <w:t>,</w:t>
      </w:r>
      <w:r w:rsidRPr="00356462">
        <w:rPr>
          <w:rFonts w:ascii="Bookman Old Style" w:hAnsi="Bookman Old Style"/>
          <w:lang w:val="es-419"/>
        </w:rPr>
        <w:t xml:space="preserve"> y derogó la Resolución 4 0006 de 2017. </w:t>
      </w:r>
    </w:p>
    <w:p w14:paraId="2CB942BB" w14:textId="77777777" w:rsidR="00E90F91" w:rsidRPr="00356462" w:rsidRDefault="00E90F91" w:rsidP="00E90F91">
      <w:pPr>
        <w:pStyle w:val="Textoindependiente2"/>
        <w:spacing w:after="0" w:line="240" w:lineRule="auto"/>
        <w:ind w:left="0"/>
        <w:jc w:val="both"/>
        <w:rPr>
          <w:rFonts w:ascii="Bookman Old Style" w:hAnsi="Bookman Old Style"/>
          <w:lang w:val="es-419"/>
        </w:rPr>
      </w:pPr>
    </w:p>
    <w:p w14:paraId="5A41C7F0" w14:textId="30032CC2" w:rsidR="00E90F91" w:rsidRDefault="00E90F91" w:rsidP="00E90F9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419"/>
        </w:rPr>
        <w:t>E</w:t>
      </w:r>
      <w:r w:rsidRPr="00356462">
        <w:rPr>
          <w:rFonts w:ascii="Bookman Old Style" w:hAnsi="Bookman Old Style"/>
          <w:color w:val="000000"/>
          <w:lang w:val="es-CO"/>
        </w:rPr>
        <w:t xml:space="preserve">n el numeral 1.2 del artículo 1 de la </w:t>
      </w:r>
      <w:r w:rsidRPr="00356462">
        <w:rPr>
          <w:rFonts w:ascii="Bookman Old Style" w:hAnsi="Bookman Old Style"/>
          <w:lang w:val="es-419"/>
        </w:rPr>
        <w:t>Resolución 40304 de 2020</w:t>
      </w:r>
      <w:r>
        <w:rPr>
          <w:rFonts w:ascii="Bookman Old Style" w:hAnsi="Bookman Old Style"/>
          <w:lang w:val="es-419"/>
        </w:rPr>
        <w:t xml:space="preserve"> </w:t>
      </w:r>
      <w:r w:rsidRPr="00356462">
        <w:rPr>
          <w:rFonts w:ascii="Bookman Old Style" w:hAnsi="Bookman Old Style"/>
          <w:color w:val="000000"/>
          <w:lang w:val="es-CO"/>
        </w:rPr>
        <w:t>se incluye</w:t>
      </w:r>
      <w:r>
        <w:rPr>
          <w:rFonts w:ascii="Bookman Old Style" w:hAnsi="Bookman Old Style"/>
          <w:color w:val="000000"/>
          <w:lang w:val="es-CO"/>
        </w:rPr>
        <w:t xml:space="preserve"> la fecha de entrada de la infraestructura de importación de gas del Pacífico, así: </w:t>
      </w:r>
    </w:p>
    <w:p w14:paraId="04D8E8EB" w14:textId="106C3C11" w:rsidR="00292BD1" w:rsidRDefault="00292BD1" w:rsidP="00E90F91">
      <w:pPr>
        <w:pStyle w:val="Textoindependiente2"/>
        <w:spacing w:after="0" w:line="240" w:lineRule="auto"/>
        <w:ind w:left="0"/>
        <w:jc w:val="both"/>
        <w:rPr>
          <w:rFonts w:ascii="Bookman Old Style" w:hAnsi="Bookman Old Style"/>
          <w:color w:val="000000"/>
          <w:lang w:val="es-CO"/>
        </w:rPr>
      </w:pPr>
    </w:p>
    <w:p w14:paraId="23491099" w14:textId="77777777" w:rsidR="00292BD1" w:rsidRDefault="00292BD1" w:rsidP="00E90F91">
      <w:pPr>
        <w:pStyle w:val="Textoindependiente2"/>
        <w:spacing w:after="0" w:line="240" w:lineRule="auto"/>
        <w:ind w:left="0"/>
        <w:jc w:val="both"/>
        <w:rPr>
          <w:rFonts w:ascii="Bookman Old Style" w:hAnsi="Bookman Old Style"/>
          <w:color w:val="000000"/>
          <w:lang w:val="es-CO"/>
        </w:rPr>
      </w:pPr>
    </w:p>
    <w:p w14:paraId="28A03162" w14:textId="77777777" w:rsidR="00E90F91" w:rsidRDefault="00E90F91" w:rsidP="00E90F91">
      <w:pPr>
        <w:pStyle w:val="Textoindependiente2"/>
        <w:spacing w:after="0" w:line="240" w:lineRule="auto"/>
        <w:ind w:left="0"/>
        <w:jc w:val="both"/>
        <w:rPr>
          <w:rFonts w:ascii="Bookman Old Style" w:hAnsi="Bookman Old Style"/>
          <w:color w:val="00000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4962"/>
        <w:gridCol w:w="2622"/>
      </w:tblGrid>
      <w:tr w:rsidR="00E90F91" w:rsidRPr="00356462" w14:paraId="43C1C594" w14:textId="77777777" w:rsidTr="001A573D">
        <w:trPr>
          <w:jc w:val="center"/>
        </w:trPr>
        <w:tc>
          <w:tcPr>
            <w:tcW w:w="1058" w:type="dxa"/>
            <w:shd w:val="clear" w:color="auto" w:fill="auto"/>
            <w:vAlign w:val="center"/>
          </w:tcPr>
          <w:p w14:paraId="2493455C" w14:textId="77777777" w:rsidR="00E90F91" w:rsidRPr="00356462" w:rsidRDefault="00E90F91" w:rsidP="001A573D">
            <w:pPr>
              <w:ind w:left="29"/>
              <w:jc w:val="center"/>
              <w:rPr>
                <w:rFonts w:ascii="Bookman Old Style" w:hAnsi="Bookman Old Style"/>
                <w:b/>
                <w:sz w:val="20"/>
              </w:rPr>
            </w:pPr>
            <w:r w:rsidRPr="00356462">
              <w:rPr>
                <w:rFonts w:ascii="Bookman Old Style" w:hAnsi="Bookman Old Style"/>
                <w:b/>
                <w:sz w:val="20"/>
              </w:rPr>
              <w:t>Número</w:t>
            </w:r>
          </w:p>
        </w:tc>
        <w:tc>
          <w:tcPr>
            <w:tcW w:w="4962" w:type="dxa"/>
            <w:shd w:val="clear" w:color="auto" w:fill="auto"/>
            <w:vAlign w:val="center"/>
          </w:tcPr>
          <w:p w14:paraId="40D89C36" w14:textId="77777777" w:rsidR="00E90F91" w:rsidRPr="00356462" w:rsidRDefault="00E90F91" w:rsidP="001A573D">
            <w:pPr>
              <w:ind w:left="134"/>
              <w:jc w:val="center"/>
              <w:rPr>
                <w:rFonts w:ascii="Bookman Old Style" w:hAnsi="Bookman Old Style"/>
                <w:b/>
                <w:sz w:val="20"/>
              </w:rPr>
            </w:pPr>
            <w:r w:rsidRPr="00356462">
              <w:rPr>
                <w:rFonts w:ascii="Bookman Old Style" w:hAnsi="Bookman Old Style"/>
                <w:b/>
                <w:sz w:val="20"/>
              </w:rPr>
              <w:t>Proyecto</w:t>
            </w:r>
          </w:p>
        </w:tc>
        <w:tc>
          <w:tcPr>
            <w:tcW w:w="2622" w:type="dxa"/>
            <w:shd w:val="clear" w:color="auto" w:fill="auto"/>
            <w:vAlign w:val="center"/>
          </w:tcPr>
          <w:p w14:paraId="50ED8986" w14:textId="77777777" w:rsidR="00E90F91" w:rsidRPr="00356462" w:rsidRDefault="00E90F91" w:rsidP="001A573D">
            <w:pPr>
              <w:ind w:left="104"/>
              <w:jc w:val="center"/>
              <w:rPr>
                <w:rFonts w:ascii="Bookman Old Style" w:hAnsi="Bookman Old Style"/>
                <w:b/>
                <w:sz w:val="20"/>
              </w:rPr>
            </w:pPr>
            <w:r w:rsidRPr="00356462">
              <w:rPr>
                <w:rFonts w:ascii="Bookman Old Style" w:hAnsi="Bookman Old Style"/>
                <w:b/>
                <w:sz w:val="20"/>
              </w:rPr>
              <w:t>Año y mes de entrada en operación</w:t>
            </w:r>
          </w:p>
        </w:tc>
      </w:tr>
      <w:tr w:rsidR="00E90F91" w:rsidRPr="00356462" w14:paraId="4942E0F3" w14:textId="77777777" w:rsidTr="001A573D">
        <w:trPr>
          <w:jc w:val="center"/>
        </w:trPr>
        <w:tc>
          <w:tcPr>
            <w:tcW w:w="1058" w:type="dxa"/>
            <w:shd w:val="clear" w:color="auto" w:fill="auto"/>
            <w:vAlign w:val="center"/>
          </w:tcPr>
          <w:p w14:paraId="7BC587D1" w14:textId="77777777" w:rsidR="00E90F91" w:rsidRPr="00356462" w:rsidRDefault="00E90F91" w:rsidP="001A573D">
            <w:pPr>
              <w:ind w:left="29"/>
              <w:jc w:val="center"/>
              <w:rPr>
                <w:rFonts w:ascii="Bookman Old Style" w:hAnsi="Bookman Old Style"/>
                <w:sz w:val="20"/>
              </w:rPr>
            </w:pPr>
            <w:r w:rsidRPr="00356462">
              <w:rPr>
                <w:rFonts w:ascii="Bookman Old Style" w:hAnsi="Bookman Old Style"/>
                <w:sz w:val="20"/>
              </w:rPr>
              <w:t>vii</w:t>
            </w:r>
          </w:p>
        </w:tc>
        <w:tc>
          <w:tcPr>
            <w:tcW w:w="4962" w:type="dxa"/>
            <w:shd w:val="clear" w:color="auto" w:fill="auto"/>
            <w:vAlign w:val="center"/>
          </w:tcPr>
          <w:p w14:paraId="63F860F3" w14:textId="77777777" w:rsidR="00E90F91" w:rsidRPr="00356462" w:rsidRDefault="00E90F91" w:rsidP="001A573D">
            <w:pPr>
              <w:ind w:left="134"/>
              <w:rPr>
                <w:rFonts w:ascii="Bookman Old Style" w:hAnsi="Bookman Old Style"/>
                <w:sz w:val="20"/>
                <w:szCs w:val="20"/>
              </w:rPr>
            </w:pPr>
            <w:r w:rsidRPr="00356462">
              <w:rPr>
                <w:rFonts w:ascii="Bookman Old Style" w:hAnsi="Bookman Old Style"/>
                <w:sz w:val="20"/>
                <w:szCs w:val="20"/>
              </w:rPr>
              <w:t>Infraestructura de Importación de Gas del Pacífico</w:t>
            </w:r>
          </w:p>
        </w:tc>
        <w:tc>
          <w:tcPr>
            <w:tcW w:w="2622" w:type="dxa"/>
            <w:shd w:val="clear" w:color="auto" w:fill="auto"/>
            <w:vAlign w:val="center"/>
          </w:tcPr>
          <w:p w14:paraId="4AAC2637" w14:textId="77777777" w:rsidR="00E90F91" w:rsidRPr="00356462" w:rsidRDefault="00E90F91" w:rsidP="001A573D">
            <w:pPr>
              <w:ind w:left="104"/>
              <w:jc w:val="both"/>
              <w:rPr>
                <w:rFonts w:ascii="Bookman Old Style" w:hAnsi="Bookman Old Style"/>
                <w:sz w:val="20"/>
                <w:szCs w:val="20"/>
              </w:rPr>
            </w:pPr>
            <w:r w:rsidRPr="00356462">
              <w:rPr>
                <w:rFonts w:ascii="Bookman Old Style" w:hAnsi="Bookman Old Style"/>
                <w:sz w:val="20"/>
                <w:szCs w:val="20"/>
              </w:rPr>
              <w:t>58 meses contados a partir de la selección del inversionista de este proyecto.</w:t>
            </w:r>
          </w:p>
        </w:tc>
      </w:tr>
    </w:tbl>
    <w:p w14:paraId="25BCA35E" w14:textId="77777777" w:rsidR="00E90F91" w:rsidRPr="00356462" w:rsidRDefault="00E90F91" w:rsidP="00E90F91">
      <w:pPr>
        <w:pStyle w:val="Textoindependiente2"/>
        <w:spacing w:after="0" w:line="240" w:lineRule="auto"/>
        <w:ind w:left="0"/>
        <w:jc w:val="both"/>
        <w:rPr>
          <w:rFonts w:ascii="Bookman Old Style" w:hAnsi="Bookman Old Style"/>
          <w:color w:val="000000"/>
          <w:lang w:val="es-CO"/>
        </w:rPr>
      </w:pPr>
      <w:bookmarkStart w:id="0" w:name="_Hlk62136075"/>
    </w:p>
    <w:p w14:paraId="50D425DD" w14:textId="77777777" w:rsidR="00E90F91" w:rsidRPr="00356462" w:rsidRDefault="00E90F91" w:rsidP="00E90F9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El Artículo 2 de la resolución en mención establece que la CREG incluirá en la regulación a la que se refiere el artículo 2.2.2.2.29 y siguientes del Decreto 1073 de 2015, mecanismos para incentivar el cumplimiento de fechas anticipadas de entrada en operación de los proyectos del Plan de Abastecimiento de Gas Natural.</w:t>
      </w:r>
    </w:p>
    <w:bookmarkEnd w:id="0"/>
    <w:p w14:paraId="75BD6B85" w14:textId="77777777" w:rsidR="00E90F91" w:rsidRPr="00356462" w:rsidRDefault="00E90F91" w:rsidP="00E90F91">
      <w:pPr>
        <w:pStyle w:val="Textoindependiente2"/>
        <w:spacing w:after="0" w:line="240" w:lineRule="auto"/>
        <w:ind w:left="0"/>
        <w:jc w:val="both"/>
        <w:rPr>
          <w:rFonts w:ascii="Bookman Old Style" w:hAnsi="Bookman Old Style"/>
          <w:color w:val="000000"/>
          <w:lang w:val="es-CO"/>
        </w:rPr>
      </w:pPr>
    </w:p>
    <w:p w14:paraId="7ED2BE28" w14:textId="523FDA4B" w:rsidR="00E90F91" w:rsidRPr="00356462" w:rsidRDefault="00E90F91" w:rsidP="00E90F91">
      <w:pPr>
        <w:pStyle w:val="Textoindependiente2"/>
        <w:spacing w:after="0" w:line="240" w:lineRule="auto"/>
        <w:ind w:left="0"/>
        <w:jc w:val="both"/>
        <w:rPr>
          <w:rFonts w:ascii="Bookman Old Style" w:hAnsi="Bookman Old Style"/>
          <w:color w:val="000000"/>
          <w:lang w:val="es-CO"/>
        </w:rPr>
      </w:pPr>
      <w:r w:rsidRPr="00356462">
        <w:rPr>
          <w:rFonts w:ascii="Bookman Old Style" w:hAnsi="Bookman Old Style"/>
          <w:color w:val="000000"/>
          <w:lang w:val="es-CO"/>
        </w:rPr>
        <w:t xml:space="preserve">La Comisión </w:t>
      </w:r>
      <w:r w:rsidR="007B2EE2">
        <w:rPr>
          <w:rFonts w:ascii="Bookman Old Style" w:hAnsi="Bookman Old Style"/>
          <w:color w:val="000000"/>
          <w:lang w:val="es-CO"/>
        </w:rPr>
        <w:t xml:space="preserve">identificó </w:t>
      </w:r>
      <w:r w:rsidRPr="00356462">
        <w:rPr>
          <w:rFonts w:ascii="Bookman Old Style" w:hAnsi="Bookman Old Style"/>
          <w:color w:val="000000"/>
          <w:lang w:val="es-CO"/>
        </w:rPr>
        <w:t>la necesidad de realizar ajustes a algunos de los aspectos contenidos</w:t>
      </w:r>
      <w:r>
        <w:rPr>
          <w:rFonts w:ascii="Bookman Old Style" w:hAnsi="Bookman Old Style"/>
          <w:color w:val="000000"/>
          <w:lang w:val="es-CO"/>
        </w:rPr>
        <w:t>,</w:t>
      </w:r>
      <w:r w:rsidRPr="00356462">
        <w:rPr>
          <w:rFonts w:ascii="Bookman Old Style" w:hAnsi="Bookman Old Style"/>
          <w:color w:val="000000"/>
          <w:lang w:val="es-CO"/>
        </w:rPr>
        <w:t xml:space="preserve"> </w:t>
      </w:r>
      <w:r>
        <w:rPr>
          <w:rFonts w:ascii="Bookman Old Style" w:hAnsi="Bookman Old Style"/>
          <w:color w:val="000000"/>
          <w:lang w:val="es-CO"/>
        </w:rPr>
        <w:t xml:space="preserve">tanto </w:t>
      </w:r>
      <w:r w:rsidRPr="00356462">
        <w:rPr>
          <w:rFonts w:ascii="Bookman Old Style" w:hAnsi="Bookman Old Style"/>
          <w:color w:val="000000"/>
          <w:lang w:val="es-CO"/>
        </w:rPr>
        <w:t>en la Resolución CREG 1</w:t>
      </w:r>
      <w:r>
        <w:rPr>
          <w:rFonts w:ascii="Bookman Old Style" w:hAnsi="Bookman Old Style"/>
          <w:color w:val="000000"/>
          <w:lang w:val="es-CO"/>
        </w:rPr>
        <w:t>07 de 2017, como en la Resolución CREG 152 de 2017</w:t>
      </w:r>
      <w:r w:rsidRPr="00356462">
        <w:rPr>
          <w:rFonts w:ascii="Bookman Old Style" w:hAnsi="Bookman Old Style"/>
          <w:color w:val="000000"/>
          <w:lang w:val="es-CO"/>
        </w:rPr>
        <w:t>, de acuerdo con las características de los proyectos incluidos por el Ministerio de Minas y Energía en el Plan de Abastecimiento de Gas Natural</w:t>
      </w:r>
      <w:r>
        <w:rPr>
          <w:rFonts w:ascii="Bookman Old Style" w:hAnsi="Bookman Old Style"/>
          <w:color w:val="000000"/>
          <w:lang w:val="es-CO"/>
        </w:rPr>
        <w:t>,</w:t>
      </w:r>
      <w:r w:rsidRPr="00356462">
        <w:rPr>
          <w:rFonts w:ascii="Bookman Old Style" w:hAnsi="Bookman Old Style"/>
          <w:color w:val="000000"/>
          <w:lang w:val="es-CO"/>
        </w:rPr>
        <w:t xml:space="preserve"> y la introducción de mecanismos que incentiven el cumplimiento de las fechas anticipadas de entrada en operación.</w:t>
      </w:r>
    </w:p>
    <w:p w14:paraId="75D5F3A6" w14:textId="77777777" w:rsidR="00E90F91" w:rsidRDefault="00E90F91" w:rsidP="00E90F91">
      <w:pPr>
        <w:pStyle w:val="Textoindependiente2"/>
        <w:spacing w:after="0" w:line="240" w:lineRule="auto"/>
        <w:ind w:left="0"/>
        <w:jc w:val="both"/>
        <w:rPr>
          <w:rFonts w:ascii="Bookman Old Style" w:hAnsi="Bookman Old Style"/>
          <w:color w:val="000000"/>
          <w:lang w:val="es-CO"/>
        </w:rPr>
      </w:pPr>
    </w:p>
    <w:p w14:paraId="186B18E9" w14:textId="6762AD0C" w:rsidR="00656879" w:rsidRDefault="000C3081" w:rsidP="00E90F91">
      <w:pPr>
        <w:pStyle w:val="Textoindependiente2"/>
        <w:spacing w:after="0" w:line="240" w:lineRule="auto"/>
        <w:ind w:left="0"/>
        <w:jc w:val="both"/>
        <w:rPr>
          <w:rFonts w:ascii="Bookman Old Style" w:hAnsi="Bookman Old Style"/>
          <w:i/>
          <w:iCs/>
          <w:color w:val="000000"/>
          <w:lang w:val="es-ES_tradnl"/>
        </w:rPr>
      </w:pPr>
      <w:r>
        <w:rPr>
          <w:rFonts w:ascii="Bookman Old Style" w:hAnsi="Bookman Old Style"/>
          <w:color w:val="000000"/>
          <w:lang w:val="es-ES_tradnl"/>
        </w:rPr>
        <w:t xml:space="preserve">Con base en lo anterior, la CREG expidió la </w:t>
      </w:r>
      <w:r w:rsidR="00E90F91">
        <w:rPr>
          <w:rFonts w:ascii="Bookman Old Style" w:hAnsi="Bookman Old Style"/>
          <w:color w:val="000000"/>
          <w:lang w:val="es-ES_tradnl"/>
        </w:rPr>
        <w:t xml:space="preserve">Resolución CREG </w:t>
      </w:r>
      <w:r w:rsidR="007B2EE2">
        <w:rPr>
          <w:rFonts w:ascii="Bookman Old Style" w:hAnsi="Bookman Old Style"/>
          <w:color w:val="000000"/>
          <w:lang w:val="es-ES_tradnl"/>
        </w:rPr>
        <w:t xml:space="preserve">128 de </w:t>
      </w:r>
      <w:r w:rsidR="00E90F91">
        <w:rPr>
          <w:rFonts w:ascii="Bookman Old Style" w:hAnsi="Bookman Old Style"/>
          <w:color w:val="000000"/>
          <w:lang w:val="es-ES_tradnl"/>
        </w:rPr>
        <w:t>2021</w:t>
      </w:r>
      <w:r w:rsidR="007B2EE2">
        <w:rPr>
          <w:rFonts w:ascii="Bookman Old Style" w:hAnsi="Bookman Old Style"/>
          <w:color w:val="000000"/>
          <w:lang w:val="es-ES_tradnl"/>
        </w:rPr>
        <w:t xml:space="preserve"> </w:t>
      </w:r>
      <w:r w:rsidR="00CF2D11">
        <w:rPr>
          <w:rFonts w:ascii="Bookman Old Style" w:hAnsi="Bookman Old Style"/>
          <w:i/>
          <w:iCs/>
          <w:color w:val="000000"/>
          <w:lang w:val="es-ES_tradnl"/>
        </w:rPr>
        <w:t>Por la cual se hacen unos ajustes a la Resolución CREG 1</w:t>
      </w:r>
      <w:r w:rsidR="00D57D23">
        <w:rPr>
          <w:rFonts w:ascii="Bookman Old Style" w:hAnsi="Bookman Old Style"/>
          <w:i/>
          <w:iCs/>
          <w:color w:val="000000"/>
          <w:lang w:val="es-ES_tradnl"/>
        </w:rPr>
        <w:t xml:space="preserve">52 de 2017. </w:t>
      </w:r>
    </w:p>
    <w:p w14:paraId="6586B706" w14:textId="77777777" w:rsidR="00D57D23" w:rsidRDefault="00D57D23" w:rsidP="00E90F91">
      <w:pPr>
        <w:pStyle w:val="Textoindependiente2"/>
        <w:spacing w:after="0" w:line="240" w:lineRule="auto"/>
        <w:ind w:left="0"/>
        <w:jc w:val="both"/>
        <w:rPr>
          <w:rFonts w:ascii="Bookman Old Style" w:hAnsi="Bookman Old Style"/>
          <w:i/>
          <w:iCs/>
          <w:color w:val="000000"/>
          <w:lang w:val="es-ES_tradnl"/>
        </w:rPr>
      </w:pPr>
    </w:p>
    <w:p w14:paraId="028F4BCF" w14:textId="0D2B3FFD" w:rsidR="00DF6B7D" w:rsidRDefault="00DF6B7D" w:rsidP="00DF6B7D">
      <w:pPr>
        <w:pStyle w:val="Textoindependiente2"/>
        <w:spacing w:after="0" w:line="240" w:lineRule="auto"/>
        <w:ind w:left="0"/>
        <w:jc w:val="both"/>
        <w:rPr>
          <w:rFonts w:ascii="Bookman Old Style" w:hAnsi="Bookman Old Style"/>
        </w:rPr>
      </w:pPr>
      <w:r w:rsidRPr="00DF6B7D">
        <w:rPr>
          <w:rFonts w:ascii="Bookman Old Style" w:hAnsi="Bookman Old Style"/>
        </w:rPr>
        <w:t xml:space="preserve"> </w:t>
      </w:r>
      <w:r>
        <w:rPr>
          <w:rFonts w:ascii="Bookman Old Style" w:hAnsi="Bookman Old Style"/>
        </w:rPr>
        <w:t xml:space="preserve">La UPME, a través de la Circular Externa UPME No. 059 de 2021, declaró desierta la Convocatoria Pública GN-001 de 2020, por la no presentación de ofertas. Mediante comunicación con radicado CREG E-2022-005571 de mayo 19 de 2022, la UPME envió a la CREG la </w:t>
      </w:r>
      <w:r w:rsidRPr="000F4D2C">
        <w:rPr>
          <w:rFonts w:ascii="Bookman Old Style" w:hAnsi="Bookman Old Style"/>
        </w:rPr>
        <w:t>identifica</w:t>
      </w:r>
      <w:r>
        <w:rPr>
          <w:rFonts w:ascii="Bookman Old Style" w:hAnsi="Bookman Old Style"/>
        </w:rPr>
        <w:t>ción de</w:t>
      </w:r>
      <w:r w:rsidRPr="000F4D2C">
        <w:rPr>
          <w:rFonts w:ascii="Bookman Old Style" w:hAnsi="Bookman Old Style"/>
        </w:rPr>
        <w:t xml:space="preserve"> aspectos regulatorios </w:t>
      </w:r>
      <w:r>
        <w:rPr>
          <w:rFonts w:ascii="Bookman Old Style" w:hAnsi="Bookman Old Style"/>
        </w:rPr>
        <w:t>re</w:t>
      </w:r>
      <w:r w:rsidRPr="000F4D2C">
        <w:rPr>
          <w:rFonts w:ascii="Bookman Old Style" w:hAnsi="Bookman Old Style"/>
        </w:rPr>
        <w:t xml:space="preserve">levantes para que </w:t>
      </w:r>
      <w:r>
        <w:rPr>
          <w:rFonts w:ascii="Bookman Old Style" w:hAnsi="Bookman Old Style"/>
        </w:rPr>
        <w:t>en el desarrollo de una</w:t>
      </w:r>
      <w:r w:rsidRPr="000F4D2C">
        <w:rPr>
          <w:rFonts w:ascii="Bookman Old Style" w:hAnsi="Bookman Old Style"/>
        </w:rPr>
        <w:t xml:space="preserve"> nueva convocatoria </w:t>
      </w:r>
      <w:r>
        <w:rPr>
          <w:rFonts w:ascii="Bookman Old Style" w:hAnsi="Bookman Old Style"/>
        </w:rPr>
        <w:t xml:space="preserve">se </w:t>
      </w:r>
      <w:r w:rsidRPr="000F4D2C">
        <w:rPr>
          <w:rFonts w:ascii="Bookman Old Style" w:hAnsi="Bookman Old Style"/>
        </w:rPr>
        <w:t>culmine de manera exitosa con la adjudicación del proyecto de la IIGP</w:t>
      </w:r>
      <w:r>
        <w:rPr>
          <w:rFonts w:ascii="Bookman Old Style" w:hAnsi="Bookman Old Style"/>
        </w:rPr>
        <w:t>, anexando los d</w:t>
      </w:r>
      <w:r w:rsidRPr="000F4D2C">
        <w:rPr>
          <w:rFonts w:ascii="Bookman Old Style" w:hAnsi="Bookman Old Style"/>
        </w:rPr>
        <w:t>ocumento</w:t>
      </w:r>
      <w:r>
        <w:rPr>
          <w:rFonts w:ascii="Bookman Old Style" w:hAnsi="Bookman Old Style"/>
        </w:rPr>
        <w:t>s</w:t>
      </w:r>
      <w:r w:rsidRPr="000F4D2C">
        <w:rPr>
          <w:rFonts w:ascii="Bookman Old Style" w:hAnsi="Bookman Old Style"/>
        </w:rPr>
        <w:t xml:space="preserve"> con las observaciones a los conceptos regulatorios que considera que se deben aclarar, complementar o ajustar</w:t>
      </w:r>
      <w:r>
        <w:rPr>
          <w:rFonts w:ascii="Bookman Old Style" w:hAnsi="Bookman Old Style"/>
        </w:rPr>
        <w:t xml:space="preserve">, incluidas sus propuestas. </w:t>
      </w:r>
    </w:p>
    <w:p w14:paraId="4E5BEA0A" w14:textId="77777777" w:rsidR="00DF6B7D" w:rsidRPr="000F4D2C" w:rsidRDefault="00DF6B7D" w:rsidP="00DF6B7D">
      <w:pPr>
        <w:pStyle w:val="Textoindependiente2"/>
        <w:spacing w:after="0" w:line="240" w:lineRule="auto"/>
        <w:ind w:left="0"/>
        <w:jc w:val="both"/>
        <w:rPr>
          <w:rFonts w:ascii="Bookman Old Style" w:hAnsi="Bookman Old Style"/>
        </w:rPr>
      </w:pPr>
    </w:p>
    <w:p w14:paraId="784F8FAF" w14:textId="77777777" w:rsidR="00497B8F" w:rsidRPr="00BB17D5" w:rsidRDefault="00497B8F" w:rsidP="00497B8F">
      <w:pPr>
        <w:jc w:val="center"/>
        <w:rPr>
          <w:rFonts w:ascii="Bookman Old Style" w:hAnsi="Bookman Old Style" w:cs="Arial"/>
          <w:b/>
          <w:color w:val="000000"/>
        </w:rPr>
      </w:pPr>
    </w:p>
    <w:p w14:paraId="1F483266" w14:textId="77777777" w:rsidR="00497B8F" w:rsidRPr="00BB17D5" w:rsidRDefault="00497B8F" w:rsidP="00497B8F">
      <w:pPr>
        <w:ind w:left="0"/>
        <w:jc w:val="center"/>
        <w:rPr>
          <w:rFonts w:ascii="Bookman Old Style" w:hAnsi="Bookman Old Style" w:cs="Arial"/>
          <w:b/>
          <w:color w:val="000000"/>
        </w:rPr>
      </w:pPr>
      <w:r w:rsidRPr="00BB17D5">
        <w:rPr>
          <w:rFonts w:ascii="Bookman Old Style" w:hAnsi="Bookman Old Style" w:cs="Arial"/>
          <w:b/>
          <w:color w:val="000000"/>
        </w:rPr>
        <w:t>R E S U E L V E:</w:t>
      </w:r>
    </w:p>
    <w:p w14:paraId="2FC2366B" w14:textId="77777777" w:rsidR="00497B8F" w:rsidRPr="00BB17D5" w:rsidRDefault="00497B8F" w:rsidP="00497B8F">
      <w:pPr>
        <w:ind w:left="0"/>
        <w:rPr>
          <w:rFonts w:ascii="Bookman Old Style" w:hAnsi="Bookman Old Style" w:cs="Arial"/>
          <w:b/>
          <w:color w:val="000000"/>
        </w:rPr>
      </w:pPr>
    </w:p>
    <w:p w14:paraId="48AE65A9" w14:textId="77777777" w:rsidR="00497B8F" w:rsidRPr="00BB17D5" w:rsidRDefault="00497B8F" w:rsidP="0020330E">
      <w:pPr>
        <w:pStyle w:val="Estilo3"/>
        <w:rPr>
          <w:rFonts w:ascii="Bookman Old Style" w:hAnsi="Bookman Old Style"/>
          <w:b/>
          <w:sz w:val="16"/>
        </w:rPr>
      </w:pPr>
    </w:p>
    <w:p w14:paraId="657EE679" w14:textId="77777777" w:rsidR="00497B8F" w:rsidRPr="00BB17D5" w:rsidRDefault="00497B8F" w:rsidP="00ED11BA">
      <w:pPr>
        <w:pStyle w:val="ARTICULOS"/>
        <w:ind w:left="0"/>
      </w:pPr>
      <w:bookmarkStart w:id="1" w:name="_Ref253670052"/>
      <w:r w:rsidRPr="00BB17D5">
        <w:rPr>
          <w:b/>
        </w:rPr>
        <w:t xml:space="preserve">Objeto. </w:t>
      </w:r>
      <w:r w:rsidRPr="00BB17D5">
        <w:t xml:space="preserve">Esta resolución tiene por objeto establecer procedimientos particulares que deben aplicarse en la ejecución mediante procesos de selección de la infraestructura de importación de gas del Pacífico incluida en el plan transitorio de abastecimiento de gas natural adoptado por el Ministerio de Minas y Energía mediante la Resolución 40006 de 2017, o aquellas que la modifiquen o sustituyan. </w:t>
      </w:r>
    </w:p>
    <w:p w14:paraId="505CA73E" w14:textId="77777777" w:rsidR="00497B8F" w:rsidRPr="00BB17D5" w:rsidRDefault="00497B8F" w:rsidP="0020330E">
      <w:pPr>
        <w:pStyle w:val="ARTICULOS"/>
        <w:numPr>
          <w:ilvl w:val="0"/>
          <w:numId w:val="0"/>
        </w:numPr>
      </w:pPr>
    </w:p>
    <w:p w14:paraId="5385A837" w14:textId="1D3CC7E9" w:rsidR="00392B08" w:rsidRDefault="00497B8F" w:rsidP="00ED11BA">
      <w:pPr>
        <w:pStyle w:val="ARTICULOS"/>
        <w:ind w:left="0"/>
      </w:pPr>
      <w:r w:rsidRPr="00BB17D5">
        <w:rPr>
          <w:b/>
        </w:rPr>
        <w:t xml:space="preserve">Ámbito de aplicación. </w:t>
      </w:r>
      <w:r w:rsidRPr="00BB17D5">
        <w:t>La presente resolución aplica a los participantes del mercado de gas natural, a los interesados en participar en los procesos de selección para ejecutar la infraestructura de importación de gas del Pacífico y a los demás agentes y usuarios beneficiarios del servicio de gas natural.</w:t>
      </w:r>
      <w:bookmarkEnd w:id="1"/>
      <w:r w:rsidRPr="00BB17D5">
        <w:t xml:space="preserve"> Esta resolución complementa las disposiciones de la Resolución CREG 107 de 2017 en lo relacionado con la ejecución de la infraestructura de importación de gas del Pacífico mediante procesos de selección.</w:t>
      </w:r>
      <w:bookmarkStart w:id="2" w:name="_Ref224661154"/>
    </w:p>
    <w:p w14:paraId="3FCDEB85" w14:textId="77777777" w:rsidR="00D37343" w:rsidRPr="00D37343" w:rsidRDefault="00D37343" w:rsidP="00D37343">
      <w:pPr>
        <w:pStyle w:val="Estilo1"/>
      </w:pPr>
    </w:p>
    <w:p w14:paraId="2EF02DAA" w14:textId="77777777" w:rsidR="00392B08" w:rsidRPr="00392B08" w:rsidRDefault="00392B08" w:rsidP="0020330E">
      <w:pPr>
        <w:pStyle w:val="Estilo1"/>
      </w:pPr>
    </w:p>
    <w:p w14:paraId="66EE6C45" w14:textId="080324A1" w:rsidR="00497B8F" w:rsidRPr="00BB17D5" w:rsidRDefault="00497B8F" w:rsidP="00ED11BA">
      <w:pPr>
        <w:pStyle w:val="ARTICULOS"/>
        <w:ind w:left="0"/>
      </w:pPr>
      <w:r w:rsidRPr="00392B08">
        <w:rPr>
          <w:b/>
        </w:rPr>
        <w:t>Definiciones.</w:t>
      </w:r>
      <w:r w:rsidRPr="00BB17D5">
        <w:t xml:space="preserve"> </w:t>
      </w:r>
      <w:r w:rsidR="00CA7BFE" w:rsidRPr="00392B08">
        <w:rPr>
          <w:bCs/>
        </w:rPr>
        <w:t>P</w:t>
      </w:r>
      <w:r w:rsidRPr="00BB17D5">
        <w:t>ara la interpretación y aplicación de esta resolución se tendrán en cuenta las siguiente</w:t>
      </w:r>
      <w:r>
        <w:t>s</w:t>
      </w:r>
      <w:r w:rsidRPr="00BB17D5">
        <w:t xml:space="preserve"> definiciones, además de las contenidas en la Ley 142 de 1994, los decretos del Gobierno Nacional y las resoluciones de la CREG:</w:t>
      </w:r>
      <w:bookmarkEnd w:id="2"/>
      <w:r w:rsidRPr="00BB17D5">
        <w:t xml:space="preserve"> </w:t>
      </w:r>
    </w:p>
    <w:p w14:paraId="63BC8242" w14:textId="77777777" w:rsidR="00497B8F" w:rsidRPr="00BB17D5" w:rsidRDefault="00497B8F" w:rsidP="00497B8F">
      <w:pPr>
        <w:pStyle w:val="Estilo1"/>
      </w:pPr>
    </w:p>
    <w:p w14:paraId="4D4F8B32" w14:textId="092AA04E"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Fecha anticipada de entrada en operación de la Infraestructura de Importación de Gas del Pacifico: </w:t>
      </w:r>
      <w:r w:rsidRPr="00ED11BA">
        <w:rPr>
          <w:rFonts w:ascii="Bookman Old Style" w:hAnsi="Bookman Old Style" w:cs="Arial"/>
          <w:bCs/>
          <w:color w:val="000000"/>
        </w:rPr>
        <w:t xml:space="preserve">es la fecha </w:t>
      </w:r>
      <w:r w:rsidRPr="00ED11BA">
        <w:rPr>
          <w:rFonts w:ascii="Bookman Old Style" w:hAnsi="Bookman Old Style" w:cs="Arial"/>
          <w:color w:val="000000"/>
        </w:rPr>
        <w:t xml:space="preserve">en la </w:t>
      </w:r>
      <w:r w:rsidRPr="00ED11BA">
        <w:rPr>
          <w:rFonts w:ascii="Bookman Old Style" w:hAnsi="Bookman Old Style" w:cs="Arial"/>
          <w:bCs/>
          <w:color w:val="000000"/>
        </w:rPr>
        <w:t>que</w:t>
      </w:r>
      <w:r w:rsidRPr="004F15AA">
        <w:t xml:space="preserve"> </w:t>
      </w:r>
      <w:r w:rsidRPr="00ED11BA">
        <w:rPr>
          <w:rFonts w:ascii="Bookman Old Style" w:hAnsi="Bookman Old Style" w:cs="Arial"/>
          <w:bCs/>
          <w:color w:val="000000"/>
        </w:rPr>
        <w:t>se prevé la entrada en operación de manera anticipada a la fecha de entrada en operación establecida en el Plan de Abastecimiento de Gas Natural del proyecto de infraestructura de Importación de Gas del Pacífico, aprobada o ajustada por el Ministerio de Minas y Energía o por quien este delegue</w:t>
      </w:r>
      <w:r w:rsidRPr="00ED11BA">
        <w:rPr>
          <w:rFonts w:ascii="Bookman Old Style" w:hAnsi="Bookman Old Style" w:cs="Arial"/>
          <w:color w:val="000000"/>
        </w:rPr>
        <w:t>.</w:t>
      </w:r>
      <w:r w:rsidRPr="00ED11BA">
        <w:rPr>
          <w:rFonts w:ascii="Bookman Old Style" w:hAnsi="Bookman Old Style" w:cs="Arial"/>
          <w:bCs/>
          <w:color w:val="000000"/>
        </w:rPr>
        <w:t xml:space="preserve"> </w:t>
      </w:r>
      <w:r w:rsidRPr="00ED11BA">
        <w:rPr>
          <w:rFonts w:ascii="Bookman Old Style" w:hAnsi="Bookman Old Style" w:cs="Arial"/>
          <w:color w:val="000000"/>
        </w:rPr>
        <w:t>Esta fecha solamente se puede dar a más tardar en la fecha de entrada en operación anticipada establecida en el Plan de Abastecimiento de Gas Natural.”</w:t>
      </w:r>
      <w:r w:rsidRPr="00ED11BA">
        <w:rPr>
          <w:rFonts w:ascii="Bookman Old Style" w:hAnsi="Bookman Old Style" w:cs="Arial"/>
          <w:b/>
          <w:color w:val="000000"/>
        </w:rPr>
        <w:t xml:space="preserve"> </w:t>
      </w:r>
    </w:p>
    <w:p w14:paraId="7F9BE2C3" w14:textId="77777777" w:rsidR="00875777" w:rsidRPr="00ED11BA" w:rsidRDefault="00875777" w:rsidP="00875777">
      <w:pPr>
        <w:ind w:left="0"/>
        <w:jc w:val="both"/>
        <w:rPr>
          <w:rFonts w:ascii="Bookman Old Style" w:hAnsi="Bookman Old Style" w:cs="Arial"/>
          <w:b/>
          <w:color w:val="000000"/>
        </w:rPr>
      </w:pPr>
    </w:p>
    <w:p w14:paraId="1A575EBC" w14:textId="1EFDB575"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Fecha anticipada de entrada en operación parcial de la infraestructura de importación de gas del Pacífico: </w:t>
      </w:r>
      <w:r w:rsidRPr="00ED11BA">
        <w:rPr>
          <w:rFonts w:ascii="Bookman Old Style" w:hAnsi="Bookman Old Style" w:cs="Arial"/>
          <w:bCs/>
          <w:color w:val="000000"/>
        </w:rPr>
        <w:t>es la fecha anticipada de entrada en operación con operación parcial de la Infraestructura de Importación de Gas del Pacífico.</w:t>
      </w:r>
    </w:p>
    <w:p w14:paraId="24DA0A92" w14:textId="77777777" w:rsidR="00875777" w:rsidRDefault="00875777" w:rsidP="00875777">
      <w:pPr>
        <w:ind w:left="0"/>
        <w:jc w:val="both"/>
        <w:rPr>
          <w:rFonts w:ascii="Bookman Old Style" w:hAnsi="Bookman Old Style" w:cs="Arial"/>
          <w:b/>
          <w:color w:val="000000"/>
        </w:rPr>
      </w:pPr>
    </w:p>
    <w:p w14:paraId="4FE3720C" w14:textId="77777777" w:rsidR="004528FB" w:rsidRPr="000F4D2C" w:rsidRDefault="004528FB" w:rsidP="004528FB">
      <w:pPr>
        <w:pStyle w:val="Estilo8"/>
        <w:widowControl w:val="0"/>
        <w:jc w:val="both"/>
        <w:rPr>
          <w:rFonts w:ascii="Bookman Old Style" w:hAnsi="Bookman Old Style"/>
          <w:b/>
          <w:color w:val="000000"/>
          <w:sz w:val="24"/>
          <w:szCs w:val="24"/>
          <w:u w:val="single"/>
        </w:rPr>
      </w:pPr>
      <w:r w:rsidRPr="000F4D2C">
        <w:rPr>
          <w:rFonts w:ascii="Bookman Old Style" w:hAnsi="Bookman Old Style"/>
          <w:b/>
          <w:color w:val="000000"/>
          <w:sz w:val="24"/>
          <w:szCs w:val="24"/>
          <w:u w:val="single"/>
        </w:rPr>
        <w:t xml:space="preserve">Gas de talón: Es la cantidad de gas natural licuado necesaria para alcanzar el nivel mínimo operativo de llenado de los tanques de gas licuado (GNL), que es requerido para garantizar la seguridad operativa de la infraestructura de regasificación. Esta </w:t>
      </w:r>
      <w:r>
        <w:rPr>
          <w:rFonts w:ascii="Bookman Old Style" w:hAnsi="Bookman Old Style"/>
          <w:b/>
          <w:color w:val="000000"/>
          <w:sz w:val="24"/>
          <w:szCs w:val="24"/>
          <w:u w:val="single"/>
        </w:rPr>
        <w:t>expresi</w:t>
      </w:r>
      <w:r w:rsidRPr="000F4D2C">
        <w:rPr>
          <w:rFonts w:ascii="Bookman Old Style" w:hAnsi="Bookman Old Style"/>
          <w:b/>
          <w:color w:val="000000"/>
          <w:sz w:val="24"/>
          <w:szCs w:val="24"/>
          <w:u w:val="single"/>
        </w:rPr>
        <w:t>ón se conoce en inglés como “heel gas”.</w:t>
      </w:r>
    </w:p>
    <w:p w14:paraId="639B227B" w14:textId="77777777" w:rsidR="004528FB" w:rsidRPr="000F4D2C" w:rsidRDefault="004528FB" w:rsidP="004528FB">
      <w:pPr>
        <w:pStyle w:val="Estilo8"/>
        <w:widowControl w:val="0"/>
        <w:jc w:val="both"/>
        <w:rPr>
          <w:rFonts w:ascii="Bookman Old Style" w:hAnsi="Bookman Old Style"/>
          <w:b/>
          <w:color w:val="000000"/>
          <w:sz w:val="24"/>
          <w:szCs w:val="24"/>
          <w:u w:val="single"/>
        </w:rPr>
      </w:pPr>
    </w:p>
    <w:p w14:paraId="5186A6A5" w14:textId="77777777" w:rsidR="004528FB" w:rsidRPr="00FC6BCB" w:rsidRDefault="004528FB" w:rsidP="004528FB">
      <w:pPr>
        <w:pStyle w:val="Estilo8"/>
        <w:widowControl w:val="0"/>
        <w:jc w:val="both"/>
        <w:rPr>
          <w:rFonts w:ascii="Bookman Old Style" w:hAnsi="Bookman Old Style"/>
          <w:b/>
          <w:color w:val="000000"/>
          <w:sz w:val="24"/>
          <w:szCs w:val="24"/>
        </w:rPr>
      </w:pPr>
      <w:r w:rsidRPr="000F4D2C">
        <w:rPr>
          <w:rFonts w:ascii="Bookman Old Style" w:hAnsi="Bookman Old Style"/>
          <w:b/>
          <w:color w:val="000000"/>
          <w:sz w:val="24"/>
          <w:szCs w:val="24"/>
          <w:u w:val="single"/>
        </w:rPr>
        <w:t xml:space="preserve">Gas de operación: Es la cantidad de gas natural necesaria para la operación de la infraestructura de regasificación, tal como la requerida para autogeneración de energía </w:t>
      </w:r>
      <w:r>
        <w:rPr>
          <w:rFonts w:ascii="Bookman Old Style" w:hAnsi="Bookman Old Style"/>
          <w:b/>
          <w:color w:val="000000"/>
          <w:sz w:val="24"/>
          <w:szCs w:val="24"/>
          <w:u w:val="single"/>
        </w:rPr>
        <w:t xml:space="preserve">eléctrica </w:t>
      </w:r>
      <w:r w:rsidRPr="000F4D2C">
        <w:rPr>
          <w:rFonts w:ascii="Bookman Old Style" w:hAnsi="Bookman Old Style"/>
          <w:b/>
          <w:color w:val="000000"/>
          <w:sz w:val="24"/>
          <w:szCs w:val="24"/>
          <w:u w:val="single"/>
        </w:rPr>
        <w:t>y operación general de equipos</w:t>
      </w:r>
      <w:r w:rsidRPr="00111780">
        <w:rPr>
          <w:rFonts w:ascii="Bookman Old Style" w:hAnsi="Bookman Old Style"/>
          <w:b/>
          <w:color w:val="000000"/>
          <w:sz w:val="24"/>
          <w:szCs w:val="24"/>
        </w:rPr>
        <w:t>.</w:t>
      </w:r>
    </w:p>
    <w:p w14:paraId="5B381AEC" w14:textId="77777777" w:rsidR="004528FB" w:rsidRPr="00ED11BA" w:rsidRDefault="004528FB" w:rsidP="00875777">
      <w:pPr>
        <w:ind w:left="0"/>
        <w:jc w:val="both"/>
        <w:rPr>
          <w:rFonts w:ascii="Bookman Old Style" w:hAnsi="Bookman Old Style" w:cs="Arial"/>
          <w:b/>
          <w:color w:val="000000"/>
        </w:rPr>
      </w:pPr>
    </w:p>
    <w:p w14:paraId="4B3E45FB" w14:textId="77777777" w:rsidR="004528FB" w:rsidRPr="00D273EA" w:rsidRDefault="004528FB" w:rsidP="004528FB">
      <w:pPr>
        <w:pStyle w:val="Estilo8"/>
        <w:widowControl w:val="0"/>
        <w:jc w:val="both"/>
        <w:rPr>
          <w:rFonts w:ascii="Bookman Old Style" w:hAnsi="Bookman Old Style"/>
          <w:color w:val="000000"/>
          <w:sz w:val="24"/>
          <w:szCs w:val="24"/>
        </w:rPr>
      </w:pPr>
      <w:r w:rsidRPr="00D273EA">
        <w:rPr>
          <w:rFonts w:ascii="Bookman Old Style" w:hAnsi="Bookman Old Style"/>
          <w:b/>
          <w:color w:val="000000"/>
          <w:sz w:val="24"/>
          <w:szCs w:val="24"/>
        </w:rPr>
        <w:t xml:space="preserve">Infraestructura de importación de gas del Pacífico: </w:t>
      </w:r>
      <w:r w:rsidRPr="00D273EA">
        <w:rPr>
          <w:rFonts w:ascii="Bookman Old Style" w:hAnsi="Bookman Old Style"/>
          <w:color w:val="000000"/>
          <w:sz w:val="24"/>
          <w:szCs w:val="24"/>
        </w:rPr>
        <w:t>corresponde a la planta de regasificación del Pacífico ubicada en la Bahía de Buenaventura – Valle del Cauca y al gasoducto desde la Planta de Regasificación ubicada en la Bahía de Buenaventura hasta un punto de entrega al Sistema Nacional de Transporte definido en el numeral 1.2 del artículo 1 de la Resolución 40304 de 2020 del Ministerio de Minas y Energía, o aquellas que la modifiquen o sustituyan. El gasoducto Buenaventura – Yumbo hará parte del SNT.</w:t>
      </w:r>
    </w:p>
    <w:p w14:paraId="3DC4FD67" w14:textId="77777777" w:rsidR="004528FB" w:rsidRDefault="004528FB" w:rsidP="00875777">
      <w:pPr>
        <w:ind w:left="0"/>
        <w:jc w:val="both"/>
        <w:rPr>
          <w:rFonts w:ascii="Bookman Old Style" w:hAnsi="Bookman Old Style" w:cs="Arial"/>
          <w:b/>
          <w:color w:val="000000"/>
        </w:rPr>
      </w:pPr>
    </w:p>
    <w:p w14:paraId="5BD44653" w14:textId="2330DEEC"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Inventario mínimo de confiabilidad: </w:t>
      </w:r>
      <w:r w:rsidRPr="00ED11BA">
        <w:rPr>
          <w:rFonts w:ascii="Bookman Old Style" w:hAnsi="Bookman Old Style" w:cs="Arial"/>
          <w:bCs/>
          <w:color w:val="000000"/>
        </w:rPr>
        <w:t>cantidad</w:t>
      </w:r>
      <w:r w:rsidRPr="00ED11BA">
        <w:rPr>
          <w:rFonts w:ascii="Bookman Old Style" w:hAnsi="Bookman Old Style"/>
          <w:bCs/>
          <w:color w:val="000000"/>
          <w:lang w:val="es-CO"/>
        </w:rPr>
        <w:t xml:space="preserve"> </w:t>
      </w:r>
      <w:r w:rsidRPr="00ED11BA">
        <w:rPr>
          <w:rFonts w:ascii="Bookman Old Style" w:hAnsi="Bookman Old Style"/>
          <w:color w:val="000000"/>
          <w:lang w:val="es-CO"/>
        </w:rPr>
        <w:t>del almacenamiento de gas natural licuado de los servicios asociados a la planta de regasificación, establecido con el fin de contar con un volumen de inventario para su uso en caso de contingencias como aspecto de confiabilidad</w:t>
      </w:r>
      <w:r w:rsidRPr="00ED11BA">
        <w:rPr>
          <w:rFonts w:ascii="Bookman Old Style" w:hAnsi="Bookman Old Style"/>
          <w:bCs/>
        </w:rPr>
        <w:t>.</w:t>
      </w:r>
    </w:p>
    <w:p w14:paraId="799ABC56" w14:textId="77777777" w:rsidR="00875777" w:rsidRPr="00ED11BA" w:rsidRDefault="00875777" w:rsidP="00875777">
      <w:pPr>
        <w:ind w:left="0"/>
        <w:jc w:val="both"/>
        <w:rPr>
          <w:rFonts w:ascii="Bookman Old Style" w:hAnsi="Bookman Old Style" w:cs="Arial"/>
          <w:b/>
          <w:color w:val="000000"/>
        </w:rPr>
      </w:pPr>
    </w:p>
    <w:p w14:paraId="429B86F6" w14:textId="3F19ADFE" w:rsidR="00875777" w:rsidRPr="00ED11BA" w:rsidRDefault="00875777" w:rsidP="00875777">
      <w:pPr>
        <w:ind w:left="0"/>
        <w:jc w:val="both"/>
        <w:rPr>
          <w:rFonts w:ascii="Bookman Old Style" w:hAnsi="Bookman Old Style"/>
        </w:rPr>
      </w:pPr>
      <w:r w:rsidRPr="00ED11BA">
        <w:rPr>
          <w:rFonts w:ascii="Bookman Old Style" w:hAnsi="Bookman Old Style" w:cs="Arial"/>
          <w:b/>
          <w:color w:val="000000"/>
        </w:rPr>
        <w:t xml:space="preserve">Operación parcial de la infraestructura de importación de gas del Pacífico: </w:t>
      </w:r>
      <w:r w:rsidRPr="00ED11BA">
        <w:rPr>
          <w:rFonts w:ascii="Bookman Old Style" w:hAnsi="Bookman Old Style" w:cs="Arial"/>
          <w:bCs/>
          <w:color w:val="000000"/>
        </w:rPr>
        <w:t>es la prestación del servicio con una capacidad inferior a la capacidad de entrega de gas natural regasificado al Sistema Nacional de Transporte en un punto de entrega ubicado en el límite geopolítico del municipio de Yumbo - Valle</w:t>
      </w:r>
      <w:r w:rsidR="004F15AA">
        <w:rPr>
          <w:rFonts w:ascii="Bookman Old Style" w:hAnsi="Bookman Old Style" w:cs="Arial"/>
          <w:bCs/>
          <w:color w:val="000000"/>
        </w:rPr>
        <w:t xml:space="preserve"> </w:t>
      </w:r>
      <w:r w:rsidRPr="00ED11BA">
        <w:rPr>
          <w:rFonts w:ascii="Bookman Old Style" w:hAnsi="Bookman Old Style" w:cs="Arial"/>
          <w:bCs/>
          <w:color w:val="000000"/>
        </w:rPr>
        <w:t>del Cauca.</w:t>
      </w:r>
      <w:r w:rsidRPr="00ED11BA">
        <w:rPr>
          <w:rFonts w:ascii="Bookman Old Style" w:hAnsi="Bookman Old Style" w:cs="Arial"/>
          <w:b/>
          <w:color w:val="000000"/>
        </w:rPr>
        <w:t>.</w:t>
      </w:r>
    </w:p>
    <w:p w14:paraId="63956F52" w14:textId="77777777" w:rsidR="00875777" w:rsidRPr="00ED11BA" w:rsidRDefault="00875777" w:rsidP="00875777">
      <w:pPr>
        <w:pStyle w:val="Estilo8"/>
        <w:widowControl w:val="0"/>
        <w:jc w:val="both"/>
        <w:rPr>
          <w:rFonts w:ascii="Bookman Old Style" w:hAnsi="Bookman Old Style"/>
          <w:color w:val="000000"/>
          <w:sz w:val="24"/>
          <w:szCs w:val="24"/>
        </w:rPr>
      </w:pPr>
    </w:p>
    <w:p w14:paraId="76DC8277" w14:textId="1BFA9A8F" w:rsidR="00875777" w:rsidRPr="00ED11BA" w:rsidRDefault="00875777" w:rsidP="00875777">
      <w:pPr>
        <w:ind w:left="0"/>
        <w:jc w:val="both"/>
        <w:rPr>
          <w:rFonts w:ascii="Bookman Old Style" w:hAnsi="Bookman Old Style" w:cs="Arial"/>
          <w:b/>
          <w:color w:val="000000"/>
        </w:rPr>
      </w:pPr>
      <w:r w:rsidRPr="00ED11BA">
        <w:rPr>
          <w:rFonts w:ascii="Bookman Old Style" w:hAnsi="Bookman Old Style" w:cs="Arial"/>
          <w:b/>
          <w:color w:val="000000"/>
        </w:rPr>
        <w:t xml:space="preserve">Servicios adicionales de la infraestructura de importación de gas del pacífico: </w:t>
      </w:r>
      <w:r w:rsidRPr="00ED11BA">
        <w:rPr>
          <w:rFonts w:ascii="Bookman Old Style" w:hAnsi="Bookman Old Style" w:cs="Arial"/>
          <w:bCs/>
          <w:color w:val="000000"/>
        </w:rPr>
        <w:t xml:space="preserve">son los servicios </w:t>
      </w:r>
      <w:r w:rsidRPr="00ED11BA">
        <w:rPr>
          <w:rFonts w:ascii="Bookman Old Style" w:hAnsi="Bookman Old Style"/>
        </w:rPr>
        <w:t xml:space="preserve">que corresponden a una capacidad adicional a la determinada en </w:t>
      </w:r>
      <w:r w:rsidRPr="00ED11BA">
        <w:rPr>
          <w:rFonts w:ascii="Bookman Old Style" w:hAnsi="Bookman Old Style" w:cs="Arial"/>
          <w:bCs/>
          <w:color w:val="000000"/>
        </w:rPr>
        <w:t xml:space="preserve">los Documentos de Selección del Inversionista, que pueden ser </w:t>
      </w:r>
      <w:r w:rsidRPr="00ED11BA">
        <w:rPr>
          <w:rFonts w:ascii="Bookman Old Style" w:hAnsi="Bookman Old Style" w:cs="Arial"/>
          <w:bCs/>
          <w:color w:val="000000"/>
        </w:rPr>
        <w:lastRenderedPageBreak/>
        <w:t>el servicio de descargue y recibo, almacenamiento de GNL, regasificación, transporte de gas natural y demás servicios asociados especificados en la descripción del proyecto contenida en los Documentos de Selección del Inversionista elaborados por la UPME</w:t>
      </w:r>
      <w:r w:rsidRPr="00ED11BA">
        <w:rPr>
          <w:rFonts w:ascii="Bookman Old Style" w:hAnsi="Bookman Old Style" w:cs="Arial"/>
          <w:b/>
          <w:color w:val="000000"/>
        </w:rPr>
        <w:t xml:space="preserve">. </w:t>
      </w:r>
    </w:p>
    <w:p w14:paraId="187EA368" w14:textId="77777777" w:rsidR="00875777" w:rsidRPr="00BB17D5" w:rsidRDefault="00875777" w:rsidP="00497B8F">
      <w:pPr>
        <w:pStyle w:val="Estilo8"/>
        <w:widowControl w:val="0"/>
        <w:jc w:val="both"/>
        <w:rPr>
          <w:rFonts w:ascii="Bookman Old Style" w:hAnsi="Bookman Old Style"/>
          <w:b/>
          <w:color w:val="000000"/>
          <w:sz w:val="24"/>
          <w:szCs w:val="24"/>
        </w:rPr>
      </w:pPr>
    </w:p>
    <w:p w14:paraId="4D1DE5EB" w14:textId="066E21AB" w:rsidR="00497B8F" w:rsidRDefault="00497B8F" w:rsidP="00497B8F">
      <w:pPr>
        <w:pStyle w:val="Estilo8"/>
        <w:widowControl w:val="0"/>
        <w:jc w:val="both"/>
        <w:rPr>
          <w:rFonts w:ascii="Bookman Old Style" w:hAnsi="Bookman Old Style"/>
          <w:color w:val="000000"/>
          <w:sz w:val="24"/>
          <w:szCs w:val="24"/>
        </w:rPr>
      </w:pPr>
      <w:r w:rsidRPr="00BB17D5">
        <w:rPr>
          <w:rFonts w:ascii="Bookman Old Style" w:hAnsi="Bookman Old Style"/>
          <w:b/>
          <w:color w:val="000000"/>
          <w:sz w:val="24"/>
          <w:szCs w:val="24"/>
        </w:rPr>
        <w:t>Usuario de la infraestructura de importación de gas del Pacífico:</w:t>
      </w:r>
      <w:r w:rsidRPr="00BB17D5">
        <w:rPr>
          <w:rFonts w:ascii="Bookman Old Style" w:hAnsi="Bookman Old Style"/>
          <w:color w:val="000000"/>
          <w:sz w:val="24"/>
          <w:szCs w:val="24"/>
        </w:rPr>
        <w:t xml:space="preserve"> </w:t>
      </w:r>
      <w:r>
        <w:rPr>
          <w:rFonts w:ascii="Bookman Old Style" w:hAnsi="Bookman Old Style"/>
          <w:color w:val="000000"/>
          <w:sz w:val="24"/>
          <w:szCs w:val="24"/>
        </w:rPr>
        <w:t>es</w:t>
      </w:r>
      <w:r w:rsidRPr="00BB17D5">
        <w:rPr>
          <w:rFonts w:ascii="Bookman Old Style" w:hAnsi="Bookman Old Style"/>
          <w:color w:val="000000"/>
          <w:sz w:val="24"/>
          <w:szCs w:val="24"/>
        </w:rPr>
        <w:t xml:space="preserve"> alguno de los compradores de gas natural del mercado primario establecidos en el artículo 18 de la Resolución CREG 114 de 2017, o aquellas que la modifiquen o sustituyan.</w:t>
      </w:r>
    </w:p>
    <w:p w14:paraId="4A0E4CB3" w14:textId="21A155FB" w:rsidR="00620D43" w:rsidRDefault="00620D43" w:rsidP="00497B8F">
      <w:pPr>
        <w:pStyle w:val="Estilo8"/>
        <w:widowControl w:val="0"/>
        <w:jc w:val="both"/>
        <w:rPr>
          <w:rFonts w:ascii="Bookman Old Style" w:hAnsi="Bookman Old Style"/>
          <w:color w:val="000000"/>
          <w:sz w:val="24"/>
          <w:szCs w:val="24"/>
        </w:rPr>
      </w:pPr>
    </w:p>
    <w:p w14:paraId="1A4FA420" w14:textId="23E3600D" w:rsidR="00497B8F" w:rsidRPr="00BB17D5" w:rsidRDefault="00497B8F" w:rsidP="00ED11BA">
      <w:pPr>
        <w:pStyle w:val="ARTICULOS"/>
        <w:keepNext/>
        <w:widowControl/>
        <w:ind w:left="1" w:hanging="1"/>
      </w:pPr>
      <w:r w:rsidRPr="00BB17D5">
        <w:rPr>
          <w:b/>
        </w:rPr>
        <w:t>Servicios asociados a la infraestructura de importación de gas del Pacífico</w:t>
      </w:r>
      <w:r w:rsidRPr="00BB17D5">
        <w:t xml:space="preserve">. </w:t>
      </w:r>
      <w:r w:rsidR="00F87445">
        <w:t>E</w:t>
      </w:r>
      <w:r w:rsidRPr="00BB17D5">
        <w:t>l adjudicatario</w:t>
      </w:r>
      <w:r w:rsidR="00F87445">
        <w:t xml:space="preserve"> </w:t>
      </w:r>
      <w:r w:rsidR="00F87445" w:rsidRPr="00BB17D5">
        <w:t>de la planta de regasificación del Pacífico</w:t>
      </w:r>
      <w:r w:rsidRPr="00BB17D5">
        <w:t xml:space="preserve"> debe</w:t>
      </w:r>
      <w:r>
        <w:t>rá</w:t>
      </w:r>
      <w:r w:rsidRPr="00BB17D5">
        <w:t xml:space="preserve"> prestar los servicios que defina la UPME en los correspondientes pliegos y que están asociados a este tipo de infraestructura tales como</w:t>
      </w:r>
      <w:r>
        <w:t>:</w:t>
      </w:r>
      <w:r w:rsidRPr="00BB17D5">
        <w:t xml:space="preserve"> i) descargue y recibo de gas licuado, ii) almacenamiento de gas licuado, iii) regasificación, iv) carga de carrotanques de gas natural licuado, v) trasvase de gas natural licuado a buques metaneros y puesta en fr</w:t>
      </w:r>
      <w:r>
        <w:t>í</w:t>
      </w:r>
      <w:r w:rsidRPr="00BB17D5">
        <w:t>o, y vi) entrega del gas en el SNT, entre otros.</w:t>
      </w:r>
    </w:p>
    <w:p w14:paraId="7C5816EB" w14:textId="77777777" w:rsidR="00497B8F" w:rsidRPr="00BB17D5" w:rsidRDefault="00497B8F" w:rsidP="00497B8F">
      <w:pPr>
        <w:pStyle w:val="ARTICULOS"/>
        <w:numPr>
          <w:ilvl w:val="0"/>
          <w:numId w:val="0"/>
        </w:numPr>
      </w:pPr>
    </w:p>
    <w:p w14:paraId="5A743785" w14:textId="19A425C1" w:rsidR="00497B8F" w:rsidRPr="00BB17D5" w:rsidRDefault="00F87445" w:rsidP="00497B8F">
      <w:pPr>
        <w:pStyle w:val="ARTICULOS"/>
        <w:numPr>
          <w:ilvl w:val="0"/>
          <w:numId w:val="0"/>
        </w:numPr>
      </w:pPr>
      <w:r>
        <w:t>E</w:t>
      </w:r>
      <w:r w:rsidRPr="00BB17D5">
        <w:t xml:space="preserve">l adjudicatario </w:t>
      </w:r>
      <w:r w:rsidR="00497B8F" w:rsidRPr="00BB17D5">
        <w:t>del gasoducto Buenaventura – Yumbo prestará los servicios asociados a infraestructura del SNT</w:t>
      </w:r>
      <w:r>
        <w:t>,</w:t>
      </w:r>
      <w:r w:rsidR="00497B8F" w:rsidRPr="00BB17D5">
        <w:t xml:space="preserve"> tales como parqueo y transporte de gas.</w:t>
      </w:r>
    </w:p>
    <w:p w14:paraId="3782D6CA" w14:textId="77777777" w:rsidR="00497B8F" w:rsidRPr="00BB17D5" w:rsidRDefault="00497B8F" w:rsidP="00497B8F">
      <w:pPr>
        <w:pStyle w:val="Estilo1"/>
      </w:pPr>
    </w:p>
    <w:p w14:paraId="3176C552" w14:textId="77777777" w:rsidR="00497B8F" w:rsidRPr="00BB17D5" w:rsidRDefault="00497B8F" w:rsidP="00497B8F">
      <w:pPr>
        <w:pStyle w:val="Estilo1"/>
      </w:pPr>
      <w:r w:rsidRPr="00BB17D5">
        <w:t xml:space="preserve">Estos servicios se prestarán sobre la base del principio del libre acceso y no discriminación. En resolución aparte la Comisión establecerá disposiciones sobre el acceso y uso de la infraestructura de importación de gas del Pacífico. </w:t>
      </w:r>
    </w:p>
    <w:p w14:paraId="347CAEA3" w14:textId="77777777" w:rsidR="00497B8F" w:rsidRPr="00BB17D5" w:rsidRDefault="00497B8F" w:rsidP="00497B8F">
      <w:pPr>
        <w:pStyle w:val="Estilo1"/>
      </w:pPr>
    </w:p>
    <w:p w14:paraId="7515720B" w14:textId="77777777" w:rsidR="00F04E00" w:rsidRPr="001C6F2D" w:rsidRDefault="00497B8F" w:rsidP="00497B8F">
      <w:pPr>
        <w:pStyle w:val="Estilo1"/>
      </w:pPr>
      <w:r w:rsidRPr="00BB17D5">
        <w:rPr>
          <w:b/>
        </w:rPr>
        <w:t>Parágrafo</w:t>
      </w:r>
      <w:r w:rsidR="00F04E00">
        <w:rPr>
          <w:b/>
        </w:rPr>
        <w:t xml:space="preserve"> 1</w:t>
      </w:r>
      <w:r w:rsidRPr="00BB17D5">
        <w:rPr>
          <w:b/>
        </w:rPr>
        <w:t>.</w:t>
      </w:r>
      <w:r w:rsidRPr="00BB17D5">
        <w:t xml:space="preserve"> La infraestructura de </w:t>
      </w:r>
      <w:r>
        <w:t xml:space="preserve">importación de gas </w:t>
      </w:r>
      <w:r w:rsidRPr="00BB17D5">
        <w:t xml:space="preserve">del Pacífico se complementará con la infraestructura que haga posible el flujo bidireccional de gas en gasoductos del SNT donde sea necesario. La infraestructura necesaria </w:t>
      </w:r>
      <w:r w:rsidRPr="001C6F2D">
        <w:t>para el flujo bidireccional, y que esté definida en el plan de abastecimiento de gas natural, o en el plan transitorio de abastecimiento de gas natural, estará sujeta a las reglas de acceso y pago de servicios que determine la Comisión en resolución aparte.</w:t>
      </w:r>
    </w:p>
    <w:p w14:paraId="68BE57BB" w14:textId="77777777" w:rsidR="00F04E00" w:rsidRPr="00ED11BA" w:rsidRDefault="00F04E00" w:rsidP="00497B8F">
      <w:pPr>
        <w:pStyle w:val="Estilo1"/>
        <w:rPr>
          <w:i/>
          <w:iCs/>
        </w:rPr>
      </w:pPr>
    </w:p>
    <w:p w14:paraId="7C4FDEC2" w14:textId="77777777" w:rsidR="00F87ABC" w:rsidRPr="00ED11BA" w:rsidRDefault="00F87ABC" w:rsidP="00F87ABC">
      <w:pPr>
        <w:spacing w:before="240" w:after="240"/>
        <w:ind w:left="0"/>
        <w:jc w:val="both"/>
        <w:rPr>
          <w:rFonts w:ascii="Bookman Old Style" w:hAnsi="Bookman Old Style"/>
          <w:bCs/>
        </w:rPr>
      </w:pPr>
      <w:r w:rsidRPr="00ED11BA">
        <w:rPr>
          <w:rFonts w:ascii="Bookman Old Style" w:hAnsi="Bookman Old Style"/>
          <w:b/>
        </w:rPr>
        <w:t xml:space="preserve">Parágrafo 2: </w:t>
      </w:r>
      <w:r w:rsidRPr="00ED11BA">
        <w:rPr>
          <w:rFonts w:ascii="Bookman Old Style" w:hAnsi="Bookman Old Style"/>
          <w:bCs/>
        </w:rPr>
        <w:t>En el caso de que la UPME establezca un inventario mínimo de confiabilidad, su utilización será en los términos que determine el Ministerio de Minas y Energía, conforme a lo establecido en el Decreto 1073 de 2015, o el que lo modifique o sustituya.</w:t>
      </w:r>
    </w:p>
    <w:p w14:paraId="1F21BC6D" w14:textId="77777777" w:rsidR="00F87ABC" w:rsidRPr="00ED11BA" w:rsidRDefault="00F87ABC" w:rsidP="00F87ABC">
      <w:pPr>
        <w:spacing w:before="240" w:after="240"/>
        <w:ind w:left="0"/>
        <w:jc w:val="both"/>
        <w:rPr>
          <w:rFonts w:ascii="Bookman Old Style" w:hAnsi="Bookman Old Style"/>
          <w:bCs/>
        </w:rPr>
      </w:pPr>
      <w:r w:rsidRPr="00ED11BA">
        <w:rPr>
          <w:rFonts w:ascii="Bookman Old Style" w:hAnsi="Bookman Old Style"/>
          <w:bCs/>
        </w:rPr>
        <w:t xml:space="preserve">Ante la ocurrencia de eventos que determinen la aplicación </w:t>
      </w:r>
      <w:r w:rsidRPr="00ED11BA">
        <w:rPr>
          <w:rFonts w:ascii="Bookman Old Style" w:hAnsi="Bookman Old Style"/>
        </w:rPr>
        <w:t>de</w:t>
      </w:r>
      <w:r w:rsidRPr="00ED11BA">
        <w:rPr>
          <w:rFonts w:ascii="Bookman Old Style" w:hAnsi="Bookman Old Style"/>
          <w:bCs/>
        </w:rPr>
        <w:t xml:space="preserve"> lo dispuesto en el Capítulo 2 del Título II del Decreto 10</w:t>
      </w:r>
      <w:r w:rsidRPr="00ED11BA">
        <w:rPr>
          <w:rFonts w:ascii="Bookman Old Style" w:hAnsi="Bookman Old Style"/>
        </w:rPr>
        <w:t>73 de 2015,</w:t>
      </w:r>
      <w:r w:rsidRPr="00ED11BA">
        <w:rPr>
          <w:rFonts w:ascii="Bookman Old Style" w:hAnsi="Bookman Old Style"/>
          <w:bCs/>
        </w:rPr>
        <w:t xml:space="preserve"> los agentes harán uso del gas disponible del inventario, teniendo en cuenta lo siguiente: </w:t>
      </w:r>
    </w:p>
    <w:p w14:paraId="6C46767D" w14:textId="77777777" w:rsidR="00F87ABC" w:rsidRPr="00ED11BA" w:rsidRDefault="00F87ABC" w:rsidP="00ED11BA">
      <w:pPr>
        <w:pStyle w:val="Prrafodelista"/>
        <w:numPr>
          <w:ilvl w:val="0"/>
          <w:numId w:val="47"/>
        </w:numPr>
        <w:spacing w:before="240" w:after="240"/>
        <w:ind w:left="426" w:hanging="426"/>
        <w:jc w:val="both"/>
        <w:rPr>
          <w:rFonts w:ascii="Bookman Old Style" w:hAnsi="Bookman Old Style"/>
          <w:bCs/>
          <w:sz w:val="24"/>
          <w:szCs w:val="24"/>
        </w:rPr>
      </w:pPr>
      <w:r w:rsidRPr="00ED11BA">
        <w:rPr>
          <w:rFonts w:ascii="Bookman Old Style" w:hAnsi="Bookman Old Style"/>
          <w:bCs/>
          <w:sz w:val="24"/>
          <w:szCs w:val="24"/>
        </w:rPr>
        <w:t>Si en el almacenamiento hay gas natural licuado correspondiente al inventario mínimo de confiabilidad, el gas retirado será repuesto por el agente que lo utilizó en un plazo no mayor a 15 días calendario. Para cumplir lo anterior el agente que utilizó el gas debe reponerlo a través del comercializador del gas natural importado, que será definido en resolución aparte.</w:t>
      </w:r>
    </w:p>
    <w:p w14:paraId="663C91E5" w14:textId="77777777" w:rsidR="00F87ABC" w:rsidRPr="00ED11BA" w:rsidRDefault="00F87ABC" w:rsidP="00ED11BA">
      <w:pPr>
        <w:pStyle w:val="Prrafodelista"/>
        <w:numPr>
          <w:ilvl w:val="0"/>
          <w:numId w:val="47"/>
        </w:numPr>
        <w:spacing w:before="240" w:after="240"/>
        <w:ind w:left="426" w:hanging="426"/>
        <w:jc w:val="both"/>
        <w:rPr>
          <w:rFonts w:ascii="Bookman Old Style" w:hAnsi="Bookman Old Style"/>
          <w:sz w:val="24"/>
          <w:szCs w:val="24"/>
        </w:rPr>
      </w:pPr>
      <w:r w:rsidRPr="00ED11BA">
        <w:rPr>
          <w:rFonts w:ascii="Bookman Old Style" w:hAnsi="Bookman Old Style"/>
          <w:bCs/>
          <w:sz w:val="24"/>
          <w:szCs w:val="24"/>
        </w:rPr>
        <w:t>Si agotado el recurso anterior aún se requiriera gas para atender los eventos y</w:t>
      </w:r>
      <w:r w:rsidRPr="00ED11BA">
        <w:rPr>
          <w:rFonts w:ascii="Bookman Old Style" w:hAnsi="Bookman Old Style"/>
          <w:sz w:val="24"/>
          <w:szCs w:val="24"/>
        </w:rPr>
        <w:t xml:space="preserve"> en </w:t>
      </w:r>
      <w:r w:rsidRPr="00ED11BA">
        <w:rPr>
          <w:rFonts w:ascii="Bookman Old Style" w:hAnsi="Bookman Old Style"/>
          <w:bCs/>
          <w:sz w:val="24"/>
          <w:szCs w:val="24"/>
        </w:rPr>
        <w:t>el</w:t>
      </w:r>
      <w:r w:rsidRPr="00ED11BA">
        <w:rPr>
          <w:rFonts w:ascii="Bookman Old Style" w:hAnsi="Bookman Old Style"/>
          <w:sz w:val="24"/>
          <w:szCs w:val="24"/>
        </w:rPr>
        <w:t xml:space="preserve"> almacenamiento hay gas natural licuado, el propietario de dicho gas </w:t>
      </w:r>
      <w:r w:rsidRPr="00ED11BA">
        <w:rPr>
          <w:rFonts w:ascii="Bookman Old Style" w:hAnsi="Bookman Old Style"/>
          <w:sz w:val="24"/>
          <w:szCs w:val="24"/>
        </w:rPr>
        <w:lastRenderedPageBreak/>
        <w:t>lo pondrá a disposición del agente que representa la demanda esencial al precio promedio ponderado de venta de las cantidades de los contratos de suministro no atendidos”.</w:t>
      </w:r>
    </w:p>
    <w:p w14:paraId="10372509" w14:textId="6807A882" w:rsidR="00497B8F" w:rsidRPr="00BB17D5" w:rsidRDefault="00497B8F" w:rsidP="00F87ABC">
      <w:pPr>
        <w:pStyle w:val="Estilo1"/>
        <w:rPr>
          <w:lang w:val="es-ES_tradnl"/>
        </w:rPr>
      </w:pPr>
      <w:r w:rsidRPr="00BB17D5">
        <w:t xml:space="preserve">   </w:t>
      </w:r>
      <w:bookmarkStart w:id="3" w:name="SRT"/>
      <w:bookmarkEnd w:id="3"/>
    </w:p>
    <w:p w14:paraId="430F7B49" w14:textId="624D067D" w:rsidR="00875F7F" w:rsidRPr="00741370" w:rsidRDefault="00497B8F" w:rsidP="00875F7F">
      <w:pPr>
        <w:ind w:left="0"/>
        <w:jc w:val="both"/>
        <w:rPr>
          <w:rFonts w:ascii="Bookman Old Style" w:hAnsi="Bookman Old Style" w:cs="Arial"/>
          <w:bCs/>
          <w:kern w:val="24"/>
          <w:lang w:val="es-CO" w:eastAsia="es-CO"/>
        </w:rPr>
      </w:pPr>
      <w:r w:rsidRPr="008C1E4F">
        <w:rPr>
          <w:b/>
        </w:rPr>
        <w:t>Participantes en el proceso de selección para ejecutar la infraestructura de importación de gas del Pacífico.</w:t>
      </w:r>
      <w:r w:rsidRPr="00BB17D5">
        <w:t xml:space="preserve"> </w:t>
      </w:r>
      <w:r w:rsidR="00875F7F" w:rsidRPr="00741370">
        <w:rPr>
          <w:rFonts w:ascii="Bookman Old Style" w:hAnsi="Bookman Old Style" w:cs="Arial"/>
          <w:bCs/>
          <w:iCs/>
          <w:kern w:val="24"/>
          <w:lang w:eastAsia="es-CO"/>
        </w:rPr>
        <w:t>En el proceso de selección que adelante la UPME para la ejecución y operación de la infraestructura de importa</w:t>
      </w:r>
      <w:r w:rsidR="00875F7F">
        <w:rPr>
          <w:rFonts w:ascii="Bookman Old Style" w:hAnsi="Bookman Old Style" w:cs="Arial"/>
          <w:bCs/>
          <w:iCs/>
          <w:kern w:val="24"/>
          <w:lang w:eastAsia="es-CO"/>
        </w:rPr>
        <w:t>ción de gas del Pacífico podrán</w:t>
      </w:r>
      <w:r w:rsidR="00875F7F" w:rsidRPr="00741370">
        <w:rPr>
          <w:rFonts w:ascii="Bookman Old Style" w:hAnsi="Bookman Old Style" w:cs="Arial"/>
          <w:bCs/>
          <w:iCs/>
          <w:kern w:val="24"/>
          <w:lang w:val="es-CO" w:eastAsia="es-CO"/>
        </w:rPr>
        <w:t xml:space="preserve"> participar todas las personas jurídicas interesadas, con excepción de las siguientes:</w:t>
      </w:r>
    </w:p>
    <w:p w14:paraId="43F98AD1"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 </w:t>
      </w:r>
    </w:p>
    <w:p w14:paraId="574F51F6" w14:textId="77777777" w:rsidR="00875F7F" w:rsidRPr="00741370"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Productores – comercializadores de gas natural o comercializadores de gas natural importado.</w:t>
      </w:r>
    </w:p>
    <w:p w14:paraId="190822A3" w14:textId="77777777" w:rsidR="00875F7F" w:rsidRPr="00741370"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Personas jurídicas con cualquier participación en productores-comercializadores o en comercializadores de gas importado definidos en la Resolución CREG 114 de 2017 o aquellas que la modifiquen, adicionen o sustituyan.</w:t>
      </w:r>
    </w:p>
    <w:p w14:paraId="682579A4" w14:textId="77777777" w:rsidR="00875F7F" w:rsidRPr="00741370" w:rsidRDefault="00875F7F" w:rsidP="00ED11BA">
      <w:pPr>
        <w:numPr>
          <w:ilvl w:val="0"/>
          <w:numId w:val="46"/>
        </w:numPr>
        <w:spacing w:after="120"/>
        <w:ind w:left="426" w:hanging="357"/>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Personas jurídicas que en su sociedad tengan cualquier participación de productores-comercializadores o comercializadores de gas importado definidos en la Resolución CREG 114 de 2017 o aquellas que la modifiquen adicionen o sustituyan.</w:t>
      </w:r>
    </w:p>
    <w:p w14:paraId="00B86BCA"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eastAsia="es-CO"/>
        </w:rPr>
        <w:t> </w:t>
      </w:r>
    </w:p>
    <w:p w14:paraId="3E0BC461"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
          <w:bCs/>
          <w:iCs/>
          <w:kern w:val="24"/>
          <w:lang w:val="es-CO" w:eastAsia="es-CO"/>
        </w:rPr>
        <w:t>Parágrafo 1.</w:t>
      </w:r>
      <w:r w:rsidRPr="00741370">
        <w:rPr>
          <w:rFonts w:ascii="Bookman Old Style" w:hAnsi="Bookman Old Style" w:cs="Arial"/>
          <w:bCs/>
          <w:iCs/>
          <w:kern w:val="24"/>
          <w:lang w:val="es-CO" w:eastAsia="es-CO"/>
        </w:rPr>
        <w:t xml:space="preserve"> Los usuarios no regulados que tengan participación societaria en el adjudicatario de la infraestructura de importación de gas del Pacífico o viceversa, y requieran importar gas a través de esta infraestructura para su consumo propio, deberán adquirirlo únicamente en el mercado primario cumpliendo las disposiciones contenidas en la Resolución CREG 114 de 2017, o aquellas que la modifiquen, adicionen o sustituyan.</w:t>
      </w:r>
    </w:p>
    <w:p w14:paraId="64798638"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Cs/>
          <w:iCs/>
          <w:kern w:val="24"/>
          <w:lang w:val="es-CO" w:eastAsia="es-CO"/>
        </w:rPr>
        <w:t> </w:t>
      </w:r>
    </w:p>
    <w:p w14:paraId="251EF480" w14:textId="77777777" w:rsidR="00875F7F" w:rsidRPr="00741370" w:rsidRDefault="00875F7F" w:rsidP="00875F7F">
      <w:pPr>
        <w:ind w:left="0"/>
        <w:jc w:val="both"/>
        <w:rPr>
          <w:rFonts w:ascii="Bookman Old Style" w:hAnsi="Bookman Old Style" w:cs="Arial"/>
          <w:bCs/>
          <w:kern w:val="24"/>
          <w:lang w:val="es-CO" w:eastAsia="es-CO"/>
        </w:rPr>
      </w:pPr>
      <w:r w:rsidRPr="00741370">
        <w:rPr>
          <w:rFonts w:ascii="Bookman Old Style" w:hAnsi="Bookman Old Style" w:cs="Arial"/>
          <w:b/>
          <w:bCs/>
          <w:iCs/>
          <w:kern w:val="24"/>
          <w:lang w:eastAsia="es-CO"/>
        </w:rPr>
        <w:t>Parágrafo 2.</w:t>
      </w:r>
      <w:r w:rsidRPr="00741370">
        <w:rPr>
          <w:rFonts w:ascii="Bookman Old Style" w:hAnsi="Bookman Old Style" w:cs="Arial"/>
          <w:bCs/>
          <w:iCs/>
          <w:kern w:val="24"/>
          <w:lang w:eastAsia="es-CO"/>
        </w:rPr>
        <w:t xml:space="preserve"> Las anteriores disposiciones deberán cumplirse durante el proceso de selección y de construcción y se extenderán durante la operación de la infraestructura de importación de gas del Pacífico.</w:t>
      </w:r>
    </w:p>
    <w:p w14:paraId="4453683D" w14:textId="77777777" w:rsidR="00497B8F" w:rsidRPr="00BB17D5" w:rsidRDefault="00497B8F" w:rsidP="00497B8F">
      <w:pPr>
        <w:pStyle w:val="Textoindependiente2"/>
        <w:spacing w:after="0" w:line="240" w:lineRule="auto"/>
        <w:ind w:left="0"/>
        <w:jc w:val="both"/>
        <w:rPr>
          <w:rFonts w:ascii="Bookman Old Style" w:hAnsi="Bookman Old Style"/>
          <w:lang w:val="es-CO"/>
        </w:rPr>
      </w:pPr>
    </w:p>
    <w:p w14:paraId="27CAB9DA" w14:textId="3FFED455" w:rsidR="00A21926" w:rsidRPr="001C3D36" w:rsidRDefault="00497B8F" w:rsidP="00ED11BA">
      <w:pPr>
        <w:pStyle w:val="ARTICULOS"/>
        <w:numPr>
          <w:ilvl w:val="0"/>
          <w:numId w:val="51"/>
        </w:numPr>
        <w:ind w:left="0"/>
      </w:pPr>
      <w:bookmarkStart w:id="4" w:name="_Ref473621678"/>
      <w:r w:rsidRPr="003568CC">
        <w:rPr>
          <w:b/>
        </w:rPr>
        <w:t xml:space="preserve">Obligaciones del adjudicatario. </w:t>
      </w:r>
      <w:r w:rsidR="00A21926" w:rsidRPr="00ED11BA">
        <w:rPr>
          <w:bCs/>
        </w:rPr>
        <w:t>El (los) adjudicatario(s) deberá(n) responder por las siguientes obligaciones, adicionales a las establecidas en los compromisos adquiridos en los documentos de selección del inversionista y a las establecidas en el artículo 7 de la Resolución CREG 107 de 2017, o aquellas que la modifiquen o sustituyan.</w:t>
      </w:r>
    </w:p>
    <w:p w14:paraId="29B4585C" w14:textId="77777777" w:rsidR="00A21926" w:rsidRPr="00ED11BA"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t>a)</w:t>
      </w:r>
      <w:r w:rsidRPr="00ED11BA">
        <w:rPr>
          <w:rFonts w:ascii="Bookman Old Style" w:hAnsi="Bookman Old Style"/>
          <w:bCs/>
        </w:rPr>
        <w:tab/>
        <w:t>Tener disponible para la prestación del servicio la infraestructura con las capacidades de la planta de regasificación del Pacífico y del gasoducto Buenaventura – Yumbo, definidas en el artículo 1 de la Resolución 40304 de 2020 del Ministerio de Minas y Energía, o aquellas que la modifiquen o sustituyan.</w:t>
      </w:r>
    </w:p>
    <w:p w14:paraId="06AE9220" w14:textId="77777777" w:rsidR="00A21926" w:rsidRPr="00ED11BA"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t>b)</w:t>
      </w:r>
      <w:r w:rsidRPr="00ED11BA">
        <w:rPr>
          <w:rFonts w:ascii="Bookman Old Style" w:hAnsi="Bookman Old Style"/>
          <w:bCs/>
        </w:rPr>
        <w:tab/>
        <w:t xml:space="preserve">Liquidar, facturar y recaudar los valores correspondientes a los ingresos por la prestación de los servicios asociados, tanto a la planta de regasificación del Pacífico, como al gasoducto Buenaventura – Yumbo.  </w:t>
      </w:r>
    </w:p>
    <w:p w14:paraId="72287AC9" w14:textId="77777777" w:rsidR="00A21926" w:rsidRPr="00ED11BA" w:rsidRDefault="00A21926" w:rsidP="00ED11BA">
      <w:pPr>
        <w:spacing w:before="240" w:after="240"/>
        <w:ind w:left="426" w:hanging="426"/>
        <w:jc w:val="both"/>
        <w:rPr>
          <w:rFonts w:ascii="Bookman Old Style" w:hAnsi="Bookman Old Style"/>
          <w:bCs/>
        </w:rPr>
      </w:pPr>
      <w:r w:rsidRPr="00ED11BA">
        <w:rPr>
          <w:rFonts w:ascii="Bookman Old Style" w:hAnsi="Bookman Old Style"/>
          <w:bCs/>
        </w:rPr>
        <w:lastRenderedPageBreak/>
        <w:t>c)</w:t>
      </w:r>
      <w:r w:rsidRPr="00ED11BA">
        <w:rPr>
          <w:rFonts w:ascii="Bookman Old Style" w:hAnsi="Bookman Old Style"/>
          <w:bCs/>
        </w:rPr>
        <w:tab/>
        <w:t>Recibir el gas natural licuado cuya composición sea tal que, al regasificarlo, cumpla con las especificaciones de calidad establecidas en el RUT, o aquellas que lo modifiquen o sustituyan. El adjudicatario puede negarse a recibirlo en caso de que el gas, al regasificarlo, no cumpla con las especificaciones del RUT.</w:t>
      </w:r>
    </w:p>
    <w:p w14:paraId="15FB74D2" w14:textId="77777777" w:rsidR="00A21926"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Si verificada la calidad del gas natural licuado objeto de entrega a la planta de regasificación, el adjudicatario no recibe este gas porque encuentra que al regasificarlo no cumple con las especificaciones de calidad establecidas en el RUT, o aquellas que lo modifiquen o sustituyan, el adjudicatario deberá, mediante comunicación escrita y con el detalle suficiente, informar al agente responsable de entregar el gas a la planta, las razones por las cuales el gas natural licuado no cumple con dichas especificaciones.</w:t>
      </w:r>
    </w:p>
    <w:p w14:paraId="6ABD633E" w14:textId="77777777" w:rsidR="00A21926"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Una vez que el adjudicatario entregue la comunicación escrita al agente responsable de entregar el gas a la planta, se entenderá que las especificaciones de calidad que no fueron objetadas en la forma aquí dispuesta cumplen con lo establecido en el RUT, o aquellas que lo modifiquen o sustituyan.</w:t>
      </w:r>
    </w:p>
    <w:p w14:paraId="7E95423F" w14:textId="77777777" w:rsidR="00A21926"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 xml:space="preserve">El agente responsable de entregar el gas a la planta podrá verificar el cumplimiento de las especificaciones de calidad objetadas por el adjudicatario cuando esté inconforme con las objeciones. Esta verificación deberá hacerse mediante una auditoría que realice una firma o persona natural seleccionada de una lista elaborada por el Consejo Nacional de Operación de Gas Natural, en adelante CNO-Gas. </w:t>
      </w:r>
    </w:p>
    <w:p w14:paraId="3F1B6D56" w14:textId="77777777" w:rsidR="00A21926"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Los resultados de la auditoría deberán ser comunicados y analizados con el adjudicatario antes de rendir el informe final. Dicho informe deberá contener conclusiones claras y expresas sobre el cumplimiento de las especificaciones de calidad objeto de la auditoría.</w:t>
      </w:r>
    </w:p>
    <w:p w14:paraId="5AA88515" w14:textId="7C687A14" w:rsidR="00C0732A"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 xml:space="preserve">Mientras se desarrolla la auditoría, el adjudicatario no estará obligado a recibir el gas natural licuado del agente responsable de entregar el gas a la planta. </w:t>
      </w:r>
    </w:p>
    <w:p w14:paraId="65D7E585" w14:textId="77777777" w:rsidR="00A21926" w:rsidRPr="00ED11BA" w:rsidRDefault="00A21926" w:rsidP="00ED11BA">
      <w:pPr>
        <w:spacing w:before="240" w:after="240"/>
        <w:ind w:left="426"/>
        <w:jc w:val="both"/>
        <w:rPr>
          <w:rFonts w:ascii="Bookman Old Style" w:hAnsi="Bookman Old Style"/>
          <w:bCs/>
        </w:rPr>
      </w:pPr>
      <w:r w:rsidRPr="00ED11BA">
        <w:rPr>
          <w:rFonts w:ascii="Bookman Old Style" w:hAnsi="Bookman Old Style"/>
          <w:bCs/>
        </w:rPr>
        <w:t>Si el informe de auditoría concluye que el gas natural licuado, al regasificarlo, no cumple con las especificaciones de calidad definidas en el RUT, o aquellas que lo modifiquen o sustituyan, el costo de la auditoría lo asumirá el agente responsable de entregar el gas a la planta.</w:t>
      </w:r>
    </w:p>
    <w:p w14:paraId="0E528AC0" w14:textId="77777777"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t>d)</w:t>
      </w:r>
      <w:r w:rsidRPr="00ED11BA">
        <w:rPr>
          <w:rFonts w:ascii="Bookman Old Style" w:hAnsi="Bookman Old Style"/>
          <w:bCs/>
        </w:rPr>
        <w:tab/>
        <w:t>Una vez el adjudicatario reciba el gas natural licuado deberá entregar el gas al SNT cumpliendo con las especificaciones de calidad establecidas en el RUT, o aquellas que la modifiquen o sustituyan. El transportador en cuyo sistema se inyecte este gas podrá negarse a recibirlo en caso de que no cumpla con estas especificaciones.</w:t>
      </w:r>
    </w:p>
    <w:p w14:paraId="0FA1ABDD" w14:textId="77777777"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t>e)</w:t>
      </w:r>
      <w:r w:rsidRPr="00ED11BA">
        <w:rPr>
          <w:rFonts w:ascii="Bookman Old Style" w:hAnsi="Bookman Old Style"/>
          <w:bCs/>
        </w:rPr>
        <w:tab/>
        <w:t>En el caso de la planta de regasificación del Pacífico, asumir las pérdidas por evaporación de gas (i.e. boil off gas) que se presenten, cuando estas superen el porcentaje de eficiencia que defina la UPME.</w:t>
      </w:r>
    </w:p>
    <w:p w14:paraId="484AF508" w14:textId="58FD7E39" w:rsidR="00A21926" w:rsidRPr="00ED11BA" w:rsidRDefault="00A21926" w:rsidP="00ED11BA">
      <w:pPr>
        <w:spacing w:before="240" w:after="240"/>
        <w:ind w:hanging="567"/>
        <w:jc w:val="both"/>
        <w:rPr>
          <w:rFonts w:ascii="Bookman Old Style" w:hAnsi="Bookman Old Style"/>
          <w:bCs/>
        </w:rPr>
      </w:pPr>
      <w:r w:rsidRPr="00ED11BA">
        <w:rPr>
          <w:rFonts w:ascii="Bookman Old Style" w:hAnsi="Bookman Old Style"/>
          <w:bCs/>
        </w:rPr>
        <w:lastRenderedPageBreak/>
        <w:t xml:space="preserve">f) </w:t>
      </w:r>
      <w:r w:rsidR="00EF2D25">
        <w:rPr>
          <w:rFonts w:ascii="Bookman Old Style" w:hAnsi="Bookman Old Style"/>
          <w:bCs/>
        </w:rPr>
        <w:tab/>
      </w:r>
      <w:r w:rsidRPr="00ED11BA">
        <w:rPr>
          <w:rFonts w:ascii="Bookman Old Style" w:hAnsi="Bookman Old Style"/>
          <w:bCs/>
        </w:rPr>
        <w:t xml:space="preserve">En el caso de que la UPME establezca un inventario mínimo de confiabilidad de gas natural licuado, llevar una relación diaria del volumen de inventario mínimo de confiabilidad, de las novedades diarias de retiro y devolución que resulten de su uso por los agentes, y de los incumplimientos que se den en la devolución del gas, por parte de los agentes que hayan retirado volúmenes de dicho inventario. Lo anterior en virtud de lo establecido en el Parágrafo 2 del Artículo 4. </w:t>
      </w:r>
    </w:p>
    <w:p w14:paraId="7EA71323" w14:textId="77777777" w:rsidR="00A21926" w:rsidRPr="00ED11BA" w:rsidRDefault="00A21926" w:rsidP="00ED11BA">
      <w:pPr>
        <w:spacing w:before="240" w:after="240"/>
        <w:jc w:val="both"/>
        <w:rPr>
          <w:rFonts w:ascii="Bookman Old Style" w:hAnsi="Bookman Old Style"/>
          <w:bCs/>
        </w:rPr>
      </w:pPr>
      <w:r w:rsidRPr="00ED11BA">
        <w:rPr>
          <w:rFonts w:ascii="Bookman Old Style" w:hAnsi="Bookman Old Style"/>
          <w:bCs/>
        </w:rPr>
        <w:t>La información a la que hace referencia el presente literal deberá ser reportada diariamente al gestor del mercado de gas natural, de manera que en el BEC sea una información visible para todas las partes.</w:t>
      </w:r>
    </w:p>
    <w:p w14:paraId="6A9620BF" w14:textId="3B977E8F" w:rsidR="00A21926" w:rsidRPr="00ED11BA" w:rsidRDefault="00A21926" w:rsidP="00ED11BA">
      <w:pPr>
        <w:spacing w:before="240" w:after="240"/>
        <w:ind w:hanging="567"/>
        <w:jc w:val="both"/>
        <w:rPr>
          <w:rFonts w:ascii="Bookman Old Style" w:hAnsi="Bookman Old Style"/>
          <w:b/>
        </w:rPr>
      </w:pPr>
      <w:r w:rsidRPr="00ED11BA">
        <w:rPr>
          <w:rFonts w:ascii="Bookman Old Style" w:hAnsi="Bookman Old Style"/>
          <w:bCs/>
        </w:rPr>
        <w:t xml:space="preserve">g) </w:t>
      </w:r>
      <w:r w:rsidR="009B56AA">
        <w:rPr>
          <w:rFonts w:ascii="Bookman Old Style" w:hAnsi="Bookman Old Style"/>
          <w:bCs/>
        </w:rPr>
        <w:tab/>
      </w:r>
      <w:r w:rsidRPr="00ED11BA">
        <w:rPr>
          <w:rFonts w:ascii="Bookman Old Style" w:hAnsi="Bookman Old Style"/>
          <w:bCs/>
        </w:rPr>
        <w:t>Cumplir con las demás obligaciones que se definen en la presente resolución</w:t>
      </w:r>
      <w:r w:rsidRPr="00ED11BA">
        <w:rPr>
          <w:rFonts w:ascii="Bookman Old Style" w:hAnsi="Bookman Old Style"/>
        </w:rPr>
        <w:t>.</w:t>
      </w:r>
      <w:r w:rsidRPr="00ED11BA">
        <w:rPr>
          <w:rFonts w:ascii="Bookman Old Style" w:hAnsi="Bookman Old Style"/>
          <w:b/>
        </w:rPr>
        <w:t xml:space="preserve"> </w:t>
      </w:r>
    </w:p>
    <w:p w14:paraId="1C73231E" w14:textId="31CD484C" w:rsidR="00A21926" w:rsidRPr="00ED11BA" w:rsidRDefault="00A21926" w:rsidP="00A21926">
      <w:pPr>
        <w:spacing w:before="240" w:after="240"/>
        <w:ind w:left="0"/>
        <w:jc w:val="both"/>
        <w:rPr>
          <w:rFonts w:ascii="Bookman Old Style" w:hAnsi="Bookman Old Style"/>
          <w:b/>
        </w:rPr>
      </w:pPr>
      <w:r w:rsidRPr="00ED11BA">
        <w:rPr>
          <w:rFonts w:ascii="Bookman Old Style" w:hAnsi="Bookman Old Style"/>
          <w:b/>
        </w:rPr>
        <w:t xml:space="preserve">Parágrafo 1. </w:t>
      </w:r>
      <w:r w:rsidRPr="00ED11BA">
        <w:rPr>
          <w:rFonts w:ascii="Bookman Old Style" w:hAnsi="Bookman Old Style"/>
          <w:bCs/>
        </w:rPr>
        <w:t xml:space="preserve">Las pérdidas por evaporación de gas (i.e. boil off gas) que se presenten en la planta de regasificación deberán ser asumidas por la demanda hasta el porcentaje </w:t>
      </w:r>
      <w:r w:rsidR="009B56AA" w:rsidRPr="00ED11BA">
        <w:rPr>
          <w:rFonts w:ascii="Bookman Old Style" w:hAnsi="Bookman Old Style"/>
          <w:b/>
          <w:u w:val="single"/>
        </w:rPr>
        <w:t>ofertado por el adjudicatario</w:t>
      </w:r>
      <w:r w:rsidRPr="00ED11BA">
        <w:rPr>
          <w:rFonts w:ascii="Bookman Old Style" w:hAnsi="Bookman Old Style"/>
          <w:bCs/>
        </w:rPr>
        <w:t>.</w:t>
      </w:r>
    </w:p>
    <w:p w14:paraId="081706AD" w14:textId="69AF1CB6"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2.</w:t>
      </w:r>
      <w:r w:rsidRPr="00ED11BA">
        <w:rPr>
          <w:rFonts w:ascii="Bookman Old Style" w:hAnsi="Bookman Old Style"/>
          <w:bCs/>
        </w:rPr>
        <w:t xml:space="preserve"> Los únicos casos en los que el adjudicatario podrá comprar gas serán para cubrir el gas que requiere para la operación, </w:t>
      </w:r>
      <w:r w:rsidR="006313F8" w:rsidRPr="00ED11BA">
        <w:rPr>
          <w:rFonts w:ascii="Bookman Old Style" w:hAnsi="Bookman Old Style"/>
          <w:b/>
          <w:u w:val="single"/>
        </w:rPr>
        <w:t>gas de empaquetam</w:t>
      </w:r>
      <w:r w:rsidR="006A517A">
        <w:rPr>
          <w:rFonts w:ascii="Bookman Old Style" w:hAnsi="Bookman Old Style"/>
          <w:b/>
          <w:u w:val="single"/>
        </w:rPr>
        <w:t>iento</w:t>
      </w:r>
      <w:r w:rsidR="006313F8" w:rsidRPr="00ED11BA">
        <w:rPr>
          <w:rFonts w:ascii="Bookman Old Style" w:hAnsi="Bookman Old Style"/>
          <w:b/>
          <w:u w:val="single"/>
        </w:rPr>
        <w:t xml:space="preserve">, </w:t>
      </w:r>
      <w:r w:rsidR="006A517A" w:rsidRPr="00ED11BA">
        <w:rPr>
          <w:rFonts w:ascii="Bookman Old Style" w:hAnsi="Bookman Old Style"/>
          <w:b/>
          <w:u w:val="single"/>
        </w:rPr>
        <w:t>gas para las pruebas de la infraestructura</w:t>
      </w:r>
      <w:r w:rsidR="006A517A">
        <w:rPr>
          <w:rFonts w:ascii="Bookman Old Style" w:hAnsi="Bookman Old Style"/>
          <w:b/>
          <w:u w:val="single"/>
        </w:rPr>
        <w:t xml:space="preserve">, </w:t>
      </w:r>
      <w:r w:rsidR="003B6361">
        <w:rPr>
          <w:rFonts w:ascii="Bookman Old Style" w:hAnsi="Bookman Old Style"/>
          <w:b/>
          <w:u w:val="single"/>
        </w:rPr>
        <w:t>gas de talón</w:t>
      </w:r>
      <w:r w:rsidR="006A517A">
        <w:rPr>
          <w:rFonts w:ascii="Bookman Old Style" w:hAnsi="Bookman Old Style"/>
          <w:bCs/>
        </w:rPr>
        <w:t xml:space="preserve"> </w:t>
      </w:r>
      <w:r w:rsidR="00517A21" w:rsidRPr="00ED11BA">
        <w:rPr>
          <w:rFonts w:ascii="Bookman Old Style" w:hAnsi="Bookman Old Style"/>
          <w:b/>
          <w:u w:val="single"/>
        </w:rPr>
        <w:t xml:space="preserve">gas </w:t>
      </w:r>
      <w:r w:rsidRPr="00ED11BA">
        <w:rPr>
          <w:rFonts w:ascii="Bookman Old Style" w:hAnsi="Bookman Old Style"/>
          <w:b/>
          <w:u w:val="single"/>
        </w:rPr>
        <w:t xml:space="preserve">para </w:t>
      </w:r>
      <w:r w:rsidR="00517A21" w:rsidRPr="00ED11BA">
        <w:rPr>
          <w:rFonts w:ascii="Bookman Old Style" w:hAnsi="Bookman Old Style"/>
          <w:b/>
          <w:u w:val="single"/>
        </w:rPr>
        <w:t xml:space="preserve">reponer el gas de evaporación (boil-off gas)  </w:t>
      </w:r>
      <w:r w:rsidRPr="00ED11BA">
        <w:rPr>
          <w:rFonts w:ascii="Bookman Old Style" w:hAnsi="Bookman Old Style"/>
          <w:b/>
          <w:u w:val="single"/>
        </w:rPr>
        <w:t xml:space="preserve">y </w:t>
      </w:r>
      <w:r w:rsidR="00517A21" w:rsidRPr="00ED11BA">
        <w:rPr>
          <w:rFonts w:ascii="Bookman Old Style" w:hAnsi="Bookman Old Style"/>
          <w:b/>
          <w:u w:val="single"/>
        </w:rPr>
        <w:t>gas</w:t>
      </w:r>
      <w:r w:rsidR="00517A21">
        <w:rPr>
          <w:rFonts w:ascii="Bookman Old Style" w:hAnsi="Bookman Old Style"/>
          <w:bCs/>
        </w:rPr>
        <w:t xml:space="preserve"> </w:t>
      </w:r>
      <w:r w:rsidRPr="00ED11BA">
        <w:rPr>
          <w:rFonts w:ascii="Bookman Old Style" w:hAnsi="Bookman Old Style"/>
          <w:bCs/>
        </w:rPr>
        <w:t>para el llenado inicial del inventario mínimo de confiabilidad.</w:t>
      </w:r>
    </w:p>
    <w:p w14:paraId="7667C6FA" w14:textId="77777777"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3.</w:t>
      </w:r>
      <w:r w:rsidRPr="00ED11BA">
        <w:rPr>
          <w:rFonts w:ascii="Bookman Old Style" w:hAnsi="Bookman Old Style"/>
          <w:bCs/>
        </w:rPr>
        <w:t xml:space="preserve"> Las pérdidas de calidad del gas natural licuado por envejecimiento en el almacenamiento no serán responsabilidad del adjudicatario, y su regulación se determinará en resolución aparte.</w:t>
      </w:r>
    </w:p>
    <w:p w14:paraId="06496481" w14:textId="77777777"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4.</w:t>
      </w:r>
      <w:r w:rsidRPr="00ED11BA">
        <w:rPr>
          <w:rFonts w:ascii="Bookman Old Style" w:hAnsi="Bookman Old Style"/>
          <w:bCs/>
        </w:rPr>
        <w:t xml:space="preserve"> El CNO-Gas, de manera oportuna, deberá elaborar y mantener actualizada una lista de firmas y/o personas con reconocida experiencia en medición de especificaciones de calidad de gas natural licuado y gas natural a ser inyectado en plantas de regasificación, y en sistemas de transporte por tubería. De esta lista, el agente responsable de entregar el gas en la planta selecciona la firma o persona que verifica las especificaciones de calidad objetadas por el adjudicatario.</w:t>
      </w:r>
    </w:p>
    <w:p w14:paraId="48A149C2" w14:textId="77777777" w:rsidR="00A21926" w:rsidRPr="00ED11BA" w:rsidRDefault="00A21926" w:rsidP="00A21926">
      <w:pPr>
        <w:spacing w:before="240" w:after="240"/>
        <w:ind w:left="0"/>
        <w:jc w:val="both"/>
        <w:rPr>
          <w:rFonts w:ascii="Bookman Old Style" w:hAnsi="Bookman Old Style"/>
          <w:bCs/>
        </w:rPr>
      </w:pPr>
      <w:r w:rsidRPr="00ED11BA">
        <w:rPr>
          <w:rFonts w:ascii="Bookman Old Style" w:hAnsi="Bookman Old Style"/>
          <w:b/>
        </w:rPr>
        <w:t>Parágrafo 5.</w:t>
      </w:r>
      <w:r w:rsidRPr="00ED11BA">
        <w:rPr>
          <w:rFonts w:ascii="Bookman Old Style" w:hAnsi="Bookman Old Style"/>
          <w:bCs/>
        </w:rPr>
        <w:t xml:space="preserve"> En caso de ser necesario, el CNO-Gas elaborará un protocolo que deberán seguir las firmas o personas que verificarán las especificaciones de calidad del gas natural licuado que objete el adjudicatario”.</w:t>
      </w:r>
    </w:p>
    <w:p w14:paraId="6D0AEAF3" w14:textId="24743057" w:rsidR="00497B8F" w:rsidRPr="00BB17D5" w:rsidRDefault="00497B8F" w:rsidP="00ED11BA">
      <w:pPr>
        <w:pStyle w:val="ARTICULOS"/>
        <w:ind w:left="0"/>
        <w:rPr>
          <w:b/>
          <w:spacing w:val="-4"/>
        </w:rPr>
      </w:pPr>
      <w:bookmarkStart w:id="5" w:name="_Ref439257068"/>
      <w:bookmarkEnd w:id="4"/>
      <w:r w:rsidRPr="00BB17D5">
        <w:rPr>
          <w:b/>
        </w:rPr>
        <w:t xml:space="preserve">Ingreso anual esperado, </w:t>
      </w:r>
      <m:oMath>
        <m:r>
          <m:rPr>
            <m:sty m:val="bi"/>
          </m:rPr>
          <w:rPr>
            <w:rFonts w:ascii="Cambria Math" w:hAnsi="Cambria Math"/>
          </w:rPr>
          <m:t>IAE</m:t>
        </m:r>
      </m:oMath>
      <w:r w:rsidRPr="00BB17D5">
        <w:rPr>
          <w:b/>
        </w:rPr>
        <w:t xml:space="preserve">. </w:t>
      </w:r>
      <w:r w:rsidRPr="00BB17D5">
        <w:t>La oferta económica que entregue el</w:t>
      </w:r>
      <w:r w:rsidR="00792F55">
        <w:t xml:space="preserve"> (los)</w:t>
      </w:r>
      <w:r w:rsidRPr="00BB17D5">
        <w:t xml:space="preserve"> proponente</w:t>
      </w:r>
      <w:r w:rsidR="00792F55">
        <w:t>(s)</w:t>
      </w:r>
      <w:r w:rsidRPr="00BB17D5">
        <w:t xml:space="preserve"> </w:t>
      </w:r>
      <w:bookmarkEnd w:id="5"/>
      <w:r w:rsidRPr="00BB17D5">
        <w:t>debe</w:t>
      </w:r>
      <w:r>
        <w:t>rá</w:t>
      </w:r>
      <w:r w:rsidR="00792F55">
        <w:t>(n)</w:t>
      </w:r>
      <w:r w:rsidRPr="00BB17D5">
        <w:t xml:space="preserve"> cumplir con lo establecido en el artículo 9 de la Resolución CREG 107 de 2017, o aquellas que lo modifiquen o sustituyan.</w:t>
      </w:r>
    </w:p>
    <w:p w14:paraId="56E45B05" w14:textId="77777777" w:rsidR="00497B8F" w:rsidRPr="00BB17D5" w:rsidRDefault="00497B8F" w:rsidP="00497B8F">
      <w:pPr>
        <w:pStyle w:val="ARTICULOS"/>
        <w:numPr>
          <w:ilvl w:val="0"/>
          <w:numId w:val="0"/>
        </w:numPr>
        <w:rPr>
          <w:b/>
        </w:rPr>
      </w:pPr>
    </w:p>
    <w:p w14:paraId="1184BAA4" w14:textId="27A955F5" w:rsidR="00497B8F" w:rsidRPr="00BB17D5" w:rsidRDefault="00497B8F" w:rsidP="00497B8F">
      <w:pPr>
        <w:pStyle w:val="ARTICULOS"/>
        <w:numPr>
          <w:ilvl w:val="0"/>
          <w:numId w:val="0"/>
        </w:numPr>
      </w:pPr>
      <w:r w:rsidRPr="00BB17D5">
        <w:t xml:space="preserve">En la oferta económica para la ejecución de la infraestructura de importación de gas del Pacífico el </w:t>
      </w:r>
      <w:r w:rsidR="00792F55">
        <w:t xml:space="preserve">(los) </w:t>
      </w:r>
      <w:r w:rsidRPr="00BB17D5">
        <w:t>proponente</w:t>
      </w:r>
      <w:r w:rsidR="00792F55">
        <w:t>(s)</w:t>
      </w:r>
      <w:r w:rsidRPr="00BB17D5">
        <w:t xml:space="preserve"> debe</w:t>
      </w:r>
      <w:r>
        <w:t>rá</w:t>
      </w:r>
      <w:r w:rsidR="00792F55">
        <w:t>(n)</w:t>
      </w:r>
      <w:r w:rsidRPr="00BB17D5">
        <w:t xml:space="preserve"> presentar en forma desagregada los valores </w:t>
      </w:r>
      <w:r w:rsidR="00AB54BC" w:rsidRPr="00ED11BA">
        <w:rPr>
          <w:b/>
          <w:bCs/>
          <w:u w:val="single"/>
        </w:rPr>
        <w:t>IAE INVERSIÓN e IAE AOM</w:t>
      </w:r>
      <w:r w:rsidR="00AB54BC">
        <w:t xml:space="preserve"> </w:t>
      </w:r>
      <w:r w:rsidRPr="00BB17D5">
        <w:t>asociados a cada una de las componentes de la planta de regasificación, necesarias para la prestación de los siguientes servicios: i) descargue y recibo de gas licuado, ii) almacenamiento de gas licuado, iii) regasificación, iv) carga de cisternas de gas natural licuado, y v) trasvase de gas natural licuado a buques metaneros y puesta en frio.</w:t>
      </w:r>
    </w:p>
    <w:p w14:paraId="2BF8E7AB" w14:textId="77777777" w:rsidR="00497B8F" w:rsidRPr="00BB17D5" w:rsidRDefault="00497B8F" w:rsidP="00497B8F">
      <w:pPr>
        <w:pStyle w:val="ARTICULOS"/>
        <w:numPr>
          <w:ilvl w:val="0"/>
          <w:numId w:val="0"/>
        </w:numPr>
      </w:pPr>
    </w:p>
    <w:p w14:paraId="06DC468B" w14:textId="26FE0F94" w:rsidR="00497B8F" w:rsidRPr="00BB17D5" w:rsidRDefault="00AB54BC" w:rsidP="00497B8F">
      <w:pPr>
        <w:pStyle w:val="ARTICULOS"/>
        <w:numPr>
          <w:ilvl w:val="0"/>
          <w:numId w:val="0"/>
        </w:numPr>
      </w:pPr>
      <w:r>
        <w:t>E</w:t>
      </w:r>
      <w:r w:rsidR="00497B8F" w:rsidRPr="00BB17D5">
        <w:t xml:space="preserve">l proponente también deberá presentar en forma desagregada los valores de la oferta económica del gasoducto Buenaventura – Yumbo, incluidos compresores si los hay. </w:t>
      </w:r>
    </w:p>
    <w:p w14:paraId="4B8AF78C" w14:textId="77777777" w:rsidR="00497B8F" w:rsidRPr="00BB17D5" w:rsidRDefault="00497B8F" w:rsidP="00497B8F">
      <w:pPr>
        <w:pStyle w:val="ARTICULOS"/>
        <w:numPr>
          <w:ilvl w:val="0"/>
          <w:numId w:val="0"/>
        </w:numPr>
      </w:pPr>
    </w:p>
    <w:p w14:paraId="2D47806A" w14:textId="77777777" w:rsidR="00497B8F" w:rsidRPr="00BB17D5" w:rsidRDefault="00497B8F" w:rsidP="00497B8F">
      <w:pPr>
        <w:pStyle w:val="ARTICULOS"/>
        <w:numPr>
          <w:ilvl w:val="0"/>
          <w:numId w:val="0"/>
        </w:numPr>
      </w:pPr>
      <w:r w:rsidRPr="00BB17D5">
        <w:t>Estos valores serán considerados posteriormente por la CREG, en caso de ser necesario, para la regulación de acceso a los servicios asociados a la infraestructura de importación de gas del Pacífico.</w:t>
      </w:r>
    </w:p>
    <w:p w14:paraId="2B163215" w14:textId="77777777" w:rsidR="00497B8F" w:rsidRPr="00BB17D5" w:rsidRDefault="00497B8F" w:rsidP="00497B8F">
      <w:pPr>
        <w:pStyle w:val="Estilo1"/>
      </w:pPr>
    </w:p>
    <w:p w14:paraId="599CA980" w14:textId="078EADA6" w:rsidR="00D77F4A" w:rsidRPr="00ED11BA" w:rsidRDefault="00D34A3E" w:rsidP="00ED11BA">
      <w:pPr>
        <w:pStyle w:val="ARTICULOS"/>
        <w:numPr>
          <w:ilvl w:val="0"/>
          <w:numId w:val="0"/>
        </w:numPr>
        <w:ind w:left="1" w:hanging="1"/>
        <w:rPr>
          <w:lang w:val="es-CO"/>
        </w:rPr>
      </w:pPr>
      <w:r>
        <w:rPr>
          <w:b/>
        </w:rPr>
        <w:t xml:space="preserve">Artículo 8. </w:t>
      </w:r>
      <w:r w:rsidR="00497B8F" w:rsidRPr="00BD3865">
        <w:rPr>
          <w:b/>
          <w:lang w:val="es-CO"/>
        </w:rPr>
        <w:t>Remuneración de la infraestructura de importación de gas del Pacífico.</w:t>
      </w:r>
      <w:r w:rsidR="00497B8F" w:rsidRPr="00BD3865">
        <w:rPr>
          <w:lang w:val="es-CO"/>
        </w:rPr>
        <w:t xml:space="preserve"> </w:t>
      </w:r>
      <w:r w:rsidR="00D77F4A" w:rsidRPr="00ED11BA">
        <w:rPr>
          <w:lang w:val="es-CO"/>
        </w:rPr>
        <w:t>El (los) adjudicatario(s) de la infraestructura de importación de gas del Pacífico recibirá mensualmente la siguiente remuneración: (i) ingresos por la prestación de servicios asociados a esta infraestructura que serán recaudados directamente por el adjudicatario; (ii) el porcentaje de los ingresos por los servicios adicionales que serán recaudados directamente por el adjudicatario, previstos en el Artículo 3</w:t>
      </w:r>
      <w:r w:rsidR="004C1477">
        <w:rPr>
          <w:lang w:val="es-CO"/>
        </w:rPr>
        <w:t>2</w:t>
      </w:r>
      <w:r w:rsidR="00D77F4A" w:rsidRPr="00ED11BA">
        <w:rPr>
          <w:lang w:val="es-CO"/>
        </w:rPr>
        <w:t xml:space="preserve"> de la Resolución CREG 107 de 2017; y (iii) el valor de los pagos mensuales que será liquidado, actualizado, facturado, recaudado y transferido por el transportador al adjudicatario como se establece en el artículo 17</w:t>
      </w:r>
      <w:r w:rsidR="00D77F4A" w:rsidRPr="00ED11BA">
        <w:rPr>
          <w:color w:val="FF0000"/>
          <w:lang w:val="es-CO"/>
        </w:rPr>
        <w:t xml:space="preserve"> </w:t>
      </w:r>
      <w:r w:rsidR="00D77F4A" w:rsidRPr="00ED11BA">
        <w:rPr>
          <w:lang w:val="es-CO"/>
        </w:rPr>
        <w:t>de la Resolución CREG 107 de 2017, o aquellas que la modifiquen o sustituyan.</w:t>
      </w:r>
    </w:p>
    <w:p w14:paraId="666C08DB" w14:textId="77777777" w:rsidR="00D77F4A" w:rsidRPr="007350DE" w:rsidRDefault="00D77F4A" w:rsidP="007350DE">
      <w:pPr>
        <w:pStyle w:val="Estilo1"/>
        <w:rPr>
          <w:lang w:val="es-CO"/>
        </w:rPr>
      </w:pPr>
    </w:p>
    <w:p w14:paraId="48E9007C" w14:textId="72C20A88" w:rsidR="00447209" w:rsidRPr="00ED11BA" w:rsidRDefault="00497B8F" w:rsidP="00ED11BA">
      <w:pPr>
        <w:pStyle w:val="ARTICULOS"/>
        <w:numPr>
          <w:ilvl w:val="0"/>
          <w:numId w:val="52"/>
        </w:numPr>
        <w:ind w:left="0"/>
        <w:rPr>
          <w:b/>
        </w:rPr>
      </w:pPr>
      <w:bookmarkStart w:id="6" w:name="_Ref478069732"/>
      <w:r w:rsidRPr="00ED11BA">
        <w:rPr>
          <w:b/>
        </w:rPr>
        <w:t>Liquidación, facturación y recaudo de ingresos por la prestació</w:t>
      </w:r>
      <w:r w:rsidR="004E0AA3" w:rsidRPr="00ED11BA">
        <w:rPr>
          <w:b/>
        </w:rPr>
        <w:t>n</w:t>
      </w:r>
      <w:r w:rsidRPr="00ED11BA">
        <w:rPr>
          <w:b/>
        </w:rPr>
        <w:t xml:space="preserve"> de los servicios asociados a la infraestructura de importación de gas del Pacífico. </w:t>
      </w:r>
      <w:bookmarkEnd w:id="6"/>
      <w:r w:rsidR="00447209" w:rsidRPr="00ED11BA">
        <w:rPr>
          <w:bCs/>
          <w:lang w:val="es-CO"/>
        </w:rPr>
        <w:t xml:space="preserve">(los) adjudicatario(s) de la infraestructura de importación de gas del Pacífico deberá(n) liquidar, facturar y recaudar mensualmente a cada uno de los usuarios de esta infraestructura el valor de los servicios prestados con esta infraestructura. </w:t>
      </w:r>
    </w:p>
    <w:p w14:paraId="2DC4819F" w14:textId="77777777"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1.</w:t>
      </w:r>
      <w:r w:rsidRPr="00ED11BA">
        <w:rPr>
          <w:rFonts w:ascii="Bookman Old Style" w:hAnsi="Bookman Old Style"/>
          <w:bCs/>
          <w:lang w:val="es-CO"/>
        </w:rPr>
        <w:t xml:space="preserve"> Los ingresos generados por la prestación de los servicios asociados a la infraestructura de importación de gas del Pacífico corresponderán a los ingresos de corto de plazo de que trata el literal d) del artículo 17 de la Resolución CREG 107 de 2017, o en aquellas que lo modifiquen o sustituyan. </w:t>
      </w:r>
    </w:p>
    <w:p w14:paraId="66AD6BCE" w14:textId="77777777"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2.</w:t>
      </w:r>
      <w:r w:rsidRPr="00ED11BA">
        <w:rPr>
          <w:rFonts w:ascii="Bookman Old Style" w:hAnsi="Bookman Old Style"/>
          <w:lang w:val="es-CO"/>
        </w:rPr>
        <w:t xml:space="preserve"> Se excluirán de los ingresos de corto plazo de que trata el numeral (iii) del literal f) del artículo 17 de la Resolución CREG 107 de 2017, o en aquellas que lo modifiquen o sustituyan, los valores facturados que no sea posible recaudar y que no queden cubiertos con garantía de cumplimiento debido a las condiciones de la garantía que defina la Comisión.</w:t>
      </w:r>
      <w:r w:rsidRPr="00ED11BA">
        <w:rPr>
          <w:rFonts w:ascii="Bookman Old Style" w:hAnsi="Bookman Old Style"/>
          <w:bCs/>
          <w:lang w:val="es-CO"/>
        </w:rPr>
        <w:t xml:space="preserve">  </w:t>
      </w:r>
    </w:p>
    <w:p w14:paraId="260D9CC6" w14:textId="191AF513" w:rsidR="00447209" w:rsidRPr="00ED11BA" w:rsidRDefault="00447209" w:rsidP="004F15AA">
      <w:pPr>
        <w:spacing w:before="240" w:after="240"/>
        <w:ind w:left="0"/>
        <w:jc w:val="both"/>
        <w:rPr>
          <w:rFonts w:ascii="Bookman Old Style" w:hAnsi="Bookman Old Style"/>
          <w:bCs/>
          <w:lang w:val="es-CO"/>
        </w:rPr>
      </w:pPr>
      <w:r w:rsidRPr="00ED11BA">
        <w:rPr>
          <w:rFonts w:ascii="Bookman Old Style" w:hAnsi="Bookman Old Style"/>
          <w:b/>
          <w:lang w:val="es-CO"/>
        </w:rPr>
        <w:t>Parágrafo 3.</w:t>
      </w:r>
      <w:r w:rsidRPr="00ED11BA">
        <w:rPr>
          <w:rFonts w:ascii="Bookman Old Style" w:hAnsi="Bookman Old Style"/>
          <w:bCs/>
          <w:lang w:val="es-CO"/>
        </w:rPr>
        <w:t xml:space="preserve"> Los ingresos generados por la prestación de los servicios adicionales corresponderán a los ingresos de que trata el Artículo 33 de la Resolución CREG 107 de 2017, o en aquella que lo modifique o sustituya.</w:t>
      </w:r>
    </w:p>
    <w:p w14:paraId="66C13700" w14:textId="77777777" w:rsidR="00497B8F" w:rsidRPr="00BB17D5" w:rsidRDefault="00497B8F" w:rsidP="00ED11BA">
      <w:pPr>
        <w:pStyle w:val="ARTICULOS"/>
        <w:ind w:left="0"/>
      </w:pPr>
      <w:bookmarkStart w:id="7" w:name="_Ref439268437"/>
      <w:bookmarkStart w:id="8" w:name="_Ref478076110"/>
      <w:bookmarkStart w:id="9" w:name="_Ref309918857"/>
      <w:bookmarkStart w:id="10" w:name="_Ref349828068"/>
      <w:bookmarkStart w:id="11" w:name="_Ref309368391"/>
      <w:r w:rsidRPr="00BB17D5">
        <w:rPr>
          <w:b/>
        </w:rPr>
        <w:t>Suscripción de contratos y garantías de cumplimiento.</w:t>
      </w:r>
      <w:r w:rsidRPr="00BB17D5">
        <w:t xml:space="preserve"> Los usuarios de la infraestructura de importación de gas del Pacífico</w:t>
      </w:r>
      <w:r w:rsidRPr="00BB17D5" w:rsidDel="00830443">
        <w:t xml:space="preserve"> </w:t>
      </w:r>
      <w:r w:rsidRPr="00BB17D5">
        <w:t xml:space="preserve">que adquieran los servicios asociados a esta infraestructura deberán suscribir contratos escritos con el adjudicatario y constituir garantías de cumplimiento a favor del adjudicatario. En resolución aparte la Comisión definirá el tipo de garantía y las condiciones de estas garantías.  </w:t>
      </w:r>
    </w:p>
    <w:p w14:paraId="1D67F000" w14:textId="77777777" w:rsidR="00497B8F" w:rsidRPr="00BB17D5" w:rsidRDefault="00497B8F" w:rsidP="00960750">
      <w:pPr>
        <w:pStyle w:val="Estilo1"/>
      </w:pPr>
    </w:p>
    <w:p w14:paraId="376EF7EF" w14:textId="77777777" w:rsidR="00497B8F" w:rsidRPr="00BB17D5" w:rsidRDefault="00497B8F" w:rsidP="00497B8F">
      <w:pPr>
        <w:pStyle w:val="Estilo1"/>
      </w:pPr>
      <w:r w:rsidRPr="00BB17D5">
        <w:rPr>
          <w:b/>
        </w:rPr>
        <w:t xml:space="preserve">Parágrafo. </w:t>
      </w:r>
      <w:r w:rsidRPr="00BB17D5">
        <w:t xml:space="preserve">Es obligación tanto del adjudicatario de la infraestructura de importación de gas del Pacífico como de los usuarios que adquieran servicios </w:t>
      </w:r>
      <w:r w:rsidRPr="00BB17D5">
        <w:lastRenderedPageBreak/>
        <w:t>asociados a esta infraestructura registrar los contratos ante el gestor del mercado de gas natural.</w:t>
      </w:r>
    </w:p>
    <w:p w14:paraId="372A4DB0" w14:textId="77777777" w:rsidR="00497B8F" w:rsidRPr="00BB17D5" w:rsidRDefault="00497B8F" w:rsidP="00497B8F">
      <w:pPr>
        <w:pStyle w:val="Estilo1"/>
      </w:pPr>
    </w:p>
    <w:p w14:paraId="6CF325D0" w14:textId="77777777" w:rsidR="00497B8F" w:rsidRPr="00BB17D5" w:rsidRDefault="00497B8F" w:rsidP="00ED11BA">
      <w:pPr>
        <w:pStyle w:val="ARTICULOS"/>
        <w:ind w:left="0"/>
      </w:pPr>
      <w:r w:rsidRPr="00BB17D5">
        <w:rPr>
          <w:b/>
        </w:rPr>
        <w:t xml:space="preserve">Asignación de los servicios asociados a la infraestructura de importación de gas del Pacífico. </w:t>
      </w:r>
      <w:r w:rsidRPr="00BB17D5">
        <w:t>Los servicios asociados a la infraestructura de importación de gas del Pacífico serán asignados por el gestor del mercado de gas natural.</w:t>
      </w:r>
    </w:p>
    <w:p w14:paraId="46FE8457" w14:textId="77777777" w:rsidR="00497B8F" w:rsidRPr="00BB17D5" w:rsidRDefault="00497B8F" w:rsidP="00497B8F">
      <w:pPr>
        <w:pStyle w:val="Estilo1"/>
      </w:pPr>
    </w:p>
    <w:p w14:paraId="2D27C71D" w14:textId="77777777" w:rsidR="00497B8F" w:rsidRPr="00BB17D5" w:rsidRDefault="00497B8F" w:rsidP="00497B8F">
      <w:pPr>
        <w:pStyle w:val="Estilo1"/>
      </w:pPr>
      <w:r w:rsidRPr="00BB17D5">
        <w:t>En resolución aparte la CREG determinará los procedimientos y reglas que deberán seguir: i) el gestor del mercado de gas natural para asignar los servicios asociados a la infraestructura de importación de gas del Pacífico; y ii) los usuarios de la infraestructura de importación de gas del Pacífico interesados en adquirir estos servicios.</w:t>
      </w:r>
    </w:p>
    <w:p w14:paraId="6A0E5E47" w14:textId="77777777" w:rsidR="00497B8F" w:rsidRPr="00BB17D5" w:rsidRDefault="00497B8F" w:rsidP="00497B8F">
      <w:pPr>
        <w:pStyle w:val="Estilo1"/>
      </w:pPr>
    </w:p>
    <w:p w14:paraId="4443B338" w14:textId="7DE2C99F" w:rsidR="00497B8F" w:rsidRDefault="00497B8F" w:rsidP="00497B8F">
      <w:pPr>
        <w:pStyle w:val="Estilo1"/>
        <w:rPr>
          <w:lang w:val="es-CO"/>
        </w:rPr>
      </w:pPr>
      <w:r w:rsidRPr="00BB17D5">
        <w:rPr>
          <w:b/>
        </w:rPr>
        <w:t>Parágrafo.</w:t>
      </w:r>
      <w:r w:rsidRPr="00BB17D5">
        <w:t xml:space="preserve"> Los usuarios de la infraestructura de importación de gas del Pacífico interesados en adquirir servicios asociados a esta infraestructura deberán constituir garantías de seriedad. Los costos de administración de estas garantías estarán a cargo del gestor del mercado. Otras condiciones de la administración de estas garantías las determinará la Comisión en resolución aparte. Los ingresos que se generen por la ejecución de estas garantías harán parte de los ingresos de corto plazo de que trata </w:t>
      </w:r>
      <w:r w:rsidRPr="00BB17D5">
        <w:rPr>
          <w:lang w:val="es-CO"/>
        </w:rPr>
        <w:t>el literal d) del artículo 17 de la Resolución CREG 107 de 2017.</w:t>
      </w:r>
    </w:p>
    <w:p w14:paraId="005DE5A2" w14:textId="77777777" w:rsidR="003A60F2" w:rsidRPr="00BB17D5" w:rsidRDefault="003A60F2" w:rsidP="00497B8F">
      <w:pPr>
        <w:pStyle w:val="Estilo1"/>
      </w:pPr>
    </w:p>
    <w:bookmarkEnd w:id="7"/>
    <w:bookmarkEnd w:id="8"/>
    <w:bookmarkEnd w:id="9"/>
    <w:bookmarkEnd w:id="10"/>
    <w:bookmarkEnd w:id="11"/>
    <w:p w14:paraId="71AA1882" w14:textId="22785247" w:rsidR="00D024D8" w:rsidRPr="00960750" w:rsidRDefault="00D024D8" w:rsidP="00ED11BA">
      <w:pPr>
        <w:pStyle w:val="ARTICULOS"/>
        <w:ind w:left="0"/>
      </w:pPr>
      <w:r w:rsidRPr="00ED11BA">
        <w:rPr>
          <w:b/>
        </w:rPr>
        <w:t>Ingreso regulado por fecha anticipada de entrada en operación de la infraestructura de importación del gas del pacífico</w:t>
      </w:r>
      <w:r w:rsidRPr="00ED11BA">
        <w:rPr>
          <w:bCs/>
        </w:rPr>
        <w:t>. El ingreso regulado por cada mes de operación para el período contemplado entre la fecha anticipada de entrada en operación</w:t>
      </w:r>
      <w:r w:rsidR="00F56170">
        <w:rPr>
          <w:bCs/>
        </w:rPr>
        <w:t xml:space="preserve"> </w:t>
      </w:r>
      <w:r w:rsidR="00F56170" w:rsidRPr="00ED11BA">
        <w:rPr>
          <w:b/>
          <w:u w:val="single"/>
        </w:rPr>
        <w:t>certificada por el auditor del proyecto</w:t>
      </w:r>
      <w:r w:rsidRPr="00ED11BA">
        <w:rPr>
          <w:bCs/>
        </w:rPr>
        <w:t xml:space="preserve">, y la </w:t>
      </w:r>
      <w:r w:rsidR="00421C2E" w:rsidRPr="00ED11BA">
        <w:rPr>
          <w:b/>
          <w:u w:val="single"/>
        </w:rPr>
        <w:t>FPO</w:t>
      </w:r>
      <w:r w:rsidRPr="00ED11BA">
        <w:rPr>
          <w:bCs/>
        </w:rPr>
        <w:t xml:space="preserve"> establecida </w:t>
      </w:r>
      <w:r w:rsidR="00421C2E" w:rsidRPr="00ED11BA">
        <w:rPr>
          <w:b/>
          <w:u w:val="single"/>
        </w:rPr>
        <w:t>inicialmente</w:t>
      </w:r>
      <w:r w:rsidR="00421C2E">
        <w:rPr>
          <w:bCs/>
        </w:rPr>
        <w:t xml:space="preserve"> </w:t>
      </w:r>
      <w:r w:rsidRPr="00ED11BA">
        <w:rPr>
          <w:bCs/>
        </w:rPr>
        <w:t>por el Ministerio de Minas y Energía</w:t>
      </w:r>
      <w:r w:rsidR="00421C2E">
        <w:rPr>
          <w:bCs/>
        </w:rPr>
        <w:t xml:space="preserve"> </w:t>
      </w:r>
      <w:r w:rsidR="00421C2E" w:rsidRPr="00ED11BA">
        <w:rPr>
          <w:b/>
          <w:u w:val="single"/>
        </w:rPr>
        <w:t>en el PAGN</w:t>
      </w:r>
      <w:r w:rsidRPr="00ED11BA">
        <w:rPr>
          <w:bCs/>
        </w:rPr>
        <w:t>, de acuerdo con lo establecido en el Artículo 12 de la Resolución CREG 107 de 2017 y aquellas que la modifiquen o sustituyan, se calculará aplicando la siguiente ecuación:</w:t>
      </w:r>
    </w:p>
    <w:p w14:paraId="257B2CC3" w14:textId="4409E698" w:rsidR="00D024D8" w:rsidRPr="00ED11BA" w:rsidRDefault="008B0FDB" w:rsidP="00D024D8">
      <w:pPr>
        <w:spacing w:before="240" w:after="240"/>
        <w:ind w:left="708"/>
        <w:jc w:val="center"/>
        <w:rPr>
          <w:rFonts w:ascii="Bookman Old Style" w:hAnsi="Bookman Old Style" w:cs="Arial"/>
          <w:bCs/>
          <w:color w:val="000000"/>
        </w:rPr>
      </w:pPr>
      <m:oMathPara>
        <m:oMath>
          <m:sSub>
            <m:sSubPr>
              <m:ctrlPr>
                <w:rPr>
                  <w:rFonts w:ascii="Cambria Math" w:hAnsi="Cambria Math" w:cs="Arial"/>
                  <w:bCs/>
                  <w:color w:val="000000"/>
                </w:rPr>
              </m:ctrlPr>
            </m:sSubPr>
            <m:e>
              <m:r>
                <m:rPr>
                  <m:sty m:val="p"/>
                </m:rPr>
                <w:rPr>
                  <w:rFonts w:ascii="Cambria Math" w:hAnsi="Cambria Math" w:cs="Arial"/>
                  <w:color w:val="000000"/>
                </w:rPr>
                <m:t>IMT</m:t>
              </m:r>
            </m:e>
            <m:sub>
              <m:r>
                <m:rPr>
                  <m:sty m:val="p"/>
                </m:rPr>
                <w:rPr>
                  <w:rFonts w:ascii="Cambria Math" w:hAnsi="Cambria Math" w:cs="Arial"/>
                  <w:color w:val="000000"/>
                </w:rPr>
                <m:t>m</m:t>
              </m:r>
            </m:sub>
          </m:sSub>
          <m:r>
            <m:rPr>
              <m:sty m:val="p"/>
            </m:rPr>
            <w:rPr>
              <w:rFonts w:ascii="Cambria Math" w:hAnsi="Cambria Math" w:cs="Arial"/>
              <w:color w:val="000000"/>
            </w:rPr>
            <m:t xml:space="preserve"> =</m:t>
          </m:r>
          <m:d>
            <m:dPr>
              <m:ctrlPr>
                <w:rPr>
                  <w:rFonts w:ascii="Cambria Math" w:hAnsi="Cambria Math" w:cs="Arial"/>
                  <w:bCs/>
                  <w:color w:val="000000"/>
                </w:rPr>
              </m:ctrlPr>
            </m:dPr>
            <m:e>
              <m:r>
                <m:rPr>
                  <m:sty m:val="p"/>
                </m:rPr>
                <w:rPr>
                  <w:rFonts w:ascii="Cambria Math" w:hAnsi="Cambria Math" w:cs="Arial"/>
                  <w:color w:val="000000"/>
                </w:rPr>
                <m:t>1+%adicional</m:t>
              </m:r>
            </m:e>
          </m:d>
          <m:r>
            <m:rPr>
              <m:sty m:val="p"/>
            </m:rPr>
            <w:rPr>
              <w:rFonts w:ascii="Cambria Math" w:hAnsi="Cambria Math" w:cs="Arial"/>
              <w:color w:val="000000"/>
            </w:rPr>
            <m:t xml:space="preserve"> × </m:t>
          </m:r>
          <m:sSub>
            <m:sSubPr>
              <m:ctrlPr>
                <w:rPr>
                  <w:rFonts w:ascii="Cambria Math" w:hAnsi="Cambria Math" w:cs="Arial"/>
                  <w:bCs/>
                  <w:color w:val="000000"/>
                </w:rPr>
              </m:ctrlPr>
            </m:sSubPr>
            <m:e>
              <m:r>
                <m:rPr>
                  <m:sty m:val="p"/>
                </m:rPr>
                <w:rPr>
                  <w:rFonts w:ascii="Cambria Math" w:hAnsi="Cambria Math" w:cs="Arial"/>
                  <w:color w:val="000000"/>
                </w:rPr>
                <m:t>IM</m:t>
              </m:r>
            </m:e>
            <m:sub>
              <m:r>
                <m:rPr>
                  <m:sty m:val="p"/>
                </m:rPr>
                <w:rPr>
                  <w:rFonts w:ascii="Cambria Math" w:hAnsi="Cambria Math" w:cs="Arial"/>
                  <w:color w:val="000000"/>
                </w:rPr>
                <m:t>1</m:t>
              </m:r>
            </m:sub>
          </m:sSub>
        </m:oMath>
      </m:oMathPara>
    </w:p>
    <w:p w14:paraId="0171004C" w14:textId="77777777" w:rsidR="00D024D8" w:rsidRPr="00ED11BA" w:rsidRDefault="00D024D8" w:rsidP="00D024D8">
      <w:pPr>
        <w:spacing w:before="240" w:after="240"/>
        <w:ind w:left="1418" w:hanging="1134"/>
        <w:jc w:val="both"/>
        <w:rPr>
          <w:rFonts w:ascii="Bookman Old Style" w:hAnsi="Bookman Old Style" w:cs="Arial"/>
          <w:bCs/>
          <w:color w:val="000000"/>
        </w:rPr>
      </w:pPr>
      <w:r w:rsidRPr="00ED11BA">
        <w:rPr>
          <w:rFonts w:ascii="Bookman Old Style" w:hAnsi="Bookman Old Style" w:cs="Arial"/>
          <w:bCs/>
          <w:color w:val="000000"/>
        </w:rPr>
        <w:t>Donde:</w:t>
      </w:r>
    </w:p>
    <w:p w14:paraId="672513B6" w14:textId="77777777" w:rsidR="00D024D8" w:rsidRPr="00ED11BA" w:rsidRDefault="00D024D8" w:rsidP="00D024D8">
      <w:pPr>
        <w:spacing w:before="240" w:after="240"/>
        <w:ind w:left="1843" w:hanging="1559"/>
        <w:jc w:val="both"/>
        <w:rPr>
          <w:rFonts w:ascii="Bookman Old Style" w:hAnsi="Bookman Old Style" w:cs="Arial"/>
          <w:bCs/>
          <w:color w:val="000000"/>
        </w:rPr>
      </w:pPr>
      <w:r w:rsidRPr="00ED11BA">
        <w:rPr>
          <w:rFonts w:ascii="Bookman Old Style" w:hAnsi="Bookman Old Style" w:cs="Arial"/>
          <w:bCs/>
          <w:color w:val="000000"/>
        </w:rPr>
        <w:t>IMT</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r>
      <w:r w:rsidRPr="00ED11BA">
        <w:rPr>
          <w:rFonts w:ascii="Bookman Old Style" w:hAnsi="Bookman Old Style"/>
          <w:lang w:val="es-ES_tradnl"/>
        </w:rPr>
        <w:t xml:space="preserve">Ingreso mensual a pagar </w:t>
      </w:r>
      <w:r w:rsidRPr="00ED11BA">
        <w:rPr>
          <w:rFonts w:ascii="Bookman Old Style" w:hAnsi="Bookman Old Style" w:cs="Arial"/>
          <w:bCs/>
          <w:color w:val="000000"/>
        </w:rPr>
        <w:t>durante la operación anticipada del proyecto, en el mes m.</w:t>
      </w:r>
    </w:p>
    <w:p w14:paraId="14721E7D" w14:textId="77777777" w:rsidR="00D024D8" w:rsidRPr="0051077F" w:rsidRDefault="00D024D8" w:rsidP="00D024D8">
      <w:pPr>
        <w:spacing w:before="240" w:after="240"/>
        <w:ind w:left="1843" w:hanging="1559"/>
        <w:jc w:val="both"/>
        <w:rPr>
          <w:rFonts w:ascii="Bookman Old Style" w:hAnsi="Bookman Old Style" w:cs="Arial"/>
          <w:bCs/>
          <w:i/>
          <w:i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Valor del veinticinco por ciento (25%) de incentivo por fecha anticipada de entrada en operación</w:t>
      </w:r>
      <w:r w:rsidRPr="0051077F">
        <w:rPr>
          <w:rFonts w:ascii="Bookman Old Style" w:hAnsi="Bookman Old Style" w:cs="Arial"/>
          <w:bCs/>
          <w:i/>
          <w:iCs/>
          <w:color w:val="000000"/>
        </w:rPr>
        <w:t xml:space="preserve">. </w:t>
      </w:r>
    </w:p>
    <w:p w14:paraId="79085987" w14:textId="64B7332E" w:rsidR="00D024D8" w:rsidRPr="00ED11BA" w:rsidRDefault="00D024D8" w:rsidP="00D024D8">
      <w:pPr>
        <w:spacing w:before="240" w:after="240"/>
        <w:ind w:left="1843" w:hanging="1559"/>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w:t>
      </w:r>
      <w:r w:rsidR="00421C2E" w:rsidRPr="00ED11BA">
        <w:rPr>
          <w:rFonts w:ascii="Bookman Old Style" w:hAnsi="Bookman Old Style" w:cs="Arial"/>
          <w:b/>
          <w:color w:val="000000"/>
          <w:u w:val="single"/>
        </w:rPr>
        <w:t>PEP</w:t>
      </w:r>
      <w:r w:rsidRPr="00ED11BA">
        <w:rPr>
          <w:rFonts w:ascii="Bookman Old Style" w:hAnsi="Bookman Old Style" w:cs="Arial"/>
          <w:bCs/>
          <w:color w:val="000000"/>
        </w:rPr>
        <w:t xml:space="preserve">, que se obtiene de dividir por 12 </w:t>
      </w:r>
      <w:r w:rsidR="005E4D3A" w:rsidRPr="00ED11BA">
        <w:rPr>
          <w:rFonts w:ascii="Bookman Old Style" w:hAnsi="Bookman Old Style" w:cs="Arial"/>
          <w:b/>
          <w:color w:val="000000"/>
          <w:u w:val="single"/>
        </w:rPr>
        <w:t>la suma de los valores de IAE INVERSIÓN e IAE AOM</w:t>
      </w:r>
      <w:r w:rsidRPr="00ED11BA">
        <w:rPr>
          <w:rFonts w:ascii="Bookman Old Style" w:hAnsi="Bookman Old Style" w:cs="Arial"/>
          <w:b/>
          <w:color w:val="000000"/>
          <w:u w:val="single"/>
        </w:rPr>
        <w:t>.</w:t>
      </w:r>
    </w:p>
    <w:p w14:paraId="505F921E" w14:textId="6333464C" w:rsidR="00D024D8" w:rsidRPr="00960750" w:rsidRDefault="00D024D8" w:rsidP="00ED11BA">
      <w:pPr>
        <w:pStyle w:val="Prrafodelista"/>
        <w:ind w:left="0"/>
        <w:jc w:val="both"/>
        <w:rPr>
          <w:rFonts w:ascii="Bookman Old Style" w:hAnsi="Bookman Old Style"/>
          <w:sz w:val="24"/>
          <w:szCs w:val="24"/>
        </w:rPr>
      </w:pPr>
      <w:r w:rsidRPr="00ED11BA">
        <w:rPr>
          <w:rFonts w:ascii="Bookman Old Style" w:hAnsi="Bookman Old Style" w:cs="Arial"/>
          <w:b/>
          <w:color w:val="000000"/>
          <w:sz w:val="24"/>
          <w:szCs w:val="24"/>
        </w:rPr>
        <w:t xml:space="preserve">Parágrafo 1: </w:t>
      </w:r>
      <w:r w:rsidRPr="00ED11BA">
        <w:rPr>
          <w:rFonts w:ascii="Bookman Old Style" w:hAnsi="Bookman Old Style"/>
          <w:bCs/>
          <w:sz w:val="24"/>
          <w:szCs w:val="24"/>
        </w:rPr>
        <w:t>Si l</w:t>
      </w:r>
      <w:r w:rsidRPr="00ED11BA">
        <w:rPr>
          <w:rFonts w:ascii="Bookman Old Style" w:hAnsi="Bookman Old Style"/>
          <w:sz w:val="24"/>
          <w:szCs w:val="24"/>
        </w:rPr>
        <w:t>a fecha anticipada de entrada en operación no está establecida en el Plan de Abastecimiento de Gas Natural vigente, el adjudicatario podrá poner en operación el proyecto sin recibir los pagos mencionados anteriormente hasta la FPO</w:t>
      </w:r>
      <w:r w:rsidR="005E4D3A">
        <w:rPr>
          <w:rFonts w:ascii="Bookman Old Style" w:hAnsi="Bookman Old Style"/>
          <w:sz w:val="24"/>
          <w:szCs w:val="24"/>
        </w:rPr>
        <w:t xml:space="preserve"> </w:t>
      </w:r>
      <w:r w:rsidR="005E4D3A" w:rsidRPr="00ED11BA">
        <w:rPr>
          <w:rFonts w:ascii="Bookman Old Style" w:hAnsi="Bookman Old Style"/>
          <w:b/>
          <w:bCs/>
          <w:sz w:val="24"/>
          <w:szCs w:val="24"/>
          <w:u w:val="single"/>
        </w:rPr>
        <w:t>inicialmente establecida por el MME en el PAGN</w:t>
      </w:r>
      <w:r w:rsidR="005E4D3A">
        <w:rPr>
          <w:rFonts w:ascii="Bookman Old Style" w:hAnsi="Bookman Old Style"/>
          <w:sz w:val="24"/>
          <w:szCs w:val="24"/>
        </w:rPr>
        <w:t>.</w:t>
      </w:r>
      <w:r w:rsidRPr="00960750">
        <w:rPr>
          <w:rFonts w:ascii="Bookman Old Style" w:hAnsi="Bookman Old Style"/>
          <w:sz w:val="24"/>
          <w:szCs w:val="24"/>
        </w:rPr>
        <w:t xml:space="preserve"> </w:t>
      </w:r>
    </w:p>
    <w:p w14:paraId="7D756F52" w14:textId="77777777" w:rsidR="00D024D8" w:rsidRPr="00ED11BA" w:rsidRDefault="00D024D8" w:rsidP="00ED11BA">
      <w:pPr>
        <w:spacing w:before="240" w:after="240"/>
        <w:ind w:left="0"/>
        <w:jc w:val="both"/>
        <w:rPr>
          <w:rFonts w:ascii="Bookman Old Style" w:hAnsi="Bookman Old Style" w:cs="Arial"/>
          <w:bCs/>
          <w:color w:val="000000"/>
        </w:rPr>
      </w:pPr>
      <w:r w:rsidRPr="00ED11BA">
        <w:rPr>
          <w:rFonts w:ascii="Bookman Old Style" w:hAnsi="Bookman Old Style" w:cs="Arial"/>
          <w:b/>
          <w:color w:val="000000"/>
        </w:rPr>
        <w:lastRenderedPageBreak/>
        <w:t xml:space="preserve">Parágrafo 2: </w:t>
      </w:r>
      <w:r w:rsidRPr="00ED11BA">
        <w:rPr>
          <w:rFonts w:ascii="Bookman Old Style" w:hAnsi="Bookman Old Style" w:cs="Arial"/>
          <w:bCs/>
          <w:color w:val="000000"/>
        </w:rPr>
        <w:t>Con el fin de determinar el valor a facturar por parte del adjudicatario a los transportadores, se deberá aplicar lo contemplado en el Artículo 17 de la resolución CREG 107 de 2017 o aquellas que la modifiquen o sustituyan.</w:t>
      </w:r>
    </w:p>
    <w:p w14:paraId="52B044CF" w14:textId="30943B81" w:rsidR="00336406" w:rsidRPr="00960750" w:rsidRDefault="00336406" w:rsidP="00ED11BA">
      <w:pPr>
        <w:pStyle w:val="ARTICULOS"/>
        <w:ind w:left="0"/>
      </w:pPr>
      <w:r w:rsidRPr="00ED11BA">
        <w:rPr>
          <w:b/>
        </w:rPr>
        <w:t>Ingreso regulado durante la operación parcial anticipada de la infraestructura de importación del gas del pacífico</w:t>
      </w:r>
      <w:r w:rsidRPr="00ED11BA">
        <w:rPr>
          <w:bCs/>
        </w:rPr>
        <w:t>. El ingreso regulado durante la operación parcial anticipada, por cada mes de operación en el período establecido en el literal d) del Artículo 12 de la Resolución CREG 107 de 2017 y aquellas que la modifiquen o sustituyan, se calculará, aplicando la siguiente ecuación:</w:t>
      </w:r>
    </w:p>
    <w:bookmarkStart w:id="12" w:name="OLE_LINK1"/>
    <w:p w14:paraId="4F4CA64B" w14:textId="1DB43B37" w:rsidR="00336406" w:rsidRPr="00ED11BA" w:rsidRDefault="008B0FDB" w:rsidP="00336406">
      <w:pPr>
        <w:spacing w:before="240" w:after="240"/>
        <w:ind w:left="284"/>
        <w:jc w:val="center"/>
        <w:rPr>
          <w:rFonts w:ascii="Bookman Old Style" w:hAnsi="Bookman Old Style" w:cs="Arial"/>
          <w:bCs/>
          <w:color w:val="000000"/>
          <w:sz w:val="20"/>
          <w:szCs w:val="20"/>
        </w:rPr>
      </w:pPr>
      <m:oMathPara>
        <m:oMath>
          <m:sSub>
            <m:sSubPr>
              <m:ctrlPr>
                <w:rPr>
                  <w:rFonts w:ascii="Cambria Math" w:hAnsi="Cambria Math" w:cs="Arial"/>
                  <w:bCs/>
                  <w:color w:val="000000"/>
                  <w:sz w:val="20"/>
                  <w:szCs w:val="20"/>
                </w:rPr>
              </m:ctrlPr>
            </m:sSubPr>
            <m:e>
              <m:r>
                <m:rPr>
                  <m:sty m:val="p"/>
                </m:rPr>
                <w:rPr>
                  <w:rFonts w:ascii="Cambria Math" w:hAnsi="Cambria Math" w:cs="Arial"/>
                  <w:color w:val="000000"/>
                  <w:sz w:val="20"/>
                  <w:szCs w:val="20"/>
                </w:rPr>
                <m:t>IMT</m:t>
              </m:r>
            </m:e>
            <m:sub>
              <m:r>
                <m:rPr>
                  <m:sty m:val="p"/>
                </m:rPr>
                <w:rPr>
                  <w:rFonts w:ascii="Cambria Math" w:hAnsi="Cambria Math" w:cs="Arial"/>
                  <w:color w:val="000000"/>
                  <w:sz w:val="20"/>
                  <w:szCs w:val="20"/>
                </w:rPr>
                <m:t>m</m:t>
              </m:r>
            </m:sub>
          </m:sSub>
          <m:r>
            <m:rPr>
              <m:sty m:val="p"/>
            </m:rPr>
            <w:rPr>
              <w:rFonts w:ascii="Cambria Math" w:hAnsi="Cambria Math" w:cs="Arial"/>
              <w:color w:val="000000"/>
              <w:sz w:val="20"/>
              <w:szCs w:val="20"/>
            </w:rPr>
            <m:t xml:space="preserve"> =</m:t>
          </m:r>
          <m:d>
            <m:dPr>
              <m:ctrlPr>
                <w:rPr>
                  <w:rFonts w:ascii="Cambria Math" w:hAnsi="Cambria Math" w:cs="Arial"/>
                  <w:bCs/>
                  <w:color w:val="000000"/>
                  <w:sz w:val="20"/>
                  <w:szCs w:val="20"/>
                </w:rPr>
              </m:ctrlPr>
            </m:dPr>
            <m:e>
              <m:r>
                <m:rPr>
                  <m:sty m:val="p"/>
                </m:rPr>
                <w:rPr>
                  <w:rFonts w:ascii="Cambria Math" w:hAnsi="Cambria Math" w:cs="Arial"/>
                  <w:color w:val="000000"/>
                  <w:sz w:val="20"/>
                  <w:szCs w:val="20"/>
                </w:rPr>
                <m:t>1+%adicional</m:t>
              </m:r>
            </m:e>
          </m:d>
          <m:r>
            <m:rPr>
              <m:sty m:val="p"/>
            </m:rPr>
            <w:rPr>
              <w:rFonts w:ascii="Cambria Math" w:hAnsi="Cambria Math" w:cs="Arial"/>
              <w:color w:val="000000"/>
              <w:sz w:val="20"/>
              <w:szCs w:val="20"/>
            </w:rPr>
            <m:t xml:space="preserve"> ×</m:t>
          </m:r>
          <m:d>
            <m:dPr>
              <m:begChr m:val="["/>
              <m:endChr m:val="]"/>
              <m:ctrlPr>
                <w:rPr>
                  <w:rFonts w:ascii="Cambria Math" w:hAnsi="Cambria Math" w:cs="Arial"/>
                  <w:color w:val="000000"/>
                  <w:sz w:val="20"/>
                  <w:szCs w:val="20"/>
                </w:rPr>
              </m:ctrlPr>
            </m:dPr>
            <m:e>
              <m:d>
                <m:dPr>
                  <m:ctrlPr>
                    <w:rPr>
                      <w:rFonts w:ascii="Cambria Math" w:hAnsi="Cambria Math" w:cs="Arial"/>
                      <w:bCs/>
                      <w:color w:val="000000"/>
                      <w:sz w:val="20"/>
                      <w:szCs w:val="20"/>
                    </w:rPr>
                  </m:ctrlPr>
                </m:dPr>
                <m:e>
                  <m:f>
                    <m:fPr>
                      <m:ctrlPr>
                        <w:rPr>
                          <w:rFonts w:ascii="Cambria Math" w:hAnsi="Cambria Math" w:cs="Arial"/>
                          <w:bCs/>
                          <w:color w:val="000000"/>
                          <w:sz w:val="20"/>
                          <w:szCs w:val="20"/>
                        </w:rPr>
                      </m:ctrlPr>
                    </m:fPr>
                    <m:num>
                      <m:sSub>
                        <m:sSubPr>
                          <m:ctrlPr>
                            <w:rPr>
                              <w:rFonts w:ascii="Cambria Math" w:hAnsi="Cambria Math" w:cs="Arial"/>
                              <w:bCs/>
                              <w:color w:val="000000"/>
                              <w:sz w:val="20"/>
                              <w:szCs w:val="20"/>
                            </w:rPr>
                          </m:ctrlPr>
                        </m:sSubPr>
                        <m:e>
                          <m:r>
                            <m:rPr>
                              <m:sty m:val="p"/>
                            </m:rPr>
                            <w:rPr>
                              <w:rFonts w:ascii="Cambria Math" w:hAnsi="Cambria Math" w:cs="Arial"/>
                              <w:color w:val="000000"/>
                              <w:sz w:val="20"/>
                              <w:szCs w:val="20"/>
                            </w:rPr>
                            <m:t>COPYPOP</m:t>
                          </m:r>
                        </m:e>
                        <m:sub>
                          <m:r>
                            <m:rPr>
                              <m:sty m:val="p"/>
                            </m:rPr>
                            <w:rPr>
                              <w:rFonts w:ascii="Cambria Math" w:hAnsi="Cambria Math" w:cs="Arial"/>
                              <w:color w:val="000000"/>
                              <w:sz w:val="20"/>
                              <w:szCs w:val="20"/>
                            </w:rPr>
                            <m:t>m</m:t>
                          </m:r>
                        </m:sub>
                      </m:sSub>
                    </m:num>
                    <m:den>
                      <m:r>
                        <m:rPr>
                          <m:sty m:val="p"/>
                        </m:rPr>
                        <w:rPr>
                          <w:rFonts w:ascii="Cambria Math" w:hAnsi="Cambria Math" w:cs="Arial"/>
                          <w:color w:val="000000"/>
                          <w:sz w:val="20"/>
                          <w:szCs w:val="20"/>
                        </w:rPr>
                        <m:t>CDSIY</m:t>
                      </m:r>
                    </m:den>
                  </m:f>
                </m:e>
              </m:d>
              <m:r>
                <m:rPr>
                  <m:sty m:val="p"/>
                </m:rPr>
                <w:rPr>
                  <w:rFonts w:ascii="Cambria Math" w:hAnsi="Cambria Math" w:cs="Arial"/>
                  <w:color w:val="000000"/>
                  <w:sz w:val="20"/>
                  <w:szCs w:val="20"/>
                </w:rPr>
                <m:t xml:space="preserve"> ×</m:t>
              </m:r>
              <m:sSub>
                <m:sSubPr>
                  <m:ctrlPr>
                    <w:rPr>
                      <w:rFonts w:ascii="Cambria Math" w:hAnsi="Cambria Math" w:cs="Arial"/>
                      <w:bCs/>
                      <w:color w:val="000000"/>
                      <w:sz w:val="20"/>
                      <w:szCs w:val="20"/>
                    </w:rPr>
                  </m:ctrlPr>
                </m:sSubPr>
                <m:e>
                  <m:r>
                    <m:rPr>
                      <m:sty m:val="p"/>
                    </m:rPr>
                    <w:rPr>
                      <w:rFonts w:ascii="Cambria Math" w:hAnsi="Cambria Math" w:cs="Arial"/>
                      <w:color w:val="000000"/>
                      <w:sz w:val="20"/>
                      <w:szCs w:val="20"/>
                    </w:rPr>
                    <m:t>IM</m:t>
                  </m:r>
                </m:e>
                <m:sub>
                  <m:r>
                    <m:rPr>
                      <m:sty m:val="p"/>
                    </m:rPr>
                    <w:rPr>
                      <w:rFonts w:ascii="Cambria Math" w:hAnsi="Cambria Math" w:cs="Arial"/>
                      <w:color w:val="000000"/>
                      <w:sz w:val="20"/>
                      <w:szCs w:val="20"/>
                    </w:rPr>
                    <m:t>1</m:t>
                  </m:r>
                </m:sub>
              </m:sSub>
            </m:e>
          </m:d>
          <m:r>
            <m:rPr>
              <m:sty m:val="p"/>
            </m:rPr>
            <w:rPr>
              <w:rFonts w:ascii="Cambria Math" w:hAnsi="Cambria Math" w:cs="Arial"/>
              <w:color w:val="000000"/>
              <w:sz w:val="20"/>
              <w:szCs w:val="20"/>
            </w:rPr>
            <m:t xml:space="preserve"> </m:t>
          </m:r>
        </m:oMath>
      </m:oMathPara>
    </w:p>
    <w:p w14:paraId="4A947711" w14:textId="77777777" w:rsidR="00336406" w:rsidRPr="00ED11BA" w:rsidRDefault="00336406" w:rsidP="00336406">
      <w:pPr>
        <w:spacing w:before="240" w:after="240"/>
        <w:ind w:left="284"/>
        <w:jc w:val="both"/>
        <w:rPr>
          <w:rFonts w:ascii="Bookman Old Style" w:hAnsi="Bookman Old Style" w:cs="Arial"/>
          <w:bCs/>
          <w:color w:val="000000"/>
        </w:rPr>
      </w:pPr>
      <w:r w:rsidRPr="00ED11BA">
        <w:rPr>
          <w:rFonts w:ascii="Bookman Old Style" w:hAnsi="Bookman Old Style" w:cs="Arial"/>
          <w:bCs/>
          <w:color w:val="000000"/>
        </w:rPr>
        <w:t>Donde:</w:t>
      </w:r>
    </w:p>
    <w:bookmarkEnd w:id="12"/>
    <w:p w14:paraId="3CA8AFA0"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IMT</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Ingreso </w:t>
      </w:r>
      <w:r w:rsidRPr="00ED11BA">
        <w:rPr>
          <w:rFonts w:ascii="Bookman Old Style" w:hAnsi="Bookman Old Style"/>
          <w:lang w:val="es-ES_tradnl"/>
        </w:rPr>
        <w:t>mensual a pagar</w:t>
      </w:r>
      <w:r w:rsidRPr="00ED11BA">
        <w:rPr>
          <w:rFonts w:ascii="Bookman Old Style" w:hAnsi="Bookman Old Style" w:cs="Arial"/>
          <w:bCs/>
          <w:color w:val="000000"/>
        </w:rPr>
        <w:t xml:space="preserve"> durante la operación anticipada parcial, en el mes m.</w:t>
      </w:r>
    </w:p>
    <w:p w14:paraId="2E666EE8"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Porcentaje del veinticinco por ciento 25% de incentivo por operación parcial. </w:t>
      </w:r>
    </w:p>
    <w:p w14:paraId="2AB995B2" w14:textId="77777777" w:rsidR="00336406" w:rsidRPr="00ED11BA" w:rsidRDefault="00336406" w:rsidP="00336406">
      <w:pPr>
        <w:spacing w:before="240" w:after="240"/>
        <w:ind w:left="1701" w:hanging="1417"/>
        <w:jc w:val="both"/>
        <w:rPr>
          <w:rFonts w:ascii="Bookman Old Style" w:hAnsi="Bookman Old Style"/>
        </w:rPr>
      </w:pPr>
      <w:r w:rsidRPr="00ED11BA">
        <w:rPr>
          <w:rFonts w:ascii="Bookman Old Style" w:hAnsi="Bookman Old Style" w:cs="Arial"/>
          <w:bCs/>
          <w:color w:val="000000"/>
        </w:rPr>
        <w:t>COPYPOP</w:t>
      </w:r>
      <w:r w:rsidRPr="00ED11BA">
        <w:rPr>
          <w:rFonts w:ascii="Bookman Old Style" w:hAnsi="Bookman Old Style" w:cs="Arial"/>
          <w:bCs/>
          <w:color w:val="000000"/>
          <w:vertAlign w:val="subscript"/>
        </w:rPr>
        <w:t>m</w:t>
      </w:r>
      <w:r w:rsidRPr="00ED11BA">
        <w:rPr>
          <w:rFonts w:ascii="Bookman Old Style" w:hAnsi="Bookman Old Style" w:cs="Arial"/>
          <w:bCs/>
          <w:color w:val="000000"/>
        </w:rPr>
        <w:t xml:space="preserve">: </w:t>
      </w:r>
      <w:r w:rsidRPr="00ED11BA">
        <w:rPr>
          <w:rFonts w:ascii="Bookman Old Style" w:hAnsi="Bookman Old Style" w:cs="Arial"/>
          <w:bCs/>
          <w:color w:val="000000"/>
        </w:rPr>
        <w:tab/>
        <w:t>Capacidad puesta en operación parcial para entrega de gas</w:t>
      </w:r>
      <w:r w:rsidRPr="00ED11BA">
        <w:rPr>
          <w:rFonts w:ascii="Bookman Old Style" w:hAnsi="Bookman Old Style"/>
        </w:rPr>
        <w:t xml:space="preserve"> natural regasificado al Sistema Nacional de Transporte en un punto de entrega ubicado en el límite geopolítico del municipio de Yumbo – Valle del Cauca, en el mes m, dado en MPCD.</w:t>
      </w:r>
    </w:p>
    <w:p w14:paraId="2CB09838" w14:textId="77777777"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0DCC6BEC" w14:textId="489E7414" w:rsidR="00336406" w:rsidRPr="00ED11BA" w:rsidRDefault="00336406" w:rsidP="00336406">
      <w:pPr>
        <w:spacing w:before="240" w:after="240"/>
        <w:ind w:left="1701"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w:t>
      </w:r>
      <w:r w:rsidR="00550B6A" w:rsidRPr="00ED11BA">
        <w:rPr>
          <w:rFonts w:ascii="Bookman Old Style" w:hAnsi="Bookman Old Style" w:cs="Arial"/>
          <w:b/>
          <w:color w:val="000000"/>
          <w:u w:val="single"/>
        </w:rPr>
        <w:t>PEP</w:t>
      </w:r>
      <w:r w:rsidRPr="00ED11BA">
        <w:rPr>
          <w:rFonts w:ascii="Bookman Old Style" w:hAnsi="Bookman Old Style" w:cs="Arial"/>
          <w:bCs/>
          <w:color w:val="000000"/>
        </w:rPr>
        <w:t xml:space="preserve">, que se obtiene de dividir por 12 </w:t>
      </w:r>
      <w:r w:rsidR="00550B6A" w:rsidRPr="00ED11BA">
        <w:rPr>
          <w:rFonts w:ascii="Bookman Old Style" w:hAnsi="Bookman Old Style" w:cs="Arial"/>
          <w:b/>
          <w:color w:val="000000"/>
          <w:u w:val="single"/>
        </w:rPr>
        <w:t xml:space="preserve">la suma </w:t>
      </w:r>
      <w:r w:rsidR="008E633E" w:rsidRPr="00ED11BA">
        <w:rPr>
          <w:rFonts w:ascii="Bookman Old Style" w:hAnsi="Bookman Old Style" w:cs="Arial"/>
          <w:b/>
          <w:color w:val="000000"/>
          <w:u w:val="single"/>
        </w:rPr>
        <w:t xml:space="preserve">de los valores </w:t>
      </w:r>
      <w:r w:rsidR="001D68B0" w:rsidRPr="00ED11BA">
        <w:rPr>
          <w:rFonts w:ascii="Bookman Old Style" w:hAnsi="Bookman Old Style" w:cs="Arial"/>
          <w:b/>
          <w:color w:val="000000"/>
          <w:u w:val="single"/>
        </w:rPr>
        <w:t>IAE INVERSIÓN e IAE AOM</w:t>
      </w:r>
      <w:r w:rsidRPr="00ED11BA">
        <w:rPr>
          <w:rFonts w:ascii="Bookman Old Style" w:hAnsi="Bookman Old Style" w:cs="Arial"/>
          <w:bCs/>
          <w:color w:val="000000"/>
        </w:rPr>
        <w:t>.</w:t>
      </w:r>
    </w:p>
    <w:p w14:paraId="7654EC76" w14:textId="5C02717D" w:rsidR="00336406" w:rsidRPr="00960750" w:rsidRDefault="00336406" w:rsidP="00336406">
      <w:pPr>
        <w:pStyle w:val="Prrafodelista"/>
        <w:ind w:left="284"/>
        <w:jc w:val="both"/>
        <w:rPr>
          <w:rFonts w:ascii="Bookman Old Style" w:hAnsi="Bookman Old Style"/>
          <w:sz w:val="24"/>
          <w:szCs w:val="24"/>
        </w:rPr>
      </w:pPr>
      <w:r w:rsidRPr="00ED11BA">
        <w:rPr>
          <w:rFonts w:ascii="Bookman Old Style" w:hAnsi="Bookman Old Style" w:cs="Arial"/>
          <w:b/>
          <w:color w:val="000000"/>
          <w:sz w:val="24"/>
          <w:szCs w:val="24"/>
        </w:rPr>
        <w:t xml:space="preserve">Parágrafo 1: </w:t>
      </w:r>
      <w:r w:rsidRPr="00ED11BA">
        <w:rPr>
          <w:rFonts w:ascii="Bookman Old Style" w:hAnsi="Bookman Old Style"/>
          <w:bCs/>
          <w:sz w:val="24"/>
          <w:szCs w:val="24"/>
        </w:rPr>
        <w:t>Si l</w:t>
      </w:r>
      <w:r w:rsidRPr="00ED11BA">
        <w:rPr>
          <w:rFonts w:ascii="Bookman Old Style" w:hAnsi="Bookman Old Style"/>
          <w:sz w:val="24"/>
          <w:szCs w:val="24"/>
        </w:rPr>
        <w:t>a fecha anticipada de entrada en operación no está establecida en el Plan de Abastecimiento de Gas Natural, el adjudicatario podrá poner en operación el proyecto sin recibir los pagos mencionados anteriormente, hasta la FPO</w:t>
      </w:r>
      <w:r w:rsidR="0000257B">
        <w:rPr>
          <w:rFonts w:ascii="Bookman Old Style" w:hAnsi="Bookman Old Style"/>
          <w:sz w:val="24"/>
          <w:szCs w:val="24"/>
        </w:rPr>
        <w:t xml:space="preserve"> </w:t>
      </w:r>
      <w:r w:rsidR="0000257B" w:rsidRPr="00ED11BA">
        <w:rPr>
          <w:rFonts w:ascii="Bookman Old Style" w:hAnsi="Bookman Old Style"/>
          <w:b/>
          <w:bCs/>
          <w:sz w:val="24"/>
          <w:szCs w:val="24"/>
          <w:u w:val="single"/>
        </w:rPr>
        <w:t>inicialmente establecida</w:t>
      </w:r>
      <w:r w:rsidRPr="00ED11BA">
        <w:rPr>
          <w:rFonts w:ascii="Bookman Old Style" w:hAnsi="Bookman Old Style"/>
          <w:sz w:val="24"/>
          <w:szCs w:val="24"/>
        </w:rPr>
        <w:t>.</w:t>
      </w:r>
      <w:r w:rsidRPr="00960750">
        <w:rPr>
          <w:rFonts w:ascii="Bookman Old Style" w:hAnsi="Bookman Old Style"/>
          <w:sz w:val="24"/>
          <w:szCs w:val="24"/>
        </w:rPr>
        <w:t xml:space="preserve"> </w:t>
      </w:r>
    </w:p>
    <w:p w14:paraId="33005FC2" w14:textId="77777777" w:rsidR="00336406" w:rsidRPr="00ED11BA" w:rsidRDefault="00336406" w:rsidP="00336406">
      <w:pPr>
        <w:spacing w:before="240" w:after="240"/>
        <w:ind w:left="284"/>
        <w:jc w:val="both"/>
        <w:rPr>
          <w:rFonts w:ascii="Bookman Old Style" w:hAnsi="Bookman Old Style" w:cs="Arial"/>
          <w:b/>
          <w:color w:val="000000"/>
        </w:rPr>
      </w:pPr>
      <w:r w:rsidRPr="00ED11BA">
        <w:rPr>
          <w:rFonts w:ascii="Bookman Old Style" w:hAnsi="Bookman Old Style" w:cs="Arial"/>
          <w:b/>
          <w:color w:val="000000"/>
        </w:rPr>
        <w:t xml:space="preserve">Parágrafo 2: </w:t>
      </w:r>
      <w:r w:rsidRPr="00ED11BA">
        <w:rPr>
          <w:rFonts w:ascii="Bookman Old Style" w:hAnsi="Bookman Old Style" w:cs="Arial"/>
          <w:bCs/>
          <w:color w:val="000000"/>
        </w:rPr>
        <w:t>Con el fin de determinar el valor a facturar por parte del adjudicatario a los transportadores, se deberá aplicar lo contemplado en el Artículo 17 de la resolución CREG 107 de 2017 o aquellas que la modifiquen o sustituyan.</w:t>
      </w:r>
    </w:p>
    <w:p w14:paraId="306656BE" w14:textId="1291BE6A" w:rsidR="00336406" w:rsidRPr="00ED11BA" w:rsidRDefault="00336406" w:rsidP="00336406">
      <w:pPr>
        <w:spacing w:before="240" w:after="240"/>
        <w:ind w:left="284"/>
        <w:jc w:val="both"/>
        <w:rPr>
          <w:rFonts w:ascii="Bookman Old Style" w:hAnsi="Bookman Old Style" w:cs="Arial"/>
          <w:b/>
          <w:color w:val="000000"/>
        </w:rPr>
      </w:pPr>
      <w:r w:rsidRPr="00ED11BA">
        <w:rPr>
          <w:rFonts w:ascii="Bookman Old Style" w:hAnsi="Bookman Old Style" w:cs="Arial"/>
          <w:b/>
          <w:color w:val="000000"/>
        </w:rPr>
        <w:t xml:space="preserve">Parágrafo 3: </w:t>
      </w:r>
      <w:r w:rsidRPr="00ED11BA">
        <w:rPr>
          <w:rFonts w:ascii="Bookman Old Style" w:hAnsi="Bookman Old Style" w:cs="Arial"/>
          <w:bCs/>
          <w:color w:val="000000"/>
        </w:rPr>
        <w:t xml:space="preserve">Para efectos de reconocimiento de ingreso regulado por operación parcial, la fecha de puesta en operación parcial </w:t>
      </w:r>
      <w:r w:rsidR="00E014D1" w:rsidRPr="00ED11BA">
        <w:rPr>
          <w:rFonts w:ascii="Bookman Old Style" w:hAnsi="Bookman Old Style" w:cs="Arial"/>
          <w:b/>
          <w:color w:val="000000"/>
          <w:u w:val="single"/>
        </w:rPr>
        <w:t xml:space="preserve">certificada por el auditor del proyecto </w:t>
      </w:r>
      <w:r w:rsidRPr="00ED11BA">
        <w:rPr>
          <w:rFonts w:ascii="Bookman Old Style" w:hAnsi="Bookman Old Style" w:cs="Arial"/>
          <w:bCs/>
          <w:color w:val="000000"/>
        </w:rPr>
        <w:t xml:space="preserve">no podrá ser posterior a </w:t>
      </w:r>
      <w:r w:rsidRPr="00ED11BA">
        <w:rPr>
          <w:rFonts w:ascii="Bookman Old Style" w:hAnsi="Bookman Old Style" w:cs="Arial"/>
          <w:color w:val="000000"/>
        </w:rPr>
        <w:t>la fecha señalada en el literal c) del numeral vii) del numeral 1.2 del Artículo 1 de la Resolución 40304 del Ministerio de Minas y Energía, o aquellas que la modifiquen o sustituyan.</w:t>
      </w:r>
    </w:p>
    <w:p w14:paraId="611A7284" w14:textId="77777777" w:rsidR="00336406" w:rsidRPr="00ED11BA" w:rsidRDefault="00336406" w:rsidP="00336406">
      <w:pPr>
        <w:spacing w:before="240" w:after="240"/>
        <w:ind w:left="284"/>
        <w:jc w:val="both"/>
        <w:rPr>
          <w:rFonts w:ascii="Bookman Old Style" w:hAnsi="Bookman Old Style" w:cs="Arial"/>
          <w:b/>
          <w:color w:val="000000"/>
        </w:rPr>
      </w:pPr>
      <w:r w:rsidRPr="00ED11BA">
        <w:rPr>
          <w:rFonts w:ascii="Bookman Old Style" w:hAnsi="Bookman Old Style" w:cs="Arial"/>
          <w:b/>
          <w:color w:val="000000"/>
        </w:rPr>
        <w:lastRenderedPageBreak/>
        <w:t>Parágrafo 4:</w:t>
      </w:r>
      <w:r w:rsidRPr="00ED11BA">
        <w:rPr>
          <w:rFonts w:ascii="Bookman Old Style" w:hAnsi="Bookman Old Style" w:cs="Arial"/>
          <w:bCs/>
          <w:color w:val="000000"/>
        </w:rPr>
        <w:t xml:space="preserve"> Durante la operación parcial, para la entrega de gas regasificado al Sistema Nacional de Transporte </w:t>
      </w:r>
      <w:r w:rsidRPr="00ED11BA">
        <w:rPr>
          <w:rFonts w:ascii="Bookman Old Style" w:hAnsi="Bookman Old Style"/>
        </w:rPr>
        <w:t>en un punto de entrega ubicado en el límite geopolítico del municipio de Yumbo – Valle del Cauca, el adjudicatario podrá utilizar modos de transporte de gas diferentes al transporte por gasoducto.</w:t>
      </w:r>
    </w:p>
    <w:p w14:paraId="4EA81455" w14:textId="01D7FF48" w:rsidR="00336406" w:rsidRPr="00ED11BA" w:rsidRDefault="00336406" w:rsidP="00336406">
      <w:pPr>
        <w:spacing w:before="240" w:after="240"/>
        <w:ind w:left="284"/>
        <w:jc w:val="both"/>
        <w:rPr>
          <w:rFonts w:ascii="Bookman Old Style" w:hAnsi="Bookman Old Style" w:cs="Arial"/>
          <w:bCs/>
          <w:color w:val="000000"/>
        </w:rPr>
      </w:pPr>
      <w:r w:rsidRPr="00ED11BA">
        <w:rPr>
          <w:rFonts w:ascii="Bookman Old Style" w:hAnsi="Bookman Old Style" w:cs="Arial"/>
          <w:b/>
          <w:color w:val="000000"/>
        </w:rPr>
        <w:t>Parágrafo 5:</w:t>
      </w:r>
      <w:r w:rsidRPr="00ED11BA">
        <w:rPr>
          <w:rFonts w:ascii="Bookman Old Style" w:hAnsi="Bookman Old Style" w:cs="Arial"/>
          <w:bCs/>
          <w:color w:val="000000"/>
        </w:rPr>
        <w:t xml:space="preserve"> El adjudicatario solicitará a la UPME un concepto sobre su propuesta de entrada en operación parcial anticipada, de acuerdo con el procedimiento que dicha entidad establezca para ese fin. Con base en lo anterior, el auditor deberá certificar el cumplimiento de dichos procedimientos y características y el valor de la capacidad puesta en operación parcial establecida en la ecuación anterior.</w:t>
      </w:r>
    </w:p>
    <w:p w14:paraId="6073BCBD" w14:textId="1A6634E8" w:rsidR="00184746" w:rsidRPr="00960750" w:rsidRDefault="00184746" w:rsidP="00ED11BA">
      <w:pPr>
        <w:pStyle w:val="ARTICULOS"/>
        <w:ind w:left="284"/>
      </w:pPr>
      <w:r w:rsidRPr="00ED11BA">
        <w:rPr>
          <w:b/>
          <w:bCs/>
          <w:lang w:val="es-CO"/>
        </w:rPr>
        <w:t>Compensaciones por indisponibilidad.</w:t>
      </w:r>
      <w:r w:rsidRPr="00ED11BA">
        <w:rPr>
          <w:lang w:val="es-CO"/>
        </w:rPr>
        <w:t xml:space="preserve"> El valor de las compensaciones por indisponibilidad de la infraestructura de importación de gas del Pacífico, que se establece en el literal b) del Artículo 18 de la Resolución CREG 107 de 2017, o aquellas que la modifiquen, adicionen o sustituyan, se determinará de la siguiente manera en el caso de que se presente una fecha anticipada de entrada en operación, ya sea parcial o total. En todo caso deberá tenerse en cuenta lo contemplado en los literales a), c), d) y e) de dicho artículo:</w:t>
      </w:r>
    </w:p>
    <w:p w14:paraId="531C7580" w14:textId="77777777" w:rsidR="00184746" w:rsidRPr="00ED11BA" w:rsidRDefault="00184746" w:rsidP="00184746">
      <w:pPr>
        <w:pStyle w:val="Prrafodelista"/>
        <w:numPr>
          <w:ilvl w:val="0"/>
          <w:numId w:val="48"/>
        </w:numPr>
        <w:spacing w:before="240" w:after="240"/>
        <w:jc w:val="both"/>
        <w:rPr>
          <w:rFonts w:ascii="Bookman Old Style" w:hAnsi="Bookman Old Style"/>
          <w:sz w:val="24"/>
          <w:szCs w:val="24"/>
        </w:rPr>
      </w:pPr>
      <w:r w:rsidRPr="00ED11BA">
        <w:rPr>
          <w:rFonts w:ascii="Bookman Old Style" w:hAnsi="Bookman Old Style"/>
          <w:sz w:val="24"/>
          <w:szCs w:val="24"/>
        </w:rPr>
        <w:t>En el evento de haberse cumplido con una fecha anticipada de entrada en operación de la Infraestructura de Importación de Gas del Pacifico:</w:t>
      </w:r>
    </w:p>
    <w:p w14:paraId="05D49D59" w14:textId="77777777" w:rsidR="00184746" w:rsidRPr="00ED11BA" w:rsidRDefault="00184746" w:rsidP="00184746">
      <w:pPr>
        <w:jc w:val="both"/>
        <w:rPr>
          <w:rFonts w:ascii="Bookman Old Style" w:hAnsi="Bookman Old Style"/>
        </w:rPr>
      </w:pPr>
      <w:r w:rsidRPr="00ED11BA">
        <w:rPr>
          <w:rFonts w:ascii="Bookman Old Style" w:hAnsi="Bookman Old Style"/>
        </w:rPr>
        <w:t>El adjudicatario informará al transportador responsable del recaudo de la porción del IAE del sistema de transporte t que atiende beneficiarios del proyecto, el valor de indisponibilidad en el mes m de prestación del servicio. Este valor lo calculará con base en la siguiente ecuación</w:t>
      </w:r>
    </w:p>
    <w:p w14:paraId="48A51DBF" w14:textId="51CC1F80" w:rsidR="00184746" w:rsidRPr="00960750" w:rsidRDefault="008B0FDB" w:rsidP="00184746">
      <w:pPr>
        <w:spacing w:before="240" w:after="240"/>
        <w:ind w:left="284"/>
        <w:jc w:val="both"/>
        <w:rPr>
          <w:rFonts w:ascii="Bookman Old Style" w:hAnsi="Bookman Old Style"/>
          <w:bCs/>
          <w:lang w:val="es-CO"/>
        </w:rPr>
      </w:pPr>
      <m:oMathPara>
        <m:oMath>
          <m:sSub>
            <m:sSubPr>
              <m:ctrlPr>
                <w:rPr>
                  <w:rFonts w:ascii="Cambria Math" w:hAnsi="Cambria Math"/>
                  <w:sz w:val="20"/>
                  <w:szCs w:val="20"/>
                  <w:lang w:val="es-CO"/>
                </w:rPr>
              </m:ctrlPr>
            </m:sSubPr>
            <m:e>
              <m:r>
                <m:rPr>
                  <m:sty m:val="p"/>
                </m:rPr>
                <w:rPr>
                  <w:rFonts w:ascii="Cambria Math" w:hAnsi="Cambria Math"/>
                  <w:sz w:val="20"/>
                  <w:szCs w:val="20"/>
                  <w:lang w:val="es-CO"/>
                </w:rPr>
                <m:t>COP</m:t>
              </m:r>
            </m:e>
            <m:sub>
              <m:r>
                <m:rPr>
                  <m:sty m:val="p"/>
                </m:rPr>
                <w:rPr>
                  <w:rFonts w:ascii="Cambria Math" w:hAnsi="Cambria Math"/>
                  <w:sz w:val="20"/>
                  <w:szCs w:val="20"/>
                  <w:lang w:val="es-CO"/>
                </w:rPr>
                <m:t>m</m:t>
              </m:r>
            </m:sub>
          </m:sSub>
          <m:r>
            <m:rPr>
              <m:sty m:val="p"/>
            </m:rPr>
            <w:rPr>
              <w:rFonts w:ascii="Cambria Math" w:hAnsi="Cambria Math"/>
              <w:sz w:val="20"/>
              <w:szCs w:val="20"/>
              <w:lang w:val="es-CO"/>
            </w:rPr>
            <m:t xml:space="preserve">= </m:t>
          </m:r>
          <m:d>
            <m:dPr>
              <m:ctrlPr>
                <w:rPr>
                  <w:rFonts w:ascii="Cambria Math" w:hAnsi="Cambria Math" w:cs="Arial"/>
                  <w:bCs/>
                  <w:color w:val="000000"/>
                  <w:sz w:val="20"/>
                  <w:szCs w:val="20"/>
                </w:rPr>
              </m:ctrlPr>
            </m:dPr>
            <m:e>
              <m:r>
                <m:rPr>
                  <m:sty m:val="p"/>
                </m:rPr>
                <w:rPr>
                  <w:rFonts w:ascii="Cambria Math" w:hAnsi="Cambria Math" w:cs="Arial"/>
                  <w:color w:val="000000"/>
                  <w:sz w:val="20"/>
                  <w:szCs w:val="20"/>
                </w:rPr>
                <m:t>1+%adicional</m:t>
              </m:r>
            </m:e>
          </m:d>
          <m:r>
            <m:rPr>
              <m:sty m:val="p"/>
            </m:rPr>
            <w:rPr>
              <w:rFonts w:ascii="Cambria Math" w:hAnsi="Cambria Math" w:cs="Arial"/>
              <w:color w:val="000000"/>
              <w:sz w:val="20"/>
              <w:szCs w:val="20"/>
            </w:rPr>
            <m:t xml:space="preserve"> ×</m:t>
          </m:r>
          <m:sSub>
            <m:sSubPr>
              <m:ctrlPr>
                <w:rPr>
                  <w:rFonts w:ascii="Cambria Math" w:hAnsi="Cambria Math" w:cs="Arial"/>
                  <w:bCs/>
                  <w:color w:val="000000"/>
                  <w:sz w:val="20"/>
                  <w:szCs w:val="20"/>
                </w:rPr>
              </m:ctrlPr>
            </m:sSubPr>
            <m:e>
              <m:r>
                <m:rPr>
                  <m:sty m:val="p"/>
                </m:rPr>
                <w:rPr>
                  <w:rFonts w:ascii="Cambria Math" w:hAnsi="Cambria Math" w:cs="Arial"/>
                  <w:color w:val="000000"/>
                  <w:sz w:val="20"/>
                  <w:szCs w:val="20"/>
                </w:rPr>
                <m:t>IM</m:t>
              </m:r>
            </m:e>
            <m:sub>
              <m:r>
                <m:rPr>
                  <m:sty m:val="p"/>
                </m:rPr>
                <w:rPr>
                  <w:rFonts w:ascii="Cambria Math" w:hAnsi="Cambria Math" w:cs="Arial"/>
                  <w:color w:val="000000"/>
                  <w:sz w:val="20"/>
                  <w:szCs w:val="20"/>
                </w:rPr>
                <m:t>1</m:t>
              </m:r>
            </m:sub>
          </m:sSub>
          <m:r>
            <m:rPr>
              <m:sty m:val="p"/>
            </m:rPr>
            <w:rPr>
              <w:rFonts w:ascii="Cambria Math" w:hAnsi="Cambria Math" w:cs="Arial"/>
              <w:color w:val="000000"/>
              <w:sz w:val="20"/>
              <w:szCs w:val="20"/>
            </w:rPr>
            <m:t xml:space="preserve">× </m:t>
          </m:r>
          <m:nary>
            <m:naryPr>
              <m:chr m:val="∑"/>
              <m:limLoc m:val="undOvr"/>
              <m:ctrlPr>
                <w:rPr>
                  <w:rFonts w:ascii="Cambria Math" w:hAnsi="Cambria Math" w:cs="Arial"/>
                  <w:bCs/>
                  <w:color w:val="000000"/>
                  <w:sz w:val="20"/>
                  <w:szCs w:val="20"/>
                </w:rPr>
              </m:ctrlPr>
            </m:naryPr>
            <m:sub>
              <m:r>
                <m:rPr>
                  <m:sty m:val="p"/>
                </m:rPr>
                <w:rPr>
                  <w:rFonts w:ascii="Cambria Math" w:hAnsi="Cambria Math" w:cs="Arial"/>
                  <w:color w:val="000000"/>
                  <w:sz w:val="20"/>
                  <w:szCs w:val="20"/>
                </w:rPr>
                <m:t>i=1</m:t>
              </m:r>
            </m:sub>
            <m:sup>
              <m:r>
                <m:rPr>
                  <m:sty m:val="p"/>
                </m:rPr>
                <w:rPr>
                  <w:rFonts w:ascii="Cambria Math" w:hAnsi="Cambria Math" w:cs="Arial"/>
                  <w:color w:val="000000"/>
                  <w:sz w:val="20"/>
                  <w:szCs w:val="20"/>
                </w:rPr>
                <m:t>D</m:t>
              </m:r>
            </m:sup>
            <m:e>
              <m:sSub>
                <m:sSubPr>
                  <m:ctrlPr>
                    <w:rPr>
                      <w:rFonts w:ascii="Cambria Math" w:hAnsi="Cambria Math" w:cs="Arial"/>
                      <w:bCs/>
                      <w:color w:val="000000"/>
                      <w:sz w:val="20"/>
                      <w:szCs w:val="20"/>
                    </w:rPr>
                  </m:ctrlPr>
                </m:sSubPr>
                <m:e>
                  <m:sSub>
                    <m:sSubPr>
                      <m:ctrlPr>
                        <w:rPr>
                          <w:rFonts w:ascii="Cambria Math" w:hAnsi="Cambria Math"/>
                          <w:spacing w:val="-2"/>
                          <w:sz w:val="22"/>
                          <w:szCs w:val="22"/>
                        </w:rPr>
                      </m:ctrlPr>
                    </m:sSubPr>
                    <m:e>
                      <m:r>
                        <m:rPr>
                          <m:sty m:val="p"/>
                        </m:rPr>
                        <w:rPr>
                          <w:rFonts w:ascii="Cambria Math" w:hAnsi="Cambria Math"/>
                          <w:spacing w:val="-2"/>
                          <w:sz w:val="22"/>
                          <w:szCs w:val="22"/>
                        </w:rPr>
                        <m:t>COPYPI</m:t>
                      </m:r>
                    </m:e>
                    <m:sub>
                      <m:r>
                        <m:rPr>
                          <m:sty m:val="p"/>
                        </m:rPr>
                        <w:rPr>
                          <w:rFonts w:ascii="Cambria Math" w:hAnsi="Cambria Math"/>
                          <w:spacing w:val="-2"/>
                          <w:sz w:val="22"/>
                          <w:szCs w:val="22"/>
                        </w:rPr>
                        <m:t>i</m:t>
                      </m:r>
                    </m:sub>
                  </m:sSub>
                </m:e>
                <m:sub>
                  <m:r>
                    <m:rPr>
                      <m:sty m:val="p"/>
                    </m:rPr>
                    <w:rPr>
                      <w:rFonts w:ascii="Cambria Math" w:hAnsi="Cambria Math" w:cs="Arial"/>
                      <w:color w:val="000000"/>
                      <w:sz w:val="20"/>
                      <w:szCs w:val="20"/>
                    </w:rPr>
                    <m:t xml:space="preserve"> </m:t>
                  </m:r>
                </m:sub>
              </m:sSub>
            </m:e>
          </m:nary>
          <m:r>
            <m:rPr>
              <m:sty m:val="p"/>
            </m:rPr>
            <w:rPr>
              <w:rFonts w:ascii="Cambria Math" w:hAnsi="Cambria Math" w:cs="Arial"/>
              <w:color w:val="000000"/>
              <w:sz w:val="20"/>
              <w:szCs w:val="20"/>
            </w:rPr>
            <m:t xml:space="preserve"> × </m:t>
          </m:r>
          <m:d>
            <m:dPr>
              <m:ctrlPr>
                <w:rPr>
                  <w:rFonts w:ascii="Cambria Math" w:hAnsi="Cambria Math" w:cs="Arial"/>
                  <w:bCs/>
                  <w:color w:val="000000"/>
                  <w:sz w:val="20"/>
                  <w:szCs w:val="20"/>
                </w:rPr>
              </m:ctrlPr>
            </m:dPr>
            <m:e>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1</m:t>
                  </m:r>
                </m:num>
                <m:den>
                  <m:r>
                    <m:rPr>
                      <m:sty m:val="p"/>
                    </m:rPr>
                    <w:rPr>
                      <w:rFonts w:ascii="Cambria Math" w:hAnsi="Cambria Math" w:cs="Arial"/>
                      <w:color w:val="000000"/>
                      <w:sz w:val="20"/>
                      <w:szCs w:val="20"/>
                    </w:rPr>
                    <m:t>D ×CDSIY</m:t>
                  </m:r>
                </m:den>
              </m:f>
            </m:e>
          </m:d>
        </m:oMath>
      </m:oMathPara>
    </w:p>
    <w:p w14:paraId="01730DFE" w14:textId="77777777" w:rsidR="00184746" w:rsidRPr="00ED11BA" w:rsidRDefault="00184746" w:rsidP="00184746">
      <w:pPr>
        <w:spacing w:before="240" w:after="240"/>
        <w:ind w:left="708"/>
        <w:jc w:val="both"/>
        <w:rPr>
          <w:rFonts w:ascii="Bookman Old Style" w:hAnsi="Bookman Old Style"/>
          <w:bCs/>
        </w:rPr>
      </w:pPr>
      <w:r w:rsidRPr="00ED11BA">
        <w:rPr>
          <w:rFonts w:ascii="Bookman Old Style" w:hAnsi="Bookman Old Style"/>
          <w:bCs/>
        </w:rPr>
        <w:t>Donde:</w:t>
      </w:r>
    </w:p>
    <w:p w14:paraId="35EC8870" w14:textId="74CDBE65" w:rsidR="00184746" w:rsidRPr="00ED11BA" w:rsidRDefault="008B0FDB" w:rsidP="00184746">
      <w:pPr>
        <w:spacing w:before="240" w:after="240"/>
        <w:ind w:left="2125" w:hanging="1417"/>
        <w:jc w:val="both"/>
        <w:rPr>
          <w:rFonts w:ascii="Bookman Old Style" w:hAnsi="Bookman Old Style" w:cs="Arial"/>
          <w:color w:val="000000"/>
          <w:spacing w:val="-4"/>
        </w:rPr>
      </w:pPr>
      <m:oMath>
        <m:sSub>
          <m:sSubPr>
            <m:ctrlPr>
              <w:rPr>
                <w:rFonts w:ascii="Cambria Math" w:hAnsi="Cambria Math"/>
                <w:spacing w:val="-2"/>
              </w:rPr>
            </m:ctrlPr>
          </m:sSubPr>
          <m:e>
            <m:r>
              <m:rPr>
                <m:sty m:val="p"/>
              </m:rPr>
              <w:rPr>
                <w:rFonts w:ascii="Cambria Math" w:hAnsi="Cambria Math"/>
                <w:spacing w:val="-2"/>
              </w:rPr>
              <m:t>COP</m:t>
            </m:r>
          </m:e>
          <m:sub>
            <m:r>
              <m:rPr>
                <m:sty m:val="p"/>
              </m:rPr>
              <w:rPr>
                <w:rFonts w:ascii="Cambria Math" w:hAnsi="Cambria Math"/>
                <w:spacing w:val="-2"/>
              </w:rPr>
              <m:t>m</m:t>
            </m:r>
          </m:sub>
        </m:sSub>
        <m:r>
          <m:rPr>
            <m:sty m:val="p"/>
          </m:rPr>
          <w:rPr>
            <w:rFonts w:ascii="Cambria Math" w:hAnsi="Cambria Math"/>
            <w:spacing w:val="-2"/>
          </w:rPr>
          <m:t>:</m:t>
        </m:r>
      </m:oMath>
      <w:r w:rsidR="00184746" w:rsidRPr="00960750">
        <w:rPr>
          <w:rFonts w:ascii="Bookman Old Style" w:hAnsi="Bookman Old Style"/>
          <w:spacing w:val="-2"/>
        </w:rPr>
        <w:tab/>
      </w:r>
      <w:r w:rsidR="00184746" w:rsidRPr="00ED11BA">
        <w:rPr>
          <w:rFonts w:ascii="Bookman Old Style" w:hAnsi="Bookman Old Style" w:cs="Arial"/>
          <w:color w:val="000000"/>
          <w:spacing w:val="-4"/>
        </w:rPr>
        <w:t xml:space="preserve">Valor de las compensaciones por indisponibilidad durante el mes </w:t>
      </w:r>
      <m:oMath>
        <m:r>
          <m:rPr>
            <m:sty m:val="p"/>
          </m:rPr>
          <w:rPr>
            <w:rFonts w:ascii="Cambria Math" w:hAnsi="Cambria Math"/>
            <w:spacing w:val="-2"/>
          </w:rPr>
          <m:t>m</m:t>
        </m:r>
      </m:oMath>
      <w:r w:rsidR="00184746" w:rsidRPr="00ED11BA">
        <w:rPr>
          <w:rFonts w:ascii="Bookman Old Style" w:hAnsi="Bookman Old Style" w:cs="Arial"/>
          <w:color w:val="000000"/>
          <w:spacing w:val="-4"/>
        </w:rPr>
        <w:t>, de la</w:t>
      </w:r>
      <w:r w:rsidR="00184746" w:rsidRPr="00ED11BA">
        <w:rPr>
          <w:rFonts w:ascii="Bookman Old Style" w:hAnsi="Bookman Old Style" w:cs="Cambria Math"/>
          <w:lang w:val="es-ES_tradnl"/>
        </w:rPr>
        <w:t xml:space="preserve"> Infraestructura de Importación del Gas del Pacífico</w:t>
      </w:r>
      <w:r w:rsidR="00184746" w:rsidRPr="00ED11BA">
        <w:rPr>
          <w:rFonts w:ascii="Bookman Old Style" w:hAnsi="Bookman Old Style" w:cs="Arial"/>
          <w:color w:val="000000"/>
          <w:spacing w:val="-4"/>
        </w:rPr>
        <w:t>. Este valor estará expresado en pesos.</w:t>
      </w:r>
    </w:p>
    <w:p w14:paraId="4E3B0F3F"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Valor del veinticinco por ciento (25%) de incentivo por fecha anticipada de entrada en operación. </w:t>
      </w:r>
    </w:p>
    <w:p w14:paraId="4AC4D208" w14:textId="050AACBE"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período estándar de pagos, que se obtiene de dividir por 12 </w:t>
      </w:r>
      <w:r w:rsidR="00DC1D6E" w:rsidRPr="00ED11BA">
        <w:rPr>
          <w:rFonts w:ascii="Bookman Old Style" w:hAnsi="Bookman Old Style" w:cs="Arial"/>
          <w:b/>
          <w:color w:val="000000"/>
          <w:u w:val="single"/>
        </w:rPr>
        <w:t>la suma de los valores del IAE INVERSIÓN y del IAE AOM</w:t>
      </w:r>
      <w:r w:rsidRPr="00ED11BA">
        <w:rPr>
          <w:rFonts w:ascii="Bookman Old Style" w:hAnsi="Bookman Old Style" w:cs="Arial"/>
          <w:bCs/>
          <w:color w:val="000000"/>
        </w:rPr>
        <w:t>.</w:t>
      </w:r>
    </w:p>
    <w:p w14:paraId="7BBA5731" w14:textId="0DF4A158" w:rsidR="00184746" w:rsidRPr="00ED11BA" w:rsidRDefault="008B0FDB" w:rsidP="00184746">
      <w:pPr>
        <w:spacing w:before="240" w:after="240"/>
        <w:ind w:left="2125" w:hanging="1417"/>
        <w:jc w:val="both"/>
        <w:rPr>
          <w:rFonts w:ascii="Bookman Old Style" w:hAnsi="Bookman Old Style"/>
        </w:rPr>
      </w:pPr>
      <m:oMath>
        <m:sSub>
          <m:sSubPr>
            <m:ctrlPr>
              <w:rPr>
                <w:rFonts w:ascii="Cambria Math" w:hAnsi="Cambria Math"/>
                <w:spacing w:val="-2"/>
              </w:rPr>
            </m:ctrlPr>
          </m:sSubPr>
          <m:e>
            <m:r>
              <m:rPr>
                <m:sty m:val="p"/>
              </m:rPr>
              <w:rPr>
                <w:rFonts w:ascii="Cambria Math" w:hAnsi="Cambria Math"/>
                <w:spacing w:val="-2"/>
              </w:rPr>
              <m:t>COPYPI</m:t>
            </m:r>
          </m:e>
          <m:sub>
            <m:r>
              <m:rPr>
                <m:sty m:val="p"/>
              </m:rPr>
              <w:rPr>
                <w:rFonts w:ascii="Cambria Math" w:hAnsi="Cambria Math"/>
                <w:spacing w:val="-2"/>
              </w:rPr>
              <m:t>i</m:t>
            </m:r>
          </m:sub>
        </m:sSub>
      </m:oMath>
      <w:r w:rsidR="00184746" w:rsidRPr="00ED11BA">
        <w:rPr>
          <w:rFonts w:ascii="Bookman Old Style" w:hAnsi="Bookman Old Style" w:cs="Arial"/>
          <w:bCs/>
          <w:color w:val="000000"/>
        </w:rPr>
        <w:t xml:space="preserve">: </w:t>
      </w:r>
      <w:r w:rsidR="00184746" w:rsidRPr="00ED11BA">
        <w:rPr>
          <w:rFonts w:ascii="Bookman Old Style" w:hAnsi="Bookman Old Style" w:cs="Arial"/>
          <w:bCs/>
          <w:color w:val="000000"/>
        </w:rPr>
        <w:tab/>
        <w:t>Máxima capacidad indisponible de la capacidad para entrega de gas</w:t>
      </w:r>
      <w:r w:rsidR="00184746" w:rsidRPr="00ED11BA">
        <w:rPr>
          <w:rFonts w:ascii="Bookman Old Style" w:hAnsi="Bookman Old Style"/>
        </w:rPr>
        <w:t xml:space="preserve"> natural regasificado al Sistema Nacional de Transporte en un punto de entrega ubicado en el municipio de Yumbo – Valle del Cauca, durante el día i del mes m, dada en MPCD.</w:t>
      </w:r>
    </w:p>
    <w:p w14:paraId="36AFEE49"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1655272F"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lastRenderedPageBreak/>
        <w:t xml:space="preserve">D: </w:t>
      </w:r>
      <w:r w:rsidRPr="00ED11BA">
        <w:rPr>
          <w:rFonts w:ascii="Bookman Old Style" w:hAnsi="Bookman Old Style" w:cs="Arial"/>
          <w:bCs/>
          <w:color w:val="000000"/>
        </w:rPr>
        <w:tab/>
        <w:t>Número de días del mes m.”</w:t>
      </w:r>
    </w:p>
    <w:p w14:paraId="5BCD068C" w14:textId="77777777" w:rsidR="00184746" w:rsidRPr="00ED11BA" w:rsidRDefault="00184746" w:rsidP="00184746">
      <w:pPr>
        <w:pStyle w:val="Prrafodelista"/>
        <w:numPr>
          <w:ilvl w:val="0"/>
          <w:numId w:val="48"/>
        </w:numPr>
        <w:spacing w:before="240"/>
        <w:jc w:val="both"/>
        <w:rPr>
          <w:rFonts w:ascii="Bookman Old Style" w:hAnsi="Bookman Old Style"/>
        </w:rPr>
      </w:pPr>
      <w:r w:rsidRPr="00ED11BA">
        <w:rPr>
          <w:rFonts w:ascii="Bookman Old Style" w:hAnsi="Bookman Old Style"/>
          <w:sz w:val="24"/>
          <w:szCs w:val="24"/>
        </w:rPr>
        <w:t xml:space="preserve">En el evento de haberse cumplido con una fecha anticipada de entrada en operación parcial de la Infraestructura de Importación de Gas del Pacifico, se calculará de la siguiente manera: </w:t>
      </w:r>
    </w:p>
    <w:p w14:paraId="638105D8" w14:textId="77777777" w:rsidR="00184746" w:rsidRPr="00ED11BA" w:rsidRDefault="00184746" w:rsidP="00184746">
      <w:pPr>
        <w:pStyle w:val="Prrafodelista"/>
        <w:spacing w:before="240" w:after="240"/>
        <w:ind w:left="644"/>
        <w:jc w:val="both"/>
        <w:rPr>
          <w:rFonts w:ascii="Bookman Old Style" w:hAnsi="Bookman Old Style"/>
          <w:sz w:val="4"/>
          <w:szCs w:val="4"/>
        </w:rPr>
      </w:pPr>
    </w:p>
    <w:p w14:paraId="67CA1944" w14:textId="7C8FCB31" w:rsidR="00184746" w:rsidRPr="00960750" w:rsidRDefault="008B0FDB" w:rsidP="00184746">
      <w:pPr>
        <w:spacing w:before="240" w:after="240"/>
        <w:ind w:left="284"/>
        <w:jc w:val="both"/>
        <w:rPr>
          <w:rFonts w:ascii="Bookman Old Style" w:hAnsi="Bookman Old Style"/>
          <w:bCs/>
          <w:lang w:val="es-CO"/>
        </w:rPr>
      </w:pPr>
      <m:oMathPara>
        <m:oMath>
          <m:sSub>
            <m:sSubPr>
              <m:ctrlPr>
                <w:rPr>
                  <w:rFonts w:ascii="Cambria Math" w:hAnsi="Cambria Math"/>
                  <w:sz w:val="22"/>
                  <w:szCs w:val="22"/>
                  <w:lang w:val="es-CO"/>
                </w:rPr>
              </m:ctrlPr>
            </m:sSubPr>
            <m:e>
              <m:r>
                <m:rPr>
                  <m:sty m:val="p"/>
                </m:rPr>
                <w:rPr>
                  <w:rFonts w:ascii="Cambria Math" w:hAnsi="Cambria Math"/>
                  <w:sz w:val="22"/>
                  <w:szCs w:val="22"/>
                  <w:lang w:val="es-CO"/>
                </w:rPr>
                <m:t>COP</m:t>
              </m:r>
            </m:e>
            <m:sub>
              <m:r>
                <m:rPr>
                  <m:sty m:val="p"/>
                </m:rPr>
                <w:rPr>
                  <w:rFonts w:ascii="Cambria Math" w:hAnsi="Cambria Math"/>
                  <w:sz w:val="22"/>
                  <w:szCs w:val="22"/>
                  <w:lang w:val="es-CO"/>
                </w:rPr>
                <m:t>m</m:t>
              </m:r>
            </m:sub>
          </m:sSub>
          <m:r>
            <m:rPr>
              <m:sty m:val="p"/>
            </m:rPr>
            <w:rPr>
              <w:rFonts w:ascii="Cambria Math" w:hAnsi="Cambria Math"/>
              <w:sz w:val="22"/>
              <w:szCs w:val="22"/>
              <w:lang w:val="es-CO"/>
            </w:rPr>
            <m:t xml:space="preserve">= </m:t>
          </m:r>
          <m:d>
            <m:dPr>
              <m:ctrlPr>
                <w:rPr>
                  <w:rFonts w:ascii="Cambria Math" w:hAnsi="Cambria Math" w:cs="Arial"/>
                  <w:bCs/>
                  <w:color w:val="000000"/>
                  <w:sz w:val="22"/>
                  <w:szCs w:val="22"/>
                </w:rPr>
              </m:ctrlPr>
            </m:dPr>
            <m:e>
              <m:r>
                <m:rPr>
                  <m:sty m:val="p"/>
                </m:rPr>
                <w:rPr>
                  <w:rFonts w:ascii="Cambria Math" w:hAnsi="Cambria Math" w:cs="Arial"/>
                  <w:color w:val="000000"/>
                  <w:sz w:val="22"/>
                  <w:szCs w:val="22"/>
                </w:rPr>
                <m:t>1+%adicional</m:t>
              </m:r>
            </m:e>
          </m:d>
          <m:r>
            <m:rPr>
              <m:sty m:val="p"/>
            </m:rPr>
            <w:rPr>
              <w:rFonts w:ascii="Cambria Math" w:hAnsi="Cambria Math" w:cs="Arial"/>
              <w:color w:val="000000"/>
              <w:sz w:val="22"/>
              <w:szCs w:val="22"/>
            </w:rPr>
            <m:t xml:space="preserve"> ×</m:t>
          </m:r>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IM</m:t>
              </m:r>
            </m:e>
            <m:sub>
              <m:r>
                <m:rPr>
                  <m:sty m:val="p"/>
                </m:rPr>
                <w:rPr>
                  <w:rFonts w:ascii="Cambria Math" w:hAnsi="Cambria Math" w:cs="Arial"/>
                  <w:color w:val="000000"/>
                  <w:sz w:val="22"/>
                  <w:szCs w:val="22"/>
                </w:rPr>
                <m:t>1</m:t>
              </m:r>
            </m:sub>
          </m:sSub>
          <m:r>
            <m:rPr>
              <m:sty m:val="p"/>
            </m:rPr>
            <w:rPr>
              <w:rFonts w:ascii="Cambria Math" w:hAnsi="Cambria Math" w:cs="Arial"/>
              <w:color w:val="000000"/>
              <w:sz w:val="22"/>
              <w:szCs w:val="22"/>
            </w:rPr>
            <m:t>×</m:t>
          </m:r>
          <m:d>
            <m:dPr>
              <m:ctrlPr>
                <w:rPr>
                  <w:rFonts w:ascii="Cambria Math" w:hAnsi="Cambria Math" w:cs="Arial"/>
                  <w:bCs/>
                  <w:color w:val="000000"/>
                  <w:sz w:val="22"/>
                  <w:szCs w:val="22"/>
                </w:rPr>
              </m:ctrlPr>
            </m:dPr>
            <m:e>
              <m:f>
                <m:fPr>
                  <m:ctrlPr>
                    <w:rPr>
                      <w:rFonts w:ascii="Cambria Math" w:hAnsi="Cambria Math" w:cs="Arial"/>
                      <w:bCs/>
                      <w:color w:val="000000"/>
                      <w:sz w:val="22"/>
                      <w:szCs w:val="22"/>
                    </w:rPr>
                  </m:ctrlPr>
                </m:fPr>
                <m:num>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COPYPOP</m:t>
                      </m:r>
                    </m:e>
                    <m:sub>
                      <m:r>
                        <m:rPr>
                          <m:sty m:val="p"/>
                        </m:rPr>
                        <w:rPr>
                          <w:rFonts w:ascii="Cambria Math" w:hAnsi="Cambria Math" w:cs="Arial"/>
                          <w:color w:val="000000"/>
                          <w:sz w:val="22"/>
                          <w:szCs w:val="22"/>
                        </w:rPr>
                        <m:t>m</m:t>
                      </m:r>
                    </m:sub>
                  </m:sSub>
                </m:num>
                <m:den>
                  <m:r>
                    <m:rPr>
                      <m:sty m:val="p"/>
                    </m:rPr>
                    <w:rPr>
                      <w:rFonts w:ascii="Cambria Math" w:hAnsi="Cambria Math" w:cs="Arial"/>
                      <w:color w:val="000000"/>
                      <w:sz w:val="22"/>
                      <w:szCs w:val="22"/>
                    </w:rPr>
                    <m:t>CDSIY</m:t>
                  </m:r>
                </m:den>
              </m:f>
            </m:e>
          </m:d>
          <m:r>
            <m:rPr>
              <m:sty m:val="p"/>
            </m:rPr>
            <w:rPr>
              <w:rFonts w:ascii="Cambria Math" w:hAnsi="Cambria Math" w:cs="Arial"/>
              <w:color w:val="000000"/>
              <w:sz w:val="22"/>
              <w:szCs w:val="22"/>
            </w:rPr>
            <m:t xml:space="preserve"> × </m:t>
          </m:r>
          <m:nary>
            <m:naryPr>
              <m:chr m:val="∑"/>
              <m:limLoc m:val="undOvr"/>
              <m:ctrlPr>
                <w:rPr>
                  <w:rFonts w:ascii="Cambria Math" w:hAnsi="Cambria Math" w:cs="Arial"/>
                  <w:bCs/>
                  <w:color w:val="000000"/>
                  <w:sz w:val="22"/>
                  <w:szCs w:val="22"/>
                </w:rPr>
              </m:ctrlPr>
            </m:naryPr>
            <m:sub>
              <m:r>
                <m:rPr>
                  <m:sty m:val="p"/>
                </m:rPr>
                <w:rPr>
                  <w:rFonts w:ascii="Cambria Math" w:hAnsi="Cambria Math" w:cs="Arial"/>
                  <w:color w:val="000000"/>
                  <w:sz w:val="22"/>
                  <w:szCs w:val="22"/>
                </w:rPr>
                <m:t>i=1</m:t>
              </m:r>
            </m:sub>
            <m:sup>
              <m:r>
                <m:rPr>
                  <m:sty m:val="p"/>
                </m:rPr>
                <w:rPr>
                  <w:rFonts w:ascii="Cambria Math" w:hAnsi="Cambria Math" w:cs="Arial"/>
                  <w:color w:val="000000"/>
                  <w:sz w:val="22"/>
                  <w:szCs w:val="22"/>
                </w:rPr>
                <m:t>D</m:t>
              </m:r>
            </m:sup>
            <m:e>
              <m:sSub>
                <m:sSubPr>
                  <m:ctrlPr>
                    <w:rPr>
                      <w:rFonts w:ascii="Cambria Math" w:hAnsi="Cambria Math" w:cs="Arial"/>
                      <w:bCs/>
                      <w:color w:val="000000"/>
                      <w:sz w:val="22"/>
                      <w:szCs w:val="22"/>
                    </w:rPr>
                  </m:ctrlPr>
                </m:sSubPr>
                <m:e>
                  <m:sSub>
                    <m:sSubPr>
                      <m:ctrlPr>
                        <w:rPr>
                          <w:rFonts w:ascii="Cambria Math" w:hAnsi="Cambria Math"/>
                          <w:spacing w:val="-2"/>
                          <w:sz w:val="22"/>
                          <w:szCs w:val="22"/>
                        </w:rPr>
                      </m:ctrlPr>
                    </m:sSubPr>
                    <m:e>
                      <m:r>
                        <m:rPr>
                          <m:sty m:val="p"/>
                        </m:rPr>
                        <w:rPr>
                          <w:rFonts w:ascii="Cambria Math" w:hAnsi="Cambria Math"/>
                          <w:spacing w:val="-2"/>
                          <w:sz w:val="22"/>
                          <w:szCs w:val="22"/>
                        </w:rPr>
                        <m:t>COPYPOPI</m:t>
                      </m:r>
                    </m:e>
                    <m:sub>
                      <m:r>
                        <m:rPr>
                          <m:sty m:val="p"/>
                        </m:rPr>
                        <w:rPr>
                          <w:rFonts w:ascii="Cambria Math" w:hAnsi="Cambria Math"/>
                          <w:spacing w:val="-2"/>
                          <w:sz w:val="22"/>
                          <w:szCs w:val="22"/>
                        </w:rPr>
                        <m:t>i</m:t>
                      </m:r>
                    </m:sub>
                  </m:sSub>
                </m:e>
                <m:sub>
                  <m:r>
                    <m:rPr>
                      <m:sty m:val="p"/>
                    </m:rPr>
                    <w:rPr>
                      <w:rFonts w:ascii="Cambria Math" w:hAnsi="Cambria Math" w:cs="Arial"/>
                      <w:color w:val="000000"/>
                      <w:sz w:val="22"/>
                      <w:szCs w:val="22"/>
                    </w:rPr>
                    <m:t xml:space="preserve"> </m:t>
                  </m:r>
                </m:sub>
              </m:sSub>
            </m:e>
          </m:nary>
          <m:r>
            <m:rPr>
              <m:sty m:val="p"/>
            </m:rPr>
            <w:rPr>
              <w:rFonts w:ascii="Cambria Math" w:hAnsi="Cambria Math" w:cs="Arial"/>
              <w:color w:val="000000"/>
              <w:sz w:val="22"/>
              <w:szCs w:val="22"/>
            </w:rPr>
            <m:t xml:space="preserve"> × </m:t>
          </m:r>
          <m:d>
            <m:dPr>
              <m:ctrlPr>
                <w:rPr>
                  <w:rFonts w:ascii="Cambria Math" w:hAnsi="Cambria Math" w:cs="Arial"/>
                  <w:bCs/>
                  <w:color w:val="000000"/>
                  <w:sz w:val="22"/>
                  <w:szCs w:val="22"/>
                </w:rPr>
              </m:ctrlPr>
            </m:dPr>
            <m:e>
              <m:f>
                <m:fPr>
                  <m:ctrlPr>
                    <w:rPr>
                      <w:rFonts w:ascii="Cambria Math" w:hAnsi="Cambria Math" w:cs="Arial"/>
                      <w:bCs/>
                      <w:color w:val="000000"/>
                      <w:sz w:val="22"/>
                      <w:szCs w:val="22"/>
                    </w:rPr>
                  </m:ctrlPr>
                </m:fPr>
                <m:num>
                  <m:r>
                    <m:rPr>
                      <m:sty m:val="p"/>
                    </m:rPr>
                    <w:rPr>
                      <w:rFonts w:ascii="Cambria Math" w:hAnsi="Cambria Math" w:cs="Arial"/>
                      <w:color w:val="000000"/>
                      <w:sz w:val="22"/>
                      <w:szCs w:val="22"/>
                    </w:rPr>
                    <m:t>1</m:t>
                  </m:r>
                </m:num>
                <m:den>
                  <m:r>
                    <m:rPr>
                      <m:sty m:val="p"/>
                    </m:rPr>
                    <w:rPr>
                      <w:rFonts w:ascii="Cambria Math" w:hAnsi="Cambria Math" w:cs="Arial"/>
                      <w:color w:val="000000"/>
                      <w:sz w:val="22"/>
                      <w:szCs w:val="22"/>
                    </w:rPr>
                    <m:t>D×</m:t>
                  </m:r>
                  <m:sSub>
                    <m:sSubPr>
                      <m:ctrlPr>
                        <w:rPr>
                          <w:rFonts w:ascii="Cambria Math" w:hAnsi="Cambria Math" w:cs="Arial"/>
                          <w:bCs/>
                          <w:color w:val="000000"/>
                          <w:sz w:val="22"/>
                          <w:szCs w:val="22"/>
                        </w:rPr>
                      </m:ctrlPr>
                    </m:sSubPr>
                    <m:e>
                      <m:r>
                        <m:rPr>
                          <m:sty m:val="p"/>
                        </m:rPr>
                        <w:rPr>
                          <w:rFonts w:ascii="Cambria Math" w:hAnsi="Cambria Math" w:cs="Arial"/>
                          <w:color w:val="000000"/>
                          <w:sz w:val="22"/>
                          <w:szCs w:val="22"/>
                        </w:rPr>
                        <m:t>COPYPOP</m:t>
                      </m:r>
                    </m:e>
                    <m:sub>
                      <m:r>
                        <m:rPr>
                          <m:sty m:val="p"/>
                        </m:rPr>
                        <w:rPr>
                          <w:rFonts w:ascii="Cambria Math" w:hAnsi="Cambria Math" w:cs="Arial"/>
                          <w:color w:val="000000"/>
                          <w:sz w:val="22"/>
                          <w:szCs w:val="22"/>
                        </w:rPr>
                        <m:t>m</m:t>
                      </m:r>
                    </m:sub>
                  </m:sSub>
                </m:den>
              </m:f>
            </m:e>
          </m:d>
        </m:oMath>
      </m:oMathPara>
    </w:p>
    <w:p w14:paraId="4F3831D3" w14:textId="77777777" w:rsidR="00184746" w:rsidRPr="00ED11BA" w:rsidRDefault="00184746" w:rsidP="00184746">
      <w:pPr>
        <w:spacing w:before="240" w:after="240"/>
        <w:ind w:left="708"/>
        <w:jc w:val="both"/>
        <w:rPr>
          <w:rFonts w:ascii="Bookman Old Style" w:hAnsi="Bookman Old Style"/>
          <w:bCs/>
        </w:rPr>
      </w:pPr>
      <w:r w:rsidRPr="00ED11BA">
        <w:rPr>
          <w:rFonts w:ascii="Bookman Old Style" w:hAnsi="Bookman Old Style"/>
          <w:bCs/>
        </w:rPr>
        <w:t>Donde:</w:t>
      </w:r>
    </w:p>
    <w:p w14:paraId="39DC499D" w14:textId="0F7C706A" w:rsidR="00184746" w:rsidRPr="00ED11BA" w:rsidRDefault="008B0FDB" w:rsidP="00184746">
      <w:pPr>
        <w:spacing w:before="240" w:after="240"/>
        <w:ind w:left="2125" w:hanging="1417"/>
        <w:jc w:val="both"/>
        <w:rPr>
          <w:rFonts w:ascii="Bookman Old Style" w:hAnsi="Bookman Old Style" w:cs="Arial"/>
          <w:bCs/>
          <w:color w:val="000000"/>
        </w:rPr>
      </w:pPr>
      <m:oMath>
        <m:sSub>
          <m:sSubPr>
            <m:ctrlPr>
              <w:rPr>
                <w:rFonts w:ascii="Cambria Math" w:hAnsi="Cambria Math"/>
                <w:spacing w:val="-2"/>
              </w:rPr>
            </m:ctrlPr>
          </m:sSubPr>
          <m:e>
            <m:r>
              <m:rPr>
                <m:sty m:val="p"/>
              </m:rPr>
              <w:rPr>
                <w:rFonts w:ascii="Cambria Math" w:hAnsi="Cambria Math"/>
                <w:spacing w:val="-2"/>
              </w:rPr>
              <m:t>COP</m:t>
            </m:r>
          </m:e>
          <m:sub>
            <m:r>
              <m:rPr>
                <m:sty m:val="p"/>
              </m:rPr>
              <w:rPr>
                <w:rFonts w:ascii="Cambria Math" w:hAnsi="Cambria Math"/>
                <w:spacing w:val="-2"/>
              </w:rPr>
              <m:t>m</m:t>
            </m:r>
          </m:sub>
        </m:sSub>
        <m:r>
          <m:rPr>
            <m:sty m:val="p"/>
          </m:rPr>
          <w:rPr>
            <w:rFonts w:ascii="Cambria Math" w:hAnsi="Cambria Math"/>
            <w:spacing w:val="-2"/>
          </w:rPr>
          <m:t>:</m:t>
        </m:r>
      </m:oMath>
      <w:r w:rsidR="00184746" w:rsidRPr="00960750">
        <w:rPr>
          <w:rFonts w:ascii="Bookman Old Style" w:hAnsi="Bookman Old Style"/>
          <w:spacing w:val="-2"/>
        </w:rPr>
        <w:tab/>
      </w:r>
      <w:r w:rsidR="00184746" w:rsidRPr="00ED11BA">
        <w:rPr>
          <w:rFonts w:ascii="Bookman Old Style" w:hAnsi="Bookman Old Style" w:cs="Arial"/>
          <w:color w:val="000000"/>
          <w:spacing w:val="-4"/>
        </w:rPr>
        <w:t xml:space="preserve">Valor de las compensaciones por indisponibilidad durante la operación parcial en el mes </w:t>
      </w:r>
      <m:oMath>
        <m:r>
          <m:rPr>
            <m:sty m:val="p"/>
          </m:rPr>
          <w:rPr>
            <w:rFonts w:ascii="Cambria Math" w:hAnsi="Cambria Math"/>
            <w:spacing w:val="-2"/>
          </w:rPr>
          <m:t>m</m:t>
        </m:r>
      </m:oMath>
      <w:r w:rsidR="00184746" w:rsidRPr="00ED11BA">
        <w:rPr>
          <w:rFonts w:ascii="Bookman Old Style" w:hAnsi="Bookman Old Style" w:cs="Arial"/>
          <w:color w:val="000000"/>
          <w:spacing w:val="-4"/>
        </w:rPr>
        <w:t xml:space="preserve">, del proyecto </w:t>
      </w:r>
      <w:r w:rsidR="00184746" w:rsidRPr="00ED11BA">
        <w:rPr>
          <w:rFonts w:ascii="Bookman Old Style" w:hAnsi="Bookman Old Style" w:cs="Cambria Math"/>
          <w:lang w:val="es-ES_tradnl"/>
        </w:rPr>
        <w:t>de infraestructura de regasificación del gas del Pacífico</w:t>
      </w:r>
      <w:r w:rsidR="00184746" w:rsidRPr="00ED11BA">
        <w:rPr>
          <w:rFonts w:ascii="Bookman Old Style" w:hAnsi="Bookman Old Style" w:cs="Arial"/>
          <w:color w:val="000000"/>
          <w:spacing w:val="-4"/>
        </w:rPr>
        <w:t>. Este valor estará expresado en pesos.</w:t>
      </w:r>
      <w:r w:rsidR="00184746" w:rsidRPr="00ED11BA">
        <w:rPr>
          <w:rFonts w:ascii="Bookman Old Style" w:hAnsi="Bookman Old Style" w:cs="Arial"/>
          <w:bCs/>
          <w:color w:val="000000"/>
        </w:rPr>
        <w:t xml:space="preserve"> </w:t>
      </w:r>
    </w:p>
    <w:p w14:paraId="5300DD55" w14:textId="77777777" w:rsidR="00184746" w:rsidRPr="00ED11BA" w:rsidRDefault="00184746" w:rsidP="00184746">
      <w:pPr>
        <w:spacing w:before="240" w:after="240"/>
        <w:ind w:left="2124" w:hanging="1416"/>
        <w:jc w:val="both"/>
        <w:rPr>
          <w:rFonts w:ascii="Bookman Old Style" w:hAnsi="Bookman Old Style" w:cs="Arial"/>
          <w:bCs/>
          <w:color w:val="000000"/>
        </w:rPr>
      </w:pPr>
      <w:r w:rsidRPr="00ED11BA">
        <w:rPr>
          <w:rFonts w:ascii="Bookman Old Style" w:hAnsi="Bookman Old Style" w:cs="Arial"/>
          <w:bCs/>
          <w:color w:val="000000"/>
        </w:rPr>
        <w:t xml:space="preserve">%adicional: </w:t>
      </w:r>
      <w:r w:rsidRPr="00ED11BA">
        <w:rPr>
          <w:rFonts w:ascii="Bookman Old Style" w:hAnsi="Bookman Old Style" w:cs="Arial"/>
          <w:bCs/>
          <w:color w:val="000000"/>
        </w:rPr>
        <w:tab/>
        <w:t xml:space="preserve">Valor del veinticinco por ciento (25%) de incentivo por fecha anticipada de entrada en operación. </w:t>
      </w:r>
    </w:p>
    <w:p w14:paraId="6337E2CA" w14:textId="0591ABBA"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t>IM</w:t>
      </w:r>
      <w:r w:rsidRPr="00ED11BA">
        <w:rPr>
          <w:rFonts w:ascii="Bookman Old Style" w:hAnsi="Bookman Old Style" w:cs="Arial"/>
          <w:bCs/>
          <w:color w:val="000000"/>
          <w:vertAlign w:val="subscript"/>
        </w:rPr>
        <w:t>1</w:t>
      </w:r>
      <w:r w:rsidRPr="00ED11BA">
        <w:rPr>
          <w:rFonts w:ascii="Bookman Old Style" w:hAnsi="Bookman Old Style" w:cs="Arial"/>
          <w:bCs/>
          <w:color w:val="000000"/>
        </w:rPr>
        <w:t xml:space="preserve">: </w:t>
      </w:r>
      <w:r w:rsidRPr="00ED11BA">
        <w:rPr>
          <w:rFonts w:ascii="Bookman Old Style" w:hAnsi="Bookman Old Style" w:cs="Arial"/>
          <w:bCs/>
          <w:color w:val="000000"/>
        </w:rPr>
        <w:tab/>
        <w:t xml:space="preserve">Valor mensualizado del primer año del período estándar de pagos, que se obtiene de dividir por 12 </w:t>
      </w:r>
      <w:r w:rsidR="00685525" w:rsidRPr="00D273EA">
        <w:rPr>
          <w:rFonts w:ascii="Bookman Old Style" w:hAnsi="Bookman Old Style" w:cs="Arial"/>
          <w:b/>
          <w:color w:val="000000"/>
          <w:u w:val="single"/>
        </w:rPr>
        <w:t>la suma de los valores del IAE INVERSIÓN y del IAE AOM</w:t>
      </w:r>
      <w:r w:rsidR="00685525" w:rsidRPr="00D273EA">
        <w:rPr>
          <w:rFonts w:ascii="Bookman Old Style" w:hAnsi="Bookman Old Style" w:cs="Arial"/>
          <w:bCs/>
          <w:color w:val="000000"/>
        </w:rPr>
        <w:t>.</w:t>
      </w:r>
    </w:p>
    <w:p w14:paraId="72044236" w14:textId="2697370E" w:rsidR="00184746" w:rsidRPr="00ED11BA" w:rsidRDefault="008B0FDB" w:rsidP="00184746">
      <w:pPr>
        <w:spacing w:before="240" w:after="240"/>
        <w:ind w:left="2125" w:hanging="1417"/>
        <w:jc w:val="both"/>
        <w:rPr>
          <w:rFonts w:ascii="Bookman Old Style" w:hAnsi="Bookman Old Style" w:cs="Arial"/>
          <w:bCs/>
          <w:color w:val="000000"/>
        </w:rPr>
      </w:pPr>
      <m:oMath>
        <m:sSub>
          <m:sSubPr>
            <m:ctrlPr>
              <w:rPr>
                <w:rFonts w:ascii="Cambria Math" w:hAnsi="Cambria Math" w:cs="Arial"/>
                <w:bCs/>
                <w:color w:val="000000"/>
              </w:rPr>
            </m:ctrlPr>
          </m:sSubPr>
          <m:e>
            <m:r>
              <m:rPr>
                <m:sty m:val="p"/>
              </m:rPr>
              <w:rPr>
                <w:rFonts w:ascii="Cambria Math" w:hAnsi="Cambria Math" w:cs="Arial"/>
                <w:color w:val="000000"/>
              </w:rPr>
              <m:t>COPYPOP</m:t>
            </m:r>
          </m:e>
          <m:sub>
            <m:r>
              <m:rPr>
                <m:sty m:val="p"/>
              </m:rPr>
              <w:rPr>
                <w:rFonts w:ascii="Cambria Math" w:hAnsi="Cambria Math" w:cs="Arial"/>
                <w:color w:val="000000"/>
              </w:rPr>
              <m:t>m</m:t>
            </m:r>
          </m:sub>
        </m:sSub>
      </m:oMath>
      <w:r w:rsidR="00184746" w:rsidRPr="00ED11BA">
        <w:rPr>
          <w:rFonts w:ascii="Bookman Old Style" w:hAnsi="Bookman Old Style" w:cs="Arial"/>
          <w:bCs/>
          <w:color w:val="000000"/>
        </w:rPr>
        <w:tab/>
        <w:t>Capacidad puesta en operación parcial para entrega de gas</w:t>
      </w:r>
      <w:r w:rsidR="00184746" w:rsidRPr="00ED11BA">
        <w:rPr>
          <w:rFonts w:ascii="Bookman Old Style" w:hAnsi="Bookman Old Style"/>
        </w:rPr>
        <w:t xml:space="preserve"> natural regasificado al Sistema Nacional de Transporte en un punto de entrega ubicado en el límite geopolítico del municipio de Yumbo – Valle del Cauca, en el mes m, dado en MPCD</w:t>
      </w:r>
    </w:p>
    <w:p w14:paraId="286D01DD" w14:textId="77777777" w:rsidR="00184746" w:rsidRPr="00ED11BA" w:rsidRDefault="00184746" w:rsidP="00184746">
      <w:pPr>
        <w:spacing w:before="240" w:after="240"/>
        <w:ind w:left="2125" w:hanging="1417"/>
        <w:jc w:val="both"/>
        <w:rPr>
          <w:rFonts w:ascii="Bookman Old Style" w:hAnsi="Bookman Old Style" w:cs="Arial"/>
          <w:bCs/>
          <w:color w:val="000000"/>
        </w:rPr>
      </w:pPr>
      <w:r w:rsidRPr="00ED11BA">
        <w:rPr>
          <w:rFonts w:ascii="Bookman Old Style" w:hAnsi="Bookman Old Style" w:cs="Arial"/>
          <w:bCs/>
          <w:color w:val="000000"/>
        </w:rPr>
        <w:t>CDSIY:</w:t>
      </w:r>
      <w:r w:rsidRPr="00ED11BA">
        <w:rPr>
          <w:rFonts w:ascii="Bookman Old Style" w:hAnsi="Bookman Old Style" w:cs="Arial"/>
          <w:bCs/>
          <w:color w:val="000000"/>
        </w:rPr>
        <w:tab/>
        <w:t>Capacidad de regasificación de la Infraestructura de Importación de Gas del Pacífico,</w:t>
      </w:r>
      <w:r w:rsidRPr="00ED11BA">
        <w:rPr>
          <w:rFonts w:ascii="Bookman Old Style" w:hAnsi="Bookman Old Style"/>
        </w:rPr>
        <w:t xml:space="preserve"> de acuerdo con</w:t>
      </w:r>
      <w:r w:rsidRPr="00ED11BA">
        <w:rPr>
          <w:rFonts w:ascii="Bookman Old Style" w:hAnsi="Bookman Old Style" w:cs="Arial"/>
          <w:bCs/>
          <w:color w:val="000000"/>
        </w:rPr>
        <w:t xml:space="preserve"> la establecida en el Plan de Abastecimiento de Gas Natural, dada en MPCD.</w:t>
      </w:r>
    </w:p>
    <w:p w14:paraId="78ED32A7" w14:textId="12EADA27" w:rsidR="00184746" w:rsidRPr="00ED11BA" w:rsidRDefault="008B0FDB" w:rsidP="00184746">
      <w:pPr>
        <w:spacing w:before="240" w:after="240"/>
        <w:ind w:left="2125" w:hanging="1417"/>
        <w:jc w:val="both"/>
        <w:rPr>
          <w:rFonts w:ascii="Bookman Old Style" w:hAnsi="Bookman Old Style"/>
        </w:rPr>
      </w:pPr>
      <m:oMath>
        <m:sSub>
          <m:sSubPr>
            <m:ctrlPr>
              <w:rPr>
                <w:rFonts w:ascii="Cambria Math" w:hAnsi="Cambria Math"/>
                <w:spacing w:val="-2"/>
              </w:rPr>
            </m:ctrlPr>
          </m:sSubPr>
          <m:e>
            <m:r>
              <m:rPr>
                <m:sty m:val="p"/>
              </m:rPr>
              <w:rPr>
                <w:rFonts w:ascii="Cambria Math" w:hAnsi="Cambria Math"/>
                <w:spacing w:val="-2"/>
              </w:rPr>
              <m:t>COPYPOPI</m:t>
            </m:r>
          </m:e>
          <m:sub>
            <m:r>
              <m:rPr>
                <m:sty m:val="p"/>
              </m:rPr>
              <w:rPr>
                <w:rFonts w:ascii="Cambria Math" w:hAnsi="Cambria Math"/>
                <w:spacing w:val="-2"/>
              </w:rPr>
              <m:t>i</m:t>
            </m:r>
          </m:sub>
        </m:sSub>
      </m:oMath>
      <w:r w:rsidR="00184746" w:rsidRPr="00ED11BA">
        <w:rPr>
          <w:rFonts w:ascii="Bookman Old Style" w:hAnsi="Bookman Old Style" w:cs="Arial"/>
          <w:bCs/>
          <w:color w:val="000000"/>
        </w:rPr>
        <w:t xml:space="preserve">: </w:t>
      </w:r>
      <w:r w:rsidR="00184746" w:rsidRPr="00ED11BA">
        <w:rPr>
          <w:rFonts w:ascii="Bookman Old Style" w:hAnsi="Bookman Old Style" w:cs="Arial"/>
          <w:bCs/>
          <w:color w:val="000000"/>
        </w:rPr>
        <w:tab/>
        <w:t>Máxima capacidad indisponible de la capacidad puesta en operación parcial para entrega de gas</w:t>
      </w:r>
      <w:r w:rsidR="00184746" w:rsidRPr="00ED11BA">
        <w:rPr>
          <w:rFonts w:ascii="Bookman Old Style" w:hAnsi="Bookman Old Style"/>
        </w:rPr>
        <w:t xml:space="preserve"> natural regasificado al Sistema Nacional de Transporte en un punto de entrega ubicado en el municipio de Yumbo – Valle del Cauca, durante el día i del mes m, dada en MPCD.</w:t>
      </w:r>
    </w:p>
    <w:p w14:paraId="3EBD39CA" w14:textId="4075A29C" w:rsidR="00184746" w:rsidRDefault="00184746" w:rsidP="00184746">
      <w:pPr>
        <w:spacing w:before="240"/>
        <w:ind w:left="2125" w:hanging="1417"/>
        <w:jc w:val="both"/>
        <w:rPr>
          <w:rFonts w:ascii="Bookman Old Style" w:hAnsi="Bookman Old Style" w:cs="Arial"/>
          <w:bCs/>
          <w:color w:val="000000"/>
        </w:rPr>
      </w:pPr>
      <w:r w:rsidRPr="00ED11BA">
        <w:rPr>
          <w:rFonts w:ascii="Bookman Old Style" w:hAnsi="Bookman Old Style" w:cs="Arial"/>
          <w:bCs/>
          <w:color w:val="000000"/>
        </w:rPr>
        <w:t xml:space="preserve">D: </w:t>
      </w:r>
      <w:r w:rsidRPr="00ED11BA">
        <w:rPr>
          <w:rFonts w:ascii="Bookman Old Style" w:hAnsi="Bookman Old Style" w:cs="Arial"/>
          <w:bCs/>
          <w:color w:val="000000"/>
        </w:rPr>
        <w:tab/>
        <w:t>Número de días del mes m.</w:t>
      </w:r>
    </w:p>
    <w:p w14:paraId="71B1D1CB" w14:textId="77777777" w:rsidR="004A1E40" w:rsidRPr="00ED11BA" w:rsidRDefault="004A1E40" w:rsidP="00184746">
      <w:pPr>
        <w:spacing w:before="240"/>
        <w:ind w:left="2125" w:hanging="1417"/>
        <w:jc w:val="both"/>
        <w:rPr>
          <w:rFonts w:ascii="Bookman Old Style" w:hAnsi="Bookman Old Style" w:cs="Arial"/>
          <w:bCs/>
          <w:color w:val="000000"/>
        </w:rPr>
      </w:pPr>
    </w:p>
    <w:p w14:paraId="7961FE07" w14:textId="2D23105B" w:rsidR="008F1FBA" w:rsidRPr="004F15AA" w:rsidRDefault="008F1FBA" w:rsidP="00ED11BA">
      <w:pPr>
        <w:pStyle w:val="ARTICULOS"/>
        <w:ind w:left="0"/>
      </w:pPr>
      <w:r w:rsidRPr="00ED11BA">
        <w:rPr>
          <w:b/>
        </w:rPr>
        <w:t xml:space="preserve">Servicios adicionales. Valor del componente PSA. </w:t>
      </w:r>
      <w:r w:rsidRPr="00ED11BA">
        <w:rPr>
          <w:bCs/>
        </w:rPr>
        <w:t>El valor a utilizar en los cálculos establecidos en el anexo 4 de la Resolución CREG 107 de 2017 o aquellas que la modifiquen, adicionen o sustituyan, será del diez por ciento (10%).</w:t>
      </w:r>
    </w:p>
    <w:p w14:paraId="394078AB" w14:textId="77777777" w:rsidR="008F1FBA" w:rsidRPr="004F15AA" w:rsidRDefault="008F1FBA" w:rsidP="00316497">
      <w:pPr>
        <w:pStyle w:val="Estilo1"/>
      </w:pPr>
    </w:p>
    <w:p w14:paraId="5F614BF2" w14:textId="078D2D9B" w:rsidR="00237CDD" w:rsidRPr="00ED11BA" w:rsidRDefault="00237CDD" w:rsidP="00ED11BA">
      <w:pPr>
        <w:pStyle w:val="ARTICULOS"/>
        <w:ind w:left="0"/>
        <w:rPr>
          <w:bCs/>
        </w:rPr>
      </w:pPr>
      <w:r w:rsidRPr="00ED11BA">
        <w:rPr>
          <w:b/>
        </w:rPr>
        <w:t xml:space="preserve">Comercialización del GNL requerido para la puesta en operación de la infraestructura de importación de gas del Pacífico. </w:t>
      </w:r>
      <w:r w:rsidRPr="00ED11BA">
        <w:rPr>
          <w:bCs/>
        </w:rPr>
        <w:t xml:space="preserve">El gas natural licuado requerido para la puesta en operación de la infraestructura de importación de gas del Pacífico deberá ser suministrado por el adjudicatario, y de manera excepcional, podrá ser comercializado por el propio adjudicatario o </w:t>
      </w:r>
      <w:r w:rsidRPr="00ED11BA">
        <w:rPr>
          <w:bCs/>
        </w:rPr>
        <w:lastRenderedPageBreak/>
        <w:t>quien él designe para tal fin.</w:t>
      </w:r>
    </w:p>
    <w:p w14:paraId="0616A6D4" w14:textId="77777777" w:rsidR="00815EBB" w:rsidRPr="004F15AA" w:rsidRDefault="00815EBB" w:rsidP="00815EBB">
      <w:pPr>
        <w:pStyle w:val="Estilo1"/>
      </w:pPr>
    </w:p>
    <w:p w14:paraId="3820DA3E" w14:textId="50842938" w:rsidR="00237CDD" w:rsidRPr="00ED11BA" w:rsidRDefault="00237CDD" w:rsidP="00237CDD">
      <w:pPr>
        <w:pStyle w:val="Estilo1"/>
        <w:rPr>
          <w:bCs/>
        </w:rPr>
      </w:pPr>
      <w:r w:rsidRPr="00ED11BA">
        <w:rPr>
          <w:bCs/>
        </w:rPr>
        <w:t xml:space="preserve">Los ingresos provenientes de la comercialización del gas requerido para la puesta en operación, se considerarán como ingresos de corto plazo, </w:t>
      </w:r>
      <m:oMath>
        <m:sSub>
          <m:sSubPr>
            <m:ctrlPr>
              <w:rPr>
                <w:rFonts w:ascii="Cambria Math" w:hAnsi="Cambria Math"/>
              </w:rPr>
            </m:ctrlPr>
          </m:sSubPr>
          <m:e>
            <m:r>
              <m:rPr>
                <m:sty m:val="p"/>
              </m:rPr>
              <w:rPr>
                <w:rFonts w:ascii="Cambria Math" w:hAnsi="Cambria Math"/>
              </w:rPr>
              <m:t>ICC</m:t>
            </m:r>
          </m:e>
          <m:sub>
            <m:r>
              <m:rPr>
                <m:sty m:val="p"/>
              </m:rPr>
              <w:rPr>
                <w:rFonts w:ascii="Cambria Math" w:hAnsi="Cambria Math"/>
              </w:rPr>
              <m:t>PAGN,m,t</m:t>
            </m:r>
          </m:sub>
        </m:sSub>
      </m:oMath>
      <w:r w:rsidRPr="00ED11BA">
        <w:rPr>
          <w:bCs/>
        </w:rPr>
        <w:t>, para efectos del cobro a los transportadores y a los beneficiarios del proyecto, de acuerdo con lo establecido en el artículo 17 de la resolución CREG 107 de 2017 o aquellas que la modifiquen o sustituyan.</w:t>
      </w:r>
    </w:p>
    <w:p w14:paraId="16DE2413" w14:textId="77777777" w:rsidR="00237CDD" w:rsidRPr="004F15AA" w:rsidRDefault="00237CDD" w:rsidP="00237CDD">
      <w:pPr>
        <w:pStyle w:val="Estilo1"/>
      </w:pPr>
    </w:p>
    <w:p w14:paraId="37D2AA54" w14:textId="5DCC3A7E" w:rsidR="00497B8F" w:rsidRPr="004F15AA" w:rsidRDefault="00497B8F" w:rsidP="00ED11BA">
      <w:pPr>
        <w:pStyle w:val="ARTICULOS"/>
        <w:ind w:left="0"/>
      </w:pPr>
      <w:r w:rsidRPr="004F15AA">
        <w:rPr>
          <w:b/>
        </w:rPr>
        <w:t>Vigencia</w:t>
      </w:r>
      <w:r w:rsidRPr="004F15AA">
        <w:t xml:space="preserve">. La presente resolución rige a partir de su publicación en el </w:t>
      </w:r>
      <w:r w:rsidRPr="00ED11BA">
        <w:t>Diario Oficial</w:t>
      </w:r>
      <w:r w:rsidRPr="004F15AA">
        <w:t xml:space="preserve">. </w:t>
      </w:r>
    </w:p>
    <w:p w14:paraId="27DD2804" w14:textId="77777777" w:rsidR="00497B8F" w:rsidRPr="00BB17D5" w:rsidRDefault="00497B8F" w:rsidP="00497B8F">
      <w:pPr>
        <w:pStyle w:val="Textoindependiente21"/>
        <w:widowControl w:val="0"/>
        <w:rPr>
          <w:rFonts w:cs="Arial"/>
          <w:color w:val="000000"/>
          <w:szCs w:val="24"/>
          <w:lang w:val="es-ES"/>
        </w:rPr>
      </w:pPr>
    </w:p>
    <w:p w14:paraId="6A54F093" w14:textId="77777777" w:rsidR="00497B8F" w:rsidRPr="00BB17D5" w:rsidRDefault="00497B8F" w:rsidP="00497B8F">
      <w:pPr>
        <w:pStyle w:val="Textoindependiente21"/>
        <w:widowControl w:val="0"/>
        <w:rPr>
          <w:rFonts w:cs="Arial"/>
          <w:color w:val="000000"/>
          <w:szCs w:val="24"/>
          <w:lang w:val="es-ES"/>
        </w:rPr>
      </w:pPr>
    </w:p>
    <w:p w14:paraId="579E3069" w14:textId="77777777" w:rsidR="00497B8F" w:rsidRPr="00BB17D5" w:rsidRDefault="00497B8F" w:rsidP="00497B8F">
      <w:pPr>
        <w:pStyle w:val="Estilo8"/>
        <w:widowControl w:val="0"/>
        <w:jc w:val="center"/>
        <w:rPr>
          <w:rFonts w:ascii="Bookman Old Style" w:hAnsi="Bookman Old Style"/>
          <w:b/>
          <w:color w:val="000000"/>
          <w:sz w:val="24"/>
          <w:szCs w:val="24"/>
        </w:rPr>
      </w:pPr>
      <w:r w:rsidRPr="00BB17D5">
        <w:rPr>
          <w:rFonts w:ascii="Bookman Old Style" w:hAnsi="Bookman Old Style"/>
          <w:b/>
          <w:color w:val="000000"/>
          <w:sz w:val="24"/>
          <w:szCs w:val="24"/>
        </w:rPr>
        <w:t>PUBLÍQUESE Y CÚMPLASE</w:t>
      </w:r>
    </w:p>
    <w:p w14:paraId="6AB41365" w14:textId="77777777" w:rsidR="00497B8F" w:rsidRPr="00BB17D5" w:rsidRDefault="00497B8F" w:rsidP="00497B8F">
      <w:pPr>
        <w:pStyle w:val="Textoindependiente"/>
        <w:rPr>
          <w:rFonts w:ascii="Bookman Old Style" w:hAnsi="Bookman Old Style"/>
          <w:color w:val="000000"/>
        </w:rPr>
      </w:pPr>
    </w:p>
    <w:p w14:paraId="1EC1138B" w14:textId="77777777" w:rsidR="00684D42" w:rsidRPr="00497B8F" w:rsidRDefault="00684D42" w:rsidP="00497B8F">
      <w:pPr>
        <w:rPr>
          <w:lang w:val="es-CO"/>
        </w:rPr>
      </w:pPr>
    </w:p>
    <w:sectPr w:rsidR="00684D42" w:rsidRPr="00497B8F" w:rsidSect="002F7192">
      <w:headerReference w:type="default" r:id="rId13"/>
      <w:headerReference w:type="first" r:id="rId14"/>
      <w:type w:val="continuous"/>
      <w:pgSz w:w="12242" w:h="18722" w:code="123"/>
      <w:pgMar w:top="2342" w:right="1185" w:bottom="1758" w:left="1701"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74C4" w14:textId="77777777" w:rsidR="00641312" w:rsidRDefault="00641312">
      <w:r>
        <w:separator/>
      </w:r>
    </w:p>
  </w:endnote>
  <w:endnote w:type="continuationSeparator" w:id="0">
    <w:p w14:paraId="5921A130" w14:textId="77777777" w:rsidR="00641312" w:rsidRDefault="00641312">
      <w:r>
        <w:continuationSeparator/>
      </w:r>
    </w:p>
  </w:endnote>
  <w:endnote w:type="continuationNotice" w:id="1">
    <w:p w14:paraId="59098BA5" w14:textId="77777777" w:rsidR="00641312" w:rsidRDefault="00641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F7DF" w14:textId="77777777" w:rsidR="00641312" w:rsidRDefault="00641312">
      <w:r>
        <w:separator/>
      </w:r>
    </w:p>
  </w:footnote>
  <w:footnote w:type="continuationSeparator" w:id="0">
    <w:p w14:paraId="3A416452" w14:textId="77777777" w:rsidR="00641312" w:rsidRDefault="00641312">
      <w:r>
        <w:continuationSeparator/>
      </w:r>
    </w:p>
  </w:footnote>
  <w:footnote w:type="continuationNotice" w:id="1">
    <w:p w14:paraId="4F42460C" w14:textId="77777777" w:rsidR="00641312" w:rsidRDefault="00641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5EDF" w14:textId="77777777" w:rsidR="00AB0C20" w:rsidRDefault="00AB0C20" w:rsidP="00A974C9">
    <w:pPr>
      <w:pStyle w:val="Ttulo1"/>
    </w:pPr>
  </w:p>
  <w:p w14:paraId="172C7964" w14:textId="7725F98C" w:rsidR="00AB0C20" w:rsidRPr="00541266" w:rsidRDefault="00AB0C20" w:rsidP="00A974C9">
    <w:pPr>
      <w:pStyle w:val="Ttulo1"/>
      <w:rPr>
        <w:b w:val="0"/>
        <w:sz w:val="22"/>
      </w:rPr>
    </w:pPr>
    <w:r w:rsidRPr="00541266">
      <w:rPr>
        <w:b w:val="0"/>
        <w:sz w:val="22"/>
      </w:rPr>
      <w:t xml:space="preserve">RESOLUCIÓN No.  </w:t>
    </w:r>
    <w:r w:rsidR="00292BD1" w:rsidRPr="00292BD1">
      <w:rPr>
        <w:bCs/>
        <w:u w:val="single"/>
      </w:rPr>
      <w:t>702 006</w:t>
    </w:r>
    <w:r w:rsidRPr="00541266">
      <w:rPr>
        <w:b w:val="0"/>
        <w:sz w:val="22"/>
      </w:rPr>
      <w:tab/>
      <w:t xml:space="preserve">DE </w:t>
    </w:r>
    <w:r w:rsidR="00292BD1" w:rsidRPr="00292BD1">
      <w:rPr>
        <w:bCs/>
        <w:sz w:val="22"/>
        <w:u w:val="single"/>
      </w:rPr>
      <w:t>31 MAY. 2022</w:t>
    </w:r>
    <w:r w:rsidRPr="00541266">
      <w:rPr>
        <w:b w:val="0"/>
        <w:sz w:val="22"/>
      </w:rPr>
      <w:tab/>
      <w:t xml:space="preserve">HOJA No. </w:t>
    </w:r>
    <w:r w:rsidRPr="00541266">
      <w:rPr>
        <w:b w:val="0"/>
        <w:sz w:val="22"/>
      </w:rPr>
      <w:fldChar w:fldCharType="begin"/>
    </w:r>
    <w:r w:rsidRPr="00541266">
      <w:rPr>
        <w:b w:val="0"/>
        <w:sz w:val="22"/>
      </w:rPr>
      <w:instrText xml:space="preserve"> PAGE   \* MERGEFORMAT </w:instrText>
    </w:r>
    <w:r w:rsidRPr="00541266">
      <w:rPr>
        <w:b w:val="0"/>
        <w:sz w:val="22"/>
      </w:rPr>
      <w:fldChar w:fldCharType="separate"/>
    </w:r>
    <w:r w:rsidR="00E66B37">
      <w:rPr>
        <w:b w:val="0"/>
        <w:noProof/>
        <w:sz w:val="22"/>
      </w:rPr>
      <w:t>14</w:t>
    </w:r>
    <w:r w:rsidRPr="00541266">
      <w:rPr>
        <w:b w:val="0"/>
        <w:sz w:val="22"/>
      </w:rPr>
      <w:fldChar w:fldCharType="end"/>
    </w:r>
    <w:r w:rsidRPr="00541266">
      <w:rPr>
        <w:b w:val="0"/>
        <w:sz w:val="22"/>
      </w:rPr>
      <w:t>/</w:t>
    </w:r>
    <w:r w:rsidRPr="00541266">
      <w:rPr>
        <w:b w:val="0"/>
        <w:sz w:val="22"/>
      </w:rPr>
      <w:fldChar w:fldCharType="begin"/>
    </w:r>
    <w:r w:rsidRPr="00541266">
      <w:rPr>
        <w:b w:val="0"/>
        <w:sz w:val="22"/>
      </w:rPr>
      <w:instrText xml:space="preserve"> NUMPAGES  \* MERGEFORMAT </w:instrText>
    </w:r>
    <w:r w:rsidRPr="00541266">
      <w:rPr>
        <w:b w:val="0"/>
        <w:sz w:val="22"/>
      </w:rPr>
      <w:fldChar w:fldCharType="separate"/>
    </w:r>
    <w:r w:rsidR="00E66B37">
      <w:rPr>
        <w:b w:val="0"/>
        <w:noProof/>
        <w:sz w:val="22"/>
      </w:rPr>
      <w:t>14</w:t>
    </w:r>
    <w:r w:rsidRPr="00541266">
      <w:rPr>
        <w:b w:val="0"/>
        <w:noProof/>
        <w:sz w:val="22"/>
      </w:rPr>
      <w:fldChar w:fldCharType="end"/>
    </w:r>
  </w:p>
  <w:p w14:paraId="2039A5DB" w14:textId="77777777" w:rsidR="00AB0C20" w:rsidRDefault="00AB0C2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77D4BEB" wp14:editId="0CD64B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7C942"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4C420608" w14:textId="77777777" w:rsidR="00995432" w:rsidRPr="001A573D" w:rsidRDefault="00995432" w:rsidP="00995432">
    <w:pPr>
      <w:ind w:right="51"/>
      <w:jc w:val="center"/>
      <w:rPr>
        <w:rFonts w:ascii="Bookman Old Style" w:hAnsi="Bookman Old Style"/>
        <w:b/>
        <w:i/>
        <w:iCs/>
      </w:rPr>
    </w:pPr>
    <w:r w:rsidRPr="001A573D">
      <w:rPr>
        <w:rFonts w:ascii="Bookman Old Style" w:hAnsi="Bookman Old Style" w:cs="Arial"/>
        <w:i/>
        <w:iCs/>
      </w:rPr>
      <w:t>Por la cual se modifica hacen unos ajustes y se compila la Resolución CREG 1</w:t>
    </w:r>
    <w:r>
      <w:rPr>
        <w:rFonts w:ascii="Bookman Old Style" w:hAnsi="Bookman Old Style" w:cs="Arial"/>
        <w:i/>
        <w:iCs/>
      </w:rPr>
      <w:t>52</w:t>
    </w:r>
    <w:r w:rsidRPr="001A573D">
      <w:rPr>
        <w:rFonts w:ascii="Bookman Old Style" w:hAnsi="Bookman Old Style" w:cs="Arial"/>
        <w:i/>
        <w:iCs/>
      </w:rPr>
      <w:t xml:space="preserve"> de 2017</w:t>
    </w:r>
  </w:p>
  <w:p w14:paraId="354ED316" w14:textId="77777777" w:rsidR="00AB0C20" w:rsidRPr="00541266" w:rsidRDefault="00AB0C20" w:rsidP="00AD01E4">
    <w:pPr>
      <w:pBdr>
        <w:bottom w:val="single" w:sz="4" w:space="1" w:color="auto"/>
      </w:pBdr>
      <w:ind w:left="142" w:right="148"/>
      <w:rPr>
        <w:b/>
        <w:lang w:val="es-4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840B" w14:textId="77777777" w:rsidR="00AB0C20" w:rsidRDefault="00AB0C2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F5C7868" w14:textId="77777777" w:rsidR="00AB0C20" w:rsidRDefault="00AB0C20">
    <w:pPr>
      <w:pStyle w:val="Encabezado"/>
      <w:jc w:val="center"/>
      <w:rPr>
        <w:rFonts w:ascii="Arial" w:hAnsi="Arial" w:cs="Arial"/>
        <w:spacing w:val="20"/>
        <w:sz w:val="20"/>
      </w:rPr>
    </w:pPr>
  </w:p>
  <w:p w14:paraId="29840287" w14:textId="77777777" w:rsidR="00AB0C20" w:rsidRDefault="00AB0C2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4180192" wp14:editId="7800EC4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7DD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4C1D02"/>
    <w:multiLevelType w:val="hybridMultilevel"/>
    <w:tmpl w:val="0D7A70E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8926A6"/>
    <w:multiLevelType w:val="hybridMultilevel"/>
    <w:tmpl w:val="D200D5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15:restartNumberingAfterBreak="0">
    <w:nsid w:val="13527593"/>
    <w:multiLevelType w:val="hybridMultilevel"/>
    <w:tmpl w:val="B7C210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311A02"/>
    <w:multiLevelType w:val="hybridMultilevel"/>
    <w:tmpl w:val="05029C3C"/>
    <w:name w:val="WW8Num642322223"/>
    <w:lvl w:ilvl="0" w:tplc="B1C0AF80">
      <w:start w:val="1"/>
      <w:numFmt w:val="decimal"/>
      <w:lvlText w:val="%1."/>
      <w:lvlJc w:val="left"/>
      <w:pPr>
        <w:ind w:left="786"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17AF588D"/>
    <w:multiLevelType w:val="multilevel"/>
    <w:tmpl w:val="CC509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80B1C3B"/>
    <w:multiLevelType w:val="hybridMultilevel"/>
    <w:tmpl w:val="F5787FA0"/>
    <w:lvl w:ilvl="0" w:tplc="A2F07FAE">
      <w:start w:val="1"/>
      <w:numFmt w:val="lowerLetter"/>
      <w:lvlText w:val="%1)"/>
      <w:lvlJc w:val="lef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F3D1011"/>
    <w:multiLevelType w:val="hybridMultilevel"/>
    <w:tmpl w:val="58ECC27E"/>
    <w:lvl w:ilvl="0" w:tplc="24C2A75E">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B50620"/>
    <w:multiLevelType w:val="multilevel"/>
    <w:tmpl w:val="4DE26D66"/>
    <w:name w:val="Anexo2"/>
    <w:lvl w:ilvl="0">
      <w:start w:val="6"/>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1806C67"/>
    <w:multiLevelType w:val="hybridMultilevel"/>
    <w:tmpl w:val="EEC2163E"/>
    <w:lvl w:ilvl="0" w:tplc="240A0017">
      <w:start w:val="1"/>
      <w:numFmt w:val="lowerLetter"/>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57B2560"/>
    <w:multiLevelType w:val="hybridMultilevel"/>
    <w:tmpl w:val="24BA5DB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5E74006"/>
    <w:multiLevelType w:val="multilevel"/>
    <w:tmpl w:val="0A047AE2"/>
    <w:name w:val="WW8Num64232232"/>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E2326B"/>
    <w:multiLevelType w:val="multilevel"/>
    <w:tmpl w:val="9DA42E1E"/>
    <w:lvl w:ilvl="0">
      <w:start w:val="2"/>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5" w15:restartNumberingAfterBreak="0">
    <w:nsid w:val="2E1E7587"/>
    <w:multiLevelType w:val="hybridMultilevel"/>
    <w:tmpl w:val="C5F00CC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3484628C"/>
    <w:multiLevelType w:val="multilevel"/>
    <w:tmpl w:val="863871F6"/>
    <w:lvl w:ilvl="0">
      <w:start w:val="1"/>
      <w:numFmt w:val="decimal"/>
      <w:lvlText w:val="%1"/>
      <w:lvlJc w:val="left"/>
      <w:pPr>
        <w:ind w:left="375" w:hanging="37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348F13D4"/>
    <w:multiLevelType w:val="multilevel"/>
    <w:tmpl w:val="F5FA2C02"/>
    <w:lvl w:ilvl="0">
      <w:start w:val="1"/>
      <w:numFmt w:val="decimal"/>
      <w:pStyle w:val="ARTICULOS"/>
      <w:suff w:val="space"/>
      <w:lvlText w:val="Artículo %1."/>
      <w:lvlJc w:val="left"/>
      <w:pPr>
        <w:ind w:left="4962" w:firstLine="0"/>
      </w:pPr>
      <w:rPr>
        <w:rFonts w:ascii="Bookman Old Style" w:hAnsi="Bookman Old Style" w:hint="default"/>
        <w:b/>
        <w:i w:val="0"/>
        <w:sz w:val="24"/>
        <w:lang w:val="es-ES_tradnl"/>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9" w15:restartNumberingAfterBreak="0">
    <w:nsid w:val="363D7D23"/>
    <w:multiLevelType w:val="hybridMultilevel"/>
    <w:tmpl w:val="DC5C6FD8"/>
    <w:lvl w:ilvl="0" w:tplc="240A0017">
      <w:start w:val="1"/>
      <w:numFmt w:val="lowerLetter"/>
      <w:lvlText w:val="%1)"/>
      <w:lvlJc w:val="left"/>
      <w:pPr>
        <w:ind w:left="428" w:hanging="360"/>
      </w:pPr>
    </w:lvl>
    <w:lvl w:ilvl="1" w:tplc="240A0019" w:tentative="1">
      <w:start w:val="1"/>
      <w:numFmt w:val="lowerLetter"/>
      <w:lvlText w:val="%2."/>
      <w:lvlJc w:val="left"/>
      <w:pPr>
        <w:ind w:left="1148" w:hanging="360"/>
      </w:pPr>
    </w:lvl>
    <w:lvl w:ilvl="2" w:tplc="240A001B" w:tentative="1">
      <w:start w:val="1"/>
      <w:numFmt w:val="lowerRoman"/>
      <w:lvlText w:val="%3."/>
      <w:lvlJc w:val="right"/>
      <w:pPr>
        <w:ind w:left="1868" w:hanging="180"/>
      </w:pPr>
    </w:lvl>
    <w:lvl w:ilvl="3" w:tplc="240A000F" w:tentative="1">
      <w:start w:val="1"/>
      <w:numFmt w:val="decimal"/>
      <w:lvlText w:val="%4."/>
      <w:lvlJc w:val="left"/>
      <w:pPr>
        <w:ind w:left="2588" w:hanging="360"/>
      </w:pPr>
    </w:lvl>
    <w:lvl w:ilvl="4" w:tplc="240A0019" w:tentative="1">
      <w:start w:val="1"/>
      <w:numFmt w:val="lowerLetter"/>
      <w:lvlText w:val="%5."/>
      <w:lvlJc w:val="left"/>
      <w:pPr>
        <w:ind w:left="3308" w:hanging="360"/>
      </w:pPr>
    </w:lvl>
    <w:lvl w:ilvl="5" w:tplc="240A001B" w:tentative="1">
      <w:start w:val="1"/>
      <w:numFmt w:val="lowerRoman"/>
      <w:lvlText w:val="%6."/>
      <w:lvlJc w:val="right"/>
      <w:pPr>
        <w:ind w:left="4028" w:hanging="180"/>
      </w:pPr>
    </w:lvl>
    <w:lvl w:ilvl="6" w:tplc="240A000F" w:tentative="1">
      <w:start w:val="1"/>
      <w:numFmt w:val="decimal"/>
      <w:lvlText w:val="%7."/>
      <w:lvlJc w:val="left"/>
      <w:pPr>
        <w:ind w:left="4748" w:hanging="360"/>
      </w:pPr>
    </w:lvl>
    <w:lvl w:ilvl="7" w:tplc="240A0019" w:tentative="1">
      <w:start w:val="1"/>
      <w:numFmt w:val="lowerLetter"/>
      <w:lvlText w:val="%8."/>
      <w:lvlJc w:val="left"/>
      <w:pPr>
        <w:ind w:left="5468" w:hanging="360"/>
      </w:pPr>
    </w:lvl>
    <w:lvl w:ilvl="8" w:tplc="240A001B" w:tentative="1">
      <w:start w:val="1"/>
      <w:numFmt w:val="lowerRoman"/>
      <w:lvlText w:val="%9."/>
      <w:lvlJc w:val="right"/>
      <w:pPr>
        <w:ind w:left="6188" w:hanging="180"/>
      </w:pPr>
    </w:lvl>
  </w:abstractNum>
  <w:abstractNum w:abstractNumId="30"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31" w15:restartNumberingAfterBreak="0">
    <w:nsid w:val="3983173C"/>
    <w:multiLevelType w:val="hybridMultilevel"/>
    <w:tmpl w:val="FC74A4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BAF6561"/>
    <w:multiLevelType w:val="multilevel"/>
    <w:tmpl w:val="7AE6702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34" w15:restartNumberingAfterBreak="0">
    <w:nsid w:val="405D039C"/>
    <w:multiLevelType w:val="hybridMultilevel"/>
    <w:tmpl w:val="6030AB4C"/>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2881FB0"/>
    <w:multiLevelType w:val="hybridMultilevel"/>
    <w:tmpl w:val="9244BBBE"/>
    <w:lvl w:ilvl="0" w:tplc="2862C0B6">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2C83E09"/>
    <w:multiLevelType w:val="hybridMultilevel"/>
    <w:tmpl w:val="43F0CC58"/>
    <w:lvl w:ilvl="0" w:tplc="DDFA7C66">
      <w:start w:val="1"/>
      <w:numFmt w:val="lowerLetter"/>
      <w:lvlText w:val="%1)"/>
      <w:lvlJc w:val="left"/>
      <w:pPr>
        <w:ind w:left="1440" w:hanging="360"/>
      </w:pPr>
      <w:rPr>
        <w:b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450C1416"/>
    <w:multiLevelType w:val="hybridMultilevel"/>
    <w:tmpl w:val="DD1057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7A242CB"/>
    <w:multiLevelType w:val="multilevel"/>
    <w:tmpl w:val="CD641A08"/>
    <w:lvl w:ilvl="0">
      <w:start w:val="1"/>
      <w:numFmt w:val="decimal"/>
      <w:lvlText w:val="%1."/>
      <w:lvlJc w:val="left"/>
      <w:pPr>
        <w:ind w:left="720" w:hanging="360"/>
      </w:pPr>
      <w:rPr>
        <w:rFonts w:hint="default"/>
        <w:sz w:val="24"/>
        <w:szCs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CF92AE0"/>
    <w:multiLevelType w:val="hybridMultilevel"/>
    <w:tmpl w:val="05583B1E"/>
    <w:lvl w:ilvl="0" w:tplc="A32A0CA2">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2" w15:restartNumberingAfterBreak="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45" w15:restartNumberingAfterBreak="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41A2899"/>
    <w:multiLevelType w:val="hybridMultilevel"/>
    <w:tmpl w:val="833892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5FF6342"/>
    <w:multiLevelType w:val="hybridMultilevel"/>
    <w:tmpl w:val="B5529A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7907D16"/>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5B911E7D"/>
    <w:multiLevelType w:val="hybridMultilevel"/>
    <w:tmpl w:val="3BF45662"/>
    <w:lvl w:ilvl="0" w:tplc="09DEF590">
      <w:start w:val="1"/>
      <w:numFmt w:val="lowerRoman"/>
      <w:lvlText w:val="%1.)"/>
      <w:lvlJc w:val="left"/>
      <w:pPr>
        <w:ind w:left="436" w:hanging="72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50" w15:restartNumberingAfterBreak="0">
    <w:nsid w:val="5C5045F6"/>
    <w:multiLevelType w:val="hybridMultilevel"/>
    <w:tmpl w:val="3D0A267E"/>
    <w:lvl w:ilvl="0" w:tplc="196C9236">
      <w:start w:val="1"/>
      <w:numFmt w:val="lowerLetter"/>
      <w:lvlText w:val="%1."/>
      <w:lvlJc w:val="left"/>
      <w:pPr>
        <w:tabs>
          <w:tab w:val="num" w:pos="6"/>
        </w:tabs>
        <w:ind w:left="6" w:hanging="360"/>
      </w:pPr>
    </w:lvl>
    <w:lvl w:ilvl="1" w:tplc="B4709D1E" w:tentative="1">
      <w:start w:val="1"/>
      <w:numFmt w:val="lowerLetter"/>
      <w:lvlText w:val="%2."/>
      <w:lvlJc w:val="left"/>
      <w:pPr>
        <w:tabs>
          <w:tab w:val="num" w:pos="726"/>
        </w:tabs>
        <w:ind w:left="726" w:hanging="360"/>
      </w:pPr>
    </w:lvl>
    <w:lvl w:ilvl="2" w:tplc="19288F26" w:tentative="1">
      <w:start w:val="1"/>
      <w:numFmt w:val="lowerLetter"/>
      <w:lvlText w:val="%3."/>
      <w:lvlJc w:val="left"/>
      <w:pPr>
        <w:tabs>
          <w:tab w:val="num" w:pos="1446"/>
        </w:tabs>
        <w:ind w:left="1446" w:hanging="360"/>
      </w:pPr>
    </w:lvl>
    <w:lvl w:ilvl="3" w:tplc="1EDAF1B8" w:tentative="1">
      <w:start w:val="1"/>
      <w:numFmt w:val="lowerLetter"/>
      <w:lvlText w:val="%4."/>
      <w:lvlJc w:val="left"/>
      <w:pPr>
        <w:tabs>
          <w:tab w:val="num" w:pos="2166"/>
        </w:tabs>
        <w:ind w:left="2166" w:hanging="360"/>
      </w:pPr>
    </w:lvl>
    <w:lvl w:ilvl="4" w:tplc="B0403466" w:tentative="1">
      <w:start w:val="1"/>
      <w:numFmt w:val="lowerLetter"/>
      <w:lvlText w:val="%5."/>
      <w:lvlJc w:val="left"/>
      <w:pPr>
        <w:tabs>
          <w:tab w:val="num" w:pos="2886"/>
        </w:tabs>
        <w:ind w:left="2886" w:hanging="360"/>
      </w:pPr>
    </w:lvl>
    <w:lvl w:ilvl="5" w:tplc="823E0344" w:tentative="1">
      <w:start w:val="1"/>
      <w:numFmt w:val="lowerLetter"/>
      <w:lvlText w:val="%6."/>
      <w:lvlJc w:val="left"/>
      <w:pPr>
        <w:tabs>
          <w:tab w:val="num" w:pos="3606"/>
        </w:tabs>
        <w:ind w:left="3606" w:hanging="360"/>
      </w:pPr>
    </w:lvl>
    <w:lvl w:ilvl="6" w:tplc="AD3E927C" w:tentative="1">
      <w:start w:val="1"/>
      <w:numFmt w:val="lowerLetter"/>
      <w:lvlText w:val="%7."/>
      <w:lvlJc w:val="left"/>
      <w:pPr>
        <w:tabs>
          <w:tab w:val="num" w:pos="4326"/>
        </w:tabs>
        <w:ind w:left="4326" w:hanging="360"/>
      </w:pPr>
    </w:lvl>
    <w:lvl w:ilvl="7" w:tplc="325EC43E" w:tentative="1">
      <w:start w:val="1"/>
      <w:numFmt w:val="lowerLetter"/>
      <w:lvlText w:val="%8."/>
      <w:lvlJc w:val="left"/>
      <w:pPr>
        <w:tabs>
          <w:tab w:val="num" w:pos="5046"/>
        </w:tabs>
        <w:ind w:left="5046" w:hanging="360"/>
      </w:pPr>
    </w:lvl>
    <w:lvl w:ilvl="8" w:tplc="03D0A652" w:tentative="1">
      <w:start w:val="1"/>
      <w:numFmt w:val="lowerLetter"/>
      <w:lvlText w:val="%9."/>
      <w:lvlJc w:val="left"/>
      <w:pPr>
        <w:tabs>
          <w:tab w:val="num" w:pos="5766"/>
        </w:tabs>
        <w:ind w:left="5766" w:hanging="360"/>
      </w:pPr>
    </w:lvl>
  </w:abstractNum>
  <w:abstractNum w:abstractNumId="51"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2" w15:restartNumberingAfterBreak="0">
    <w:nsid w:val="60334165"/>
    <w:multiLevelType w:val="singleLevel"/>
    <w:tmpl w:val="240A0017"/>
    <w:lvl w:ilvl="0">
      <w:start w:val="1"/>
      <w:numFmt w:val="lowerLetter"/>
      <w:lvlText w:val="%1)"/>
      <w:lvlJc w:val="left"/>
      <w:pPr>
        <w:ind w:left="720" w:hanging="360"/>
      </w:pPr>
    </w:lvl>
  </w:abstractNum>
  <w:abstractNum w:abstractNumId="53" w15:restartNumberingAfterBreak="0">
    <w:nsid w:val="60377485"/>
    <w:multiLevelType w:val="hybridMultilevel"/>
    <w:tmpl w:val="DD1057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6" w15:restartNumberingAfterBreak="0">
    <w:nsid w:val="6A7D066F"/>
    <w:multiLevelType w:val="multilevel"/>
    <w:tmpl w:val="4ED84208"/>
    <w:lvl w:ilvl="0">
      <w:start w:val="3"/>
      <w:numFmt w:val="decimal"/>
      <w:lvlText w:val="%1"/>
      <w:lvlJc w:val="left"/>
      <w:pPr>
        <w:ind w:left="405" w:hanging="40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57"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59" w15:restartNumberingAfterBreak="0">
    <w:nsid w:val="73432BD8"/>
    <w:multiLevelType w:val="hybridMultilevel"/>
    <w:tmpl w:val="DB607420"/>
    <w:lvl w:ilvl="0" w:tplc="8EE8F796">
      <w:start w:val="1"/>
      <w:numFmt w:val="decimal"/>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60"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500175">
    <w:abstractNumId w:val="33"/>
  </w:num>
  <w:num w:numId="2" w16cid:durableId="706220980">
    <w:abstractNumId w:val="35"/>
  </w:num>
  <w:num w:numId="3" w16cid:durableId="1289317937">
    <w:abstractNumId w:val="0"/>
  </w:num>
  <w:num w:numId="4" w16cid:durableId="257832090">
    <w:abstractNumId w:val="1"/>
  </w:num>
  <w:num w:numId="5" w16cid:durableId="1428497351">
    <w:abstractNumId w:val="55"/>
  </w:num>
  <w:num w:numId="6" w16cid:durableId="572156933">
    <w:abstractNumId w:val="2"/>
  </w:num>
  <w:num w:numId="7" w16cid:durableId="949624385">
    <w:abstractNumId w:val="57"/>
    <w:lvlOverride w:ilvl="0">
      <w:startOverride w:val="1"/>
    </w:lvlOverride>
  </w:num>
  <w:num w:numId="8" w16cid:durableId="1607424743">
    <w:abstractNumId w:val="45"/>
  </w:num>
  <w:num w:numId="9" w16cid:durableId="44828118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67224">
    <w:abstractNumId w:val="28"/>
  </w:num>
  <w:num w:numId="11" w16cid:durableId="1642808478">
    <w:abstractNumId w:val="60"/>
  </w:num>
  <w:num w:numId="12" w16cid:durableId="1078138394">
    <w:abstractNumId w:val="42"/>
  </w:num>
  <w:num w:numId="13" w16cid:durableId="979384003">
    <w:abstractNumId w:val="22"/>
  </w:num>
  <w:num w:numId="14" w16cid:durableId="1124155851">
    <w:abstractNumId w:val="43"/>
  </w:num>
  <w:num w:numId="15" w16cid:durableId="75833969">
    <w:abstractNumId w:val="54"/>
  </w:num>
  <w:num w:numId="16" w16cid:durableId="1922566469">
    <w:abstractNumId w:val="21"/>
  </w:num>
  <w:num w:numId="17" w16cid:durableId="2031761097">
    <w:abstractNumId w:val="23"/>
  </w:num>
  <w:num w:numId="18" w16cid:durableId="1835023045">
    <w:abstractNumId w:val="12"/>
  </w:num>
  <w:num w:numId="19" w16cid:durableId="1442844427">
    <w:abstractNumId w:val="59"/>
  </w:num>
  <w:num w:numId="20" w16cid:durableId="871843284">
    <w:abstractNumId w:val="31"/>
  </w:num>
  <w:num w:numId="21" w16cid:durableId="1852141947">
    <w:abstractNumId w:val="25"/>
  </w:num>
  <w:num w:numId="22" w16cid:durableId="99420455">
    <w:abstractNumId w:val="18"/>
  </w:num>
  <w:num w:numId="23" w16cid:durableId="1347560340">
    <w:abstractNumId w:val="26"/>
  </w:num>
  <w:num w:numId="24" w16cid:durableId="1633829285">
    <w:abstractNumId w:val="52"/>
  </w:num>
  <w:num w:numId="25" w16cid:durableId="546767633">
    <w:abstractNumId w:val="34"/>
  </w:num>
  <w:num w:numId="26" w16cid:durableId="1431317252">
    <w:abstractNumId w:val="6"/>
  </w:num>
  <w:num w:numId="27" w16cid:durableId="680820563">
    <w:abstractNumId w:val="5"/>
  </w:num>
  <w:num w:numId="28" w16cid:durableId="111287796">
    <w:abstractNumId w:val="29"/>
  </w:num>
  <w:num w:numId="29" w16cid:durableId="1739667893">
    <w:abstractNumId w:val="32"/>
  </w:num>
  <w:num w:numId="30" w16cid:durableId="290091377">
    <w:abstractNumId w:val="40"/>
  </w:num>
  <w:num w:numId="31" w16cid:durableId="130438371">
    <w:abstractNumId w:val="27"/>
  </w:num>
  <w:num w:numId="32" w16cid:durableId="2070154771">
    <w:abstractNumId w:val="24"/>
  </w:num>
  <w:num w:numId="33" w16cid:durableId="1170676736">
    <w:abstractNumId w:val="56"/>
  </w:num>
  <w:num w:numId="34" w16cid:durableId="1137409027">
    <w:abstractNumId w:val="48"/>
  </w:num>
  <w:num w:numId="35" w16cid:durableId="726488181">
    <w:abstractNumId w:val="37"/>
  </w:num>
  <w:num w:numId="36" w16cid:durableId="1245644192">
    <w:abstractNumId w:val="55"/>
  </w:num>
  <w:num w:numId="37" w16cid:durableId="1776974838">
    <w:abstractNumId w:val="36"/>
  </w:num>
  <w:num w:numId="38" w16cid:durableId="2068262526">
    <w:abstractNumId w:val="46"/>
  </w:num>
  <w:num w:numId="39" w16cid:durableId="2089107124">
    <w:abstractNumId w:val="53"/>
  </w:num>
  <w:num w:numId="40" w16cid:durableId="88552289">
    <w:abstractNumId w:val="11"/>
  </w:num>
  <w:num w:numId="41" w16cid:durableId="172189508">
    <w:abstractNumId w:val="15"/>
  </w:num>
  <w:num w:numId="42" w16cid:durableId="683095246">
    <w:abstractNumId w:val="28"/>
  </w:num>
  <w:num w:numId="43" w16cid:durableId="650718426">
    <w:abstractNumId w:val="47"/>
  </w:num>
  <w:num w:numId="44" w16cid:durableId="2123255623">
    <w:abstractNumId w:val="14"/>
  </w:num>
  <w:num w:numId="45" w16cid:durableId="1596858991">
    <w:abstractNumId w:val="38"/>
  </w:num>
  <w:num w:numId="46" w16cid:durableId="1621110200">
    <w:abstractNumId w:val="50"/>
  </w:num>
  <w:num w:numId="47" w16cid:durableId="78259122">
    <w:abstractNumId w:val="49"/>
  </w:num>
  <w:num w:numId="48" w16cid:durableId="1304776792">
    <w:abstractNumId w:val="41"/>
  </w:num>
  <w:num w:numId="49" w16cid:durableId="2044406777">
    <w:abstractNumId w:val="19"/>
  </w:num>
  <w:num w:numId="50" w16cid:durableId="684289124">
    <w:abstractNumId w:val="16"/>
  </w:num>
  <w:num w:numId="51" w16cid:durableId="79645906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3103013">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58"/>
    <w:rsid w:val="000014B5"/>
    <w:rsid w:val="000020CF"/>
    <w:rsid w:val="0000257B"/>
    <w:rsid w:val="00002B90"/>
    <w:rsid w:val="000030AD"/>
    <w:rsid w:val="00003DB0"/>
    <w:rsid w:val="00004DDD"/>
    <w:rsid w:val="0000536D"/>
    <w:rsid w:val="00006AE2"/>
    <w:rsid w:val="00006EF1"/>
    <w:rsid w:val="000070D1"/>
    <w:rsid w:val="000074C7"/>
    <w:rsid w:val="0000762A"/>
    <w:rsid w:val="000076A1"/>
    <w:rsid w:val="00010073"/>
    <w:rsid w:val="00012156"/>
    <w:rsid w:val="00012259"/>
    <w:rsid w:val="000143BD"/>
    <w:rsid w:val="00015041"/>
    <w:rsid w:val="000166AB"/>
    <w:rsid w:val="000178E1"/>
    <w:rsid w:val="00025287"/>
    <w:rsid w:val="00025383"/>
    <w:rsid w:val="00025CF8"/>
    <w:rsid w:val="00025F77"/>
    <w:rsid w:val="000267DF"/>
    <w:rsid w:val="000268CF"/>
    <w:rsid w:val="00026C4E"/>
    <w:rsid w:val="000303F3"/>
    <w:rsid w:val="00030757"/>
    <w:rsid w:val="00030CFA"/>
    <w:rsid w:val="000332C2"/>
    <w:rsid w:val="00033403"/>
    <w:rsid w:val="000338C5"/>
    <w:rsid w:val="000345DB"/>
    <w:rsid w:val="00035412"/>
    <w:rsid w:val="000358AD"/>
    <w:rsid w:val="00037497"/>
    <w:rsid w:val="00040132"/>
    <w:rsid w:val="00040AAA"/>
    <w:rsid w:val="00043CBD"/>
    <w:rsid w:val="00043E01"/>
    <w:rsid w:val="00045EEA"/>
    <w:rsid w:val="00046413"/>
    <w:rsid w:val="00046E10"/>
    <w:rsid w:val="000475FB"/>
    <w:rsid w:val="00050514"/>
    <w:rsid w:val="00051605"/>
    <w:rsid w:val="00051E24"/>
    <w:rsid w:val="00052660"/>
    <w:rsid w:val="0005283A"/>
    <w:rsid w:val="00054C44"/>
    <w:rsid w:val="0005680C"/>
    <w:rsid w:val="000618C0"/>
    <w:rsid w:val="00063120"/>
    <w:rsid w:val="00063657"/>
    <w:rsid w:val="00064495"/>
    <w:rsid w:val="0006527F"/>
    <w:rsid w:val="000671E8"/>
    <w:rsid w:val="00070670"/>
    <w:rsid w:val="000738BF"/>
    <w:rsid w:val="000758FA"/>
    <w:rsid w:val="00076680"/>
    <w:rsid w:val="0007686B"/>
    <w:rsid w:val="00076CC4"/>
    <w:rsid w:val="00077990"/>
    <w:rsid w:val="0008073E"/>
    <w:rsid w:val="00081EB2"/>
    <w:rsid w:val="00083537"/>
    <w:rsid w:val="000847DF"/>
    <w:rsid w:val="00084954"/>
    <w:rsid w:val="00084EA5"/>
    <w:rsid w:val="00087297"/>
    <w:rsid w:val="0008757C"/>
    <w:rsid w:val="00087E97"/>
    <w:rsid w:val="00087ECA"/>
    <w:rsid w:val="00091CDB"/>
    <w:rsid w:val="000924B2"/>
    <w:rsid w:val="00092D3E"/>
    <w:rsid w:val="000931CA"/>
    <w:rsid w:val="000948A1"/>
    <w:rsid w:val="00097E20"/>
    <w:rsid w:val="000A006C"/>
    <w:rsid w:val="000A19AC"/>
    <w:rsid w:val="000A1DF5"/>
    <w:rsid w:val="000A2FCE"/>
    <w:rsid w:val="000A34F9"/>
    <w:rsid w:val="000A6065"/>
    <w:rsid w:val="000A6175"/>
    <w:rsid w:val="000A6475"/>
    <w:rsid w:val="000A76FF"/>
    <w:rsid w:val="000B08F8"/>
    <w:rsid w:val="000B2A23"/>
    <w:rsid w:val="000B5DFD"/>
    <w:rsid w:val="000C0E6A"/>
    <w:rsid w:val="000C1079"/>
    <w:rsid w:val="000C2A33"/>
    <w:rsid w:val="000C3081"/>
    <w:rsid w:val="000C30C3"/>
    <w:rsid w:val="000C3557"/>
    <w:rsid w:val="000C362A"/>
    <w:rsid w:val="000C446B"/>
    <w:rsid w:val="000C7A70"/>
    <w:rsid w:val="000D1602"/>
    <w:rsid w:val="000D1687"/>
    <w:rsid w:val="000D26F8"/>
    <w:rsid w:val="000D425F"/>
    <w:rsid w:val="000D4E8F"/>
    <w:rsid w:val="000D5C38"/>
    <w:rsid w:val="000D6382"/>
    <w:rsid w:val="000D6B2E"/>
    <w:rsid w:val="000D76EF"/>
    <w:rsid w:val="000D7B34"/>
    <w:rsid w:val="000E5E39"/>
    <w:rsid w:val="000E7045"/>
    <w:rsid w:val="000F1021"/>
    <w:rsid w:val="000F1290"/>
    <w:rsid w:val="000F1710"/>
    <w:rsid w:val="000F2616"/>
    <w:rsid w:val="000F2795"/>
    <w:rsid w:val="000F2DD4"/>
    <w:rsid w:val="000F4B12"/>
    <w:rsid w:val="000F6A39"/>
    <w:rsid w:val="000F6DBF"/>
    <w:rsid w:val="000F78D2"/>
    <w:rsid w:val="0010004C"/>
    <w:rsid w:val="001047C5"/>
    <w:rsid w:val="00104810"/>
    <w:rsid w:val="00104E22"/>
    <w:rsid w:val="00104E83"/>
    <w:rsid w:val="001053F6"/>
    <w:rsid w:val="00105B01"/>
    <w:rsid w:val="00106F38"/>
    <w:rsid w:val="00110CC4"/>
    <w:rsid w:val="00110F56"/>
    <w:rsid w:val="00111F55"/>
    <w:rsid w:val="00111FD2"/>
    <w:rsid w:val="00112052"/>
    <w:rsid w:val="00115711"/>
    <w:rsid w:val="00117425"/>
    <w:rsid w:val="001179C9"/>
    <w:rsid w:val="00121723"/>
    <w:rsid w:val="00122CA6"/>
    <w:rsid w:val="001231A4"/>
    <w:rsid w:val="00123302"/>
    <w:rsid w:val="001249A9"/>
    <w:rsid w:val="00125E9D"/>
    <w:rsid w:val="001319BD"/>
    <w:rsid w:val="0013406E"/>
    <w:rsid w:val="00134A58"/>
    <w:rsid w:val="0013714C"/>
    <w:rsid w:val="00137943"/>
    <w:rsid w:val="001405C6"/>
    <w:rsid w:val="00141013"/>
    <w:rsid w:val="001417B2"/>
    <w:rsid w:val="00143047"/>
    <w:rsid w:val="00143BD8"/>
    <w:rsid w:val="001459B9"/>
    <w:rsid w:val="00146135"/>
    <w:rsid w:val="00147D1D"/>
    <w:rsid w:val="00151E86"/>
    <w:rsid w:val="0015316A"/>
    <w:rsid w:val="00153FC0"/>
    <w:rsid w:val="00157F28"/>
    <w:rsid w:val="00160E3E"/>
    <w:rsid w:val="00161E0D"/>
    <w:rsid w:val="00165192"/>
    <w:rsid w:val="00166D59"/>
    <w:rsid w:val="0017061E"/>
    <w:rsid w:val="00172C7D"/>
    <w:rsid w:val="00175AC3"/>
    <w:rsid w:val="00176FB4"/>
    <w:rsid w:val="001772C2"/>
    <w:rsid w:val="00177666"/>
    <w:rsid w:val="00177AD0"/>
    <w:rsid w:val="0018193B"/>
    <w:rsid w:val="00183613"/>
    <w:rsid w:val="00184746"/>
    <w:rsid w:val="00184EDA"/>
    <w:rsid w:val="001879F8"/>
    <w:rsid w:val="00187A25"/>
    <w:rsid w:val="00190722"/>
    <w:rsid w:val="001913E9"/>
    <w:rsid w:val="00192CBF"/>
    <w:rsid w:val="00192FF1"/>
    <w:rsid w:val="00193483"/>
    <w:rsid w:val="00193AFD"/>
    <w:rsid w:val="00194946"/>
    <w:rsid w:val="00196942"/>
    <w:rsid w:val="00196AF7"/>
    <w:rsid w:val="001A0337"/>
    <w:rsid w:val="001A0FBC"/>
    <w:rsid w:val="001A46B9"/>
    <w:rsid w:val="001A5843"/>
    <w:rsid w:val="001A5F1B"/>
    <w:rsid w:val="001B033B"/>
    <w:rsid w:val="001B1B7E"/>
    <w:rsid w:val="001B1C22"/>
    <w:rsid w:val="001B231A"/>
    <w:rsid w:val="001B250C"/>
    <w:rsid w:val="001B2B6A"/>
    <w:rsid w:val="001B34C6"/>
    <w:rsid w:val="001B3875"/>
    <w:rsid w:val="001B73C3"/>
    <w:rsid w:val="001C3C58"/>
    <w:rsid w:val="001C3D36"/>
    <w:rsid w:val="001C4A24"/>
    <w:rsid w:val="001C5813"/>
    <w:rsid w:val="001C6F2D"/>
    <w:rsid w:val="001D0619"/>
    <w:rsid w:val="001D44CD"/>
    <w:rsid w:val="001D68B0"/>
    <w:rsid w:val="001D6D6B"/>
    <w:rsid w:val="001D6FD4"/>
    <w:rsid w:val="001D7832"/>
    <w:rsid w:val="001D7CF3"/>
    <w:rsid w:val="001D7ED7"/>
    <w:rsid w:val="001E01FB"/>
    <w:rsid w:val="001E1E6A"/>
    <w:rsid w:val="001E4A38"/>
    <w:rsid w:val="001E7CAD"/>
    <w:rsid w:val="001F2313"/>
    <w:rsid w:val="001F2C7D"/>
    <w:rsid w:val="001F42F8"/>
    <w:rsid w:val="001F582D"/>
    <w:rsid w:val="001F5E01"/>
    <w:rsid w:val="001F6651"/>
    <w:rsid w:val="001F6BDB"/>
    <w:rsid w:val="001F6EE4"/>
    <w:rsid w:val="001F71B4"/>
    <w:rsid w:val="001F7DC0"/>
    <w:rsid w:val="00200B18"/>
    <w:rsid w:val="0020330E"/>
    <w:rsid w:val="00205145"/>
    <w:rsid w:val="00206FC6"/>
    <w:rsid w:val="00207743"/>
    <w:rsid w:val="002103CF"/>
    <w:rsid w:val="00210694"/>
    <w:rsid w:val="00211D34"/>
    <w:rsid w:val="00214F04"/>
    <w:rsid w:val="00216E12"/>
    <w:rsid w:val="00217298"/>
    <w:rsid w:val="00223199"/>
    <w:rsid w:val="00223C60"/>
    <w:rsid w:val="0022428F"/>
    <w:rsid w:val="00224C4E"/>
    <w:rsid w:val="002258CF"/>
    <w:rsid w:val="00225DDB"/>
    <w:rsid w:val="002303E4"/>
    <w:rsid w:val="002304D6"/>
    <w:rsid w:val="00231A93"/>
    <w:rsid w:val="00231F5A"/>
    <w:rsid w:val="00233641"/>
    <w:rsid w:val="00235E85"/>
    <w:rsid w:val="00236966"/>
    <w:rsid w:val="00237CDD"/>
    <w:rsid w:val="002406F1"/>
    <w:rsid w:val="00242BDB"/>
    <w:rsid w:val="00244179"/>
    <w:rsid w:val="00245FC6"/>
    <w:rsid w:val="00247088"/>
    <w:rsid w:val="00247D60"/>
    <w:rsid w:val="0025046A"/>
    <w:rsid w:val="00250BED"/>
    <w:rsid w:val="00250D8F"/>
    <w:rsid w:val="00252577"/>
    <w:rsid w:val="00253B54"/>
    <w:rsid w:val="00254093"/>
    <w:rsid w:val="00256595"/>
    <w:rsid w:val="00261157"/>
    <w:rsid w:val="0026165E"/>
    <w:rsid w:val="00263E19"/>
    <w:rsid w:val="00266210"/>
    <w:rsid w:val="0026627F"/>
    <w:rsid w:val="00266730"/>
    <w:rsid w:val="00266CD6"/>
    <w:rsid w:val="00270629"/>
    <w:rsid w:val="002744FD"/>
    <w:rsid w:val="00274973"/>
    <w:rsid w:val="00275DAB"/>
    <w:rsid w:val="002806A3"/>
    <w:rsid w:val="002826A3"/>
    <w:rsid w:val="00282E89"/>
    <w:rsid w:val="00283266"/>
    <w:rsid w:val="00283B40"/>
    <w:rsid w:val="00283E69"/>
    <w:rsid w:val="00284DE7"/>
    <w:rsid w:val="00285D57"/>
    <w:rsid w:val="00286865"/>
    <w:rsid w:val="00287D4B"/>
    <w:rsid w:val="00287F6A"/>
    <w:rsid w:val="0029053D"/>
    <w:rsid w:val="002905E6"/>
    <w:rsid w:val="00290FC3"/>
    <w:rsid w:val="00292BD1"/>
    <w:rsid w:val="00294FB6"/>
    <w:rsid w:val="00295934"/>
    <w:rsid w:val="00295F0D"/>
    <w:rsid w:val="00296523"/>
    <w:rsid w:val="00297DB0"/>
    <w:rsid w:val="002A19AC"/>
    <w:rsid w:val="002A4BCF"/>
    <w:rsid w:val="002A4D80"/>
    <w:rsid w:val="002A78AC"/>
    <w:rsid w:val="002B11E2"/>
    <w:rsid w:val="002B12D3"/>
    <w:rsid w:val="002B1AF9"/>
    <w:rsid w:val="002B24B8"/>
    <w:rsid w:val="002B3249"/>
    <w:rsid w:val="002B372A"/>
    <w:rsid w:val="002B3EF8"/>
    <w:rsid w:val="002B4689"/>
    <w:rsid w:val="002B4CB7"/>
    <w:rsid w:val="002B71F6"/>
    <w:rsid w:val="002B740E"/>
    <w:rsid w:val="002C19AF"/>
    <w:rsid w:val="002C450C"/>
    <w:rsid w:val="002C5BAD"/>
    <w:rsid w:val="002C6906"/>
    <w:rsid w:val="002C6E76"/>
    <w:rsid w:val="002D00ED"/>
    <w:rsid w:val="002D0133"/>
    <w:rsid w:val="002D3AE9"/>
    <w:rsid w:val="002D3DD7"/>
    <w:rsid w:val="002D4440"/>
    <w:rsid w:val="002D4510"/>
    <w:rsid w:val="002D4D47"/>
    <w:rsid w:val="002D589B"/>
    <w:rsid w:val="002D7469"/>
    <w:rsid w:val="002D7A11"/>
    <w:rsid w:val="002D7C88"/>
    <w:rsid w:val="002E3E06"/>
    <w:rsid w:val="002E47A6"/>
    <w:rsid w:val="002E56AC"/>
    <w:rsid w:val="002E5DD4"/>
    <w:rsid w:val="002F0464"/>
    <w:rsid w:val="002F0734"/>
    <w:rsid w:val="002F1284"/>
    <w:rsid w:val="002F3B2D"/>
    <w:rsid w:val="002F3DB4"/>
    <w:rsid w:val="002F46E7"/>
    <w:rsid w:val="002F7192"/>
    <w:rsid w:val="002F7809"/>
    <w:rsid w:val="003005E5"/>
    <w:rsid w:val="00301E04"/>
    <w:rsid w:val="00302C6F"/>
    <w:rsid w:val="00304341"/>
    <w:rsid w:val="003101DA"/>
    <w:rsid w:val="003131E5"/>
    <w:rsid w:val="0031321A"/>
    <w:rsid w:val="003143C2"/>
    <w:rsid w:val="00314757"/>
    <w:rsid w:val="003157DA"/>
    <w:rsid w:val="003159DC"/>
    <w:rsid w:val="00316497"/>
    <w:rsid w:val="00320B01"/>
    <w:rsid w:val="003211CE"/>
    <w:rsid w:val="00321393"/>
    <w:rsid w:val="00322E12"/>
    <w:rsid w:val="00323065"/>
    <w:rsid w:val="003231F1"/>
    <w:rsid w:val="00323F5F"/>
    <w:rsid w:val="0032452A"/>
    <w:rsid w:val="00326EF0"/>
    <w:rsid w:val="00327900"/>
    <w:rsid w:val="00331082"/>
    <w:rsid w:val="00331490"/>
    <w:rsid w:val="00332D0A"/>
    <w:rsid w:val="0033423D"/>
    <w:rsid w:val="00334FB0"/>
    <w:rsid w:val="00336406"/>
    <w:rsid w:val="00337C29"/>
    <w:rsid w:val="0034140F"/>
    <w:rsid w:val="00341F46"/>
    <w:rsid w:val="00343AEE"/>
    <w:rsid w:val="00343F8A"/>
    <w:rsid w:val="00344009"/>
    <w:rsid w:val="003441AD"/>
    <w:rsid w:val="0035036E"/>
    <w:rsid w:val="0035364D"/>
    <w:rsid w:val="0035403A"/>
    <w:rsid w:val="00354FBF"/>
    <w:rsid w:val="003568CC"/>
    <w:rsid w:val="00357B32"/>
    <w:rsid w:val="00357E90"/>
    <w:rsid w:val="0036018D"/>
    <w:rsid w:val="003604F6"/>
    <w:rsid w:val="003613D4"/>
    <w:rsid w:val="003620DB"/>
    <w:rsid w:val="0036394B"/>
    <w:rsid w:val="00364973"/>
    <w:rsid w:val="00364F4B"/>
    <w:rsid w:val="003665E8"/>
    <w:rsid w:val="003668DA"/>
    <w:rsid w:val="00367457"/>
    <w:rsid w:val="00367C1C"/>
    <w:rsid w:val="0037021A"/>
    <w:rsid w:val="00370929"/>
    <w:rsid w:val="003709B5"/>
    <w:rsid w:val="00372EE2"/>
    <w:rsid w:val="003752D0"/>
    <w:rsid w:val="003759C2"/>
    <w:rsid w:val="003766EF"/>
    <w:rsid w:val="003801BD"/>
    <w:rsid w:val="00380DEC"/>
    <w:rsid w:val="00381A6A"/>
    <w:rsid w:val="0038204A"/>
    <w:rsid w:val="003832A7"/>
    <w:rsid w:val="00383C36"/>
    <w:rsid w:val="00384C21"/>
    <w:rsid w:val="00384EC3"/>
    <w:rsid w:val="0038521D"/>
    <w:rsid w:val="00385562"/>
    <w:rsid w:val="00385D92"/>
    <w:rsid w:val="00385E12"/>
    <w:rsid w:val="003867CF"/>
    <w:rsid w:val="00386E98"/>
    <w:rsid w:val="003908C2"/>
    <w:rsid w:val="00392B08"/>
    <w:rsid w:val="003959F5"/>
    <w:rsid w:val="003970E3"/>
    <w:rsid w:val="00397322"/>
    <w:rsid w:val="00397365"/>
    <w:rsid w:val="003A129D"/>
    <w:rsid w:val="003A2109"/>
    <w:rsid w:val="003A31F6"/>
    <w:rsid w:val="003A3F4A"/>
    <w:rsid w:val="003A5198"/>
    <w:rsid w:val="003A60F2"/>
    <w:rsid w:val="003A61D7"/>
    <w:rsid w:val="003B216C"/>
    <w:rsid w:val="003B2F59"/>
    <w:rsid w:val="003B3161"/>
    <w:rsid w:val="003B341F"/>
    <w:rsid w:val="003B3AA8"/>
    <w:rsid w:val="003B448E"/>
    <w:rsid w:val="003B554D"/>
    <w:rsid w:val="003B6361"/>
    <w:rsid w:val="003B76AC"/>
    <w:rsid w:val="003B7F6C"/>
    <w:rsid w:val="003B7FCD"/>
    <w:rsid w:val="003C0C8E"/>
    <w:rsid w:val="003C1CC0"/>
    <w:rsid w:val="003C27FC"/>
    <w:rsid w:val="003C2C86"/>
    <w:rsid w:val="003C3447"/>
    <w:rsid w:val="003D076C"/>
    <w:rsid w:val="003D09CE"/>
    <w:rsid w:val="003D3FD6"/>
    <w:rsid w:val="003D47E5"/>
    <w:rsid w:val="003D4A07"/>
    <w:rsid w:val="003E2B5E"/>
    <w:rsid w:val="003E2E60"/>
    <w:rsid w:val="003E598E"/>
    <w:rsid w:val="003E7AC8"/>
    <w:rsid w:val="003E7D1D"/>
    <w:rsid w:val="003F1321"/>
    <w:rsid w:val="003F149E"/>
    <w:rsid w:val="003F1903"/>
    <w:rsid w:val="003F1DCF"/>
    <w:rsid w:val="003F2610"/>
    <w:rsid w:val="003F2C6C"/>
    <w:rsid w:val="003F3022"/>
    <w:rsid w:val="003F5F5B"/>
    <w:rsid w:val="00402F2A"/>
    <w:rsid w:val="00403289"/>
    <w:rsid w:val="00405316"/>
    <w:rsid w:val="00405A93"/>
    <w:rsid w:val="004079CE"/>
    <w:rsid w:val="004104FA"/>
    <w:rsid w:val="00410A23"/>
    <w:rsid w:val="00412E59"/>
    <w:rsid w:val="004144AE"/>
    <w:rsid w:val="00415BAB"/>
    <w:rsid w:val="00415ED2"/>
    <w:rsid w:val="00415EF4"/>
    <w:rsid w:val="00416B7D"/>
    <w:rsid w:val="00416FE8"/>
    <w:rsid w:val="004175BE"/>
    <w:rsid w:val="004201C3"/>
    <w:rsid w:val="004202F0"/>
    <w:rsid w:val="0042068C"/>
    <w:rsid w:val="004209DB"/>
    <w:rsid w:val="00421ACC"/>
    <w:rsid w:val="00421C2E"/>
    <w:rsid w:val="00422A21"/>
    <w:rsid w:val="00424815"/>
    <w:rsid w:val="00424ED0"/>
    <w:rsid w:val="00425DAD"/>
    <w:rsid w:val="0043089C"/>
    <w:rsid w:val="00430C3D"/>
    <w:rsid w:val="00433175"/>
    <w:rsid w:val="004341BD"/>
    <w:rsid w:val="004353F5"/>
    <w:rsid w:val="00440100"/>
    <w:rsid w:val="004417B6"/>
    <w:rsid w:val="004437F7"/>
    <w:rsid w:val="004450A1"/>
    <w:rsid w:val="00446FC8"/>
    <w:rsid w:val="00447209"/>
    <w:rsid w:val="00450110"/>
    <w:rsid w:val="00450ECB"/>
    <w:rsid w:val="00452138"/>
    <w:rsid w:val="00452460"/>
    <w:rsid w:val="004526BD"/>
    <w:rsid w:val="004528FB"/>
    <w:rsid w:val="00453C72"/>
    <w:rsid w:val="00453E18"/>
    <w:rsid w:val="00455924"/>
    <w:rsid w:val="00457320"/>
    <w:rsid w:val="00460069"/>
    <w:rsid w:val="00460E2F"/>
    <w:rsid w:val="0046289C"/>
    <w:rsid w:val="004631C7"/>
    <w:rsid w:val="00470369"/>
    <w:rsid w:val="004710C0"/>
    <w:rsid w:val="0047122B"/>
    <w:rsid w:val="004713A1"/>
    <w:rsid w:val="004724A0"/>
    <w:rsid w:val="00473B7A"/>
    <w:rsid w:val="00477200"/>
    <w:rsid w:val="00480A4C"/>
    <w:rsid w:val="0048416F"/>
    <w:rsid w:val="00485D9E"/>
    <w:rsid w:val="0049064F"/>
    <w:rsid w:val="00490C8B"/>
    <w:rsid w:val="00491694"/>
    <w:rsid w:val="00491729"/>
    <w:rsid w:val="00492F09"/>
    <w:rsid w:val="00493DA6"/>
    <w:rsid w:val="00493E9A"/>
    <w:rsid w:val="00494941"/>
    <w:rsid w:val="004960B9"/>
    <w:rsid w:val="004960E9"/>
    <w:rsid w:val="00497AA2"/>
    <w:rsid w:val="00497ADD"/>
    <w:rsid w:val="00497B8F"/>
    <w:rsid w:val="00497FDC"/>
    <w:rsid w:val="004A08A3"/>
    <w:rsid w:val="004A09BE"/>
    <w:rsid w:val="004A1E40"/>
    <w:rsid w:val="004A1ED4"/>
    <w:rsid w:val="004A21E7"/>
    <w:rsid w:val="004A2E88"/>
    <w:rsid w:val="004A4A82"/>
    <w:rsid w:val="004A5305"/>
    <w:rsid w:val="004A53B7"/>
    <w:rsid w:val="004A59A6"/>
    <w:rsid w:val="004A792D"/>
    <w:rsid w:val="004A7C2B"/>
    <w:rsid w:val="004B098C"/>
    <w:rsid w:val="004B1A73"/>
    <w:rsid w:val="004B272D"/>
    <w:rsid w:val="004B6B7B"/>
    <w:rsid w:val="004B7012"/>
    <w:rsid w:val="004B7A5A"/>
    <w:rsid w:val="004C1477"/>
    <w:rsid w:val="004C3337"/>
    <w:rsid w:val="004C42EF"/>
    <w:rsid w:val="004C498B"/>
    <w:rsid w:val="004C4C81"/>
    <w:rsid w:val="004C7E17"/>
    <w:rsid w:val="004D22EC"/>
    <w:rsid w:val="004D2604"/>
    <w:rsid w:val="004D2943"/>
    <w:rsid w:val="004D2C27"/>
    <w:rsid w:val="004D5997"/>
    <w:rsid w:val="004D7634"/>
    <w:rsid w:val="004E0AA3"/>
    <w:rsid w:val="004E1933"/>
    <w:rsid w:val="004E44C9"/>
    <w:rsid w:val="004E4726"/>
    <w:rsid w:val="004E6A11"/>
    <w:rsid w:val="004E784A"/>
    <w:rsid w:val="004E79AE"/>
    <w:rsid w:val="004F15AA"/>
    <w:rsid w:val="004F1AED"/>
    <w:rsid w:val="004F25F8"/>
    <w:rsid w:val="004F29EB"/>
    <w:rsid w:val="004F30CB"/>
    <w:rsid w:val="004F313A"/>
    <w:rsid w:val="004F316F"/>
    <w:rsid w:val="004F3D47"/>
    <w:rsid w:val="004F4944"/>
    <w:rsid w:val="00500D7F"/>
    <w:rsid w:val="00500DC6"/>
    <w:rsid w:val="005030C9"/>
    <w:rsid w:val="00503503"/>
    <w:rsid w:val="00504FCD"/>
    <w:rsid w:val="00505316"/>
    <w:rsid w:val="00505685"/>
    <w:rsid w:val="00506974"/>
    <w:rsid w:val="005074A1"/>
    <w:rsid w:val="00510D33"/>
    <w:rsid w:val="00512FD5"/>
    <w:rsid w:val="00513CB9"/>
    <w:rsid w:val="005141E4"/>
    <w:rsid w:val="005155E3"/>
    <w:rsid w:val="00515FC8"/>
    <w:rsid w:val="00517191"/>
    <w:rsid w:val="00517554"/>
    <w:rsid w:val="00517A21"/>
    <w:rsid w:val="00523FC3"/>
    <w:rsid w:val="00524CA0"/>
    <w:rsid w:val="0052580B"/>
    <w:rsid w:val="00526E32"/>
    <w:rsid w:val="00527C89"/>
    <w:rsid w:val="005300D3"/>
    <w:rsid w:val="00532DA4"/>
    <w:rsid w:val="005332B0"/>
    <w:rsid w:val="005333BE"/>
    <w:rsid w:val="005367DD"/>
    <w:rsid w:val="00537A26"/>
    <w:rsid w:val="00541266"/>
    <w:rsid w:val="00542A22"/>
    <w:rsid w:val="00544F7B"/>
    <w:rsid w:val="00544F82"/>
    <w:rsid w:val="00550B6A"/>
    <w:rsid w:val="00551731"/>
    <w:rsid w:val="00552831"/>
    <w:rsid w:val="00554A34"/>
    <w:rsid w:val="00555B8B"/>
    <w:rsid w:val="005709AE"/>
    <w:rsid w:val="00571C1E"/>
    <w:rsid w:val="0057262F"/>
    <w:rsid w:val="00572A75"/>
    <w:rsid w:val="005753C0"/>
    <w:rsid w:val="005754D5"/>
    <w:rsid w:val="00580014"/>
    <w:rsid w:val="00580349"/>
    <w:rsid w:val="0058177A"/>
    <w:rsid w:val="005833CD"/>
    <w:rsid w:val="005838EB"/>
    <w:rsid w:val="00584338"/>
    <w:rsid w:val="00584DAF"/>
    <w:rsid w:val="005853AB"/>
    <w:rsid w:val="005853E9"/>
    <w:rsid w:val="00585620"/>
    <w:rsid w:val="00591471"/>
    <w:rsid w:val="00591F35"/>
    <w:rsid w:val="00593AF9"/>
    <w:rsid w:val="00593C4F"/>
    <w:rsid w:val="00593DAD"/>
    <w:rsid w:val="00593F94"/>
    <w:rsid w:val="005946A8"/>
    <w:rsid w:val="005969C3"/>
    <w:rsid w:val="005A13CA"/>
    <w:rsid w:val="005A369C"/>
    <w:rsid w:val="005A3D7A"/>
    <w:rsid w:val="005A4407"/>
    <w:rsid w:val="005A59EF"/>
    <w:rsid w:val="005A63A2"/>
    <w:rsid w:val="005B0B23"/>
    <w:rsid w:val="005B3531"/>
    <w:rsid w:val="005B72DC"/>
    <w:rsid w:val="005B7393"/>
    <w:rsid w:val="005B7A9C"/>
    <w:rsid w:val="005C0E55"/>
    <w:rsid w:val="005C2975"/>
    <w:rsid w:val="005C341A"/>
    <w:rsid w:val="005C39BB"/>
    <w:rsid w:val="005C3F4C"/>
    <w:rsid w:val="005C551F"/>
    <w:rsid w:val="005C661D"/>
    <w:rsid w:val="005C6D1E"/>
    <w:rsid w:val="005C6E81"/>
    <w:rsid w:val="005C7C75"/>
    <w:rsid w:val="005D1345"/>
    <w:rsid w:val="005D6BA7"/>
    <w:rsid w:val="005E0291"/>
    <w:rsid w:val="005E1039"/>
    <w:rsid w:val="005E182C"/>
    <w:rsid w:val="005E383A"/>
    <w:rsid w:val="005E4097"/>
    <w:rsid w:val="005E4D3A"/>
    <w:rsid w:val="005E564B"/>
    <w:rsid w:val="005E5E3B"/>
    <w:rsid w:val="005F0F5A"/>
    <w:rsid w:val="005F13C3"/>
    <w:rsid w:val="005F1AA3"/>
    <w:rsid w:val="005F2CAD"/>
    <w:rsid w:val="005F39A0"/>
    <w:rsid w:val="005F4541"/>
    <w:rsid w:val="005F6B9C"/>
    <w:rsid w:val="00604069"/>
    <w:rsid w:val="0060509D"/>
    <w:rsid w:val="00607255"/>
    <w:rsid w:val="00610A26"/>
    <w:rsid w:val="006135CB"/>
    <w:rsid w:val="00614643"/>
    <w:rsid w:val="00616F42"/>
    <w:rsid w:val="00620838"/>
    <w:rsid w:val="00620D43"/>
    <w:rsid w:val="00623380"/>
    <w:rsid w:val="006241C2"/>
    <w:rsid w:val="00624CE1"/>
    <w:rsid w:val="00625DC6"/>
    <w:rsid w:val="00626B92"/>
    <w:rsid w:val="00627CB7"/>
    <w:rsid w:val="006313F8"/>
    <w:rsid w:val="00633C79"/>
    <w:rsid w:val="00634719"/>
    <w:rsid w:val="00634AA5"/>
    <w:rsid w:val="00635EDC"/>
    <w:rsid w:val="0063655E"/>
    <w:rsid w:val="00637B9D"/>
    <w:rsid w:val="00637E3E"/>
    <w:rsid w:val="006405F6"/>
    <w:rsid w:val="00640D68"/>
    <w:rsid w:val="00641312"/>
    <w:rsid w:val="0064144F"/>
    <w:rsid w:val="0064220C"/>
    <w:rsid w:val="0064504C"/>
    <w:rsid w:val="00645B9F"/>
    <w:rsid w:val="00645D94"/>
    <w:rsid w:val="00646944"/>
    <w:rsid w:val="00646D64"/>
    <w:rsid w:val="006476AB"/>
    <w:rsid w:val="00650EBD"/>
    <w:rsid w:val="00651821"/>
    <w:rsid w:val="00652DDB"/>
    <w:rsid w:val="00654384"/>
    <w:rsid w:val="00654FA0"/>
    <w:rsid w:val="00655713"/>
    <w:rsid w:val="00655CDB"/>
    <w:rsid w:val="00656257"/>
    <w:rsid w:val="00656879"/>
    <w:rsid w:val="00663DC0"/>
    <w:rsid w:val="00664063"/>
    <w:rsid w:val="00666793"/>
    <w:rsid w:val="00666C5D"/>
    <w:rsid w:val="006671B3"/>
    <w:rsid w:val="006675CD"/>
    <w:rsid w:val="006700EE"/>
    <w:rsid w:val="00675DE2"/>
    <w:rsid w:val="00680C98"/>
    <w:rsid w:val="00683FDB"/>
    <w:rsid w:val="006845A9"/>
    <w:rsid w:val="00684D42"/>
    <w:rsid w:val="00684D9B"/>
    <w:rsid w:val="00685208"/>
    <w:rsid w:val="00685525"/>
    <w:rsid w:val="00686AF4"/>
    <w:rsid w:val="00687D38"/>
    <w:rsid w:val="0069136E"/>
    <w:rsid w:val="0069186A"/>
    <w:rsid w:val="00691993"/>
    <w:rsid w:val="00692F2E"/>
    <w:rsid w:val="0069305E"/>
    <w:rsid w:val="0069734D"/>
    <w:rsid w:val="00697556"/>
    <w:rsid w:val="006A517A"/>
    <w:rsid w:val="006A5A3D"/>
    <w:rsid w:val="006A6E70"/>
    <w:rsid w:val="006A6FA2"/>
    <w:rsid w:val="006A717A"/>
    <w:rsid w:val="006A7EFA"/>
    <w:rsid w:val="006A7FD3"/>
    <w:rsid w:val="006B0A0F"/>
    <w:rsid w:val="006B1D5B"/>
    <w:rsid w:val="006B3EB8"/>
    <w:rsid w:val="006B4C2B"/>
    <w:rsid w:val="006B4EE4"/>
    <w:rsid w:val="006B6D47"/>
    <w:rsid w:val="006C0523"/>
    <w:rsid w:val="006C2747"/>
    <w:rsid w:val="006C2B54"/>
    <w:rsid w:val="006C3975"/>
    <w:rsid w:val="006C4F8C"/>
    <w:rsid w:val="006C673A"/>
    <w:rsid w:val="006C6C06"/>
    <w:rsid w:val="006C6CD7"/>
    <w:rsid w:val="006D09E4"/>
    <w:rsid w:val="006D0A36"/>
    <w:rsid w:val="006D1581"/>
    <w:rsid w:val="006D15A4"/>
    <w:rsid w:val="006D244A"/>
    <w:rsid w:val="006D2D47"/>
    <w:rsid w:val="006D2E01"/>
    <w:rsid w:val="006D2E35"/>
    <w:rsid w:val="006D3BE9"/>
    <w:rsid w:val="006D4A06"/>
    <w:rsid w:val="006D5305"/>
    <w:rsid w:val="006D5367"/>
    <w:rsid w:val="006D646E"/>
    <w:rsid w:val="006D71A9"/>
    <w:rsid w:val="006D72C0"/>
    <w:rsid w:val="006E0920"/>
    <w:rsid w:val="006E0FB8"/>
    <w:rsid w:val="006E1777"/>
    <w:rsid w:val="006E409A"/>
    <w:rsid w:val="006E6446"/>
    <w:rsid w:val="006E7087"/>
    <w:rsid w:val="006F10EE"/>
    <w:rsid w:val="006F143B"/>
    <w:rsid w:val="006F202D"/>
    <w:rsid w:val="006F3512"/>
    <w:rsid w:val="006F42C1"/>
    <w:rsid w:val="006F44C7"/>
    <w:rsid w:val="006F49D6"/>
    <w:rsid w:val="006F4ACA"/>
    <w:rsid w:val="006F5AC4"/>
    <w:rsid w:val="006F6844"/>
    <w:rsid w:val="006F6D95"/>
    <w:rsid w:val="006F7772"/>
    <w:rsid w:val="007009C8"/>
    <w:rsid w:val="00701D95"/>
    <w:rsid w:val="007035EB"/>
    <w:rsid w:val="00703F27"/>
    <w:rsid w:val="00706086"/>
    <w:rsid w:val="007068DD"/>
    <w:rsid w:val="00706F13"/>
    <w:rsid w:val="007072E8"/>
    <w:rsid w:val="00707E35"/>
    <w:rsid w:val="00710C27"/>
    <w:rsid w:val="007114D3"/>
    <w:rsid w:val="00713BD9"/>
    <w:rsid w:val="00714C8E"/>
    <w:rsid w:val="0071618D"/>
    <w:rsid w:val="00720309"/>
    <w:rsid w:val="00724C4F"/>
    <w:rsid w:val="00725FA4"/>
    <w:rsid w:val="00727ABF"/>
    <w:rsid w:val="0073017E"/>
    <w:rsid w:val="00731FA6"/>
    <w:rsid w:val="00732B64"/>
    <w:rsid w:val="0073348B"/>
    <w:rsid w:val="00733A38"/>
    <w:rsid w:val="007350DE"/>
    <w:rsid w:val="00735715"/>
    <w:rsid w:val="00736BEB"/>
    <w:rsid w:val="00737145"/>
    <w:rsid w:val="00737580"/>
    <w:rsid w:val="00740446"/>
    <w:rsid w:val="00740B67"/>
    <w:rsid w:val="00740D1F"/>
    <w:rsid w:val="00741360"/>
    <w:rsid w:val="00741BF9"/>
    <w:rsid w:val="00741CDF"/>
    <w:rsid w:val="00742E18"/>
    <w:rsid w:val="007438A9"/>
    <w:rsid w:val="00744801"/>
    <w:rsid w:val="0074491E"/>
    <w:rsid w:val="0074798D"/>
    <w:rsid w:val="00747B90"/>
    <w:rsid w:val="00747C6D"/>
    <w:rsid w:val="00752364"/>
    <w:rsid w:val="00752F55"/>
    <w:rsid w:val="00754E17"/>
    <w:rsid w:val="0075577B"/>
    <w:rsid w:val="00755A12"/>
    <w:rsid w:val="00755D67"/>
    <w:rsid w:val="00763A6A"/>
    <w:rsid w:val="007650DA"/>
    <w:rsid w:val="00770B85"/>
    <w:rsid w:val="007710BE"/>
    <w:rsid w:val="00771AA5"/>
    <w:rsid w:val="00771BCD"/>
    <w:rsid w:val="00772113"/>
    <w:rsid w:val="0077261E"/>
    <w:rsid w:val="0077303C"/>
    <w:rsid w:val="00775964"/>
    <w:rsid w:val="00782146"/>
    <w:rsid w:val="00782181"/>
    <w:rsid w:val="007828CC"/>
    <w:rsid w:val="00783F2E"/>
    <w:rsid w:val="00785B87"/>
    <w:rsid w:val="007863D9"/>
    <w:rsid w:val="00792F55"/>
    <w:rsid w:val="00795BFB"/>
    <w:rsid w:val="00796B11"/>
    <w:rsid w:val="00797364"/>
    <w:rsid w:val="007A05EA"/>
    <w:rsid w:val="007A5AF7"/>
    <w:rsid w:val="007A62DE"/>
    <w:rsid w:val="007B0A94"/>
    <w:rsid w:val="007B0D28"/>
    <w:rsid w:val="007B19A6"/>
    <w:rsid w:val="007B1F82"/>
    <w:rsid w:val="007B2760"/>
    <w:rsid w:val="007B2EE2"/>
    <w:rsid w:val="007B3129"/>
    <w:rsid w:val="007B654E"/>
    <w:rsid w:val="007B7C36"/>
    <w:rsid w:val="007C2B2C"/>
    <w:rsid w:val="007C373A"/>
    <w:rsid w:val="007C61CC"/>
    <w:rsid w:val="007D0697"/>
    <w:rsid w:val="007D2724"/>
    <w:rsid w:val="007D2918"/>
    <w:rsid w:val="007D3362"/>
    <w:rsid w:val="007D37EB"/>
    <w:rsid w:val="007D4128"/>
    <w:rsid w:val="007D561B"/>
    <w:rsid w:val="007D5A91"/>
    <w:rsid w:val="007D7AD3"/>
    <w:rsid w:val="007E0124"/>
    <w:rsid w:val="007E1250"/>
    <w:rsid w:val="007E65D6"/>
    <w:rsid w:val="007E66FE"/>
    <w:rsid w:val="007E6CD2"/>
    <w:rsid w:val="007F08A6"/>
    <w:rsid w:val="007F4155"/>
    <w:rsid w:val="007F4673"/>
    <w:rsid w:val="007F55B5"/>
    <w:rsid w:val="007F6336"/>
    <w:rsid w:val="007F634A"/>
    <w:rsid w:val="007F6659"/>
    <w:rsid w:val="007F6B5C"/>
    <w:rsid w:val="00800020"/>
    <w:rsid w:val="00800169"/>
    <w:rsid w:val="008020AA"/>
    <w:rsid w:val="00802249"/>
    <w:rsid w:val="00803163"/>
    <w:rsid w:val="00804C95"/>
    <w:rsid w:val="00804F00"/>
    <w:rsid w:val="008053AC"/>
    <w:rsid w:val="008054FD"/>
    <w:rsid w:val="00805C68"/>
    <w:rsid w:val="00806C01"/>
    <w:rsid w:val="00807E2D"/>
    <w:rsid w:val="00812078"/>
    <w:rsid w:val="00812402"/>
    <w:rsid w:val="008148CC"/>
    <w:rsid w:val="008149B1"/>
    <w:rsid w:val="00815B9B"/>
    <w:rsid w:val="00815EBB"/>
    <w:rsid w:val="00817F39"/>
    <w:rsid w:val="00820BE0"/>
    <w:rsid w:val="008211A4"/>
    <w:rsid w:val="00822565"/>
    <w:rsid w:val="00822DFD"/>
    <w:rsid w:val="00823A8C"/>
    <w:rsid w:val="00825BCE"/>
    <w:rsid w:val="00830443"/>
    <w:rsid w:val="008316F2"/>
    <w:rsid w:val="00836AA1"/>
    <w:rsid w:val="00840EA1"/>
    <w:rsid w:val="00840EE8"/>
    <w:rsid w:val="0084118B"/>
    <w:rsid w:val="0084203F"/>
    <w:rsid w:val="008447D6"/>
    <w:rsid w:val="00844D15"/>
    <w:rsid w:val="00844FD0"/>
    <w:rsid w:val="00846333"/>
    <w:rsid w:val="0084696F"/>
    <w:rsid w:val="00846F87"/>
    <w:rsid w:val="008475AF"/>
    <w:rsid w:val="00847805"/>
    <w:rsid w:val="008528C2"/>
    <w:rsid w:val="00852C20"/>
    <w:rsid w:val="00856C70"/>
    <w:rsid w:val="00856DF7"/>
    <w:rsid w:val="00856FF9"/>
    <w:rsid w:val="008574DD"/>
    <w:rsid w:val="00863F5D"/>
    <w:rsid w:val="008668BA"/>
    <w:rsid w:val="00866B76"/>
    <w:rsid w:val="00873150"/>
    <w:rsid w:val="0087574B"/>
    <w:rsid w:val="00875777"/>
    <w:rsid w:val="00875E0D"/>
    <w:rsid w:val="00875F7F"/>
    <w:rsid w:val="0087657D"/>
    <w:rsid w:val="00876C42"/>
    <w:rsid w:val="008774D4"/>
    <w:rsid w:val="00877ABE"/>
    <w:rsid w:val="008807D5"/>
    <w:rsid w:val="00880832"/>
    <w:rsid w:val="00882275"/>
    <w:rsid w:val="00884994"/>
    <w:rsid w:val="00885672"/>
    <w:rsid w:val="00886EE1"/>
    <w:rsid w:val="0088727D"/>
    <w:rsid w:val="008900D7"/>
    <w:rsid w:val="00891890"/>
    <w:rsid w:val="00891A35"/>
    <w:rsid w:val="00892A8E"/>
    <w:rsid w:val="00893366"/>
    <w:rsid w:val="0089363D"/>
    <w:rsid w:val="00894974"/>
    <w:rsid w:val="00894D61"/>
    <w:rsid w:val="00895C96"/>
    <w:rsid w:val="00896F42"/>
    <w:rsid w:val="00897784"/>
    <w:rsid w:val="00897BB3"/>
    <w:rsid w:val="00897C75"/>
    <w:rsid w:val="008A0D7A"/>
    <w:rsid w:val="008A28DF"/>
    <w:rsid w:val="008A31C5"/>
    <w:rsid w:val="008A3E51"/>
    <w:rsid w:val="008A5166"/>
    <w:rsid w:val="008A6D65"/>
    <w:rsid w:val="008B0FDB"/>
    <w:rsid w:val="008B21A6"/>
    <w:rsid w:val="008B2880"/>
    <w:rsid w:val="008B380F"/>
    <w:rsid w:val="008B3DCB"/>
    <w:rsid w:val="008B53A8"/>
    <w:rsid w:val="008B657E"/>
    <w:rsid w:val="008B6BA3"/>
    <w:rsid w:val="008C02B6"/>
    <w:rsid w:val="008C104F"/>
    <w:rsid w:val="008C1130"/>
    <w:rsid w:val="008C1E4F"/>
    <w:rsid w:val="008C25C5"/>
    <w:rsid w:val="008C4CD6"/>
    <w:rsid w:val="008D01DA"/>
    <w:rsid w:val="008D01DD"/>
    <w:rsid w:val="008D14C3"/>
    <w:rsid w:val="008D18E6"/>
    <w:rsid w:val="008D23F4"/>
    <w:rsid w:val="008D443E"/>
    <w:rsid w:val="008D5FF8"/>
    <w:rsid w:val="008D7A9B"/>
    <w:rsid w:val="008D7D48"/>
    <w:rsid w:val="008E1124"/>
    <w:rsid w:val="008E1881"/>
    <w:rsid w:val="008E2390"/>
    <w:rsid w:val="008E26D0"/>
    <w:rsid w:val="008E61A7"/>
    <w:rsid w:val="008E633E"/>
    <w:rsid w:val="008E64B8"/>
    <w:rsid w:val="008E76AC"/>
    <w:rsid w:val="008E79A1"/>
    <w:rsid w:val="008F1FBA"/>
    <w:rsid w:val="008F21F6"/>
    <w:rsid w:val="008F5118"/>
    <w:rsid w:val="008F5562"/>
    <w:rsid w:val="008F5D76"/>
    <w:rsid w:val="009030FD"/>
    <w:rsid w:val="00904826"/>
    <w:rsid w:val="00904BE2"/>
    <w:rsid w:val="009059ED"/>
    <w:rsid w:val="00907292"/>
    <w:rsid w:val="009122DE"/>
    <w:rsid w:val="009130D6"/>
    <w:rsid w:val="00914954"/>
    <w:rsid w:val="00915115"/>
    <w:rsid w:val="0091551E"/>
    <w:rsid w:val="00915CE0"/>
    <w:rsid w:val="00922208"/>
    <w:rsid w:val="00924703"/>
    <w:rsid w:val="0092711E"/>
    <w:rsid w:val="00930187"/>
    <w:rsid w:val="009313A6"/>
    <w:rsid w:val="0093560B"/>
    <w:rsid w:val="009415F8"/>
    <w:rsid w:val="00943185"/>
    <w:rsid w:val="009468ED"/>
    <w:rsid w:val="009471A6"/>
    <w:rsid w:val="009519A5"/>
    <w:rsid w:val="00951F79"/>
    <w:rsid w:val="00954675"/>
    <w:rsid w:val="00954939"/>
    <w:rsid w:val="00954A12"/>
    <w:rsid w:val="00956C52"/>
    <w:rsid w:val="009605E8"/>
    <w:rsid w:val="00960750"/>
    <w:rsid w:val="00962C1E"/>
    <w:rsid w:val="00965F94"/>
    <w:rsid w:val="0097053F"/>
    <w:rsid w:val="00970F70"/>
    <w:rsid w:val="00971B8C"/>
    <w:rsid w:val="00973B8B"/>
    <w:rsid w:val="00974AB5"/>
    <w:rsid w:val="0097548C"/>
    <w:rsid w:val="00977318"/>
    <w:rsid w:val="00980348"/>
    <w:rsid w:val="0098042E"/>
    <w:rsid w:val="009827E3"/>
    <w:rsid w:val="00985EF3"/>
    <w:rsid w:val="0098706D"/>
    <w:rsid w:val="009874B0"/>
    <w:rsid w:val="00992747"/>
    <w:rsid w:val="009935FB"/>
    <w:rsid w:val="00993855"/>
    <w:rsid w:val="00995432"/>
    <w:rsid w:val="00996122"/>
    <w:rsid w:val="009A14C1"/>
    <w:rsid w:val="009A15E6"/>
    <w:rsid w:val="009A178E"/>
    <w:rsid w:val="009A1898"/>
    <w:rsid w:val="009A269F"/>
    <w:rsid w:val="009A3DC7"/>
    <w:rsid w:val="009A4971"/>
    <w:rsid w:val="009A5BA4"/>
    <w:rsid w:val="009A5C43"/>
    <w:rsid w:val="009A5DC1"/>
    <w:rsid w:val="009A70D7"/>
    <w:rsid w:val="009A791B"/>
    <w:rsid w:val="009B0B7E"/>
    <w:rsid w:val="009B227C"/>
    <w:rsid w:val="009B3FCC"/>
    <w:rsid w:val="009B4A90"/>
    <w:rsid w:val="009B56AA"/>
    <w:rsid w:val="009B6AEF"/>
    <w:rsid w:val="009B6D42"/>
    <w:rsid w:val="009B7533"/>
    <w:rsid w:val="009C0583"/>
    <w:rsid w:val="009C1F6F"/>
    <w:rsid w:val="009C32C0"/>
    <w:rsid w:val="009C7F0C"/>
    <w:rsid w:val="009D5C09"/>
    <w:rsid w:val="009D661E"/>
    <w:rsid w:val="009D664D"/>
    <w:rsid w:val="009D6C3B"/>
    <w:rsid w:val="009D7D2C"/>
    <w:rsid w:val="009D7DDC"/>
    <w:rsid w:val="009E0A9C"/>
    <w:rsid w:val="009E3024"/>
    <w:rsid w:val="009E3195"/>
    <w:rsid w:val="009E4122"/>
    <w:rsid w:val="009E5EE1"/>
    <w:rsid w:val="009E7DB3"/>
    <w:rsid w:val="009F01F9"/>
    <w:rsid w:val="009F0271"/>
    <w:rsid w:val="009F128D"/>
    <w:rsid w:val="009F1FA1"/>
    <w:rsid w:val="009F4A54"/>
    <w:rsid w:val="009F4BEC"/>
    <w:rsid w:val="009F679B"/>
    <w:rsid w:val="009F7841"/>
    <w:rsid w:val="00A02FD0"/>
    <w:rsid w:val="00A031F3"/>
    <w:rsid w:val="00A054B5"/>
    <w:rsid w:val="00A060EE"/>
    <w:rsid w:val="00A10A76"/>
    <w:rsid w:val="00A14210"/>
    <w:rsid w:val="00A17728"/>
    <w:rsid w:val="00A2048D"/>
    <w:rsid w:val="00A213A3"/>
    <w:rsid w:val="00A215FB"/>
    <w:rsid w:val="00A218B0"/>
    <w:rsid w:val="00A21926"/>
    <w:rsid w:val="00A22CFB"/>
    <w:rsid w:val="00A23888"/>
    <w:rsid w:val="00A23ABA"/>
    <w:rsid w:val="00A24FA7"/>
    <w:rsid w:val="00A25E3B"/>
    <w:rsid w:val="00A25FD7"/>
    <w:rsid w:val="00A27B59"/>
    <w:rsid w:val="00A27DE0"/>
    <w:rsid w:val="00A309BA"/>
    <w:rsid w:val="00A30A94"/>
    <w:rsid w:val="00A3204A"/>
    <w:rsid w:val="00A34596"/>
    <w:rsid w:val="00A348ED"/>
    <w:rsid w:val="00A34F75"/>
    <w:rsid w:val="00A3727F"/>
    <w:rsid w:val="00A4055C"/>
    <w:rsid w:val="00A41238"/>
    <w:rsid w:val="00A426D3"/>
    <w:rsid w:val="00A43AFF"/>
    <w:rsid w:val="00A446A0"/>
    <w:rsid w:val="00A45419"/>
    <w:rsid w:val="00A458DC"/>
    <w:rsid w:val="00A45F19"/>
    <w:rsid w:val="00A51E7F"/>
    <w:rsid w:val="00A52244"/>
    <w:rsid w:val="00A56FF9"/>
    <w:rsid w:val="00A57DCE"/>
    <w:rsid w:val="00A60B5F"/>
    <w:rsid w:val="00A6519E"/>
    <w:rsid w:val="00A658C8"/>
    <w:rsid w:val="00A710E8"/>
    <w:rsid w:val="00A71942"/>
    <w:rsid w:val="00A76741"/>
    <w:rsid w:val="00A777EF"/>
    <w:rsid w:val="00A7793A"/>
    <w:rsid w:val="00A77E68"/>
    <w:rsid w:val="00A800AB"/>
    <w:rsid w:val="00A8055A"/>
    <w:rsid w:val="00A8318A"/>
    <w:rsid w:val="00A847FB"/>
    <w:rsid w:val="00A84DF2"/>
    <w:rsid w:val="00A85C4E"/>
    <w:rsid w:val="00A85E5A"/>
    <w:rsid w:val="00A86ADB"/>
    <w:rsid w:val="00A87D54"/>
    <w:rsid w:val="00A90190"/>
    <w:rsid w:val="00A9148D"/>
    <w:rsid w:val="00A9264D"/>
    <w:rsid w:val="00A930B8"/>
    <w:rsid w:val="00A93925"/>
    <w:rsid w:val="00A946BB"/>
    <w:rsid w:val="00A94FA5"/>
    <w:rsid w:val="00A9583E"/>
    <w:rsid w:val="00A974C9"/>
    <w:rsid w:val="00A9764E"/>
    <w:rsid w:val="00A97F9A"/>
    <w:rsid w:val="00AA0369"/>
    <w:rsid w:val="00AA049F"/>
    <w:rsid w:val="00AA1043"/>
    <w:rsid w:val="00AA13A9"/>
    <w:rsid w:val="00AA24E0"/>
    <w:rsid w:val="00AA369F"/>
    <w:rsid w:val="00AA46A2"/>
    <w:rsid w:val="00AA4711"/>
    <w:rsid w:val="00AA7B93"/>
    <w:rsid w:val="00AB0C20"/>
    <w:rsid w:val="00AB0D04"/>
    <w:rsid w:val="00AB1FEB"/>
    <w:rsid w:val="00AB3275"/>
    <w:rsid w:val="00AB3E8F"/>
    <w:rsid w:val="00AB54BC"/>
    <w:rsid w:val="00AB5909"/>
    <w:rsid w:val="00AB6CA7"/>
    <w:rsid w:val="00AB7958"/>
    <w:rsid w:val="00AC095B"/>
    <w:rsid w:val="00AC2EFA"/>
    <w:rsid w:val="00AC4BB7"/>
    <w:rsid w:val="00AC5B83"/>
    <w:rsid w:val="00AC6A1F"/>
    <w:rsid w:val="00AD01E4"/>
    <w:rsid w:val="00AD0858"/>
    <w:rsid w:val="00AD2A7D"/>
    <w:rsid w:val="00AD666B"/>
    <w:rsid w:val="00AE4377"/>
    <w:rsid w:val="00AE5BB5"/>
    <w:rsid w:val="00AE7340"/>
    <w:rsid w:val="00AF1386"/>
    <w:rsid w:val="00AF1BBD"/>
    <w:rsid w:val="00AF224A"/>
    <w:rsid w:val="00AF22E2"/>
    <w:rsid w:val="00AF7094"/>
    <w:rsid w:val="00B01220"/>
    <w:rsid w:val="00B01F18"/>
    <w:rsid w:val="00B0364E"/>
    <w:rsid w:val="00B03D29"/>
    <w:rsid w:val="00B10207"/>
    <w:rsid w:val="00B1184A"/>
    <w:rsid w:val="00B141E7"/>
    <w:rsid w:val="00B146F1"/>
    <w:rsid w:val="00B1663E"/>
    <w:rsid w:val="00B170A6"/>
    <w:rsid w:val="00B17E11"/>
    <w:rsid w:val="00B2564B"/>
    <w:rsid w:val="00B27317"/>
    <w:rsid w:val="00B27CF8"/>
    <w:rsid w:val="00B27D14"/>
    <w:rsid w:val="00B3092A"/>
    <w:rsid w:val="00B310D0"/>
    <w:rsid w:val="00B349EE"/>
    <w:rsid w:val="00B351B4"/>
    <w:rsid w:val="00B3755C"/>
    <w:rsid w:val="00B37861"/>
    <w:rsid w:val="00B4018D"/>
    <w:rsid w:val="00B40503"/>
    <w:rsid w:val="00B40842"/>
    <w:rsid w:val="00B423DA"/>
    <w:rsid w:val="00B430DD"/>
    <w:rsid w:val="00B43DFD"/>
    <w:rsid w:val="00B4607E"/>
    <w:rsid w:val="00B46154"/>
    <w:rsid w:val="00B46BCA"/>
    <w:rsid w:val="00B4774A"/>
    <w:rsid w:val="00B500CB"/>
    <w:rsid w:val="00B544C7"/>
    <w:rsid w:val="00B56450"/>
    <w:rsid w:val="00B56630"/>
    <w:rsid w:val="00B56D10"/>
    <w:rsid w:val="00B602E9"/>
    <w:rsid w:val="00B62760"/>
    <w:rsid w:val="00B662C8"/>
    <w:rsid w:val="00B66CC7"/>
    <w:rsid w:val="00B678E8"/>
    <w:rsid w:val="00B704EB"/>
    <w:rsid w:val="00B70E3B"/>
    <w:rsid w:val="00B716DE"/>
    <w:rsid w:val="00B71FF0"/>
    <w:rsid w:val="00B72E50"/>
    <w:rsid w:val="00B75CC3"/>
    <w:rsid w:val="00B7709D"/>
    <w:rsid w:val="00B777AA"/>
    <w:rsid w:val="00B77FF9"/>
    <w:rsid w:val="00B8169E"/>
    <w:rsid w:val="00B82006"/>
    <w:rsid w:val="00B85247"/>
    <w:rsid w:val="00B85422"/>
    <w:rsid w:val="00B865BA"/>
    <w:rsid w:val="00B868F8"/>
    <w:rsid w:val="00B87806"/>
    <w:rsid w:val="00B87EC9"/>
    <w:rsid w:val="00B9388A"/>
    <w:rsid w:val="00BA1641"/>
    <w:rsid w:val="00BA20B7"/>
    <w:rsid w:val="00BA3859"/>
    <w:rsid w:val="00BA4332"/>
    <w:rsid w:val="00BA63DE"/>
    <w:rsid w:val="00BA739E"/>
    <w:rsid w:val="00BB01C3"/>
    <w:rsid w:val="00BB17D5"/>
    <w:rsid w:val="00BB3443"/>
    <w:rsid w:val="00BB3452"/>
    <w:rsid w:val="00BB377E"/>
    <w:rsid w:val="00BB3CD2"/>
    <w:rsid w:val="00BB5DE9"/>
    <w:rsid w:val="00BB684B"/>
    <w:rsid w:val="00BB7B7E"/>
    <w:rsid w:val="00BC0775"/>
    <w:rsid w:val="00BC21F3"/>
    <w:rsid w:val="00BC2749"/>
    <w:rsid w:val="00BC38FD"/>
    <w:rsid w:val="00BC6EF9"/>
    <w:rsid w:val="00BC6F12"/>
    <w:rsid w:val="00BC749E"/>
    <w:rsid w:val="00BC7675"/>
    <w:rsid w:val="00BC7E4B"/>
    <w:rsid w:val="00BD3865"/>
    <w:rsid w:val="00BE0099"/>
    <w:rsid w:val="00BE13C1"/>
    <w:rsid w:val="00BE2102"/>
    <w:rsid w:val="00BE2D25"/>
    <w:rsid w:val="00BE3179"/>
    <w:rsid w:val="00BE3F84"/>
    <w:rsid w:val="00BE5489"/>
    <w:rsid w:val="00BE6344"/>
    <w:rsid w:val="00BF0A15"/>
    <w:rsid w:val="00BF3A07"/>
    <w:rsid w:val="00C00D96"/>
    <w:rsid w:val="00C01DF3"/>
    <w:rsid w:val="00C02CB5"/>
    <w:rsid w:val="00C031B9"/>
    <w:rsid w:val="00C034CB"/>
    <w:rsid w:val="00C051A8"/>
    <w:rsid w:val="00C054BC"/>
    <w:rsid w:val="00C0732A"/>
    <w:rsid w:val="00C1316E"/>
    <w:rsid w:val="00C14491"/>
    <w:rsid w:val="00C16D9F"/>
    <w:rsid w:val="00C17897"/>
    <w:rsid w:val="00C2327E"/>
    <w:rsid w:val="00C2487B"/>
    <w:rsid w:val="00C24917"/>
    <w:rsid w:val="00C261F8"/>
    <w:rsid w:val="00C26BBC"/>
    <w:rsid w:val="00C27C5C"/>
    <w:rsid w:val="00C3368D"/>
    <w:rsid w:val="00C36D04"/>
    <w:rsid w:val="00C403A6"/>
    <w:rsid w:val="00C409D5"/>
    <w:rsid w:val="00C423D0"/>
    <w:rsid w:val="00C435C3"/>
    <w:rsid w:val="00C43E4A"/>
    <w:rsid w:val="00C4684A"/>
    <w:rsid w:val="00C468C2"/>
    <w:rsid w:val="00C46AB5"/>
    <w:rsid w:val="00C5035F"/>
    <w:rsid w:val="00C5133A"/>
    <w:rsid w:val="00C5167C"/>
    <w:rsid w:val="00C5194F"/>
    <w:rsid w:val="00C5276F"/>
    <w:rsid w:val="00C52EC9"/>
    <w:rsid w:val="00C53368"/>
    <w:rsid w:val="00C5474F"/>
    <w:rsid w:val="00C54B86"/>
    <w:rsid w:val="00C57157"/>
    <w:rsid w:val="00C57780"/>
    <w:rsid w:val="00C6004F"/>
    <w:rsid w:val="00C609DD"/>
    <w:rsid w:val="00C6234B"/>
    <w:rsid w:val="00C627FC"/>
    <w:rsid w:val="00C63EAE"/>
    <w:rsid w:val="00C64D4F"/>
    <w:rsid w:val="00C672CA"/>
    <w:rsid w:val="00C67672"/>
    <w:rsid w:val="00C7106E"/>
    <w:rsid w:val="00C7629F"/>
    <w:rsid w:val="00C823A2"/>
    <w:rsid w:val="00C82E51"/>
    <w:rsid w:val="00C85783"/>
    <w:rsid w:val="00C8661B"/>
    <w:rsid w:val="00C87591"/>
    <w:rsid w:val="00C877C0"/>
    <w:rsid w:val="00C87CB2"/>
    <w:rsid w:val="00C87ECC"/>
    <w:rsid w:val="00C902FD"/>
    <w:rsid w:val="00C908CF"/>
    <w:rsid w:val="00C90A37"/>
    <w:rsid w:val="00C90B49"/>
    <w:rsid w:val="00C90C18"/>
    <w:rsid w:val="00C92533"/>
    <w:rsid w:val="00C942C8"/>
    <w:rsid w:val="00C94A36"/>
    <w:rsid w:val="00C95D98"/>
    <w:rsid w:val="00C96520"/>
    <w:rsid w:val="00C968C9"/>
    <w:rsid w:val="00C97246"/>
    <w:rsid w:val="00C97CF9"/>
    <w:rsid w:val="00CA139A"/>
    <w:rsid w:val="00CA2899"/>
    <w:rsid w:val="00CA2911"/>
    <w:rsid w:val="00CA3B93"/>
    <w:rsid w:val="00CA678C"/>
    <w:rsid w:val="00CA77FB"/>
    <w:rsid w:val="00CA7BFE"/>
    <w:rsid w:val="00CB079A"/>
    <w:rsid w:val="00CB287E"/>
    <w:rsid w:val="00CB2CD6"/>
    <w:rsid w:val="00CB379B"/>
    <w:rsid w:val="00CB3844"/>
    <w:rsid w:val="00CB462E"/>
    <w:rsid w:val="00CB5DD0"/>
    <w:rsid w:val="00CC0381"/>
    <w:rsid w:val="00CC11EB"/>
    <w:rsid w:val="00CC1A43"/>
    <w:rsid w:val="00CC28B0"/>
    <w:rsid w:val="00CC3280"/>
    <w:rsid w:val="00CC3575"/>
    <w:rsid w:val="00CC3F4D"/>
    <w:rsid w:val="00CC51D4"/>
    <w:rsid w:val="00CC65DA"/>
    <w:rsid w:val="00CD1A83"/>
    <w:rsid w:val="00CD2ED2"/>
    <w:rsid w:val="00CD56D4"/>
    <w:rsid w:val="00CD5C77"/>
    <w:rsid w:val="00CD5F2A"/>
    <w:rsid w:val="00CD7162"/>
    <w:rsid w:val="00CE11D0"/>
    <w:rsid w:val="00CE15A5"/>
    <w:rsid w:val="00CE3913"/>
    <w:rsid w:val="00CE5C79"/>
    <w:rsid w:val="00CF0900"/>
    <w:rsid w:val="00CF0F27"/>
    <w:rsid w:val="00CF19FC"/>
    <w:rsid w:val="00CF21B9"/>
    <w:rsid w:val="00CF2D11"/>
    <w:rsid w:val="00CF6865"/>
    <w:rsid w:val="00CF6BF9"/>
    <w:rsid w:val="00D024D8"/>
    <w:rsid w:val="00D02EC1"/>
    <w:rsid w:val="00D03800"/>
    <w:rsid w:val="00D05769"/>
    <w:rsid w:val="00D065D3"/>
    <w:rsid w:val="00D1144F"/>
    <w:rsid w:val="00D116C4"/>
    <w:rsid w:val="00D12600"/>
    <w:rsid w:val="00D12A0F"/>
    <w:rsid w:val="00D12DE1"/>
    <w:rsid w:val="00D14C94"/>
    <w:rsid w:val="00D15294"/>
    <w:rsid w:val="00D1611A"/>
    <w:rsid w:val="00D162D5"/>
    <w:rsid w:val="00D16B85"/>
    <w:rsid w:val="00D178BF"/>
    <w:rsid w:val="00D245A5"/>
    <w:rsid w:val="00D247A9"/>
    <w:rsid w:val="00D27FBA"/>
    <w:rsid w:val="00D3218C"/>
    <w:rsid w:val="00D33105"/>
    <w:rsid w:val="00D342A6"/>
    <w:rsid w:val="00D34A3E"/>
    <w:rsid w:val="00D35216"/>
    <w:rsid w:val="00D35C73"/>
    <w:rsid w:val="00D35E47"/>
    <w:rsid w:val="00D36A12"/>
    <w:rsid w:val="00D37343"/>
    <w:rsid w:val="00D425B2"/>
    <w:rsid w:val="00D43E10"/>
    <w:rsid w:val="00D464BF"/>
    <w:rsid w:val="00D5135D"/>
    <w:rsid w:val="00D51FB0"/>
    <w:rsid w:val="00D53586"/>
    <w:rsid w:val="00D53CD5"/>
    <w:rsid w:val="00D53E26"/>
    <w:rsid w:val="00D54A00"/>
    <w:rsid w:val="00D5523B"/>
    <w:rsid w:val="00D56811"/>
    <w:rsid w:val="00D569F6"/>
    <w:rsid w:val="00D57492"/>
    <w:rsid w:val="00D57D23"/>
    <w:rsid w:val="00D6175C"/>
    <w:rsid w:val="00D61966"/>
    <w:rsid w:val="00D62684"/>
    <w:rsid w:val="00D62B41"/>
    <w:rsid w:val="00D62C99"/>
    <w:rsid w:val="00D645B0"/>
    <w:rsid w:val="00D65896"/>
    <w:rsid w:val="00D67A3A"/>
    <w:rsid w:val="00D710B4"/>
    <w:rsid w:val="00D716FE"/>
    <w:rsid w:val="00D7466A"/>
    <w:rsid w:val="00D76482"/>
    <w:rsid w:val="00D7729B"/>
    <w:rsid w:val="00D772B5"/>
    <w:rsid w:val="00D779CF"/>
    <w:rsid w:val="00D77E81"/>
    <w:rsid w:val="00D77F4A"/>
    <w:rsid w:val="00D801D7"/>
    <w:rsid w:val="00D80E36"/>
    <w:rsid w:val="00D81214"/>
    <w:rsid w:val="00D83A8B"/>
    <w:rsid w:val="00D866FD"/>
    <w:rsid w:val="00D8696F"/>
    <w:rsid w:val="00D87DD5"/>
    <w:rsid w:val="00D9000A"/>
    <w:rsid w:val="00D91D82"/>
    <w:rsid w:val="00D9344A"/>
    <w:rsid w:val="00D94435"/>
    <w:rsid w:val="00D9569E"/>
    <w:rsid w:val="00D976DE"/>
    <w:rsid w:val="00DA196E"/>
    <w:rsid w:val="00DA2B25"/>
    <w:rsid w:val="00DA31A6"/>
    <w:rsid w:val="00DA6198"/>
    <w:rsid w:val="00DB0961"/>
    <w:rsid w:val="00DB0E08"/>
    <w:rsid w:val="00DB38EF"/>
    <w:rsid w:val="00DB3B68"/>
    <w:rsid w:val="00DC1597"/>
    <w:rsid w:val="00DC1D6E"/>
    <w:rsid w:val="00DC29E4"/>
    <w:rsid w:val="00DC3A56"/>
    <w:rsid w:val="00DC6634"/>
    <w:rsid w:val="00DC6890"/>
    <w:rsid w:val="00DD1DF9"/>
    <w:rsid w:val="00DD4F0E"/>
    <w:rsid w:val="00DD5DC4"/>
    <w:rsid w:val="00DD67BE"/>
    <w:rsid w:val="00DD79DC"/>
    <w:rsid w:val="00DE105E"/>
    <w:rsid w:val="00DE1419"/>
    <w:rsid w:val="00DE15BB"/>
    <w:rsid w:val="00DE3C91"/>
    <w:rsid w:val="00DE77AB"/>
    <w:rsid w:val="00DF00BA"/>
    <w:rsid w:val="00DF1B66"/>
    <w:rsid w:val="00DF2576"/>
    <w:rsid w:val="00DF2CC3"/>
    <w:rsid w:val="00DF5FFD"/>
    <w:rsid w:val="00DF63C3"/>
    <w:rsid w:val="00DF6B7D"/>
    <w:rsid w:val="00DF7A36"/>
    <w:rsid w:val="00E014D1"/>
    <w:rsid w:val="00E05239"/>
    <w:rsid w:val="00E05E0A"/>
    <w:rsid w:val="00E0624C"/>
    <w:rsid w:val="00E06BD6"/>
    <w:rsid w:val="00E100D4"/>
    <w:rsid w:val="00E112AC"/>
    <w:rsid w:val="00E11EB3"/>
    <w:rsid w:val="00E12427"/>
    <w:rsid w:val="00E129BE"/>
    <w:rsid w:val="00E132CD"/>
    <w:rsid w:val="00E151C1"/>
    <w:rsid w:val="00E15805"/>
    <w:rsid w:val="00E20595"/>
    <w:rsid w:val="00E207CE"/>
    <w:rsid w:val="00E20BE4"/>
    <w:rsid w:val="00E20D73"/>
    <w:rsid w:val="00E22F2E"/>
    <w:rsid w:val="00E2313B"/>
    <w:rsid w:val="00E234F0"/>
    <w:rsid w:val="00E26055"/>
    <w:rsid w:val="00E27432"/>
    <w:rsid w:val="00E27D7A"/>
    <w:rsid w:val="00E30152"/>
    <w:rsid w:val="00E31166"/>
    <w:rsid w:val="00E314C1"/>
    <w:rsid w:val="00E32DDE"/>
    <w:rsid w:val="00E37960"/>
    <w:rsid w:val="00E37A94"/>
    <w:rsid w:val="00E40093"/>
    <w:rsid w:val="00E406F0"/>
    <w:rsid w:val="00E424E6"/>
    <w:rsid w:val="00E43477"/>
    <w:rsid w:val="00E4514D"/>
    <w:rsid w:val="00E5289F"/>
    <w:rsid w:val="00E52A62"/>
    <w:rsid w:val="00E534CF"/>
    <w:rsid w:val="00E659EC"/>
    <w:rsid w:val="00E66B37"/>
    <w:rsid w:val="00E70349"/>
    <w:rsid w:val="00E70F79"/>
    <w:rsid w:val="00E71096"/>
    <w:rsid w:val="00E71BE1"/>
    <w:rsid w:val="00E724C7"/>
    <w:rsid w:val="00E731D0"/>
    <w:rsid w:val="00E7340B"/>
    <w:rsid w:val="00E7399A"/>
    <w:rsid w:val="00E73F5E"/>
    <w:rsid w:val="00E754D6"/>
    <w:rsid w:val="00E765C5"/>
    <w:rsid w:val="00E76F68"/>
    <w:rsid w:val="00E77BEA"/>
    <w:rsid w:val="00E81CB4"/>
    <w:rsid w:val="00E8215A"/>
    <w:rsid w:val="00E84CDF"/>
    <w:rsid w:val="00E84DC4"/>
    <w:rsid w:val="00E856A7"/>
    <w:rsid w:val="00E8585B"/>
    <w:rsid w:val="00E8671C"/>
    <w:rsid w:val="00E86E56"/>
    <w:rsid w:val="00E90F91"/>
    <w:rsid w:val="00E911FB"/>
    <w:rsid w:val="00E9165F"/>
    <w:rsid w:val="00E9548A"/>
    <w:rsid w:val="00E95FCF"/>
    <w:rsid w:val="00EA0252"/>
    <w:rsid w:val="00EA2BC5"/>
    <w:rsid w:val="00EA3F15"/>
    <w:rsid w:val="00EA6539"/>
    <w:rsid w:val="00EA6C3A"/>
    <w:rsid w:val="00EA7298"/>
    <w:rsid w:val="00EA7847"/>
    <w:rsid w:val="00EB1430"/>
    <w:rsid w:val="00EB1CF0"/>
    <w:rsid w:val="00EB506C"/>
    <w:rsid w:val="00EB5BF9"/>
    <w:rsid w:val="00EC055C"/>
    <w:rsid w:val="00EC52F4"/>
    <w:rsid w:val="00EC629C"/>
    <w:rsid w:val="00ED11BA"/>
    <w:rsid w:val="00ED1452"/>
    <w:rsid w:val="00ED3657"/>
    <w:rsid w:val="00ED5AE6"/>
    <w:rsid w:val="00ED670D"/>
    <w:rsid w:val="00ED6777"/>
    <w:rsid w:val="00EE2E6E"/>
    <w:rsid w:val="00EE3B0C"/>
    <w:rsid w:val="00EE4113"/>
    <w:rsid w:val="00EE51A1"/>
    <w:rsid w:val="00EF1E6F"/>
    <w:rsid w:val="00EF2D25"/>
    <w:rsid w:val="00EF36A0"/>
    <w:rsid w:val="00F00CEE"/>
    <w:rsid w:val="00F01A01"/>
    <w:rsid w:val="00F02BCA"/>
    <w:rsid w:val="00F037C6"/>
    <w:rsid w:val="00F03974"/>
    <w:rsid w:val="00F04DBD"/>
    <w:rsid w:val="00F04E00"/>
    <w:rsid w:val="00F0560E"/>
    <w:rsid w:val="00F05C91"/>
    <w:rsid w:val="00F070C8"/>
    <w:rsid w:val="00F0759E"/>
    <w:rsid w:val="00F10438"/>
    <w:rsid w:val="00F1165A"/>
    <w:rsid w:val="00F12FA0"/>
    <w:rsid w:val="00F135B8"/>
    <w:rsid w:val="00F15DF7"/>
    <w:rsid w:val="00F20E38"/>
    <w:rsid w:val="00F21CBC"/>
    <w:rsid w:val="00F250BD"/>
    <w:rsid w:val="00F271F6"/>
    <w:rsid w:val="00F315CC"/>
    <w:rsid w:val="00F33793"/>
    <w:rsid w:val="00F352CB"/>
    <w:rsid w:val="00F358A1"/>
    <w:rsid w:val="00F36A77"/>
    <w:rsid w:val="00F37362"/>
    <w:rsid w:val="00F37836"/>
    <w:rsid w:val="00F40076"/>
    <w:rsid w:val="00F401DA"/>
    <w:rsid w:val="00F40631"/>
    <w:rsid w:val="00F41309"/>
    <w:rsid w:val="00F41386"/>
    <w:rsid w:val="00F449C2"/>
    <w:rsid w:val="00F45370"/>
    <w:rsid w:val="00F469C7"/>
    <w:rsid w:val="00F477DE"/>
    <w:rsid w:val="00F47C70"/>
    <w:rsid w:val="00F50E8D"/>
    <w:rsid w:val="00F51F18"/>
    <w:rsid w:val="00F52706"/>
    <w:rsid w:val="00F55DA1"/>
    <w:rsid w:val="00F56170"/>
    <w:rsid w:val="00F5651A"/>
    <w:rsid w:val="00F6115F"/>
    <w:rsid w:val="00F61B9F"/>
    <w:rsid w:val="00F64F68"/>
    <w:rsid w:val="00F67A12"/>
    <w:rsid w:val="00F67BE9"/>
    <w:rsid w:val="00F703A4"/>
    <w:rsid w:val="00F72C6B"/>
    <w:rsid w:val="00F76594"/>
    <w:rsid w:val="00F8063D"/>
    <w:rsid w:val="00F80894"/>
    <w:rsid w:val="00F821A3"/>
    <w:rsid w:val="00F83000"/>
    <w:rsid w:val="00F85488"/>
    <w:rsid w:val="00F8567E"/>
    <w:rsid w:val="00F860EC"/>
    <w:rsid w:val="00F861E5"/>
    <w:rsid w:val="00F86DB6"/>
    <w:rsid w:val="00F86F50"/>
    <w:rsid w:val="00F87445"/>
    <w:rsid w:val="00F877C8"/>
    <w:rsid w:val="00F87ABC"/>
    <w:rsid w:val="00F87DC8"/>
    <w:rsid w:val="00F9033E"/>
    <w:rsid w:val="00F91762"/>
    <w:rsid w:val="00F919A8"/>
    <w:rsid w:val="00F91AFD"/>
    <w:rsid w:val="00F91E0B"/>
    <w:rsid w:val="00F92C99"/>
    <w:rsid w:val="00F9314A"/>
    <w:rsid w:val="00F9626E"/>
    <w:rsid w:val="00F96A33"/>
    <w:rsid w:val="00F974D3"/>
    <w:rsid w:val="00FA2854"/>
    <w:rsid w:val="00FA3100"/>
    <w:rsid w:val="00FA3F80"/>
    <w:rsid w:val="00FA6B91"/>
    <w:rsid w:val="00FA71C6"/>
    <w:rsid w:val="00FB0296"/>
    <w:rsid w:val="00FB47C3"/>
    <w:rsid w:val="00FB52DC"/>
    <w:rsid w:val="00FB5FE4"/>
    <w:rsid w:val="00FB7F13"/>
    <w:rsid w:val="00FC074A"/>
    <w:rsid w:val="00FC0B8D"/>
    <w:rsid w:val="00FC1E5C"/>
    <w:rsid w:val="00FC2984"/>
    <w:rsid w:val="00FC2CC4"/>
    <w:rsid w:val="00FC38F2"/>
    <w:rsid w:val="00FC4AA0"/>
    <w:rsid w:val="00FC5004"/>
    <w:rsid w:val="00FC504D"/>
    <w:rsid w:val="00FC58EF"/>
    <w:rsid w:val="00FC5CE6"/>
    <w:rsid w:val="00FC5F84"/>
    <w:rsid w:val="00FC73DE"/>
    <w:rsid w:val="00FC78AD"/>
    <w:rsid w:val="00FD1A3E"/>
    <w:rsid w:val="00FD2E7D"/>
    <w:rsid w:val="00FD33DF"/>
    <w:rsid w:val="00FD38FC"/>
    <w:rsid w:val="00FD3A4E"/>
    <w:rsid w:val="00FE39D7"/>
    <w:rsid w:val="00FE3BBA"/>
    <w:rsid w:val="00FE5CFF"/>
    <w:rsid w:val="00FF14D3"/>
    <w:rsid w:val="00FF2A0A"/>
    <w:rsid w:val="00FF3586"/>
    <w:rsid w:val="00FF5DFD"/>
    <w:rsid w:val="00FF6A64"/>
    <w:rsid w:val="00FF73AA"/>
    <w:rsid w:val="00FF75FF"/>
    <w:rsid w:val="00FF7B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A0D5353"/>
  <w15:docId w15:val="{40A42CF9-1160-4B0C-85D2-DCCF1B2A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Estilo4"/>
    <w:next w:val="Normal"/>
    <w:link w:val="Ttulo1Car"/>
    <w:qFormat/>
    <w:rsid w:val="00A974C9"/>
    <w:pPr>
      <w:keepNext w:val="0"/>
      <w:widowControl w:val="0"/>
    </w:pPr>
    <w:rPr>
      <w:rFonts w:ascii="Bookman Old Style" w:hAnsi="Bookman Old Style"/>
      <w:color w:val="000000"/>
      <w:sz w:val="24"/>
      <w:szCs w:val="24"/>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link w:val="Estilo1Car"/>
    <w:qFormat/>
    <w:rsid w:val="00A974C9"/>
    <w:pPr>
      <w:ind w:left="0"/>
      <w:jc w:val="both"/>
    </w:pPr>
    <w:rPr>
      <w:rFonts w:ascii="Bookman Old Style" w:hAnsi="Bookman Old Styl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link w:val="Ttulo2"/>
    <w:rsid w:val="00B82006"/>
    <w:rPr>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A974C9"/>
    <w:rPr>
      <w:rFonts w:ascii="Bookman Old Style" w:hAnsi="Bookman Old Style"/>
      <w:b/>
      <w:color w:val="000000"/>
      <w:kern w:val="28"/>
      <w:sz w:val="24"/>
      <w:szCs w:val="24"/>
      <w:lang w:val="es-ES_tradnl"/>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ind w:left="0"/>
      <w:textAlignment w:val="baseline"/>
    </w:pPr>
    <w:rPr>
      <w:b/>
      <w:bCs/>
    </w:rPr>
  </w:style>
  <w:style w:type="character" w:styleId="Refdenotaalpie">
    <w:name w:val="footnote reference"/>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rsid w:val="00B82006"/>
    <w:rPr>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rsid w:val="00B82006"/>
    <w:rPr>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link w:val="Estilo1"/>
    <w:rsid w:val="00A974C9"/>
    <w:rPr>
      <w:rFonts w:ascii="Bookman Old Style" w:hAnsi="Bookman Old Style"/>
      <w:sz w:val="24"/>
      <w:szCs w:val="24"/>
      <w:lang w:val="es-ES"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pacing w:before="240" w:after="60"/>
      <w:outlineLvl w:val="0"/>
    </w:pPr>
    <w:rPr>
      <w:rFonts w:ascii="Arial" w:hAnsi="Arial"/>
      <w:b/>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val="0"/>
      <w:color w:val="0000FF"/>
      <w:sz w:val="36"/>
      <w:szCs w:val="24"/>
      <w:shd w:val="clear" w:color="auto" w:fill="C0C0C0"/>
      <w:lang w:val="es-ES"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11"/>
      </w:numPr>
    </w:pPr>
  </w:style>
  <w:style w:type="numbering" w:customStyle="1" w:styleId="Transporte">
    <w:name w:val="Transporte"/>
    <w:uiPriority w:val="99"/>
    <w:rsid w:val="00B82006"/>
    <w:pPr>
      <w:numPr>
        <w:numId w:val="12"/>
      </w:numPr>
    </w:pPr>
  </w:style>
  <w:style w:type="numbering" w:customStyle="1" w:styleId="Estilo12">
    <w:name w:val="Estilo12"/>
    <w:uiPriority w:val="99"/>
    <w:rsid w:val="00B82006"/>
    <w:pPr>
      <w:numPr>
        <w:numId w:val="13"/>
      </w:numPr>
    </w:pPr>
  </w:style>
  <w:style w:type="numbering" w:customStyle="1" w:styleId="Estilo13">
    <w:name w:val="Estilo13"/>
    <w:uiPriority w:val="99"/>
    <w:rsid w:val="00B82006"/>
    <w:pPr>
      <w:numPr>
        <w:numId w:val="14"/>
      </w:numPr>
    </w:pPr>
  </w:style>
  <w:style w:type="numbering" w:customStyle="1" w:styleId="Estilo14">
    <w:name w:val="Estilo14"/>
    <w:uiPriority w:val="99"/>
    <w:rsid w:val="00B82006"/>
    <w:pPr>
      <w:numPr>
        <w:numId w:val="15"/>
      </w:numPr>
    </w:pPr>
  </w:style>
  <w:style w:type="numbering" w:customStyle="1" w:styleId="Estilo15">
    <w:name w:val="Estilo15"/>
    <w:uiPriority w:val="99"/>
    <w:rsid w:val="00B82006"/>
    <w:pPr>
      <w:numPr>
        <w:numId w:val="16"/>
      </w:numPr>
    </w:pPr>
  </w:style>
  <w:style w:type="numbering" w:customStyle="1" w:styleId="TGas">
    <w:name w:val="T Gas"/>
    <w:uiPriority w:val="99"/>
    <w:rsid w:val="00B82006"/>
    <w:pPr>
      <w:numPr>
        <w:numId w:val="17"/>
      </w:numPr>
    </w:pPr>
  </w:style>
  <w:style w:type="numbering" w:customStyle="1" w:styleId="Estilo16">
    <w:name w:val="Estilo16"/>
    <w:uiPriority w:val="99"/>
    <w:rsid w:val="00B82006"/>
    <w:pPr>
      <w:numPr>
        <w:numId w:val="18"/>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ind w:left="0"/>
      <w:jc w:val="both"/>
    </w:pPr>
    <w:rPr>
      <w:rFonts w:ascii="Arial" w:eastAsia="Calibri" w:hAnsi="Arial" w:cs="Arial"/>
      <w:sz w:val="22"/>
      <w:szCs w:val="22"/>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ind w:left="0"/>
      <w:jc w:val="both"/>
    </w:pPr>
    <w:rPr>
      <w:rFonts w:ascii="Arial" w:hAnsi="Arial"/>
      <w:sz w:val="20"/>
      <w:szCs w:val="20"/>
      <w:lang w:val="es-ES_tradnl"/>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val="es-CO" w:eastAsia="en-US"/>
    </w:rPr>
  </w:style>
  <w:style w:type="paragraph" w:customStyle="1" w:styleId="Artculo">
    <w:name w:val="Artículo"/>
    <w:basedOn w:val="Normal"/>
    <w:link w:val="ArtculoCar"/>
    <w:autoRedefine/>
    <w:rsid w:val="00030CFA"/>
    <w:pPr>
      <w:ind w:left="0"/>
      <w:jc w:val="both"/>
    </w:pPr>
    <w:rPr>
      <w:rFonts w:ascii="Bookman Old Style" w:hAnsi="Bookman Old Style" w:cs="Arial"/>
    </w:rPr>
  </w:style>
  <w:style w:type="character" w:customStyle="1" w:styleId="ArtculoCar">
    <w:name w:val="Artículo Car"/>
    <w:link w:val="Artculo"/>
    <w:rsid w:val="00030CFA"/>
    <w:rPr>
      <w:rFonts w:ascii="Bookman Old Style" w:hAnsi="Bookman Old Style" w:cs="Arial"/>
      <w:sz w:val="24"/>
      <w:szCs w:val="24"/>
      <w:lang w:val="es-ES" w:eastAsia="es-ES"/>
    </w:rPr>
  </w:style>
  <w:style w:type="paragraph" w:styleId="Bibliografa">
    <w:name w:val="Bibliography"/>
    <w:basedOn w:val="Normal"/>
    <w:next w:val="Normal"/>
    <w:uiPriority w:val="37"/>
    <w:unhideWhenUsed/>
    <w:rsid w:val="004710C0"/>
    <w:pPr>
      <w:spacing w:line="276" w:lineRule="auto"/>
      <w:ind w:left="0"/>
    </w:pPr>
    <w:rPr>
      <w:rFonts w:ascii="Arial" w:eastAsia="Arial" w:hAnsi="Arial" w:cs="Arial"/>
      <w:color w:val="000000"/>
      <w:sz w:val="22"/>
      <w:szCs w:val="22"/>
      <w:lang w:val="es-CO"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val="es-CO"/>
    </w:rPr>
  </w:style>
  <w:style w:type="character" w:customStyle="1" w:styleId="Cuadrculamediana1-nfasis2Car">
    <w:name w:val="Cuadrícula mediana 1 - Énfasis 2 Car"/>
    <w:link w:val="Cuadrculamediana1-nfasis21"/>
    <w:uiPriority w:val="34"/>
    <w:rsid w:val="004710C0"/>
    <w:rPr>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left="0" w:hanging="540"/>
    </w:pPr>
    <w:rPr>
      <w:rFonts w:ascii="Arial" w:hAnsi="Arial" w:cs="Arial"/>
      <w:sz w:val="13"/>
      <w:szCs w:val="13"/>
      <w:lang w:val="es-CO"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val="es-CO"/>
    </w:rPr>
  </w:style>
  <w:style w:type="character" w:customStyle="1" w:styleId="Listamulticolor-nfasis1Car">
    <w:name w:val="Lista multicolor - Énfasis 1 Car"/>
    <w:link w:val="Listamulticolor-nfasis11"/>
    <w:uiPriority w:val="34"/>
    <w:rsid w:val="004710C0"/>
    <w:rPr>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Estilo1"/>
    <w:next w:val="Estilo1"/>
    <w:link w:val="ARTICULOSCar"/>
    <w:qFormat/>
    <w:rsid w:val="00A974C9"/>
    <w:pPr>
      <w:widowControl w:val="0"/>
      <w:numPr>
        <w:numId w:val="10"/>
      </w:numPr>
      <w:outlineLvl w:val="1"/>
    </w:pPr>
    <w:rPr>
      <w:rFonts w:cs="Arial"/>
      <w:color w:val="000000"/>
    </w:rPr>
  </w:style>
  <w:style w:type="character" w:customStyle="1" w:styleId="ARTICULOSCar">
    <w:name w:val="ARTICULOS Car"/>
    <w:link w:val="ARTICULOS"/>
    <w:rsid w:val="00A974C9"/>
    <w:rPr>
      <w:rFonts w:ascii="Bookman Old Style" w:hAnsi="Bookman Old Style" w:cs="Arial"/>
      <w:color w:val="000000"/>
      <w:sz w:val="24"/>
      <w:szCs w:val="24"/>
      <w:lang w:val="es-ES" w:eastAsia="es-ES"/>
    </w:rPr>
  </w:style>
  <w:style w:type="paragraph" w:customStyle="1" w:styleId="CAPTULO">
    <w:name w:val="CAPÍTULO"/>
    <w:basedOn w:val="Ttulo1"/>
    <w:next w:val="Normal"/>
    <w:link w:val="CAPTULOCar"/>
    <w:qFormat/>
    <w:rsid w:val="00497ADD"/>
    <w:pPr>
      <w:spacing w:before="240" w:after="240"/>
      <w:ind w:hanging="6"/>
    </w:pPr>
    <w:rPr>
      <w:spacing w:val="4"/>
      <w:szCs w:val="22"/>
      <w:lang w:val="es-ES"/>
    </w:rPr>
  </w:style>
  <w:style w:type="character" w:customStyle="1" w:styleId="CAPTULOCar">
    <w:name w:val="CAPÍTULO Car"/>
    <w:basedOn w:val="Fuentedeprrafopredeter"/>
    <w:link w:val="CAPTULO"/>
    <w:rsid w:val="00497ADD"/>
    <w:rPr>
      <w:rFonts w:ascii="Bookman Old Style" w:hAnsi="Bookman Old Style"/>
      <w:b/>
      <w:spacing w:val="4"/>
      <w:sz w:val="24"/>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5315">
      <w:bodyDiv w:val="1"/>
      <w:marLeft w:val="0"/>
      <w:marRight w:val="0"/>
      <w:marTop w:val="0"/>
      <w:marBottom w:val="0"/>
      <w:divBdr>
        <w:top w:val="none" w:sz="0" w:space="0" w:color="auto"/>
        <w:left w:val="none" w:sz="0" w:space="0" w:color="auto"/>
        <w:bottom w:val="none" w:sz="0" w:space="0" w:color="auto"/>
        <w:right w:val="none" w:sz="0" w:space="0" w:color="auto"/>
      </w:divBdr>
      <w:divsChild>
        <w:div w:id="195891482">
          <w:marLeft w:val="1267"/>
          <w:marRight w:val="0"/>
          <w:marTop w:val="0"/>
          <w:marBottom w:val="0"/>
          <w:divBdr>
            <w:top w:val="none" w:sz="0" w:space="0" w:color="auto"/>
            <w:left w:val="none" w:sz="0" w:space="0" w:color="auto"/>
            <w:bottom w:val="none" w:sz="0" w:space="0" w:color="auto"/>
            <w:right w:val="none" w:sz="0" w:space="0" w:color="auto"/>
          </w:divBdr>
        </w:div>
        <w:div w:id="263851951">
          <w:marLeft w:val="1267"/>
          <w:marRight w:val="0"/>
          <w:marTop w:val="0"/>
          <w:marBottom w:val="0"/>
          <w:divBdr>
            <w:top w:val="none" w:sz="0" w:space="0" w:color="auto"/>
            <w:left w:val="none" w:sz="0" w:space="0" w:color="auto"/>
            <w:bottom w:val="none" w:sz="0" w:space="0" w:color="auto"/>
            <w:right w:val="none" w:sz="0" w:space="0" w:color="auto"/>
          </w:divBdr>
        </w:div>
        <w:div w:id="461077117">
          <w:marLeft w:val="1267"/>
          <w:marRight w:val="0"/>
          <w:marTop w:val="0"/>
          <w:marBottom w:val="0"/>
          <w:divBdr>
            <w:top w:val="none" w:sz="0" w:space="0" w:color="auto"/>
            <w:left w:val="none" w:sz="0" w:space="0" w:color="auto"/>
            <w:bottom w:val="none" w:sz="0" w:space="0" w:color="auto"/>
            <w:right w:val="none" w:sz="0" w:space="0" w:color="auto"/>
          </w:divBdr>
        </w:div>
        <w:div w:id="987133627">
          <w:marLeft w:val="1267"/>
          <w:marRight w:val="0"/>
          <w:marTop w:val="0"/>
          <w:marBottom w:val="0"/>
          <w:divBdr>
            <w:top w:val="none" w:sz="0" w:space="0" w:color="auto"/>
            <w:left w:val="none" w:sz="0" w:space="0" w:color="auto"/>
            <w:bottom w:val="none" w:sz="0" w:space="0" w:color="auto"/>
            <w:right w:val="none" w:sz="0" w:space="0" w:color="auto"/>
          </w:divBdr>
        </w:div>
      </w:divsChild>
    </w:div>
    <w:div w:id="1466042195">
      <w:bodyDiv w:val="1"/>
      <w:marLeft w:val="0"/>
      <w:marRight w:val="0"/>
      <w:marTop w:val="0"/>
      <w:marBottom w:val="0"/>
      <w:divBdr>
        <w:top w:val="none" w:sz="0" w:space="0" w:color="auto"/>
        <w:left w:val="none" w:sz="0" w:space="0" w:color="auto"/>
        <w:bottom w:val="none" w:sz="0" w:space="0" w:color="auto"/>
        <w:right w:val="none" w:sz="0" w:space="0" w:color="auto"/>
      </w:divBdr>
      <w:divsChild>
        <w:div w:id="1988852937">
          <w:marLeft w:val="0"/>
          <w:marRight w:val="0"/>
          <w:marTop w:val="0"/>
          <w:marBottom w:val="0"/>
          <w:divBdr>
            <w:top w:val="none" w:sz="0" w:space="0" w:color="auto"/>
            <w:left w:val="none" w:sz="0" w:space="0" w:color="auto"/>
            <w:bottom w:val="none" w:sz="0" w:space="0" w:color="auto"/>
            <w:right w:val="none" w:sz="0" w:space="0" w:color="auto"/>
          </w:divBdr>
        </w:div>
        <w:div w:id="1607422709">
          <w:marLeft w:val="0"/>
          <w:marRight w:val="0"/>
          <w:marTop w:val="0"/>
          <w:marBottom w:val="0"/>
          <w:divBdr>
            <w:top w:val="none" w:sz="0" w:space="0" w:color="auto"/>
            <w:left w:val="none" w:sz="0" w:space="0" w:color="auto"/>
            <w:bottom w:val="none" w:sz="0" w:space="0" w:color="auto"/>
            <w:right w:val="none" w:sz="0" w:space="0" w:color="auto"/>
          </w:divBdr>
        </w:div>
        <w:div w:id="878399413">
          <w:marLeft w:val="0"/>
          <w:marRight w:val="0"/>
          <w:marTop w:val="0"/>
          <w:marBottom w:val="0"/>
          <w:divBdr>
            <w:top w:val="none" w:sz="0" w:space="0" w:color="auto"/>
            <w:left w:val="none" w:sz="0" w:space="0" w:color="auto"/>
            <w:bottom w:val="none" w:sz="0" w:space="0" w:color="auto"/>
            <w:right w:val="none" w:sz="0" w:space="0" w:color="auto"/>
          </w:divBdr>
        </w:div>
        <w:div w:id="1854757379">
          <w:marLeft w:val="0"/>
          <w:marRight w:val="0"/>
          <w:marTop w:val="0"/>
          <w:marBottom w:val="0"/>
          <w:divBdr>
            <w:top w:val="none" w:sz="0" w:space="0" w:color="auto"/>
            <w:left w:val="none" w:sz="0" w:space="0" w:color="auto"/>
            <w:bottom w:val="none" w:sz="0" w:space="0" w:color="auto"/>
            <w:right w:val="none" w:sz="0" w:space="0" w:color="auto"/>
          </w:divBdr>
        </w:div>
        <w:div w:id="937641968">
          <w:marLeft w:val="0"/>
          <w:marRight w:val="0"/>
          <w:marTop w:val="0"/>
          <w:marBottom w:val="0"/>
          <w:divBdr>
            <w:top w:val="none" w:sz="0" w:space="0" w:color="auto"/>
            <w:left w:val="none" w:sz="0" w:space="0" w:color="auto"/>
            <w:bottom w:val="none" w:sz="0" w:space="0" w:color="auto"/>
            <w:right w:val="none" w:sz="0" w:space="0" w:color="auto"/>
          </w:divBdr>
        </w:div>
      </w:divsChild>
    </w:div>
    <w:div w:id="1989046495">
      <w:bodyDiv w:val="1"/>
      <w:marLeft w:val="0"/>
      <w:marRight w:val="0"/>
      <w:marTop w:val="0"/>
      <w:marBottom w:val="0"/>
      <w:divBdr>
        <w:top w:val="none" w:sz="0" w:space="0" w:color="auto"/>
        <w:left w:val="none" w:sz="0" w:space="0" w:color="auto"/>
        <w:bottom w:val="none" w:sz="0" w:space="0" w:color="auto"/>
        <w:right w:val="none" w:sz="0" w:space="0" w:color="auto"/>
      </w:divBdr>
      <w:divsChild>
        <w:div w:id="1386878671">
          <w:marLeft w:val="1267"/>
          <w:marRight w:val="0"/>
          <w:marTop w:val="0"/>
          <w:marBottom w:val="0"/>
          <w:divBdr>
            <w:top w:val="none" w:sz="0" w:space="0" w:color="auto"/>
            <w:left w:val="none" w:sz="0" w:space="0" w:color="auto"/>
            <w:bottom w:val="none" w:sz="0" w:space="0" w:color="auto"/>
            <w:right w:val="none" w:sz="0" w:space="0" w:color="auto"/>
          </w:divBdr>
        </w:div>
        <w:div w:id="1540818951">
          <w:marLeft w:val="1267"/>
          <w:marRight w:val="0"/>
          <w:marTop w:val="0"/>
          <w:marBottom w:val="0"/>
          <w:divBdr>
            <w:top w:val="none" w:sz="0" w:space="0" w:color="auto"/>
            <w:left w:val="none" w:sz="0" w:space="0" w:color="auto"/>
            <w:bottom w:val="none" w:sz="0" w:space="0" w:color="auto"/>
            <w:right w:val="none" w:sz="0" w:space="0" w:color="auto"/>
          </w:divBdr>
        </w:div>
        <w:div w:id="1547836858">
          <w:marLeft w:val="1267"/>
          <w:marRight w:val="0"/>
          <w:marTop w:val="0"/>
          <w:marBottom w:val="0"/>
          <w:divBdr>
            <w:top w:val="none" w:sz="0" w:space="0" w:color="auto"/>
            <w:left w:val="none" w:sz="0" w:space="0" w:color="auto"/>
            <w:bottom w:val="none" w:sz="0" w:space="0" w:color="auto"/>
            <w:right w:val="none" w:sz="0" w:space="0" w:color="auto"/>
          </w:divBdr>
        </w:div>
        <w:div w:id="17133108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4" ma:contentTypeDescription="Crear nuevo documento." ma:contentTypeScope="" ma:versionID="f017fea0e306b011e6a42d55246f1a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87d36996382e533e9b789e51c65b0ef5"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8EF4D-C840-4875-BD6B-9257C6D4D2EE}">
  <ds:schemaRefs>
    <ds:schemaRef ds:uri="http://schemas.openxmlformats.org/officeDocument/2006/bibliography"/>
  </ds:schemaRefs>
</ds:datastoreItem>
</file>

<file path=customXml/itemProps2.xml><?xml version="1.0" encoding="utf-8"?>
<ds:datastoreItem xmlns:ds="http://schemas.openxmlformats.org/officeDocument/2006/customXml" ds:itemID="{D6065F22-4E63-4B49-8827-4D9FDB1A5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ADA442-00EB-4067-8BDB-BA7ACBDCB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AB5F-ED67-43E0-BEE6-76C6BCBB4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18</Pages>
  <Words>7456</Words>
  <Characters>39350</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Infraestrucura de regasificación</cp:keywords>
  <dc:description/>
  <cp:lastModifiedBy>Luz Stella Rojas Macias</cp:lastModifiedBy>
  <cp:revision>2</cp:revision>
  <cp:lastPrinted>2022-06-07T13:21:00Z</cp:lastPrinted>
  <dcterms:created xsi:type="dcterms:W3CDTF">2022-06-14T14:49:00Z</dcterms:created>
  <dcterms:modified xsi:type="dcterms:W3CDTF">2022-06-14T14:49:00Z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