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6D0576" w:rsidRDefault="00F74697"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412694385" r:id="rId9"/>
        </w:pict>
      </w:r>
    </w:p>
    <w:p w:rsidR="00625DC6" w:rsidRPr="006D0576" w:rsidRDefault="00625DC6" w:rsidP="00012259">
      <w:pPr>
        <w:pStyle w:val="Encabezado"/>
        <w:tabs>
          <w:tab w:val="clear" w:pos="8504"/>
          <w:tab w:val="left" w:pos="0"/>
          <w:tab w:val="right" w:pos="9356"/>
        </w:tabs>
        <w:ind w:left="0"/>
        <w:jc w:val="both"/>
        <w:rPr>
          <w:rFonts w:ascii="Bookman Old Style" w:hAnsi="Bookman Old Style"/>
          <w:szCs w:val="24"/>
        </w:rPr>
      </w:pPr>
    </w:p>
    <w:p w:rsidR="00CA77FB" w:rsidRPr="006D0576" w:rsidRDefault="00CA77FB" w:rsidP="00012259">
      <w:pPr>
        <w:pStyle w:val="Ttulo4"/>
        <w:tabs>
          <w:tab w:val="left" w:pos="0"/>
          <w:tab w:val="right" w:pos="9356"/>
        </w:tabs>
        <w:ind w:left="0"/>
        <w:rPr>
          <w:rFonts w:ascii="Bookman Old Style" w:hAnsi="Bookman Old Style"/>
          <w:b w:val="0"/>
          <w:bCs/>
          <w:noProof/>
          <w:sz w:val="24"/>
          <w:szCs w:val="24"/>
          <w:lang w:val="es-ES"/>
        </w:rPr>
      </w:pPr>
      <w:r w:rsidRPr="006D0576">
        <w:rPr>
          <w:rFonts w:ascii="Bookman Old Style" w:hAnsi="Bookman Old Style"/>
          <w:b w:val="0"/>
          <w:bCs/>
          <w:sz w:val="24"/>
          <w:szCs w:val="24"/>
        </w:rPr>
        <w:t>Ministerio de Minas y Energía</w:t>
      </w:r>
    </w:p>
    <w:p w:rsidR="00CA77FB" w:rsidRPr="006D0576" w:rsidRDefault="00CA77FB" w:rsidP="00012259">
      <w:pPr>
        <w:pStyle w:val="Ttulo4"/>
        <w:tabs>
          <w:tab w:val="left" w:pos="0"/>
          <w:tab w:val="right" w:pos="9356"/>
        </w:tabs>
        <w:ind w:left="0"/>
        <w:rPr>
          <w:rFonts w:ascii="Bookman Old Style" w:hAnsi="Bookman Old Style"/>
          <w:b w:val="0"/>
          <w:bCs/>
          <w:sz w:val="24"/>
          <w:szCs w:val="24"/>
        </w:rPr>
      </w:pPr>
    </w:p>
    <w:p w:rsidR="00CA77FB" w:rsidRPr="006D0576" w:rsidRDefault="00CA77FB" w:rsidP="00012259">
      <w:pPr>
        <w:pStyle w:val="Ttulo3"/>
        <w:tabs>
          <w:tab w:val="left" w:pos="0"/>
          <w:tab w:val="right" w:pos="9356"/>
        </w:tabs>
        <w:ind w:left="0"/>
        <w:rPr>
          <w:rFonts w:ascii="Bookman Old Style" w:hAnsi="Bookman Old Style" w:cs="Arial"/>
          <w:spacing w:val="20"/>
          <w:szCs w:val="24"/>
        </w:rPr>
      </w:pPr>
      <w:r w:rsidRPr="006D0576">
        <w:rPr>
          <w:rFonts w:ascii="Bookman Old Style" w:hAnsi="Bookman Old Style" w:cs="Arial"/>
          <w:spacing w:val="20"/>
          <w:szCs w:val="24"/>
        </w:rPr>
        <w:t>COMISIÓN DE REGULACIÓN DE ENERGÍA Y GAS</w:t>
      </w:r>
    </w:p>
    <w:p w:rsidR="00CA77FB" w:rsidRPr="006D0576" w:rsidRDefault="00CA77FB" w:rsidP="00012259">
      <w:pPr>
        <w:pStyle w:val="Ttulo5"/>
        <w:tabs>
          <w:tab w:val="left" w:pos="0"/>
          <w:tab w:val="right" w:pos="9356"/>
        </w:tabs>
        <w:ind w:left="0"/>
        <w:rPr>
          <w:rFonts w:ascii="Bookman Old Style" w:hAnsi="Bookman Old Style"/>
          <w:sz w:val="24"/>
          <w:szCs w:val="24"/>
        </w:rPr>
      </w:pPr>
    </w:p>
    <w:p w:rsidR="00CA77FB" w:rsidRPr="006D0576" w:rsidRDefault="00CA77FB" w:rsidP="00012259">
      <w:pPr>
        <w:pStyle w:val="Ttulo5"/>
        <w:tabs>
          <w:tab w:val="left" w:pos="0"/>
          <w:tab w:val="right" w:pos="9356"/>
        </w:tabs>
        <w:ind w:left="0"/>
        <w:rPr>
          <w:rFonts w:ascii="Bookman Old Style" w:hAnsi="Bookman Old Style"/>
          <w:sz w:val="24"/>
          <w:szCs w:val="24"/>
        </w:rPr>
      </w:pPr>
    </w:p>
    <w:p w:rsidR="00CA77FB" w:rsidRPr="006D0576" w:rsidRDefault="00CA77FB" w:rsidP="00012259">
      <w:pPr>
        <w:pStyle w:val="Ttulo5"/>
        <w:tabs>
          <w:tab w:val="left" w:pos="0"/>
          <w:tab w:val="right" w:pos="9356"/>
        </w:tabs>
        <w:ind w:left="0"/>
        <w:rPr>
          <w:rFonts w:ascii="Bookman Old Style" w:hAnsi="Bookman Old Style"/>
          <w:sz w:val="24"/>
          <w:szCs w:val="24"/>
        </w:rPr>
      </w:pPr>
      <w:r w:rsidRPr="006D0576">
        <w:rPr>
          <w:rFonts w:ascii="Bookman Old Style" w:hAnsi="Bookman Old Style"/>
          <w:sz w:val="24"/>
          <w:szCs w:val="24"/>
        </w:rPr>
        <w:t xml:space="preserve">RESOLUCIÓN No. </w:t>
      </w:r>
      <w:r w:rsidR="00795BFB" w:rsidRPr="006D0576">
        <w:rPr>
          <w:rFonts w:ascii="Bookman Old Style" w:hAnsi="Bookman Old Style"/>
          <w:sz w:val="24"/>
          <w:szCs w:val="24"/>
        </w:rPr>
        <w:t xml:space="preserve">                  </w:t>
      </w:r>
      <w:r w:rsidRPr="006D0576">
        <w:rPr>
          <w:rFonts w:ascii="Bookman Old Style" w:hAnsi="Bookman Old Style"/>
          <w:sz w:val="24"/>
          <w:szCs w:val="24"/>
        </w:rPr>
        <w:t>DE 20</w:t>
      </w:r>
      <w:r w:rsidR="00795BFB" w:rsidRPr="006D0576">
        <w:rPr>
          <w:rFonts w:ascii="Bookman Old Style" w:hAnsi="Bookman Old Style"/>
          <w:sz w:val="24"/>
          <w:szCs w:val="24"/>
        </w:rPr>
        <w:t>1</w:t>
      </w:r>
      <w:r w:rsidR="006D0576" w:rsidRPr="006D0576">
        <w:rPr>
          <w:rFonts w:ascii="Bookman Old Style" w:hAnsi="Bookman Old Style"/>
          <w:sz w:val="24"/>
          <w:szCs w:val="24"/>
        </w:rPr>
        <w:t>2</w:t>
      </w:r>
    </w:p>
    <w:p w:rsidR="00CA77FB" w:rsidRPr="006D0576" w:rsidRDefault="00CA77FB" w:rsidP="00012259">
      <w:pPr>
        <w:tabs>
          <w:tab w:val="left" w:pos="0"/>
          <w:tab w:val="right" w:pos="9356"/>
        </w:tabs>
        <w:ind w:left="0"/>
        <w:jc w:val="center"/>
        <w:rPr>
          <w:rFonts w:ascii="Bookman Old Style" w:hAnsi="Bookman Old Style" w:cs="Arial"/>
          <w:b/>
          <w:snapToGrid w:val="0"/>
          <w:color w:val="000000"/>
          <w:lang w:val="es-ES_tradnl"/>
        </w:rPr>
      </w:pPr>
    </w:p>
    <w:p w:rsidR="00CA77FB" w:rsidRPr="006D0576" w:rsidRDefault="00CA77FB" w:rsidP="00012259">
      <w:pPr>
        <w:pStyle w:val="Ttulo3"/>
        <w:tabs>
          <w:tab w:val="left" w:pos="0"/>
          <w:tab w:val="right" w:pos="9356"/>
        </w:tabs>
        <w:ind w:left="0"/>
        <w:rPr>
          <w:rFonts w:ascii="Bookman Old Style" w:hAnsi="Bookman Old Style"/>
          <w:b w:val="0"/>
          <w:szCs w:val="24"/>
        </w:rPr>
      </w:pPr>
      <w:r w:rsidRPr="006D0576">
        <w:rPr>
          <w:rFonts w:ascii="Bookman Old Style" w:hAnsi="Bookman Old Style"/>
          <w:b w:val="0"/>
          <w:szCs w:val="24"/>
        </w:rPr>
        <w:t>(                                  )</w:t>
      </w:r>
    </w:p>
    <w:p w:rsidR="00CA77FB" w:rsidRPr="006D0576" w:rsidRDefault="00CA77FB" w:rsidP="00012259">
      <w:pPr>
        <w:tabs>
          <w:tab w:val="left" w:pos="0"/>
          <w:tab w:val="right" w:pos="9356"/>
        </w:tabs>
        <w:ind w:left="0"/>
        <w:jc w:val="center"/>
        <w:rPr>
          <w:rFonts w:ascii="Bookman Old Style" w:hAnsi="Bookman Old Style"/>
          <w:lang w:val="es-ES_tradnl"/>
        </w:rPr>
      </w:pPr>
    </w:p>
    <w:p w:rsidR="00C034CB" w:rsidRPr="006D0576" w:rsidRDefault="00C034CB" w:rsidP="00012259">
      <w:pPr>
        <w:ind w:left="0"/>
        <w:rPr>
          <w:rFonts w:ascii="Bookman Old Style" w:hAnsi="Bookman Old Style"/>
          <w:bCs/>
          <w:lang w:val="es-CO"/>
        </w:rPr>
      </w:pPr>
    </w:p>
    <w:p w:rsidR="00B351B4" w:rsidRDefault="00B351B4" w:rsidP="00012259">
      <w:pPr>
        <w:ind w:left="0"/>
        <w:rPr>
          <w:rFonts w:ascii="Bookman Old Style" w:hAnsi="Bookman Old Style"/>
          <w:bCs/>
          <w:lang w:val="es-CO"/>
        </w:rPr>
      </w:pPr>
    </w:p>
    <w:p w:rsidR="0006797A" w:rsidRPr="006D0576" w:rsidRDefault="0006797A" w:rsidP="00012259">
      <w:pPr>
        <w:ind w:left="0"/>
        <w:rPr>
          <w:rFonts w:ascii="Bookman Old Style" w:hAnsi="Bookman Old Style"/>
          <w:bCs/>
          <w:lang w:val="es-CO"/>
        </w:rPr>
      </w:pPr>
    </w:p>
    <w:p w:rsidR="00E01463" w:rsidRPr="006D0576" w:rsidRDefault="005B1C7E" w:rsidP="00E01463">
      <w:pPr>
        <w:ind w:left="0"/>
        <w:jc w:val="both"/>
        <w:rPr>
          <w:rFonts w:ascii="Bookman Old Style" w:hAnsi="Bookman Old Style" w:cs="Arial"/>
          <w:b/>
          <w:lang w:val="es-CO"/>
        </w:rPr>
      </w:pPr>
      <w:r w:rsidRPr="006D0576">
        <w:rPr>
          <w:rFonts w:ascii="Bookman Old Style" w:hAnsi="Bookman Old Style" w:cs="Arial"/>
          <w:lang w:val="es-CO"/>
        </w:rPr>
        <w:t>Por la cual</w:t>
      </w:r>
      <w:r w:rsidR="00663D6D" w:rsidRPr="006D0576">
        <w:rPr>
          <w:rFonts w:ascii="Bookman Old Style" w:hAnsi="Bookman Old Style" w:cs="Arial"/>
          <w:lang w:val="es-CO"/>
        </w:rPr>
        <w:t xml:space="preserve"> se actualiza la base de activos de </w:t>
      </w:r>
      <w:proofErr w:type="spellStart"/>
      <w:r w:rsidR="00663D6D" w:rsidRPr="006D0576">
        <w:rPr>
          <w:rFonts w:ascii="Bookman Old Style" w:hAnsi="Bookman Old Style" w:cs="Arial"/>
          <w:lang w:val="es-CO"/>
        </w:rPr>
        <w:t>Transelca</w:t>
      </w:r>
      <w:proofErr w:type="spellEnd"/>
      <w:r w:rsidR="00663D6D" w:rsidRPr="006D0576">
        <w:rPr>
          <w:rFonts w:ascii="Bookman Old Style" w:hAnsi="Bookman Old Style" w:cs="Arial"/>
          <w:lang w:val="es-CO"/>
        </w:rPr>
        <w:t xml:space="preserve"> S.A. E.S.P. y se modifican los parámetros necesarios para considerar su remuneración en el Sistema de Transmisión Nacional</w:t>
      </w:r>
      <w:r w:rsidR="008F4938" w:rsidRPr="006D0576">
        <w:rPr>
          <w:rFonts w:ascii="Bookman Old Style" w:hAnsi="Bookman Old Style" w:cs="Arial"/>
          <w:lang w:val="es-CO"/>
        </w:rPr>
        <w:t>, STN</w:t>
      </w:r>
      <w:r w:rsidR="00663D6D" w:rsidRPr="006D0576">
        <w:rPr>
          <w:rFonts w:ascii="Bookman Old Style" w:hAnsi="Bookman Old Style" w:cs="Arial"/>
          <w:lang w:val="es-CO"/>
        </w:rPr>
        <w:t>.</w:t>
      </w:r>
    </w:p>
    <w:p w:rsidR="00E01463" w:rsidRPr="006D0576" w:rsidRDefault="00E01463" w:rsidP="00E01463">
      <w:pPr>
        <w:ind w:left="0"/>
        <w:jc w:val="both"/>
        <w:rPr>
          <w:rFonts w:ascii="Bookman Old Style" w:hAnsi="Bookman Old Style" w:cs="Arial"/>
          <w:lang w:val="es-CO"/>
        </w:rPr>
      </w:pPr>
    </w:p>
    <w:p w:rsidR="00E01463" w:rsidRPr="006D0576" w:rsidRDefault="00E01463" w:rsidP="00E01463">
      <w:pPr>
        <w:ind w:left="0"/>
        <w:jc w:val="both"/>
        <w:rPr>
          <w:rFonts w:ascii="Bookman Old Style" w:hAnsi="Bookman Old Style" w:cs="Arial"/>
          <w:lang w:val="es-CO"/>
        </w:rPr>
      </w:pPr>
    </w:p>
    <w:p w:rsidR="00E01463" w:rsidRPr="006D0576" w:rsidRDefault="00E01463" w:rsidP="00E01463">
      <w:pPr>
        <w:pStyle w:val="Ttulo6"/>
        <w:spacing w:before="0" w:after="0"/>
        <w:ind w:left="0"/>
        <w:jc w:val="center"/>
        <w:rPr>
          <w:rFonts w:ascii="Bookman Old Style" w:hAnsi="Bookman Old Style"/>
          <w:sz w:val="24"/>
          <w:szCs w:val="24"/>
        </w:rPr>
      </w:pPr>
      <w:r w:rsidRPr="006D0576">
        <w:rPr>
          <w:rFonts w:ascii="Bookman Old Style" w:hAnsi="Bookman Old Style"/>
          <w:sz w:val="24"/>
          <w:szCs w:val="24"/>
        </w:rPr>
        <w:t>LA COMISIÓN DE REGULACIÓN DE ENERGÍA Y GAS</w:t>
      </w:r>
    </w:p>
    <w:p w:rsidR="00E01463" w:rsidRPr="006D0576" w:rsidRDefault="00E01463" w:rsidP="00E01463">
      <w:pPr>
        <w:ind w:left="0"/>
        <w:jc w:val="both"/>
        <w:rPr>
          <w:rFonts w:ascii="Bookman Old Style" w:hAnsi="Bookman Old Style" w:cs="Arial"/>
          <w:b/>
          <w:bCs/>
        </w:rPr>
      </w:pPr>
    </w:p>
    <w:p w:rsidR="00E01463" w:rsidRPr="006D0576" w:rsidRDefault="00E01463" w:rsidP="00E01463">
      <w:pPr>
        <w:ind w:left="0"/>
        <w:jc w:val="both"/>
        <w:rPr>
          <w:rFonts w:ascii="Bookman Old Style" w:hAnsi="Bookman Old Style" w:cs="Arial"/>
        </w:rPr>
      </w:pPr>
    </w:p>
    <w:p w:rsidR="00E01463" w:rsidRPr="006D0576" w:rsidRDefault="00E01463" w:rsidP="00E01463">
      <w:pPr>
        <w:tabs>
          <w:tab w:val="left" w:pos="0"/>
        </w:tabs>
        <w:ind w:left="0"/>
        <w:jc w:val="both"/>
        <w:rPr>
          <w:rFonts w:ascii="Bookman Old Style" w:hAnsi="Bookman Old Style" w:cs="Arial"/>
        </w:rPr>
      </w:pPr>
      <w:r w:rsidRPr="006D0576">
        <w:rPr>
          <w:rFonts w:ascii="Bookman Old Style" w:hAnsi="Bookman Old Style" w:cs="Arial"/>
        </w:rPr>
        <w:t>En  ejercicio de las atribuciones legales, en especial las conferidas por las Leyes 142 y 143 de 1994, y en desarrollo de los decretos 1524 y 2253 de 1994, y</w:t>
      </w:r>
    </w:p>
    <w:p w:rsidR="00E01463" w:rsidRPr="006D0576" w:rsidRDefault="00E01463" w:rsidP="00E01463">
      <w:pPr>
        <w:tabs>
          <w:tab w:val="left" w:pos="624"/>
        </w:tabs>
        <w:ind w:left="0"/>
        <w:jc w:val="both"/>
        <w:rPr>
          <w:rFonts w:ascii="Bookman Old Style" w:hAnsi="Bookman Old Style" w:cs="Arial"/>
        </w:rPr>
      </w:pPr>
    </w:p>
    <w:p w:rsidR="00E01463" w:rsidRPr="006D0576" w:rsidRDefault="00E01463" w:rsidP="00E01463">
      <w:pPr>
        <w:ind w:left="0"/>
        <w:jc w:val="both"/>
        <w:rPr>
          <w:rFonts w:ascii="Bookman Old Style" w:hAnsi="Bookman Old Style" w:cs="Arial"/>
        </w:rPr>
      </w:pPr>
    </w:p>
    <w:p w:rsidR="00E01463" w:rsidRPr="006D0576" w:rsidRDefault="00E01463" w:rsidP="00E01463">
      <w:pPr>
        <w:pStyle w:val="TableHeading"/>
        <w:suppressLineNumbers w:val="0"/>
        <w:rPr>
          <w:rFonts w:ascii="Bookman Old Style" w:hAnsi="Bookman Old Style" w:cs="Arial"/>
          <w:bCs w:val="0"/>
          <w:sz w:val="24"/>
        </w:rPr>
      </w:pPr>
      <w:r w:rsidRPr="006D0576">
        <w:rPr>
          <w:rFonts w:ascii="Bookman Old Style" w:hAnsi="Bookman Old Style" w:cs="Arial"/>
          <w:bCs w:val="0"/>
          <w:sz w:val="24"/>
        </w:rPr>
        <w:t>C O N S I D E R A N D O  Q U E:</w:t>
      </w:r>
    </w:p>
    <w:p w:rsidR="00E01463" w:rsidRDefault="00E01463" w:rsidP="00E01463">
      <w:pPr>
        <w:ind w:left="0"/>
        <w:jc w:val="both"/>
        <w:rPr>
          <w:rFonts w:ascii="Bookman Old Style" w:hAnsi="Bookman Old Style" w:cs="Arial"/>
        </w:rPr>
      </w:pPr>
    </w:p>
    <w:p w:rsidR="0006797A" w:rsidRPr="006D0576" w:rsidRDefault="0006797A" w:rsidP="00E01463">
      <w:pPr>
        <w:ind w:left="0"/>
        <w:jc w:val="both"/>
        <w:rPr>
          <w:rFonts w:ascii="Bookman Old Style" w:hAnsi="Bookman Old Style" w:cs="Arial"/>
        </w:rPr>
      </w:pPr>
    </w:p>
    <w:p w:rsidR="00663D6D" w:rsidRPr="006D0576" w:rsidRDefault="00663D6D" w:rsidP="00663D6D">
      <w:pPr>
        <w:ind w:left="0"/>
        <w:jc w:val="both"/>
        <w:rPr>
          <w:rFonts w:ascii="Bookman Old Style" w:hAnsi="Bookman Old Style" w:cs="Arial"/>
        </w:rPr>
      </w:pPr>
      <w:r w:rsidRPr="006D0576">
        <w:rPr>
          <w:rFonts w:ascii="Bookman Old Style" w:hAnsi="Bookman Old Style" w:cs="Arial"/>
        </w:rPr>
        <w:t xml:space="preserve">De acuerdo con lo previsto en el </w:t>
      </w:r>
      <w:r w:rsidR="006D0576" w:rsidRPr="006D0576">
        <w:rPr>
          <w:rFonts w:ascii="Bookman Old Style" w:hAnsi="Bookman Old Style" w:cs="Arial"/>
        </w:rPr>
        <w:t>a</w:t>
      </w:r>
      <w:r w:rsidRPr="006D0576">
        <w:rPr>
          <w:rFonts w:ascii="Bookman Old Style" w:hAnsi="Bookman Old Style" w:cs="Arial"/>
        </w:rPr>
        <w:t>rtículo 23, literal d), y 41 de la Ley 143 de 1994, es función de la Comisión de Regulación de Energía y Gas fijar las tarifas por el acceso y uso de las redes eléctricas.</w:t>
      </w:r>
    </w:p>
    <w:p w:rsidR="00663D6D" w:rsidRPr="006D0576" w:rsidRDefault="00663D6D" w:rsidP="00663D6D">
      <w:pPr>
        <w:ind w:left="0"/>
        <w:jc w:val="both"/>
        <w:rPr>
          <w:rFonts w:ascii="Bookman Old Style" w:hAnsi="Bookman Old Style" w:cs="Arial"/>
        </w:rPr>
      </w:pPr>
    </w:p>
    <w:p w:rsidR="00663D6D" w:rsidRPr="006D0576" w:rsidRDefault="00663D6D" w:rsidP="00663D6D">
      <w:pPr>
        <w:ind w:left="0"/>
        <w:jc w:val="both"/>
        <w:rPr>
          <w:rFonts w:ascii="Bookman Old Style" w:hAnsi="Bookman Old Style" w:cs="Arial"/>
        </w:rPr>
      </w:pPr>
      <w:r w:rsidRPr="006D0576">
        <w:rPr>
          <w:rFonts w:ascii="Bookman Old Style" w:hAnsi="Bookman Old Style" w:cs="Arial"/>
        </w:rPr>
        <w:t>Mediante la Resolución CREG 011 de 2009 se estableció la metodología y fórmulas tarifarias para la remuneración de la actividad de transmisión de energía eléctrica en el Sistema de Transmisión Nacional</w:t>
      </w:r>
      <w:r w:rsidR="009024CC" w:rsidRPr="006D0576">
        <w:rPr>
          <w:rFonts w:ascii="Bookman Old Style" w:hAnsi="Bookman Old Style" w:cs="Arial"/>
        </w:rPr>
        <w:t>, STN</w:t>
      </w:r>
      <w:r w:rsidRPr="006D0576">
        <w:rPr>
          <w:rFonts w:ascii="Bookman Old Style" w:hAnsi="Bookman Old Style" w:cs="Arial"/>
        </w:rPr>
        <w:t xml:space="preserve">. </w:t>
      </w:r>
    </w:p>
    <w:p w:rsidR="00663D6D" w:rsidRPr="006D0576" w:rsidRDefault="00663D6D" w:rsidP="00663D6D">
      <w:pPr>
        <w:ind w:left="0"/>
        <w:jc w:val="both"/>
        <w:rPr>
          <w:rFonts w:ascii="Bookman Old Style" w:hAnsi="Bookman Old Style" w:cs="Arial"/>
        </w:rPr>
      </w:pPr>
    </w:p>
    <w:p w:rsidR="009024CC" w:rsidRPr="006D0576" w:rsidRDefault="00663D6D" w:rsidP="00663D6D">
      <w:pPr>
        <w:ind w:left="0"/>
        <w:jc w:val="both"/>
        <w:rPr>
          <w:rFonts w:ascii="Bookman Old Style" w:hAnsi="Bookman Old Style" w:cs="Arial"/>
        </w:rPr>
      </w:pPr>
      <w:r w:rsidRPr="006D0576">
        <w:rPr>
          <w:rFonts w:ascii="Bookman Old Style" w:hAnsi="Bookman Old Style" w:cs="Arial"/>
        </w:rPr>
        <w:t xml:space="preserve">Mediante la Resolución CREG 107 de 2010 se aprobó la base de activos y los parámetros necesarios para determinar la remuneración de </w:t>
      </w:r>
      <w:proofErr w:type="spellStart"/>
      <w:r w:rsidRPr="006D0576">
        <w:rPr>
          <w:rFonts w:ascii="Bookman Old Style" w:hAnsi="Bookman Old Style" w:cs="Arial"/>
        </w:rPr>
        <w:t>Transelca</w:t>
      </w:r>
      <w:proofErr w:type="spellEnd"/>
      <w:r w:rsidRPr="006D0576">
        <w:rPr>
          <w:rFonts w:ascii="Bookman Old Style" w:hAnsi="Bookman Old Style" w:cs="Arial"/>
        </w:rPr>
        <w:t xml:space="preserve"> S.A. E.S.P. en el </w:t>
      </w:r>
      <w:r w:rsidR="009024CC" w:rsidRPr="006D0576">
        <w:rPr>
          <w:rFonts w:ascii="Bookman Old Style" w:hAnsi="Bookman Old Style" w:cs="Arial"/>
        </w:rPr>
        <w:t>STN. Contra dicha resolución se interpuso recurso de reposición, el cual fue resuelto mediante la Resolución CREG 061 de 2011.</w:t>
      </w:r>
    </w:p>
    <w:p w:rsidR="009024CC" w:rsidRPr="006D0576" w:rsidRDefault="009024CC" w:rsidP="00663D6D">
      <w:pPr>
        <w:ind w:left="0"/>
        <w:jc w:val="both"/>
        <w:rPr>
          <w:rFonts w:ascii="Bookman Old Style" w:hAnsi="Bookman Old Style" w:cs="Arial"/>
        </w:rPr>
      </w:pPr>
    </w:p>
    <w:p w:rsidR="009024CC" w:rsidRPr="006D0576" w:rsidRDefault="009024CC" w:rsidP="00663D6D">
      <w:pPr>
        <w:ind w:left="0"/>
        <w:jc w:val="both"/>
        <w:rPr>
          <w:rFonts w:ascii="Bookman Old Style" w:hAnsi="Bookman Old Style" w:cs="Arial"/>
        </w:rPr>
      </w:pPr>
      <w:r w:rsidRPr="006D0576">
        <w:rPr>
          <w:rFonts w:ascii="Bookman Old Style" w:hAnsi="Bookman Old Style" w:cs="Arial"/>
        </w:rPr>
        <w:t xml:space="preserve">Mediante la Resolución CREG 105 de 2011 se actualizó </w:t>
      </w:r>
      <w:r w:rsidR="008F4938" w:rsidRPr="006D0576">
        <w:rPr>
          <w:rFonts w:ascii="Bookman Old Style" w:hAnsi="Bookman Old Style" w:cs="Arial"/>
        </w:rPr>
        <w:t xml:space="preserve">nuevamente </w:t>
      </w:r>
      <w:r w:rsidRPr="006D0576">
        <w:rPr>
          <w:rFonts w:ascii="Bookman Old Style" w:hAnsi="Bookman Old Style" w:cs="Arial"/>
        </w:rPr>
        <w:t xml:space="preserve">la base de activos aprobada a </w:t>
      </w:r>
      <w:proofErr w:type="spellStart"/>
      <w:r w:rsidR="00EB02EE" w:rsidRPr="006D0576">
        <w:rPr>
          <w:rFonts w:ascii="Bookman Old Style" w:hAnsi="Bookman Old Style" w:cs="Arial"/>
        </w:rPr>
        <w:t>Transelca</w:t>
      </w:r>
      <w:proofErr w:type="spellEnd"/>
      <w:r w:rsidR="00EB02EE" w:rsidRPr="006D0576">
        <w:rPr>
          <w:rFonts w:ascii="Bookman Old Style" w:hAnsi="Bookman Old Style" w:cs="Arial"/>
        </w:rPr>
        <w:t xml:space="preserve"> </w:t>
      </w:r>
      <w:r w:rsidRPr="006D0576">
        <w:rPr>
          <w:rFonts w:ascii="Bookman Old Style" w:hAnsi="Bookman Old Style" w:cs="Arial"/>
        </w:rPr>
        <w:t>S.A. E.S.P. debido al cambio de configuración en la subestación Santa Marta y a la inclusión del Sistema de Información Geográfico, GIS.</w:t>
      </w:r>
    </w:p>
    <w:p w:rsidR="009024CC" w:rsidRPr="006D0576" w:rsidRDefault="009024CC" w:rsidP="00663D6D">
      <w:pPr>
        <w:ind w:left="0"/>
        <w:jc w:val="both"/>
        <w:rPr>
          <w:rFonts w:ascii="Bookman Old Style" w:hAnsi="Bookman Old Style" w:cs="Arial"/>
        </w:rPr>
      </w:pPr>
    </w:p>
    <w:p w:rsidR="009024CC" w:rsidRPr="006D0576" w:rsidRDefault="0089371F" w:rsidP="00663D6D">
      <w:pPr>
        <w:ind w:left="0"/>
        <w:jc w:val="both"/>
        <w:rPr>
          <w:rFonts w:ascii="Bookman Old Style" w:hAnsi="Bookman Old Style" w:cs="Arial"/>
        </w:rPr>
      </w:pPr>
      <w:r w:rsidRPr="006D0576">
        <w:rPr>
          <w:rFonts w:ascii="Bookman Old Style" w:hAnsi="Bookman Old Style" w:cs="Arial"/>
        </w:rPr>
        <w:t xml:space="preserve">De acuerdo con lo establecido en la </w:t>
      </w:r>
      <w:r w:rsidRPr="006D0576">
        <w:rPr>
          <w:rFonts w:ascii="Bookman Old Style" w:hAnsi="Bookman Old Style" w:cs="Arial"/>
          <w:spacing w:val="-3"/>
        </w:rPr>
        <w:t>Resolución CREG 011 de 2009</w:t>
      </w:r>
      <w:r w:rsidRPr="006D0576">
        <w:rPr>
          <w:rFonts w:ascii="Bookman Old Style" w:hAnsi="Bookman Old Style" w:cs="Arial"/>
        </w:rPr>
        <w:t>, “</w:t>
      </w:r>
      <w:r w:rsidR="006370FA" w:rsidRPr="006D0576">
        <w:rPr>
          <w:rFonts w:ascii="Bookman Old Style" w:hAnsi="Bookman Old Style" w:cs="Arial"/>
          <w:i/>
        </w:rPr>
        <w:t>l</w:t>
      </w:r>
      <w:r w:rsidRPr="006D0576">
        <w:rPr>
          <w:rFonts w:ascii="Bookman Old Style" w:hAnsi="Bookman Old Style" w:cs="Arial"/>
          <w:i/>
        </w:rPr>
        <w:t xml:space="preserve">as Bahías de Transformador con tensión mayor o igual a 220 kV, que utiliza un OR para conectarse al STN en las subestaciones con configuración de anillo o de interruptor y medio, se remunerarán a través de cargos por uso de la actividad </w:t>
      </w:r>
      <w:r w:rsidRPr="006D0576">
        <w:rPr>
          <w:rFonts w:ascii="Bookman Old Style" w:hAnsi="Bookman Old Style" w:cs="Arial"/>
          <w:i/>
        </w:rPr>
        <w:lastRenderedPageBreak/>
        <w:t>de transmisión, una vez empiecen a aplicarse a dicho OR los costos y cargos aprobados con la metodología de la Resolución CREG 097 de 2008.</w:t>
      </w:r>
      <w:r w:rsidRPr="006D0576">
        <w:rPr>
          <w:rFonts w:ascii="Bookman Old Style" w:hAnsi="Bookman Old Style" w:cs="Arial"/>
        </w:rPr>
        <w:t>”</w:t>
      </w:r>
    </w:p>
    <w:p w:rsidR="0089371F" w:rsidRPr="006D0576" w:rsidRDefault="0089371F" w:rsidP="00663D6D">
      <w:pPr>
        <w:ind w:left="0"/>
        <w:jc w:val="both"/>
        <w:rPr>
          <w:rFonts w:ascii="Bookman Old Style" w:hAnsi="Bookman Old Style" w:cs="Arial"/>
        </w:rPr>
      </w:pPr>
    </w:p>
    <w:p w:rsidR="000C484F" w:rsidRDefault="000C484F" w:rsidP="000C484F">
      <w:pPr>
        <w:ind w:left="0"/>
        <w:jc w:val="both"/>
        <w:rPr>
          <w:rFonts w:ascii="Bookman Old Style" w:hAnsi="Bookman Old Style" w:cs="Arial"/>
        </w:rPr>
      </w:pPr>
      <w:r w:rsidRPr="0087525B">
        <w:rPr>
          <w:rFonts w:ascii="Bookman Old Style" w:hAnsi="Bookman Old Style" w:cs="Arial"/>
        </w:rPr>
        <w:t>La Resolución CREG 147 de 2011, que modifica el artículo 6 de la Resolución CREG 022 de 2001, estableció que los montajes de nuevas bahías de transformador con tensión igual o superior a 220 kV que utilice un Operador de Red para conectarse al STN en subestaciones con configuración de anillo o de interruptor y medio, serán incluidos dentro del Plan de Expansión de Referencia y la ejecución de tal ampliación podrá ser desarrollada por el TN que representa esos activos.</w:t>
      </w:r>
    </w:p>
    <w:p w:rsidR="000C484F" w:rsidRPr="006D0576" w:rsidRDefault="000C484F" w:rsidP="000C484F">
      <w:pPr>
        <w:ind w:left="0"/>
        <w:jc w:val="both"/>
        <w:rPr>
          <w:rFonts w:ascii="Bookman Old Style" w:hAnsi="Bookman Old Style" w:cs="Arial"/>
        </w:rPr>
      </w:pPr>
    </w:p>
    <w:p w:rsidR="00362797" w:rsidRPr="006D0576" w:rsidRDefault="00362797" w:rsidP="00663D6D">
      <w:pPr>
        <w:ind w:left="0"/>
        <w:jc w:val="both"/>
        <w:rPr>
          <w:rFonts w:ascii="Bookman Old Style" w:hAnsi="Bookman Old Style" w:cs="Arial"/>
        </w:rPr>
      </w:pPr>
      <w:r w:rsidRPr="006D0576">
        <w:rPr>
          <w:rFonts w:ascii="Bookman Old Style" w:hAnsi="Bookman Old Style" w:cs="Arial"/>
        </w:rPr>
        <w:t xml:space="preserve">De acuerdo con el </w:t>
      </w:r>
      <w:r w:rsidR="006D0576" w:rsidRPr="006D0576">
        <w:rPr>
          <w:rFonts w:ascii="Bookman Old Style" w:hAnsi="Bookman Old Style" w:cs="Arial"/>
        </w:rPr>
        <w:t>a</w:t>
      </w:r>
      <w:r w:rsidRPr="006D0576">
        <w:rPr>
          <w:rFonts w:ascii="Bookman Old Style" w:hAnsi="Bookman Old Style" w:cs="Arial"/>
        </w:rPr>
        <w:t>rtículo 7 de la Resolución CREG 011 de 2009</w:t>
      </w:r>
      <w:r w:rsidR="006D0576" w:rsidRPr="006D0576">
        <w:rPr>
          <w:rFonts w:ascii="Bookman Old Style" w:hAnsi="Bookman Old Style" w:cs="Arial"/>
        </w:rPr>
        <w:t>,</w:t>
      </w:r>
      <w:r w:rsidRPr="006D0576">
        <w:rPr>
          <w:rFonts w:ascii="Bookman Old Style" w:hAnsi="Bookman Old Style" w:cs="Arial"/>
        </w:rPr>
        <w:t xml:space="preserve"> el Ingreso Anual del Transmisor, IAT, “(…) </w:t>
      </w:r>
      <w:r w:rsidRPr="006D0576">
        <w:rPr>
          <w:rFonts w:ascii="Bookman Old Style" w:hAnsi="Bookman Old Style" w:cs="Arial"/>
          <w:i/>
        </w:rPr>
        <w:t>solo se ajustará si la CREG llegare a modificar los valores de la Unidades Constructivas, cuando se modifique el valor del AOM reconocido o cuando, en cumplimiento de la regulación vigente, se excluyan Activos de Uso en operación, ingresen nuevos Activos de Uso o se remplacen las Unidades Constructivas instaladas por otras de clasificación diferente de acuerdo con lo establecido en el Artículo 6 de la presente Resolución.</w:t>
      </w:r>
      <w:r w:rsidRPr="006D0576">
        <w:rPr>
          <w:rFonts w:ascii="Bookman Old Style" w:hAnsi="Bookman Old Style" w:cs="Arial"/>
        </w:rPr>
        <w:t>”</w:t>
      </w:r>
    </w:p>
    <w:p w:rsidR="00362797" w:rsidRPr="006D0576" w:rsidRDefault="00362797" w:rsidP="00663D6D">
      <w:pPr>
        <w:ind w:left="0"/>
        <w:jc w:val="both"/>
        <w:rPr>
          <w:rFonts w:ascii="Bookman Old Style" w:hAnsi="Bookman Old Style" w:cs="Arial"/>
        </w:rPr>
      </w:pPr>
    </w:p>
    <w:p w:rsidR="004D578C" w:rsidRPr="006D0576" w:rsidRDefault="00EB02EE" w:rsidP="00663D6D">
      <w:pPr>
        <w:ind w:left="0"/>
        <w:jc w:val="both"/>
        <w:rPr>
          <w:rFonts w:ascii="Bookman Old Style" w:hAnsi="Bookman Old Style" w:cs="Arial"/>
        </w:rPr>
      </w:pPr>
      <w:proofErr w:type="spellStart"/>
      <w:r w:rsidRPr="006D0576">
        <w:rPr>
          <w:rFonts w:ascii="Bookman Old Style" w:hAnsi="Bookman Old Style" w:cs="Arial"/>
        </w:rPr>
        <w:t>Transelca</w:t>
      </w:r>
      <w:proofErr w:type="spellEnd"/>
      <w:r w:rsidR="004D578C" w:rsidRPr="006D0576">
        <w:rPr>
          <w:rFonts w:ascii="Bookman Old Style" w:hAnsi="Bookman Old Style" w:cs="Arial"/>
        </w:rPr>
        <w:t xml:space="preserve"> S.A. E.S.P., en comunicación con radicado CREG E-2012-004798</w:t>
      </w:r>
      <w:r w:rsidR="006D0576" w:rsidRPr="006D0576">
        <w:rPr>
          <w:rFonts w:ascii="Bookman Old Style" w:hAnsi="Bookman Old Style" w:cs="Arial"/>
        </w:rPr>
        <w:t>,</w:t>
      </w:r>
      <w:r w:rsidR="004D578C" w:rsidRPr="006D0576">
        <w:rPr>
          <w:rFonts w:ascii="Bookman Old Style" w:hAnsi="Bookman Old Style" w:cs="Arial"/>
        </w:rPr>
        <w:t xml:space="preserve"> solicitó a la Comisión la actualización de la base de activos aprobada a la empresa</w:t>
      </w:r>
      <w:r w:rsidR="00362797" w:rsidRPr="006D0576">
        <w:rPr>
          <w:rFonts w:ascii="Bookman Old Style" w:hAnsi="Bookman Old Style" w:cs="Arial"/>
        </w:rPr>
        <w:t xml:space="preserve"> y el correspondiente</w:t>
      </w:r>
      <w:r w:rsidR="006D0576" w:rsidRPr="006D0576">
        <w:rPr>
          <w:rFonts w:ascii="Bookman Old Style" w:hAnsi="Bookman Old Style" w:cs="Arial"/>
        </w:rPr>
        <w:t xml:space="preserve"> ajuste del IAT</w:t>
      </w:r>
      <w:r w:rsidR="004D578C" w:rsidRPr="006D0576">
        <w:rPr>
          <w:rFonts w:ascii="Bookman Old Style" w:hAnsi="Bookman Old Style" w:cs="Arial"/>
        </w:rPr>
        <w:t xml:space="preserve">, con el objeto de incluir la bahía de transformación a 220 kV </w:t>
      </w:r>
      <w:r w:rsidR="00945164" w:rsidRPr="006D0576">
        <w:rPr>
          <w:rFonts w:ascii="Bookman Old Style" w:hAnsi="Bookman Old Style" w:cs="Arial"/>
        </w:rPr>
        <w:t xml:space="preserve">en configuración en anillo, </w:t>
      </w:r>
      <w:r w:rsidR="004D578C" w:rsidRPr="006D0576">
        <w:rPr>
          <w:rFonts w:ascii="Bookman Old Style" w:hAnsi="Bookman Old Style" w:cs="Arial"/>
        </w:rPr>
        <w:t xml:space="preserve">asociada a la ampliación de transformación </w:t>
      </w:r>
      <w:r w:rsidR="006D0576" w:rsidRPr="006D0576">
        <w:rPr>
          <w:rFonts w:ascii="Bookman Old Style" w:hAnsi="Bookman Old Style" w:cs="Arial"/>
        </w:rPr>
        <w:t>en</w:t>
      </w:r>
      <w:r w:rsidR="004D578C" w:rsidRPr="006D0576">
        <w:rPr>
          <w:rFonts w:ascii="Bookman Old Style" w:hAnsi="Bookman Old Style" w:cs="Arial"/>
        </w:rPr>
        <w:t xml:space="preserve"> la subestación Fundación.</w:t>
      </w:r>
    </w:p>
    <w:p w:rsidR="00945164" w:rsidRPr="006D0576" w:rsidRDefault="00945164" w:rsidP="00663D6D">
      <w:pPr>
        <w:ind w:left="0"/>
        <w:jc w:val="both"/>
        <w:rPr>
          <w:rFonts w:ascii="Bookman Old Style" w:hAnsi="Bookman Old Style" w:cs="Arial"/>
        </w:rPr>
      </w:pPr>
    </w:p>
    <w:p w:rsidR="00945164" w:rsidRDefault="00945164" w:rsidP="00663D6D">
      <w:pPr>
        <w:ind w:left="0"/>
        <w:jc w:val="both"/>
        <w:rPr>
          <w:rFonts w:ascii="Bookman Old Style" w:hAnsi="Bookman Old Style" w:cs="Arial"/>
        </w:rPr>
      </w:pPr>
      <w:r w:rsidRPr="006D0576">
        <w:rPr>
          <w:rFonts w:ascii="Bookman Old Style" w:hAnsi="Bookman Old Style" w:cs="Arial"/>
        </w:rPr>
        <w:t>En la misma comunicación</w:t>
      </w:r>
      <w:r w:rsidR="00362797" w:rsidRPr="006D0576">
        <w:rPr>
          <w:rFonts w:ascii="Bookman Old Style" w:hAnsi="Bookman Old Style" w:cs="Arial"/>
        </w:rPr>
        <w:t>,</w:t>
      </w:r>
      <w:r w:rsidRPr="006D0576">
        <w:rPr>
          <w:rFonts w:ascii="Bookman Old Style" w:hAnsi="Bookman Old Style" w:cs="Arial"/>
        </w:rPr>
        <w:t xml:space="preserve"> </w:t>
      </w:r>
      <w:proofErr w:type="spellStart"/>
      <w:r w:rsidR="00EB02EE" w:rsidRPr="006D0576">
        <w:rPr>
          <w:rFonts w:ascii="Bookman Old Style" w:hAnsi="Bookman Old Style" w:cs="Arial"/>
        </w:rPr>
        <w:t>Transelca</w:t>
      </w:r>
      <w:proofErr w:type="spellEnd"/>
      <w:r w:rsidRPr="006D0576">
        <w:rPr>
          <w:rFonts w:ascii="Bookman Old Style" w:hAnsi="Bookman Old Style" w:cs="Arial"/>
        </w:rPr>
        <w:t xml:space="preserve"> S.A. E.S.P. informa que el proyecto de ampliación de transformación de la subestación Fundación, incluyendo la bahía de transformación a 220 kV en configuración anillo, cuenta con el respect</w:t>
      </w:r>
      <w:r w:rsidR="00D26E61">
        <w:rPr>
          <w:rFonts w:ascii="Bookman Old Style" w:hAnsi="Bookman Old Style" w:cs="Arial"/>
        </w:rPr>
        <w:t>ivo</w:t>
      </w:r>
      <w:r w:rsidRPr="006D0576">
        <w:rPr>
          <w:rFonts w:ascii="Bookman Old Style" w:hAnsi="Bookman Old Style" w:cs="Arial"/>
        </w:rPr>
        <w:t xml:space="preserve"> concepto favorable por parte de la Unidad de Plan</w:t>
      </w:r>
      <w:r w:rsidR="000C484F">
        <w:rPr>
          <w:rFonts w:ascii="Bookman Old Style" w:hAnsi="Bookman Old Style" w:cs="Arial"/>
        </w:rPr>
        <w:t>eación Minero Energética, UPME</w:t>
      </w:r>
      <w:r w:rsidRPr="006D0576">
        <w:rPr>
          <w:rFonts w:ascii="Bookman Old Style" w:hAnsi="Bookman Old Style" w:cs="Arial"/>
        </w:rPr>
        <w:t>.</w:t>
      </w:r>
      <w:r w:rsidR="000C484F">
        <w:rPr>
          <w:rFonts w:ascii="Bookman Old Style" w:hAnsi="Bookman Old Style" w:cs="Arial"/>
        </w:rPr>
        <w:t xml:space="preserve"> </w:t>
      </w:r>
      <w:r w:rsidR="00E51FF2" w:rsidRPr="0087525B">
        <w:rPr>
          <w:rFonts w:ascii="Bookman Old Style" w:hAnsi="Bookman Old Style" w:cs="Arial"/>
        </w:rPr>
        <w:t>Por su parte</w:t>
      </w:r>
      <w:r w:rsidR="0087525B" w:rsidRPr="0087525B">
        <w:rPr>
          <w:rFonts w:ascii="Bookman Old Style" w:hAnsi="Bookman Old Style" w:cs="Arial"/>
        </w:rPr>
        <w:t>,</w:t>
      </w:r>
      <w:r w:rsidR="00E51FF2" w:rsidRPr="0087525B">
        <w:rPr>
          <w:rFonts w:ascii="Bookman Old Style" w:hAnsi="Bookman Old Style" w:cs="Arial"/>
        </w:rPr>
        <w:t xml:space="preserve"> la Comisión de Regulación de Energía y Gas </w:t>
      </w:r>
      <w:r w:rsidR="0087525B" w:rsidRPr="0087525B">
        <w:rPr>
          <w:rFonts w:ascii="Bookman Old Style" w:hAnsi="Bookman Old Style" w:cs="Arial"/>
        </w:rPr>
        <w:t>verificó</w:t>
      </w:r>
      <w:r w:rsidR="00A2590E" w:rsidRPr="0087525B">
        <w:rPr>
          <w:rFonts w:ascii="Bookman Old Style" w:hAnsi="Bookman Old Style" w:cs="Arial"/>
        </w:rPr>
        <w:t xml:space="preserve"> que dicha </w:t>
      </w:r>
      <w:r w:rsidR="000C484F" w:rsidRPr="0087525B">
        <w:rPr>
          <w:rFonts w:ascii="Bookman Old Style" w:hAnsi="Bookman Old Style" w:cs="Arial"/>
        </w:rPr>
        <w:t>ampliación se encuentra recomendada en el plan de expansión de referencia 2010-2024.</w:t>
      </w:r>
    </w:p>
    <w:p w:rsidR="001C1A26" w:rsidRDefault="001C1A26" w:rsidP="00663D6D">
      <w:pPr>
        <w:ind w:left="0"/>
        <w:jc w:val="both"/>
        <w:rPr>
          <w:rFonts w:ascii="Bookman Old Style" w:hAnsi="Bookman Old Style" w:cs="Arial"/>
        </w:rPr>
      </w:pPr>
    </w:p>
    <w:p w:rsidR="00362797" w:rsidRPr="006D0576" w:rsidRDefault="00362797" w:rsidP="00362797">
      <w:pPr>
        <w:ind w:left="0"/>
        <w:jc w:val="both"/>
        <w:rPr>
          <w:rFonts w:ascii="Bookman Old Style" w:hAnsi="Bookman Old Style" w:cs="Arial"/>
        </w:rPr>
      </w:pPr>
      <w:r w:rsidRPr="006D0576">
        <w:rPr>
          <w:rFonts w:ascii="Bookman Old Style" w:hAnsi="Bookman Old Style" w:cs="Arial"/>
        </w:rPr>
        <w:t xml:space="preserve">Mediante auto del 20 de junio de 2012, la Comisión dio inicio a la actuación administrativa tendiente a actualizar la base de activos de </w:t>
      </w:r>
      <w:proofErr w:type="spellStart"/>
      <w:r w:rsidRPr="006D0576">
        <w:rPr>
          <w:rFonts w:ascii="Bookman Old Style" w:hAnsi="Bookman Old Style" w:cs="Arial"/>
        </w:rPr>
        <w:t>Transelca</w:t>
      </w:r>
      <w:proofErr w:type="spellEnd"/>
      <w:r w:rsidRPr="006D0576">
        <w:rPr>
          <w:rFonts w:ascii="Bookman Old Style" w:hAnsi="Bookman Old Style" w:cs="Arial"/>
        </w:rPr>
        <w:t xml:space="preserve"> S.A. E.S.P., y ordenó la apertura del respectivo expediente que fue distinguido con el número 2012-0064. </w:t>
      </w:r>
    </w:p>
    <w:p w:rsidR="00362797" w:rsidRPr="006D0576" w:rsidRDefault="00362797" w:rsidP="00362797">
      <w:pPr>
        <w:ind w:left="0"/>
        <w:jc w:val="both"/>
        <w:rPr>
          <w:rFonts w:ascii="Bookman Old Style" w:hAnsi="Bookman Old Style" w:cs="Arial"/>
        </w:rPr>
      </w:pPr>
    </w:p>
    <w:p w:rsidR="004D578C" w:rsidRPr="006D0576" w:rsidRDefault="00362797" w:rsidP="00362797">
      <w:pPr>
        <w:ind w:left="0"/>
        <w:jc w:val="both"/>
        <w:rPr>
          <w:rFonts w:ascii="Bookman Old Style" w:hAnsi="Bookman Old Style" w:cs="Arial"/>
        </w:rPr>
      </w:pPr>
      <w:r w:rsidRPr="006D0576">
        <w:rPr>
          <w:rFonts w:ascii="Bookman Old Style" w:hAnsi="Bookman Old Style" w:cs="Arial"/>
        </w:rPr>
        <w:t xml:space="preserve">Con la comunicación CREG S-2012-002506 la CREG remitió al Transmisor un resumen de la solicitud para que realizara una publicación </w:t>
      </w:r>
      <w:r w:rsidR="008F4938" w:rsidRPr="006D0576">
        <w:rPr>
          <w:rFonts w:ascii="Bookman Old Style" w:hAnsi="Bookman Old Style" w:cs="Arial"/>
        </w:rPr>
        <w:t xml:space="preserve">en un diario de amplia circulación </w:t>
      </w:r>
      <w:r w:rsidRPr="006D0576">
        <w:rPr>
          <w:rFonts w:ascii="Bookman Old Style" w:hAnsi="Bookman Old Style" w:cs="Arial"/>
        </w:rPr>
        <w:t xml:space="preserve">con el fin de que los terceros interesados pudieran intervenir en la actuación administrativa. La publicación fue hecha en el diario </w:t>
      </w:r>
      <w:r w:rsidRPr="006D0576">
        <w:rPr>
          <w:rFonts w:ascii="Bookman Old Style" w:hAnsi="Bookman Old Style" w:cs="Arial"/>
          <w:i/>
        </w:rPr>
        <w:t>El Tiempo</w:t>
      </w:r>
      <w:r w:rsidRPr="006D0576">
        <w:rPr>
          <w:rFonts w:ascii="Bookman Old Style" w:hAnsi="Bookman Old Style" w:cs="Arial"/>
        </w:rPr>
        <w:t>, con fecha de publicación 26 de junio de 2011, según copia remitida a la Comisión</w:t>
      </w:r>
      <w:r w:rsidR="008F4938" w:rsidRPr="006D0576">
        <w:rPr>
          <w:rFonts w:ascii="Bookman Old Style" w:hAnsi="Bookman Old Style" w:cs="Arial"/>
        </w:rPr>
        <w:t>,</w:t>
      </w:r>
      <w:r w:rsidRPr="006D0576">
        <w:rPr>
          <w:rFonts w:ascii="Bookman Old Style" w:hAnsi="Bookman Old Style" w:cs="Arial"/>
        </w:rPr>
        <w:t xml:space="preserve"> mediante oficio con radicado CREG E-2012-006001.</w:t>
      </w:r>
    </w:p>
    <w:p w:rsidR="00362797" w:rsidRPr="006D0576" w:rsidRDefault="00362797" w:rsidP="00362797">
      <w:pPr>
        <w:ind w:left="0"/>
        <w:jc w:val="both"/>
        <w:rPr>
          <w:rFonts w:ascii="Bookman Old Style" w:hAnsi="Bookman Old Style" w:cs="Arial"/>
        </w:rPr>
      </w:pPr>
    </w:p>
    <w:p w:rsidR="00362797" w:rsidRPr="006D0576" w:rsidRDefault="00362797" w:rsidP="00362797">
      <w:pPr>
        <w:ind w:left="0"/>
        <w:jc w:val="both"/>
        <w:rPr>
          <w:rFonts w:ascii="Bookman Old Style" w:hAnsi="Bookman Old Style" w:cs="Arial"/>
        </w:rPr>
      </w:pPr>
      <w:r w:rsidRPr="006D0576">
        <w:rPr>
          <w:rFonts w:ascii="Bookman Old Style" w:hAnsi="Bookman Old Style" w:cs="Arial"/>
        </w:rPr>
        <w:t xml:space="preserve">La entrada en operación de la ampliación de transformación 220/110 kV – 100 MVA de la subestación Fundación, la cual incluye la bahía de transformación a 220 kV en configuración anillo, fue declarada a partir del 4 de agosto de 2012, tal como lo informa </w:t>
      </w:r>
      <w:proofErr w:type="spellStart"/>
      <w:r w:rsidR="00EB02EE" w:rsidRPr="006D0576">
        <w:rPr>
          <w:rFonts w:ascii="Bookman Old Style" w:hAnsi="Bookman Old Style" w:cs="Arial"/>
        </w:rPr>
        <w:t>Transelca</w:t>
      </w:r>
      <w:proofErr w:type="spellEnd"/>
      <w:r w:rsidRPr="006D0576">
        <w:rPr>
          <w:rFonts w:ascii="Bookman Old Style" w:hAnsi="Bookman Old Style" w:cs="Arial"/>
        </w:rPr>
        <w:t xml:space="preserve"> S.A. E.S.P. mediante comunicación con radicado CREG E-2012-007555.</w:t>
      </w:r>
    </w:p>
    <w:p w:rsidR="00362797" w:rsidRPr="006D0576" w:rsidRDefault="00362797" w:rsidP="00362797">
      <w:pPr>
        <w:ind w:left="0"/>
        <w:jc w:val="both"/>
        <w:rPr>
          <w:rFonts w:ascii="Bookman Old Style" w:hAnsi="Bookman Old Style" w:cs="Arial"/>
        </w:rPr>
      </w:pPr>
    </w:p>
    <w:p w:rsidR="00752D2E" w:rsidRDefault="00752D2E" w:rsidP="00362797">
      <w:pPr>
        <w:ind w:left="0"/>
        <w:jc w:val="both"/>
        <w:rPr>
          <w:rFonts w:ascii="Bookman Old Style" w:hAnsi="Bookman Old Style" w:cs="Arial"/>
        </w:rPr>
      </w:pPr>
    </w:p>
    <w:p w:rsidR="00075623" w:rsidRPr="006D0576" w:rsidRDefault="00075623" w:rsidP="00362797">
      <w:pPr>
        <w:ind w:left="0"/>
        <w:jc w:val="both"/>
        <w:rPr>
          <w:rFonts w:ascii="Bookman Old Style" w:hAnsi="Bookman Old Style" w:cs="Arial"/>
        </w:rPr>
      </w:pPr>
      <w:r w:rsidRPr="006D0576">
        <w:rPr>
          <w:rFonts w:ascii="Bookman Old Style" w:hAnsi="Bookman Old Style" w:cs="Arial"/>
        </w:rPr>
        <w:t xml:space="preserve">Con base en la solicitud </w:t>
      </w:r>
      <w:r w:rsidR="006D0576">
        <w:rPr>
          <w:rFonts w:ascii="Bookman Old Style" w:hAnsi="Bookman Old Style" w:cs="Arial"/>
        </w:rPr>
        <w:t>present</w:t>
      </w:r>
      <w:r w:rsidRPr="006D0576">
        <w:rPr>
          <w:rFonts w:ascii="Bookman Old Style" w:hAnsi="Bookman Old Style" w:cs="Arial"/>
        </w:rPr>
        <w:t xml:space="preserve">ada por </w:t>
      </w:r>
      <w:proofErr w:type="spellStart"/>
      <w:r w:rsidR="00EB02EE" w:rsidRPr="006D0576">
        <w:rPr>
          <w:rFonts w:ascii="Bookman Old Style" w:hAnsi="Bookman Old Style" w:cs="Arial"/>
        </w:rPr>
        <w:t>Transelca</w:t>
      </w:r>
      <w:proofErr w:type="spellEnd"/>
      <w:r w:rsidRPr="006D0576">
        <w:rPr>
          <w:rFonts w:ascii="Bookman Old Style" w:hAnsi="Bookman Old Style" w:cs="Arial"/>
        </w:rPr>
        <w:t xml:space="preserve"> S.A. E.S.P., los análisis efectuados por la Comisión y la aplicación de la metodología contenida en la Resolución CREG 011 de 2009, se realizaron los ajustes pertinentes para la inclusión de </w:t>
      </w:r>
      <w:r w:rsidR="00BC7EFF" w:rsidRPr="006D0576">
        <w:rPr>
          <w:rFonts w:ascii="Bookman Old Style" w:hAnsi="Bookman Old Style" w:cs="Arial"/>
        </w:rPr>
        <w:t xml:space="preserve">la unidad constructiva SE214 en la base de activos de </w:t>
      </w:r>
      <w:proofErr w:type="spellStart"/>
      <w:r w:rsidR="00BC7EFF" w:rsidRPr="006D0576">
        <w:rPr>
          <w:rFonts w:ascii="Bookman Old Style" w:hAnsi="Bookman Old Style" w:cs="Arial"/>
        </w:rPr>
        <w:t>Transelca</w:t>
      </w:r>
      <w:proofErr w:type="spellEnd"/>
      <w:r w:rsidR="00BC7EFF" w:rsidRPr="006D0576">
        <w:rPr>
          <w:rFonts w:ascii="Bookman Old Style" w:hAnsi="Bookman Old Style" w:cs="Arial"/>
        </w:rPr>
        <w:t xml:space="preserve"> S.A. E.S.P., correspondiente a </w:t>
      </w:r>
      <w:r w:rsidRPr="006D0576">
        <w:rPr>
          <w:rFonts w:ascii="Bookman Old Style" w:hAnsi="Bookman Old Style" w:cs="Arial"/>
        </w:rPr>
        <w:t xml:space="preserve">la bahía de transformación a 220 kV </w:t>
      </w:r>
      <w:r w:rsidR="00892E8A" w:rsidRPr="006D0576">
        <w:rPr>
          <w:rFonts w:ascii="Bookman Old Style" w:hAnsi="Bookman Old Style" w:cs="Arial"/>
        </w:rPr>
        <w:t>de</w:t>
      </w:r>
      <w:r w:rsidRPr="006D0576">
        <w:rPr>
          <w:rFonts w:ascii="Bookman Old Style" w:hAnsi="Bookman Old Style" w:cs="Arial"/>
        </w:rPr>
        <w:t xml:space="preserve"> configuración anillo</w:t>
      </w:r>
      <w:r w:rsidR="00BC7EFF" w:rsidRPr="006D0576">
        <w:rPr>
          <w:rFonts w:ascii="Bookman Old Style" w:hAnsi="Bookman Old Style" w:cs="Arial"/>
        </w:rPr>
        <w:t xml:space="preserve"> </w:t>
      </w:r>
      <w:r w:rsidR="00892E8A" w:rsidRPr="006D0576">
        <w:rPr>
          <w:rFonts w:ascii="Bookman Old Style" w:hAnsi="Bookman Old Style" w:cs="Arial"/>
        </w:rPr>
        <w:t>en</w:t>
      </w:r>
      <w:r w:rsidR="00BC7EFF" w:rsidRPr="006D0576">
        <w:rPr>
          <w:rFonts w:ascii="Bookman Old Style" w:hAnsi="Bookman Old Style" w:cs="Arial"/>
        </w:rPr>
        <w:t xml:space="preserve"> la</w:t>
      </w:r>
      <w:r w:rsidRPr="006D0576">
        <w:rPr>
          <w:rFonts w:ascii="Bookman Old Style" w:hAnsi="Bookman Old Style" w:cs="Arial"/>
        </w:rPr>
        <w:t xml:space="preserve"> subestación Fundación</w:t>
      </w:r>
      <w:r w:rsidR="00892E8A" w:rsidRPr="006D0576">
        <w:rPr>
          <w:rFonts w:ascii="Bookman Old Style" w:hAnsi="Bookman Old Style" w:cs="Arial"/>
        </w:rPr>
        <w:t>.</w:t>
      </w:r>
    </w:p>
    <w:p w:rsidR="00362797" w:rsidRPr="006D0576" w:rsidRDefault="00362797" w:rsidP="00362797">
      <w:pPr>
        <w:ind w:left="0"/>
        <w:jc w:val="both"/>
        <w:rPr>
          <w:rFonts w:ascii="Bookman Old Style" w:hAnsi="Bookman Old Style" w:cs="Arial"/>
        </w:rPr>
      </w:pPr>
    </w:p>
    <w:p w:rsidR="00EB02EE" w:rsidRPr="006D0576" w:rsidRDefault="00EB02EE" w:rsidP="00EB02EE">
      <w:pPr>
        <w:ind w:left="0"/>
        <w:jc w:val="both"/>
        <w:rPr>
          <w:rFonts w:ascii="Bookman Old Style" w:hAnsi="Bookman Old Style" w:cs="Arial"/>
        </w:rPr>
      </w:pPr>
      <w:r w:rsidRPr="006D0576">
        <w:rPr>
          <w:rFonts w:ascii="Bookman Old Style" w:hAnsi="Bookman Old Style" w:cs="Arial"/>
        </w:rPr>
        <w:t xml:space="preserve">Teniendo en cuenta lo anterior se hace necesario modificar el Ingreso Anual del Transmisor, a partir de la aplicación de la metodología contenida en la Resolución CREG 011 de 2009, con lo que se calculan las siguientes variables principales: </w:t>
      </w:r>
    </w:p>
    <w:p w:rsidR="00EB02EE" w:rsidRPr="006D0576" w:rsidRDefault="00EB02EE" w:rsidP="00EB02EE">
      <w:pPr>
        <w:ind w:left="0"/>
        <w:jc w:val="both"/>
        <w:rPr>
          <w:rFonts w:ascii="Bookman Old Style" w:hAnsi="Bookman Old Style" w:cs="Arial"/>
        </w:rPr>
      </w:pPr>
    </w:p>
    <w:tbl>
      <w:tblPr>
        <w:tblW w:w="7680" w:type="dxa"/>
        <w:jc w:val="center"/>
        <w:tblInd w:w="65" w:type="dxa"/>
        <w:tblCellMar>
          <w:left w:w="70" w:type="dxa"/>
          <w:right w:w="70" w:type="dxa"/>
        </w:tblCellMar>
        <w:tblLook w:val="04A0" w:firstRow="1" w:lastRow="0" w:firstColumn="1" w:lastColumn="0" w:noHBand="0" w:noVBand="1"/>
      </w:tblPr>
      <w:tblGrid>
        <w:gridCol w:w="5420"/>
        <w:gridCol w:w="2260"/>
      </w:tblGrid>
      <w:tr w:rsidR="007E7091" w:rsidRPr="006D0576" w:rsidTr="007E7091">
        <w:trPr>
          <w:trHeight w:val="360"/>
          <w:jc w:val="center"/>
        </w:trPr>
        <w:tc>
          <w:tcPr>
            <w:tcW w:w="54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7091" w:rsidRPr="006D0576" w:rsidRDefault="007E7091" w:rsidP="007E7091">
            <w:pPr>
              <w:ind w:left="0"/>
              <w:jc w:val="center"/>
              <w:rPr>
                <w:rFonts w:ascii="Bookman Old Style" w:hAnsi="Bookman Old Style" w:cs="Calibri"/>
                <w:b/>
                <w:bCs/>
                <w:color w:val="000000"/>
                <w:sz w:val="20"/>
                <w:lang w:val="es-CO" w:eastAsia="es-CO"/>
              </w:rPr>
            </w:pPr>
            <w:r w:rsidRPr="006D0576">
              <w:rPr>
                <w:rFonts w:ascii="Bookman Old Style" w:hAnsi="Bookman Old Style" w:cs="Calibri"/>
                <w:b/>
                <w:bCs/>
                <w:color w:val="000000"/>
                <w:sz w:val="20"/>
                <w:lang w:val="es-CO" w:eastAsia="es-CO"/>
              </w:rPr>
              <w:t>Costo Anual</w:t>
            </w:r>
          </w:p>
        </w:tc>
        <w:tc>
          <w:tcPr>
            <w:tcW w:w="2260" w:type="dxa"/>
            <w:tcBorders>
              <w:top w:val="single" w:sz="4" w:space="0" w:color="auto"/>
              <w:left w:val="nil"/>
              <w:bottom w:val="single" w:sz="4" w:space="0" w:color="auto"/>
              <w:right w:val="single" w:sz="4" w:space="0" w:color="auto"/>
            </w:tcBorders>
            <w:shd w:val="clear" w:color="auto" w:fill="auto"/>
            <w:vAlign w:val="center"/>
            <w:hideMark/>
          </w:tcPr>
          <w:p w:rsidR="007E7091" w:rsidRPr="006D0576" w:rsidRDefault="007E7091" w:rsidP="007E7091">
            <w:pPr>
              <w:ind w:left="0"/>
              <w:jc w:val="center"/>
              <w:rPr>
                <w:rFonts w:ascii="Bookman Old Style" w:hAnsi="Bookman Old Style" w:cs="Calibri"/>
                <w:b/>
                <w:bCs/>
                <w:color w:val="000000"/>
                <w:sz w:val="20"/>
                <w:lang w:val="es-CO" w:eastAsia="es-CO"/>
              </w:rPr>
            </w:pPr>
            <w:r w:rsidRPr="006D0576">
              <w:rPr>
                <w:rFonts w:ascii="Bookman Old Style" w:hAnsi="Bookman Old Style" w:cs="Calibri"/>
                <w:b/>
                <w:bCs/>
                <w:color w:val="000000"/>
                <w:sz w:val="20"/>
                <w:lang w:val="es-CO" w:eastAsia="es-CO"/>
              </w:rPr>
              <w:t>Pesos de diciembre de 2008</w:t>
            </w:r>
          </w:p>
        </w:tc>
      </w:tr>
      <w:tr w:rsidR="007E7091" w:rsidRPr="006D0576" w:rsidTr="007E7091">
        <w:trPr>
          <w:trHeight w:val="328"/>
          <w:jc w:val="center"/>
        </w:trPr>
        <w:tc>
          <w:tcPr>
            <w:tcW w:w="5420" w:type="dxa"/>
            <w:tcBorders>
              <w:top w:val="nil"/>
              <w:left w:val="single" w:sz="4" w:space="0" w:color="auto"/>
              <w:bottom w:val="single" w:sz="4" w:space="0" w:color="auto"/>
              <w:right w:val="single" w:sz="4" w:space="0" w:color="auto"/>
            </w:tcBorders>
            <w:shd w:val="clear" w:color="auto" w:fill="auto"/>
            <w:vAlign w:val="center"/>
            <w:hideMark/>
          </w:tcPr>
          <w:p w:rsidR="007E7091" w:rsidRPr="006D0576" w:rsidRDefault="007E7091" w:rsidP="007E7091">
            <w:pPr>
              <w:ind w:left="0"/>
              <w:rPr>
                <w:rFonts w:ascii="Bookman Old Style" w:hAnsi="Bookman Old Style" w:cs="Calibri"/>
                <w:color w:val="000000"/>
                <w:sz w:val="20"/>
                <w:lang w:val="es-CO" w:eastAsia="es-CO"/>
              </w:rPr>
            </w:pPr>
            <w:r w:rsidRPr="006D0576">
              <w:rPr>
                <w:rFonts w:ascii="Bookman Old Style" w:hAnsi="Bookman Old Style" w:cs="Calibri"/>
                <w:color w:val="000000"/>
                <w:sz w:val="20"/>
                <w:lang w:val="es-CO" w:eastAsia="es-CO"/>
              </w:rPr>
              <w:t>Costo Anual Equivalente del Activo Eléctrico (</w:t>
            </w:r>
            <w:proofErr w:type="spellStart"/>
            <w:r w:rsidRPr="006D0576">
              <w:rPr>
                <w:rFonts w:ascii="Bookman Old Style" w:hAnsi="Bookman Old Style" w:cs="Calibri"/>
                <w:i/>
                <w:iCs/>
                <w:color w:val="000000"/>
                <w:sz w:val="20"/>
                <w:lang w:val="es-CO" w:eastAsia="es-CO"/>
              </w:rPr>
              <w:t>CAEA</w:t>
            </w:r>
            <w:r w:rsidRPr="006D0576">
              <w:rPr>
                <w:rFonts w:ascii="Bookman Old Style" w:hAnsi="Bookman Old Style" w:cs="Calibri"/>
                <w:i/>
                <w:iCs/>
                <w:color w:val="000000"/>
                <w:sz w:val="20"/>
                <w:vertAlign w:val="subscript"/>
                <w:lang w:val="es-CO" w:eastAsia="es-CO"/>
              </w:rPr>
              <w:t>j</w:t>
            </w:r>
            <w:proofErr w:type="spellEnd"/>
            <w:r w:rsidRPr="006D0576">
              <w:rPr>
                <w:rFonts w:ascii="Bookman Old Style" w:hAnsi="Bookman Old Style" w:cs="Calibri"/>
                <w:color w:val="000000"/>
                <w:sz w:val="20"/>
                <w:lang w:val="es-CO" w:eastAsia="es-CO"/>
              </w:rPr>
              <w:t>)</w:t>
            </w:r>
          </w:p>
        </w:tc>
        <w:tc>
          <w:tcPr>
            <w:tcW w:w="2260" w:type="dxa"/>
            <w:tcBorders>
              <w:top w:val="nil"/>
              <w:left w:val="nil"/>
              <w:bottom w:val="single" w:sz="4" w:space="0" w:color="auto"/>
              <w:right w:val="single" w:sz="4" w:space="0" w:color="auto"/>
            </w:tcBorders>
            <w:shd w:val="clear" w:color="auto" w:fill="auto"/>
            <w:vAlign w:val="center"/>
            <w:hideMark/>
          </w:tcPr>
          <w:p w:rsidR="007E7091" w:rsidRPr="006D0576" w:rsidRDefault="007E7091" w:rsidP="007E7091">
            <w:pPr>
              <w:ind w:left="0"/>
              <w:jc w:val="right"/>
              <w:rPr>
                <w:rFonts w:ascii="Bookman Old Style" w:hAnsi="Bookman Old Style" w:cs="Calibri"/>
                <w:color w:val="000000"/>
                <w:sz w:val="20"/>
                <w:lang w:val="es-CO" w:eastAsia="es-CO"/>
              </w:rPr>
            </w:pPr>
            <w:r w:rsidRPr="006D0576">
              <w:rPr>
                <w:rFonts w:ascii="Bookman Old Style" w:hAnsi="Bookman Old Style" w:cs="Calibri"/>
                <w:color w:val="000000"/>
                <w:sz w:val="20"/>
                <w:lang w:val="es-CO" w:eastAsia="es-CO"/>
              </w:rPr>
              <w:t xml:space="preserve">77.245.660.281 </w:t>
            </w:r>
          </w:p>
        </w:tc>
      </w:tr>
      <w:tr w:rsidR="007E7091" w:rsidRPr="006D0576" w:rsidTr="007E7091">
        <w:trPr>
          <w:trHeight w:val="328"/>
          <w:jc w:val="center"/>
        </w:trPr>
        <w:tc>
          <w:tcPr>
            <w:tcW w:w="5420" w:type="dxa"/>
            <w:tcBorders>
              <w:top w:val="nil"/>
              <w:left w:val="single" w:sz="4" w:space="0" w:color="auto"/>
              <w:bottom w:val="single" w:sz="4" w:space="0" w:color="auto"/>
              <w:right w:val="single" w:sz="4" w:space="0" w:color="auto"/>
            </w:tcBorders>
            <w:shd w:val="clear" w:color="auto" w:fill="auto"/>
            <w:vAlign w:val="center"/>
            <w:hideMark/>
          </w:tcPr>
          <w:p w:rsidR="007E7091" w:rsidRPr="006D0576" w:rsidRDefault="007E7091" w:rsidP="007E7091">
            <w:pPr>
              <w:ind w:left="0"/>
              <w:rPr>
                <w:rFonts w:ascii="Bookman Old Style" w:hAnsi="Bookman Old Style" w:cs="Calibri"/>
                <w:color w:val="000000"/>
                <w:sz w:val="20"/>
                <w:lang w:val="es-CO" w:eastAsia="es-CO"/>
              </w:rPr>
            </w:pPr>
            <w:r w:rsidRPr="006D0576">
              <w:rPr>
                <w:rFonts w:ascii="Bookman Old Style" w:hAnsi="Bookman Old Style" w:cs="Calibri"/>
                <w:color w:val="000000"/>
                <w:sz w:val="20"/>
                <w:lang w:val="es-CO" w:eastAsia="es-CO"/>
              </w:rPr>
              <w:t>Costo Activo No Eléctrico (</w:t>
            </w:r>
            <w:r w:rsidRPr="006D0576">
              <w:rPr>
                <w:rFonts w:ascii="Bookman Old Style" w:hAnsi="Bookman Old Style" w:cs="Calibri"/>
                <w:i/>
                <w:iCs/>
                <w:color w:val="000000"/>
                <w:sz w:val="20"/>
                <w:lang w:val="es-CO" w:eastAsia="es-CO"/>
              </w:rPr>
              <w:t>ANE</w:t>
            </w:r>
            <w:r w:rsidRPr="006D0576">
              <w:rPr>
                <w:rFonts w:ascii="Bookman Old Style" w:hAnsi="Bookman Old Style" w:cs="Calibri"/>
                <w:color w:val="000000"/>
                <w:sz w:val="20"/>
                <w:lang w:val="es-CO" w:eastAsia="es-CO"/>
              </w:rPr>
              <w:t>)</w:t>
            </w:r>
          </w:p>
        </w:tc>
        <w:tc>
          <w:tcPr>
            <w:tcW w:w="2260" w:type="dxa"/>
            <w:tcBorders>
              <w:top w:val="nil"/>
              <w:left w:val="nil"/>
              <w:bottom w:val="single" w:sz="4" w:space="0" w:color="auto"/>
              <w:right w:val="single" w:sz="4" w:space="0" w:color="auto"/>
            </w:tcBorders>
            <w:shd w:val="clear" w:color="auto" w:fill="auto"/>
            <w:vAlign w:val="center"/>
            <w:hideMark/>
          </w:tcPr>
          <w:p w:rsidR="007E7091" w:rsidRPr="006D0576" w:rsidRDefault="007E7091" w:rsidP="007E7091">
            <w:pPr>
              <w:ind w:left="0"/>
              <w:jc w:val="right"/>
              <w:rPr>
                <w:rFonts w:ascii="Bookman Old Style" w:hAnsi="Bookman Old Style" w:cs="Calibri"/>
                <w:color w:val="000000"/>
                <w:sz w:val="20"/>
                <w:lang w:val="es-CO" w:eastAsia="es-CO"/>
              </w:rPr>
            </w:pPr>
            <w:r w:rsidRPr="006D0576">
              <w:rPr>
                <w:rFonts w:ascii="Bookman Old Style" w:hAnsi="Bookman Old Style" w:cs="Calibri"/>
                <w:color w:val="000000"/>
                <w:sz w:val="20"/>
                <w:lang w:val="es-CO" w:eastAsia="es-CO"/>
              </w:rPr>
              <w:t xml:space="preserve">3.862.283.014 </w:t>
            </w:r>
          </w:p>
        </w:tc>
      </w:tr>
      <w:tr w:rsidR="007E7091" w:rsidRPr="006D0576" w:rsidTr="007E7091">
        <w:trPr>
          <w:trHeight w:val="328"/>
          <w:jc w:val="center"/>
        </w:trPr>
        <w:tc>
          <w:tcPr>
            <w:tcW w:w="5420" w:type="dxa"/>
            <w:tcBorders>
              <w:top w:val="nil"/>
              <w:left w:val="single" w:sz="4" w:space="0" w:color="auto"/>
              <w:bottom w:val="single" w:sz="4" w:space="0" w:color="auto"/>
              <w:right w:val="single" w:sz="4" w:space="0" w:color="auto"/>
            </w:tcBorders>
            <w:shd w:val="clear" w:color="auto" w:fill="auto"/>
            <w:vAlign w:val="center"/>
            <w:hideMark/>
          </w:tcPr>
          <w:p w:rsidR="007E7091" w:rsidRPr="006D0576" w:rsidRDefault="007E7091" w:rsidP="007E7091">
            <w:pPr>
              <w:ind w:left="0"/>
              <w:rPr>
                <w:rFonts w:ascii="Bookman Old Style" w:hAnsi="Bookman Old Style" w:cs="Calibri"/>
                <w:color w:val="000000"/>
                <w:sz w:val="20"/>
                <w:lang w:val="es-CO" w:eastAsia="es-CO"/>
              </w:rPr>
            </w:pPr>
            <w:r w:rsidRPr="006D0576">
              <w:rPr>
                <w:rFonts w:ascii="Bookman Old Style" w:hAnsi="Bookman Old Style" w:cs="Calibri"/>
                <w:color w:val="000000"/>
                <w:sz w:val="20"/>
                <w:lang w:val="es-CO" w:eastAsia="es-CO"/>
              </w:rPr>
              <w:t>Valor de los gastos de AOM (</w:t>
            </w:r>
            <w:proofErr w:type="spellStart"/>
            <w:r w:rsidRPr="006D0576">
              <w:rPr>
                <w:rFonts w:ascii="Bookman Old Style" w:hAnsi="Bookman Old Style" w:cs="Calibri"/>
                <w:i/>
                <w:color w:val="000000"/>
                <w:sz w:val="20"/>
                <w:lang w:val="es-CO" w:eastAsia="es-CO"/>
              </w:rPr>
              <w:t>VAOMj</w:t>
            </w:r>
            <w:proofErr w:type="spellEnd"/>
            <w:r w:rsidRPr="006D0576">
              <w:rPr>
                <w:rFonts w:ascii="Bookman Old Style" w:hAnsi="Bookman Old Style" w:cs="Calibri"/>
                <w:color w:val="000000"/>
                <w:sz w:val="20"/>
                <w:lang w:val="es-CO" w:eastAsia="es-CO"/>
              </w:rPr>
              <w:t>)</w:t>
            </w:r>
          </w:p>
        </w:tc>
        <w:tc>
          <w:tcPr>
            <w:tcW w:w="2260" w:type="dxa"/>
            <w:tcBorders>
              <w:top w:val="nil"/>
              <w:left w:val="nil"/>
              <w:bottom w:val="single" w:sz="4" w:space="0" w:color="auto"/>
              <w:right w:val="single" w:sz="4" w:space="0" w:color="auto"/>
            </w:tcBorders>
            <w:shd w:val="clear" w:color="auto" w:fill="auto"/>
            <w:vAlign w:val="center"/>
            <w:hideMark/>
          </w:tcPr>
          <w:p w:rsidR="007E7091" w:rsidRPr="006D0576" w:rsidRDefault="007E7091" w:rsidP="007E7091">
            <w:pPr>
              <w:ind w:left="0"/>
              <w:jc w:val="right"/>
              <w:rPr>
                <w:rFonts w:ascii="Bookman Old Style" w:hAnsi="Bookman Old Style" w:cs="Calibri"/>
                <w:color w:val="000000"/>
                <w:sz w:val="20"/>
                <w:lang w:val="es-CO" w:eastAsia="es-CO"/>
              </w:rPr>
            </w:pPr>
            <w:r w:rsidRPr="006D0576">
              <w:rPr>
                <w:rFonts w:ascii="Bookman Old Style" w:hAnsi="Bookman Old Style" w:cs="Calibri"/>
                <w:color w:val="000000"/>
                <w:sz w:val="20"/>
                <w:lang w:val="es-CO" w:eastAsia="es-CO"/>
              </w:rPr>
              <w:t>2</w:t>
            </w:r>
            <w:r w:rsidR="00406A88">
              <w:rPr>
                <w:rFonts w:ascii="Bookman Old Style" w:hAnsi="Bookman Old Style" w:cs="Calibri"/>
                <w:color w:val="000000"/>
                <w:sz w:val="20"/>
                <w:lang w:val="es-CO" w:eastAsia="es-CO"/>
              </w:rPr>
              <w:t>2</w:t>
            </w:r>
            <w:r w:rsidRPr="006D0576">
              <w:rPr>
                <w:rFonts w:ascii="Bookman Old Style" w:hAnsi="Bookman Old Style" w:cs="Calibri"/>
                <w:color w:val="000000"/>
                <w:sz w:val="20"/>
                <w:lang w:val="es-CO" w:eastAsia="es-CO"/>
              </w:rPr>
              <w:t xml:space="preserve">.179.640.805 </w:t>
            </w:r>
          </w:p>
        </w:tc>
      </w:tr>
      <w:tr w:rsidR="007E7091" w:rsidRPr="006D0576" w:rsidTr="007E7091">
        <w:trPr>
          <w:trHeight w:val="328"/>
          <w:jc w:val="center"/>
        </w:trPr>
        <w:tc>
          <w:tcPr>
            <w:tcW w:w="5420" w:type="dxa"/>
            <w:tcBorders>
              <w:top w:val="nil"/>
              <w:left w:val="single" w:sz="4" w:space="0" w:color="auto"/>
              <w:bottom w:val="single" w:sz="4" w:space="0" w:color="auto"/>
              <w:right w:val="single" w:sz="4" w:space="0" w:color="auto"/>
            </w:tcBorders>
            <w:shd w:val="clear" w:color="auto" w:fill="auto"/>
            <w:vAlign w:val="center"/>
            <w:hideMark/>
          </w:tcPr>
          <w:p w:rsidR="007E7091" w:rsidRPr="006D0576" w:rsidRDefault="007E7091" w:rsidP="007E7091">
            <w:pPr>
              <w:ind w:left="0"/>
              <w:rPr>
                <w:rFonts w:ascii="Bookman Old Style" w:hAnsi="Bookman Old Style" w:cs="Calibri"/>
                <w:color w:val="000000"/>
                <w:sz w:val="20"/>
                <w:lang w:val="es-CO" w:eastAsia="es-CO"/>
              </w:rPr>
            </w:pPr>
            <w:r w:rsidRPr="006D0576">
              <w:rPr>
                <w:rFonts w:ascii="Bookman Old Style" w:hAnsi="Bookman Old Style" w:cs="Calibri"/>
                <w:color w:val="000000"/>
                <w:sz w:val="20"/>
                <w:lang w:val="es-CO" w:eastAsia="es-CO"/>
              </w:rPr>
              <w:t>Costo Anual Equivalente de Terrenos (</w:t>
            </w:r>
            <w:proofErr w:type="spellStart"/>
            <w:r w:rsidRPr="006D0576">
              <w:rPr>
                <w:rFonts w:ascii="Bookman Old Style" w:hAnsi="Bookman Old Style" w:cs="Calibri"/>
                <w:i/>
                <w:iCs/>
                <w:color w:val="000000"/>
                <w:sz w:val="20"/>
                <w:lang w:val="es-CO" w:eastAsia="es-CO"/>
              </w:rPr>
              <w:t>CAETj</w:t>
            </w:r>
            <w:proofErr w:type="spellEnd"/>
            <w:r w:rsidRPr="006D0576">
              <w:rPr>
                <w:rFonts w:ascii="Bookman Old Style" w:hAnsi="Bookman Old Style" w:cs="Calibri"/>
                <w:color w:val="000000"/>
                <w:sz w:val="20"/>
                <w:lang w:val="es-CO" w:eastAsia="es-CO"/>
              </w:rPr>
              <w:t>)</w:t>
            </w:r>
          </w:p>
        </w:tc>
        <w:tc>
          <w:tcPr>
            <w:tcW w:w="2260" w:type="dxa"/>
            <w:tcBorders>
              <w:top w:val="nil"/>
              <w:left w:val="nil"/>
              <w:bottom w:val="single" w:sz="4" w:space="0" w:color="auto"/>
              <w:right w:val="single" w:sz="4" w:space="0" w:color="auto"/>
            </w:tcBorders>
            <w:shd w:val="clear" w:color="auto" w:fill="auto"/>
            <w:vAlign w:val="center"/>
            <w:hideMark/>
          </w:tcPr>
          <w:p w:rsidR="007E7091" w:rsidRPr="006D0576" w:rsidRDefault="00406A88" w:rsidP="007E7091">
            <w:pPr>
              <w:ind w:left="0"/>
              <w:jc w:val="right"/>
              <w:rPr>
                <w:rFonts w:ascii="Bookman Old Style" w:hAnsi="Bookman Old Style" w:cs="Calibri"/>
                <w:color w:val="000000"/>
                <w:sz w:val="20"/>
                <w:lang w:val="es-CO" w:eastAsia="es-CO"/>
              </w:rPr>
            </w:pPr>
            <w:r>
              <w:rPr>
                <w:rFonts w:ascii="Bookman Old Style" w:hAnsi="Bookman Old Style" w:cs="Calibri"/>
                <w:color w:val="000000"/>
                <w:sz w:val="20"/>
                <w:lang w:val="es-CO" w:eastAsia="es-CO"/>
              </w:rPr>
              <w:t>1</w:t>
            </w:r>
            <w:r w:rsidR="007E7091" w:rsidRPr="006D0576">
              <w:rPr>
                <w:rFonts w:ascii="Bookman Old Style" w:hAnsi="Bookman Old Style" w:cs="Calibri"/>
                <w:color w:val="000000"/>
                <w:sz w:val="20"/>
                <w:lang w:val="es-CO" w:eastAsia="es-CO"/>
              </w:rPr>
              <w:t xml:space="preserve">33.058.409 </w:t>
            </w:r>
          </w:p>
        </w:tc>
      </w:tr>
    </w:tbl>
    <w:p w:rsidR="00EB02EE" w:rsidRPr="006D0576" w:rsidRDefault="00EB02EE" w:rsidP="00EB02EE">
      <w:pPr>
        <w:ind w:left="0"/>
        <w:jc w:val="both"/>
        <w:rPr>
          <w:rFonts w:ascii="Bookman Old Style" w:hAnsi="Bookman Old Style" w:cs="Arial"/>
        </w:rPr>
      </w:pPr>
    </w:p>
    <w:p w:rsidR="00EB02EE" w:rsidRPr="006D0576" w:rsidRDefault="00EB02EE" w:rsidP="00EB02EE">
      <w:pPr>
        <w:ind w:left="0"/>
        <w:jc w:val="both"/>
        <w:rPr>
          <w:rFonts w:ascii="Bookman Old Style" w:hAnsi="Bookman Old Style" w:cs="Arial"/>
        </w:rPr>
      </w:pPr>
    </w:p>
    <w:p w:rsidR="00EB02EE" w:rsidRPr="006D0576" w:rsidRDefault="00EB02EE" w:rsidP="00EB02EE">
      <w:pPr>
        <w:ind w:left="0"/>
        <w:jc w:val="both"/>
        <w:rPr>
          <w:rFonts w:ascii="Bookman Old Style" w:hAnsi="Bookman Old Style" w:cs="Arial"/>
        </w:rPr>
      </w:pPr>
      <w:r w:rsidRPr="006D0576">
        <w:rPr>
          <w:rFonts w:ascii="Bookman Old Style" w:hAnsi="Bookman Old Style" w:cs="Arial"/>
        </w:rPr>
        <w:t xml:space="preserve">La Comisión de Regulación de Energía y Gas, en su sesión </w:t>
      </w:r>
      <w:r w:rsidR="0006797A">
        <w:rPr>
          <w:rFonts w:ascii="Bookman Old Style" w:hAnsi="Bookman Old Style" w:cs="Arial"/>
        </w:rPr>
        <w:t>536</w:t>
      </w:r>
      <w:r w:rsidRPr="006D0576">
        <w:rPr>
          <w:rFonts w:ascii="Bookman Old Style" w:hAnsi="Bookman Old Style" w:cs="Arial"/>
        </w:rPr>
        <w:t xml:space="preserve"> del </w:t>
      </w:r>
      <w:r w:rsidR="0006797A">
        <w:rPr>
          <w:rFonts w:ascii="Bookman Old Style" w:hAnsi="Bookman Old Style" w:cs="Arial"/>
        </w:rPr>
        <w:t>25</w:t>
      </w:r>
      <w:r w:rsidRPr="006D0576">
        <w:rPr>
          <w:rFonts w:ascii="Bookman Old Style" w:hAnsi="Bookman Old Style" w:cs="Arial"/>
        </w:rPr>
        <w:t xml:space="preserve"> de septiembre de 2012, aprobó actualizar la base de activos de </w:t>
      </w:r>
      <w:proofErr w:type="spellStart"/>
      <w:r w:rsidRPr="006D0576">
        <w:rPr>
          <w:rFonts w:ascii="Bookman Old Style" w:hAnsi="Bookman Old Style" w:cs="Arial"/>
        </w:rPr>
        <w:t>Transelca</w:t>
      </w:r>
      <w:proofErr w:type="spellEnd"/>
      <w:r w:rsidRPr="006D0576">
        <w:rPr>
          <w:rFonts w:ascii="Bookman Old Style" w:hAnsi="Bookman Old Style" w:cs="Arial"/>
        </w:rPr>
        <w:t xml:space="preserve"> S.A. E.S.P. y expedir la presente resolución.</w:t>
      </w:r>
    </w:p>
    <w:p w:rsidR="004D578C" w:rsidRPr="006D0576" w:rsidRDefault="004D578C" w:rsidP="00663D6D">
      <w:pPr>
        <w:ind w:left="0"/>
        <w:jc w:val="both"/>
        <w:rPr>
          <w:rFonts w:ascii="Bookman Old Style" w:hAnsi="Bookman Old Style" w:cs="Arial"/>
        </w:rPr>
      </w:pPr>
    </w:p>
    <w:p w:rsidR="00E01463" w:rsidRPr="006D0576" w:rsidRDefault="00E01463" w:rsidP="00E01463">
      <w:pPr>
        <w:ind w:left="0"/>
        <w:jc w:val="both"/>
        <w:rPr>
          <w:rFonts w:ascii="Bookman Old Style" w:hAnsi="Bookman Old Style" w:cs="Arial"/>
          <w:b/>
        </w:rPr>
      </w:pPr>
    </w:p>
    <w:p w:rsidR="00E01463" w:rsidRPr="006D0576" w:rsidRDefault="00E01463" w:rsidP="00E01463">
      <w:pPr>
        <w:rPr>
          <w:rFonts w:ascii="Bookman Old Style" w:hAnsi="Bookman Old Style" w:cs="Arial"/>
          <w:bCs/>
        </w:rPr>
      </w:pPr>
    </w:p>
    <w:p w:rsidR="00E01463" w:rsidRPr="006D0576" w:rsidRDefault="00E01463" w:rsidP="00E01463">
      <w:pPr>
        <w:jc w:val="center"/>
        <w:rPr>
          <w:rFonts w:ascii="Bookman Old Style" w:hAnsi="Bookman Old Style"/>
          <w:b/>
        </w:rPr>
      </w:pPr>
      <w:r w:rsidRPr="006D0576">
        <w:rPr>
          <w:rFonts w:ascii="Bookman Old Style" w:hAnsi="Bookman Old Style"/>
          <w:b/>
        </w:rPr>
        <w:t>R E S U E L V E:</w:t>
      </w:r>
    </w:p>
    <w:p w:rsidR="00E01463" w:rsidRPr="006D0576" w:rsidRDefault="00E01463" w:rsidP="00E01463">
      <w:pPr>
        <w:jc w:val="center"/>
        <w:rPr>
          <w:rFonts w:ascii="Bookman Old Style" w:hAnsi="Bookman Old Style"/>
          <w:b/>
        </w:rPr>
      </w:pPr>
    </w:p>
    <w:p w:rsidR="00E01463" w:rsidRPr="006D0576" w:rsidRDefault="00E01463" w:rsidP="00E01463">
      <w:pPr>
        <w:jc w:val="center"/>
        <w:rPr>
          <w:rFonts w:ascii="Bookman Old Style" w:hAnsi="Bookman Old Style"/>
          <w:b/>
        </w:rPr>
      </w:pPr>
    </w:p>
    <w:p w:rsidR="008D1CA9" w:rsidRPr="006D0576" w:rsidRDefault="00EB02EE" w:rsidP="008D1CA9">
      <w:pPr>
        <w:pStyle w:val="Prrafodelista"/>
        <w:numPr>
          <w:ilvl w:val="0"/>
          <w:numId w:val="18"/>
        </w:numPr>
        <w:jc w:val="both"/>
        <w:rPr>
          <w:rFonts w:ascii="Bookman Old Style" w:hAnsi="Bookman Old Style"/>
          <w:sz w:val="24"/>
          <w:szCs w:val="24"/>
        </w:rPr>
      </w:pPr>
      <w:r w:rsidRPr="006D0576">
        <w:rPr>
          <w:rFonts w:ascii="Bookman Old Style" w:hAnsi="Bookman Old Style"/>
          <w:sz w:val="24"/>
          <w:szCs w:val="24"/>
        </w:rPr>
        <w:t xml:space="preserve">Modificar </w:t>
      </w:r>
      <w:r w:rsidR="007E7091" w:rsidRPr="006D0576">
        <w:rPr>
          <w:rFonts w:ascii="Bookman Old Style" w:hAnsi="Bookman Old Style"/>
          <w:sz w:val="24"/>
          <w:szCs w:val="24"/>
        </w:rPr>
        <w:t xml:space="preserve">la base de activos de </w:t>
      </w:r>
      <w:proofErr w:type="spellStart"/>
      <w:r w:rsidR="007E7091" w:rsidRPr="006D0576">
        <w:rPr>
          <w:rFonts w:ascii="Bookman Old Style" w:hAnsi="Bookman Old Style"/>
          <w:sz w:val="24"/>
          <w:szCs w:val="24"/>
        </w:rPr>
        <w:t>Transelca</w:t>
      </w:r>
      <w:proofErr w:type="spellEnd"/>
      <w:r w:rsidR="007E7091" w:rsidRPr="006D0576">
        <w:rPr>
          <w:rFonts w:ascii="Bookman Old Style" w:hAnsi="Bookman Old Style"/>
          <w:sz w:val="24"/>
          <w:szCs w:val="24"/>
        </w:rPr>
        <w:t xml:space="preserve"> S.A. E.S.P., aprobada en el Artículo 3 de la Resolución CREG 107 de 2010, y modificada por las Resoluciones CREG 061 de 2011 y CREG 105 de 2011, en el sentido de incluir </w:t>
      </w:r>
      <w:r w:rsidR="008D1CA9" w:rsidRPr="006D0576">
        <w:rPr>
          <w:rFonts w:ascii="Bookman Old Style" w:hAnsi="Bookman Old Style"/>
          <w:sz w:val="24"/>
          <w:szCs w:val="24"/>
        </w:rPr>
        <w:t>una Unidad Constructiva</w:t>
      </w:r>
      <w:r w:rsidR="007E7091" w:rsidRPr="006D0576">
        <w:rPr>
          <w:rFonts w:ascii="Bookman Old Style" w:hAnsi="Bookman Old Style"/>
          <w:sz w:val="24"/>
          <w:szCs w:val="24"/>
        </w:rPr>
        <w:t xml:space="preserve"> SE214.  </w:t>
      </w:r>
    </w:p>
    <w:p w:rsidR="008D1CA9" w:rsidRPr="006D0576" w:rsidRDefault="008D1CA9" w:rsidP="008D1CA9">
      <w:pPr>
        <w:ind w:left="0"/>
        <w:jc w:val="both"/>
        <w:rPr>
          <w:lang w:val="es-CO"/>
        </w:rPr>
      </w:pPr>
    </w:p>
    <w:p w:rsidR="008D1CA9" w:rsidRPr="006D0576" w:rsidRDefault="008D1CA9" w:rsidP="008D1CA9">
      <w:pPr>
        <w:pStyle w:val="Prrafodelista"/>
        <w:ind w:left="0"/>
        <w:jc w:val="both"/>
        <w:rPr>
          <w:rFonts w:ascii="Bookman Old Style" w:hAnsi="Bookman Old Style"/>
          <w:sz w:val="24"/>
          <w:szCs w:val="24"/>
          <w:lang w:val="es-ES"/>
        </w:rPr>
      </w:pPr>
      <w:r w:rsidRPr="006D0576">
        <w:rPr>
          <w:rFonts w:ascii="Bookman Old Style" w:hAnsi="Bookman Old Style"/>
          <w:sz w:val="24"/>
          <w:szCs w:val="24"/>
        </w:rPr>
        <w:t xml:space="preserve">La base de activos del anexo de la </w:t>
      </w:r>
      <w:r w:rsidRPr="006D0576">
        <w:rPr>
          <w:rFonts w:ascii="Bookman Old Style" w:hAnsi="Bookman Old Style"/>
          <w:sz w:val="24"/>
          <w:szCs w:val="24"/>
          <w:lang w:val="es-ES"/>
        </w:rPr>
        <w:t>Resolución CREG 107 de 2010, en el listado de UC del numeral 1 Subestaciones, se adiciona con la UC mencionada, así:</w:t>
      </w:r>
    </w:p>
    <w:p w:rsidR="008D1CA9" w:rsidRPr="0006797A" w:rsidRDefault="008D1CA9" w:rsidP="008D1CA9">
      <w:pPr>
        <w:pStyle w:val="Prrafodelista"/>
        <w:ind w:left="0"/>
        <w:jc w:val="both"/>
        <w:rPr>
          <w:rFonts w:ascii="Bookman Old Style" w:hAnsi="Bookman Old Style"/>
          <w:sz w:val="36"/>
          <w:szCs w:val="24"/>
        </w:rPr>
      </w:pPr>
    </w:p>
    <w:tbl>
      <w:tblPr>
        <w:tblW w:w="4594" w:type="dxa"/>
        <w:jc w:val="center"/>
        <w:tblCellMar>
          <w:left w:w="68" w:type="dxa"/>
          <w:right w:w="70" w:type="dxa"/>
        </w:tblCellMar>
        <w:tblLook w:val="04A0" w:firstRow="1" w:lastRow="0" w:firstColumn="1" w:lastColumn="0" w:noHBand="0" w:noVBand="1"/>
      </w:tblPr>
      <w:tblGrid>
        <w:gridCol w:w="593"/>
        <w:gridCol w:w="2010"/>
        <w:gridCol w:w="908"/>
        <w:gridCol w:w="1083"/>
      </w:tblGrid>
      <w:tr w:rsidR="008D1CA9" w:rsidRPr="006D0576" w:rsidTr="008F4938">
        <w:trPr>
          <w:trHeight w:val="227"/>
          <w:tblHeader/>
          <w:jc w:val="center"/>
        </w:trPr>
        <w:tc>
          <w:tcPr>
            <w:tcW w:w="593" w:type="dxa"/>
            <w:tcBorders>
              <w:top w:val="single" w:sz="4" w:space="0" w:color="auto"/>
              <w:left w:val="single" w:sz="4" w:space="0" w:color="auto"/>
              <w:bottom w:val="single" w:sz="4" w:space="0" w:color="auto"/>
              <w:right w:val="single" w:sz="4" w:space="0" w:color="auto"/>
            </w:tcBorders>
            <w:vAlign w:val="center"/>
          </w:tcPr>
          <w:p w:rsidR="008D1CA9" w:rsidRPr="00B34FDF" w:rsidRDefault="008D1CA9" w:rsidP="008F4938">
            <w:pPr>
              <w:keepNext/>
              <w:ind w:left="0"/>
              <w:jc w:val="center"/>
              <w:rPr>
                <w:rFonts w:ascii="Bookman Old Style" w:hAnsi="Bookman Old Style" w:cs="Arial"/>
                <w:b/>
                <w:bCs/>
                <w:i/>
                <w:color w:val="000000"/>
                <w:sz w:val="20"/>
              </w:rPr>
            </w:pPr>
            <w:r w:rsidRPr="00B34FDF">
              <w:rPr>
                <w:rFonts w:ascii="Bookman Old Style" w:hAnsi="Bookman Old Style" w:cs="Arial"/>
                <w:b/>
                <w:bCs/>
                <w:i/>
                <w:color w:val="000000"/>
                <w:sz w:val="20"/>
              </w:rPr>
              <w:t>No.</w:t>
            </w:r>
          </w:p>
        </w:tc>
        <w:tc>
          <w:tcPr>
            <w:tcW w:w="201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D1CA9" w:rsidRPr="00B34FDF" w:rsidRDefault="008D1CA9" w:rsidP="008F4938">
            <w:pPr>
              <w:keepNext/>
              <w:ind w:left="0"/>
              <w:jc w:val="center"/>
              <w:rPr>
                <w:rFonts w:ascii="Bookman Old Style" w:hAnsi="Bookman Old Style" w:cs="Arial"/>
                <w:b/>
                <w:bCs/>
                <w:i/>
                <w:color w:val="000000"/>
                <w:sz w:val="20"/>
              </w:rPr>
            </w:pPr>
            <w:r w:rsidRPr="00B34FDF">
              <w:rPr>
                <w:rFonts w:ascii="Bookman Old Style" w:hAnsi="Bookman Old Style" w:cs="Arial"/>
                <w:b/>
                <w:bCs/>
                <w:i/>
                <w:color w:val="000000"/>
                <w:sz w:val="20"/>
              </w:rPr>
              <w:t>Subestación</w:t>
            </w:r>
          </w:p>
        </w:tc>
        <w:tc>
          <w:tcPr>
            <w:tcW w:w="908" w:type="dxa"/>
            <w:tcBorders>
              <w:top w:val="single" w:sz="4" w:space="0" w:color="auto"/>
              <w:left w:val="nil"/>
              <w:bottom w:val="single" w:sz="4" w:space="0" w:color="auto"/>
              <w:right w:val="single" w:sz="4" w:space="0" w:color="auto"/>
            </w:tcBorders>
            <w:shd w:val="clear" w:color="auto" w:fill="auto"/>
            <w:noWrap/>
            <w:vAlign w:val="center"/>
            <w:hideMark/>
          </w:tcPr>
          <w:p w:rsidR="008D1CA9" w:rsidRPr="00B34FDF" w:rsidRDefault="008D1CA9" w:rsidP="008F4938">
            <w:pPr>
              <w:keepNext/>
              <w:ind w:left="0"/>
              <w:jc w:val="center"/>
              <w:rPr>
                <w:rFonts w:ascii="Bookman Old Style" w:hAnsi="Bookman Old Style" w:cs="Arial"/>
                <w:b/>
                <w:bCs/>
                <w:i/>
                <w:color w:val="000000"/>
                <w:sz w:val="20"/>
              </w:rPr>
            </w:pPr>
            <w:r w:rsidRPr="00B34FDF">
              <w:rPr>
                <w:rFonts w:ascii="Bookman Old Style" w:hAnsi="Bookman Old Style" w:cs="Arial"/>
                <w:b/>
                <w:bCs/>
                <w:i/>
                <w:color w:val="000000"/>
                <w:sz w:val="20"/>
              </w:rPr>
              <w:t>UC</w:t>
            </w:r>
          </w:p>
        </w:tc>
        <w:tc>
          <w:tcPr>
            <w:tcW w:w="1083" w:type="dxa"/>
            <w:tcBorders>
              <w:top w:val="single" w:sz="4" w:space="0" w:color="auto"/>
              <w:left w:val="nil"/>
              <w:bottom w:val="single" w:sz="4" w:space="0" w:color="auto"/>
              <w:right w:val="single" w:sz="4" w:space="0" w:color="auto"/>
            </w:tcBorders>
            <w:shd w:val="clear" w:color="auto" w:fill="auto"/>
            <w:noWrap/>
            <w:vAlign w:val="center"/>
            <w:hideMark/>
          </w:tcPr>
          <w:p w:rsidR="008D1CA9" w:rsidRPr="00B34FDF" w:rsidRDefault="008D1CA9" w:rsidP="008F4938">
            <w:pPr>
              <w:keepNext/>
              <w:ind w:left="0"/>
              <w:jc w:val="center"/>
              <w:rPr>
                <w:rFonts w:ascii="Bookman Old Style" w:hAnsi="Bookman Old Style" w:cs="Arial"/>
                <w:b/>
                <w:bCs/>
                <w:i/>
                <w:color w:val="000000"/>
                <w:sz w:val="20"/>
              </w:rPr>
            </w:pPr>
            <w:r w:rsidRPr="00B34FDF">
              <w:rPr>
                <w:rFonts w:ascii="Bookman Old Style" w:hAnsi="Bookman Old Style" w:cs="Arial"/>
                <w:b/>
                <w:bCs/>
                <w:i/>
                <w:color w:val="000000"/>
                <w:sz w:val="20"/>
              </w:rPr>
              <w:t>PU</w:t>
            </w:r>
          </w:p>
        </w:tc>
      </w:tr>
      <w:tr w:rsidR="008D1CA9" w:rsidRPr="006D0576" w:rsidTr="008F4938">
        <w:trPr>
          <w:trHeight w:val="227"/>
          <w:jc w:val="center"/>
        </w:trPr>
        <w:tc>
          <w:tcPr>
            <w:tcW w:w="593" w:type="dxa"/>
            <w:tcBorders>
              <w:top w:val="nil"/>
              <w:left w:val="single" w:sz="4" w:space="0" w:color="auto"/>
              <w:bottom w:val="single" w:sz="4" w:space="0" w:color="auto"/>
              <w:right w:val="single" w:sz="4" w:space="0" w:color="auto"/>
            </w:tcBorders>
            <w:vAlign w:val="center"/>
          </w:tcPr>
          <w:p w:rsidR="008D1CA9" w:rsidRPr="00B34FDF" w:rsidRDefault="008D1CA9" w:rsidP="008D1CA9">
            <w:pPr>
              <w:ind w:left="0" w:right="-144"/>
              <w:rPr>
                <w:rFonts w:ascii="Bookman Old Style" w:hAnsi="Bookman Old Style" w:cs="Arial"/>
                <w:i/>
                <w:color w:val="000000"/>
                <w:sz w:val="20"/>
              </w:rPr>
            </w:pPr>
            <w:r w:rsidRPr="00B34FDF">
              <w:rPr>
                <w:rFonts w:ascii="Bookman Old Style" w:hAnsi="Bookman Old Style" w:cs="Arial"/>
                <w:i/>
                <w:color w:val="000000"/>
                <w:sz w:val="20"/>
              </w:rPr>
              <w:t>144</w:t>
            </w:r>
          </w:p>
        </w:tc>
        <w:tc>
          <w:tcPr>
            <w:tcW w:w="2010" w:type="dxa"/>
            <w:tcBorders>
              <w:top w:val="nil"/>
              <w:left w:val="single" w:sz="4" w:space="0" w:color="auto"/>
              <w:bottom w:val="single" w:sz="4" w:space="0" w:color="auto"/>
              <w:right w:val="single" w:sz="4" w:space="0" w:color="auto"/>
            </w:tcBorders>
            <w:shd w:val="clear" w:color="auto" w:fill="auto"/>
            <w:noWrap/>
            <w:vAlign w:val="center"/>
            <w:hideMark/>
          </w:tcPr>
          <w:p w:rsidR="008D1CA9" w:rsidRPr="00B34FDF" w:rsidRDefault="008D1CA9" w:rsidP="008F4938">
            <w:pPr>
              <w:ind w:left="21"/>
              <w:jc w:val="center"/>
              <w:rPr>
                <w:rFonts w:ascii="Bookman Old Style" w:hAnsi="Bookman Old Style" w:cs="Arial"/>
                <w:i/>
                <w:color w:val="000000"/>
                <w:sz w:val="20"/>
              </w:rPr>
            </w:pPr>
            <w:r w:rsidRPr="00B34FDF">
              <w:rPr>
                <w:rFonts w:ascii="Bookman Old Style" w:hAnsi="Bookman Old Style" w:cs="Arial"/>
                <w:i/>
                <w:color w:val="000000"/>
                <w:sz w:val="20"/>
              </w:rPr>
              <w:t>Fundación</w:t>
            </w:r>
          </w:p>
        </w:tc>
        <w:tc>
          <w:tcPr>
            <w:tcW w:w="908" w:type="dxa"/>
            <w:tcBorders>
              <w:top w:val="nil"/>
              <w:left w:val="nil"/>
              <w:bottom w:val="single" w:sz="4" w:space="0" w:color="auto"/>
              <w:right w:val="single" w:sz="4" w:space="0" w:color="auto"/>
            </w:tcBorders>
            <w:shd w:val="clear" w:color="auto" w:fill="auto"/>
            <w:noWrap/>
            <w:vAlign w:val="center"/>
            <w:hideMark/>
          </w:tcPr>
          <w:p w:rsidR="008D1CA9" w:rsidRPr="00B34FDF" w:rsidRDefault="008D1CA9" w:rsidP="008D1CA9">
            <w:pPr>
              <w:ind w:left="52"/>
              <w:jc w:val="center"/>
              <w:rPr>
                <w:rFonts w:ascii="Bookman Old Style" w:hAnsi="Bookman Old Style" w:cs="Arial"/>
                <w:i/>
                <w:color w:val="000000"/>
                <w:sz w:val="20"/>
              </w:rPr>
            </w:pPr>
            <w:r w:rsidRPr="00B34FDF">
              <w:rPr>
                <w:rFonts w:ascii="Bookman Old Style" w:hAnsi="Bookman Old Style" w:cs="Arial"/>
                <w:i/>
                <w:color w:val="000000"/>
                <w:sz w:val="20"/>
              </w:rPr>
              <w:t>SE214</w:t>
            </w:r>
          </w:p>
        </w:tc>
        <w:tc>
          <w:tcPr>
            <w:tcW w:w="1083" w:type="dxa"/>
            <w:tcBorders>
              <w:top w:val="nil"/>
              <w:left w:val="nil"/>
              <w:bottom w:val="single" w:sz="4" w:space="0" w:color="auto"/>
              <w:right w:val="single" w:sz="4" w:space="0" w:color="auto"/>
            </w:tcBorders>
            <w:shd w:val="clear" w:color="auto" w:fill="auto"/>
            <w:noWrap/>
            <w:vAlign w:val="center"/>
            <w:hideMark/>
          </w:tcPr>
          <w:p w:rsidR="008D1CA9" w:rsidRPr="00B34FDF" w:rsidRDefault="008D1CA9" w:rsidP="008F4938">
            <w:pPr>
              <w:ind w:left="0"/>
              <w:jc w:val="center"/>
              <w:rPr>
                <w:rFonts w:ascii="Bookman Old Style" w:hAnsi="Bookman Old Style" w:cs="Arial"/>
                <w:i/>
                <w:color w:val="000000"/>
                <w:sz w:val="20"/>
              </w:rPr>
            </w:pPr>
            <w:r w:rsidRPr="00B34FDF">
              <w:rPr>
                <w:rFonts w:ascii="Bookman Old Style" w:hAnsi="Bookman Old Style" w:cs="Arial"/>
                <w:i/>
                <w:color w:val="000000"/>
                <w:sz w:val="20"/>
              </w:rPr>
              <w:t>1,00000</w:t>
            </w:r>
          </w:p>
        </w:tc>
      </w:tr>
    </w:tbl>
    <w:p w:rsidR="00E01463" w:rsidRPr="0006797A" w:rsidRDefault="00E01463" w:rsidP="008D1CA9">
      <w:pPr>
        <w:ind w:left="0"/>
        <w:jc w:val="both"/>
        <w:rPr>
          <w:sz w:val="36"/>
        </w:rPr>
      </w:pPr>
    </w:p>
    <w:p w:rsidR="008D1CA9" w:rsidRPr="006D0576" w:rsidRDefault="008D1CA9" w:rsidP="008D1CA9">
      <w:pPr>
        <w:pStyle w:val="Prrafodelista"/>
        <w:numPr>
          <w:ilvl w:val="0"/>
          <w:numId w:val="18"/>
        </w:numPr>
        <w:jc w:val="both"/>
        <w:rPr>
          <w:rFonts w:ascii="Bookman Old Style" w:hAnsi="Bookman Old Style"/>
          <w:sz w:val="24"/>
          <w:szCs w:val="24"/>
        </w:rPr>
      </w:pPr>
      <w:r w:rsidRPr="006D0576">
        <w:rPr>
          <w:rFonts w:ascii="Bookman Old Style" w:hAnsi="Bookman Old Style"/>
          <w:sz w:val="24"/>
          <w:szCs w:val="24"/>
        </w:rPr>
        <w:t>Modificar el Artículo 1 de la Resolución CREG 107 de 2010, modificado por las Resoluciones CREG 061 de 2011 y CREG 105 de 2011, el cual quedará así:</w:t>
      </w:r>
    </w:p>
    <w:p w:rsidR="008D1CA9" w:rsidRPr="006D0576" w:rsidRDefault="008D1CA9" w:rsidP="008D1CA9">
      <w:pPr>
        <w:pStyle w:val="Prrafodelista"/>
        <w:ind w:left="0"/>
        <w:rPr>
          <w:rFonts w:ascii="Bookman Old Style" w:hAnsi="Bookman Old Style"/>
          <w:sz w:val="24"/>
          <w:szCs w:val="24"/>
        </w:rPr>
      </w:pPr>
    </w:p>
    <w:p w:rsidR="008D1CA9" w:rsidRDefault="008D1CA9" w:rsidP="008D1CA9">
      <w:pPr>
        <w:ind w:left="426" w:right="335"/>
        <w:jc w:val="both"/>
        <w:rPr>
          <w:rFonts w:ascii="Bookman Old Style" w:hAnsi="Bookman Old Style"/>
          <w:i/>
        </w:rPr>
      </w:pPr>
      <w:r w:rsidRPr="006D0576">
        <w:rPr>
          <w:rFonts w:ascii="Bookman Old Style" w:hAnsi="Bookman Old Style"/>
          <w:b/>
          <w:i/>
          <w:spacing w:val="-3"/>
        </w:rPr>
        <w:t>“Artículo 1.</w:t>
      </w:r>
      <w:r w:rsidRPr="006D0576">
        <w:rPr>
          <w:rFonts w:ascii="Bookman Old Style" w:hAnsi="Bookman Old Style"/>
          <w:b/>
          <w:i/>
          <w:spacing w:val="-3"/>
        </w:rPr>
        <w:tab/>
      </w:r>
      <w:r w:rsidRPr="006D0576">
        <w:rPr>
          <w:rFonts w:ascii="Bookman Old Style" w:hAnsi="Bookman Old Style"/>
          <w:b/>
          <w:i/>
        </w:rPr>
        <w:t xml:space="preserve">Ingreso Anual. </w:t>
      </w:r>
      <w:r w:rsidRPr="006D0576">
        <w:rPr>
          <w:rFonts w:ascii="Bookman Old Style" w:hAnsi="Bookman Old Style"/>
          <w:i/>
        </w:rPr>
        <w:t>El Ingreso Anual (</w:t>
      </w:r>
      <w:proofErr w:type="spellStart"/>
      <w:r w:rsidRPr="006D0576">
        <w:rPr>
          <w:rFonts w:ascii="Bookman Old Style" w:hAnsi="Bookman Old Style"/>
          <w:i/>
        </w:rPr>
        <w:t>IAT</w:t>
      </w:r>
      <w:r w:rsidRPr="006D0576">
        <w:rPr>
          <w:rFonts w:ascii="Bookman Old Style" w:hAnsi="Bookman Old Style"/>
          <w:i/>
          <w:vertAlign w:val="subscript"/>
        </w:rPr>
        <w:t>j</w:t>
      </w:r>
      <w:proofErr w:type="spellEnd"/>
      <w:r w:rsidRPr="006D0576">
        <w:rPr>
          <w:rFonts w:ascii="Bookman Old Style" w:hAnsi="Bookman Old Style"/>
          <w:i/>
        </w:rPr>
        <w:t xml:space="preserve">) por los activos representados por </w:t>
      </w:r>
      <w:proofErr w:type="spellStart"/>
      <w:r w:rsidRPr="006D0576">
        <w:rPr>
          <w:rFonts w:ascii="Bookman Old Style" w:hAnsi="Bookman Old Style"/>
          <w:i/>
        </w:rPr>
        <w:t>Transelca</w:t>
      </w:r>
      <w:proofErr w:type="spellEnd"/>
      <w:r w:rsidRPr="006D0576">
        <w:rPr>
          <w:rFonts w:ascii="Bookman Old Style" w:hAnsi="Bookman Old Style"/>
          <w:i/>
        </w:rPr>
        <w:t xml:space="preserve"> S.A. E.S.P. en el Sistema de Transmisión Nacional, calculado en la forma establecida en la Resolución CREG 011 de 2009, es el siguiente:</w:t>
      </w:r>
    </w:p>
    <w:p w:rsidR="0006797A" w:rsidRDefault="0006797A" w:rsidP="008D1CA9">
      <w:pPr>
        <w:ind w:left="426" w:right="335"/>
        <w:jc w:val="both"/>
        <w:rPr>
          <w:rFonts w:ascii="Bookman Old Style" w:hAnsi="Bookman Old Style"/>
          <w:i/>
        </w:rPr>
      </w:pPr>
    </w:p>
    <w:p w:rsidR="0006797A" w:rsidRPr="006D0576" w:rsidRDefault="0006797A" w:rsidP="008D1CA9">
      <w:pPr>
        <w:ind w:left="426" w:right="335"/>
        <w:jc w:val="both"/>
        <w:rPr>
          <w:rFonts w:ascii="Bookman Old Style" w:hAnsi="Bookman Old Style"/>
          <w:i/>
        </w:rPr>
      </w:pPr>
    </w:p>
    <w:p w:rsidR="008D1CA9" w:rsidRPr="006D0576" w:rsidRDefault="008D1CA9" w:rsidP="008D1CA9">
      <w:pPr>
        <w:ind w:left="0"/>
        <w:jc w:val="both"/>
        <w:rPr>
          <w:rFonts w:ascii="Bookman Old Style" w:hAnsi="Bookman Old Style"/>
          <w:i/>
        </w:rPr>
      </w:pPr>
    </w:p>
    <w:tbl>
      <w:tblPr>
        <w:tblW w:w="6910" w:type="dxa"/>
        <w:jc w:val="center"/>
        <w:tblInd w:w="-177" w:type="dxa"/>
        <w:tblCellMar>
          <w:left w:w="70" w:type="dxa"/>
          <w:right w:w="70" w:type="dxa"/>
        </w:tblCellMar>
        <w:tblLook w:val="04A0" w:firstRow="1" w:lastRow="0" w:firstColumn="1" w:lastColumn="0" w:noHBand="0" w:noVBand="1"/>
      </w:tblPr>
      <w:tblGrid>
        <w:gridCol w:w="4148"/>
        <w:gridCol w:w="2444"/>
        <w:gridCol w:w="318"/>
      </w:tblGrid>
      <w:tr w:rsidR="008D1CA9" w:rsidRPr="006D0576" w:rsidTr="008F4938">
        <w:trPr>
          <w:trHeight w:val="360"/>
          <w:jc w:val="center"/>
        </w:trPr>
        <w:tc>
          <w:tcPr>
            <w:tcW w:w="41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D1CA9" w:rsidRPr="00B34FDF" w:rsidRDefault="008D1CA9" w:rsidP="008F4938">
            <w:pPr>
              <w:ind w:left="0"/>
              <w:jc w:val="center"/>
              <w:rPr>
                <w:rFonts w:ascii="Bookman Old Style" w:hAnsi="Bookman Old Style" w:cs="Calibri"/>
                <w:b/>
                <w:bCs/>
                <w:i/>
                <w:color w:val="000000"/>
                <w:sz w:val="20"/>
                <w:lang w:val="es-CO" w:eastAsia="es-CO"/>
              </w:rPr>
            </w:pPr>
            <w:r w:rsidRPr="00B34FDF">
              <w:rPr>
                <w:rFonts w:ascii="Bookman Old Style" w:hAnsi="Bookman Old Style" w:cs="Calibri"/>
                <w:b/>
                <w:bCs/>
                <w:i/>
                <w:color w:val="000000"/>
                <w:sz w:val="20"/>
                <w:lang w:val="es-CO" w:eastAsia="es-CO"/>
              </w:rPr>
              <w:t>Ingreso Anual</w:t>
            </w:r>
          </w:p>
        </w:tc>
        <w:tc>
          <w:tcPr>
            <w:tcW w:w="2447" w:type="dxa"/>
            <w:tcBorders>
              <w:top w:val="single" w:sz="4" w:space="0" w:color="auto"/>
              <w:left w:val="nil"/>
              <w:bottom w:val="single" w:sz="4" w:space="0" w:color="auto"/>
              <w:right w:val="single" w:sz="4" w:space="0" w:color="auto"/>
            </w:tcBorders>
            <w:shd w:val="clear" w:color="auto" w:fill="auto"/>
            <w:vAlign w:val="center"/>
            <w:hideMark/>
          </w:tcPr>
          <w:p w:rsidR="008D1CA9" w:rsidRPr="00B34FDF" w:rsidRDefault="008D1CA9" w:rsidP="008F4938">
            <w:pPr>
              <w:ind w:left="0"/>
              <w:jc w:val="center"/>
              <w:rPr>
                <w:rFonts w:ascii="Bookman Old Style" w:hAnsi="Bookman Old Style" w:cs="Calibri"/>
                <w:b/>
                <w:bCs/>
                <w:i/>
                <w:color w:val="000000"/>
                <w:sz w:val="20"/>
                <w:lang w:val="es-CO" w:eastAsia="es-CO"/>
              </w:rPr>
            </w:pPr>
            <w:r w:rsidRPr="00B34FDF">
              <w:rPr>
                <w:rFonts w:ascii="Bookman Old Style" w:hAnsi="Bookman Old Style" w:cs="Calibri"/>
                <w:b/>
                <w:bCs/>
                <w:i/>
                <w:color w:val="000000"/>
                <w:sz w:val="20"/>
                <w:lang w:val="es-CO" w:eastAsia="es-CO"/>
              </w:rPr>
              <w:t>Pesos de diciembre de 2008</w:t>
            </w:r>
          </w:p>
        </w:tc>
        <w:tc>
          <w:tcPr>
            <w:tcW w:w="299" w:type="dxa"/>
            <w:tcBorders>
              <w:left w:val="single" w:sz="4" w:space="0" w:color="auto"/>
            </w:tcBorders>
          </w:tcPr>
          <w:p w:rsidR="008D1CA9" w:rsidRPr="006D0576" w:rsidRDefault="008D1CA9" w:rsidP="008F4938">
            <w:pPr>
              <w:ind w:left="0"/>
              <w:jc w:val="center"/>
              <w:rPr>
                <w:rFonts w:ascii="Bookman Old Style" w:hAnsi="Bookman Old Style" w:cs="Calibri"/>
                <w:b/>
                <w:bCs/>
                <w:i/>
                <w:color w:val="000000"/>
                <w:lang w:val="es-CO" w:eastAsia="es-CO"/>
              </w:rPr>
            </w:pPr>
          </w:p>
        </w:tc>
      </w:tr>
      <w:tr w:rsidR="008D1CA9" w:rsidRPr="006D0576" w:rsidTr="008F4938">
        <w:trPr>
          <w:trHeight w:val="360"/>
          <w:jc w:val="center"/>
        </w:trPr>
        <w:tc>
          <w:tcPr>
            <w:tcW w:w="4164" w:type="dxa"/>
            <w:tcBorders>
              <w:top w:val="nil"/>
              <w:left w:val="single" w:sz="4" w:space="0" w:color="auto"/>
              <w:bottom w:val="single" w:sz="4" w:space="0" w:color="auto"/>
              <w:right w:val="single" w:sz="4" w:space="0" w:color="auto"/>
            </w:tcBorders>
            <w:shd w:val="clear" w:color="auto" w:fill="auto"/>
            <w:vAlign w:val="center"/>
            <w:hideMark/>
          </w:tcPr>
          <w:p w:rsidR="008D1CA9" w:rsidRPr="00B34FDF" w:rsidRDefault="008D1CA9" w:rsidP="008F4938">
            <w:pPr>
              <w:ind w:left="0"/>
              <w:jc w:val="center"/>
              <w:rPr>
                <w:rFonts w:ascii="Bookman Old Style" w:hAnsi="Bookman Old Style" w:cs="Calibri"/>
                <w:i/>
                <w:color w:val="000000"/>
                <w:sz w:val="20"/>
                <w:lang w:val="es-CO" w:eastAsia="es-CO"/>
              </w:rPr>
            </w:pPr>
            <w:r w:rsidRPr="00B34FDF">
              <w:rPr>
                <w:rFonts w:ascii="Bookman Old Style" w:hAnsi="Bookman Old Style" w:cs="Calibri"/>
                <w:i/>
                <w:color w:val="000000"/>
                <w:sz w:val="20"/>
                <w:lang w:val="es-CO" w:eastAsia="es-CO"/>
              </w:rPr>
              <w:t>Ingreso Anual del Transmisor  (</w:t>
            </w:r>
            <w:proofErr w:type="spellStart"/>
            <w:r w:rsidRPr="00B34FDF">
              <w:rPr>
                <w:rFonts w:ascii="Bookman Old Style" w:hAnsi="Bookman Old Style" w:cs="Calibri"/>
                <w:i/>
                <w:iCs/>
                <w:color w:val="000000"/>
                <w:sz w:val="20"/>
                <w:lang w:val="es-CO" w:eastAsia="es-CO"/>
              </w:rPr>
              <w:t>IAT</w:t>
            </w:r>
            <w:r w:rsidRPr="00B34FDF">
              <w:rPr>
                <w:rFonts w:ascii="Bookman Old Style" w:hAnsi="Bookman Old Style" w:cs="Calibri"/>
                <w:i/>
                <w:iCs/>
                <w:color w:val="000000"/>
                <w:sz w:val="20"/>
                <w:vertAlign w:val="subscript"/>
                <w:lang w:val="es-CO" w:eastAsia="es-CO"/>
              </w:rPr>
              <w:t>j</w:t>
            </w:r>
            <w:proofErr w:type="spellEnd"/>
            <w:r w:rsidRPr="00B34FDF">
              <w:rPr>
                <w:rFonts w:ascii="Bookman Old Style" w:hAnsi="Bookman Old Style" w:cs="Calibri"/>
                <w:i/>
                <w:color w:val="000000"/>
                <w:sz w:val="20"/>
                <w:lang w:val="es-CO" w:eastAsia="es-CO"/>
              </w:rPr>
              <w:t>)</w:t>
            </w:r>
          </w:p>
        </w:tc>
        <w:tc>
          <w:tcPr>
            <w:tcW w:w="2447" w:type="dxa"/>
            <w:tcBorders>
              <w:top w:val="single" w:sz="4" w:space="0" w:color="auto"/>
              <w:left w:val="nil"/>
              <w:bottom w:val="single" w:sz="4" w:space="0" w:color="auto"/>
              <w:right w:val="single" w:sz="4" w:space="0" w:color="auto"/>
            </w:tcBorders>
            <w:shd w:val="clear" w:color="auto" w:fill="auto"/>
            <w:vAlign w:val="center"/>
            <w:hideMark/>
          </w:tcPr>
          <w:p w:rsidR="008D1CA9" w:rsidRPr="00B34FDF" w:rsidRDefault="008D1CA9" w:rsidP="008F4938">
            <w:pPr>
              <w:ind w:left="0"/>
              <w:jc w:val="center"/>
              <w:rPr>
                <w:rFonts w:ascii="Bookman Old Style" w:hAnsi="Bookman Old Style" w:cs="Calibri"/>
                <w:i/>
                <w:color w:val="000000"/>
                <w:sz w:val="20"/>
                <w:lang w:val="es-CO" w:eastAsia="es-CO"/>
              </w:rPr>
            </w:pPr>
            <w:r w:rsidRPr="00B34FDF">
              <w:rPr>
                <w:rFonts w:ascii="Bookman Old Style" w:hAnsi="Bookman Old Style" w:cs="Calibri"/>
                <w:i/>
                <w:color w:val="000000"/>
                <w:sz w:val="20"/>
                <w:lang w:val="es-CO" w:eastAsia="es-CO"/>
              </w:rPr>
              <w:t>106.028.501.336</w:t>
            </w:r>
          </w:p>
        </w:tc>
        <w:tc>
          <w:tcPr>
            <w:tcW w:w="299" w:type="dxa"/>
            <w:tcBorders>
              <w:top w:val="nil"/>
              <w:left w:val="single" w:sz="4" w:space="0" w:color="auto"/>
            </w:tcBorders>
          </w:tcPr>
          <w:p w:rsidR="008D1CA9" w:rsidRPr="006D0576" w:rsidRDefault="008D1CA9" w:rsidP="008F4938">
            <w:pPr>
              <w:ind w:left="0"/>
              <w:jc w:val="center"/>
              <w:rPr>
                <w:rFonts w:ascii="Bookman Old Style" w:hAnsi="Bookman Old Style" w:cs="Calibri"/>
                <w:i/>
                <w:color w:val="000000"/>
                <w:lang w:val="es-CO" w:eastAsia="es-CO"/>
              </w:rPr>
            </w:pPr>
            <w:r w:rsidRPr="006D0576">
              <w:rPr>
                <w:rFonts w:ascii="Bookman Old Style" w:hAnsi="Bookman Old Style" w:cs="Calibri"/>
                <w:i/>
                <w:color w:val="FFFFFF"/>
                <w:lang w:val="es-CO" w:eastAsia="es-CO"/>
              </w:rPr>
              <w:t>.</w:t>
            </w:r>
            <w:r w:rsidRPr="006D0576">
              <w:rPr>
                <w:rFonts w:ascii="Bookman Old Style" w:hAnsi="Bookman Old Style" w:cs="Calibri"/>
                <w:i/>
                <w:color w:val="000000"/>
                <w:lang w:val="es-CO" w:eastAsia="es-CO"/>
              </w:rPr>
              <w:t>”</w:t>
            </w:r>
          </w:p>
        </w:tc>
      </w:tr>
    </w:tbl>
    <w:p w:rsidR="008D1CA9" w:rsidRPr="006D0576" w:rsidRDefault="008D1CA9" w:rsidP="008D1CA9">
      <w:pPr>
        <w:pStyle w:val="Prrafodelista"/>
        <w:ind w:left="0"/>
        <w:rPr>
          <w:rFonts w:ascii="Bookman Old Style" w:hAnsi="Bookman Old Style"/>
          <w:sz w:val="24"/>
          <w:szCs w:val="24"/>
        </w:rPr>
      </w:pPr>
      <w:r w:rsidRPr="006D0576">
        <w:rPr>
          <w:rFonts w:ascii="Bookman Old Style" w:hAnsi="Bookman Old Style"/>
          <w:sz w:val="24"/>
          <w:szCs w:val="24"/>
        </w:rPr>
        <w:t xml:space="preserve"> </w:t>
      </w:r>
    </w:p>
    <w:p w:rsidR="008D1CA9" w:rsidRPr="006D0576" w:rsidRDefault="008D1CA9" w:rsidP="008D1CA9">
      <w:pPr>
        <w:pStyle w:val="Prrafodelista"/>
        <w:ind w:left="0"/>
        <w:jc w:val="both"/>
        <w:rPr>
          <w:rFonts w:ascii="Bookman Old Style" w:hAnsi="Bookman Old Style"/>
          <w:sz w:val="24"/>
          <w:szCs w:val="24"/>
        </w:rPr>
      </w:pPr>
    </w:p>
    <w:p w:rsidR="008D1CA9" w:rsidRPr="006D0576" w:rsidRDefault="008D1CA9" w:rsidP="008D1CA9">
      <w:pPr>
        <w:pStyle w:val="Prrafodelista"/>
        <w:numPr>
          <w:ilvl w:val="0"/>
          <w:numId w:val="18"/>
        </w:numPr>
        <w:jc w:val="both"/>
        <w:rPr>
          <w:rFonts w:ascii="Bookman Old Style" w:hAnsi="Bookman Old Style"/>
          <w:sz w:val="24"/>
          <w:szCs w:val="24"/>
        </w:rPr>
      </w:pPr>
      <w:r w:rsidRPr="006D0576">
        <w:rPr>
          <w:rFonts w:ascii="Bookman Old Style" w:hAnsi="Bookman Old Style"/>
          <w:sz w:val="24"/>
          <w:szCs w:val="24"/>
          <w:lang w:val="es-ES"/>
        </w:rPr>
        <w:t>Modificar el Artículo 4 de la Resolución CREG 107 de 2011, modificado por las Resoluciones CREG 061 de 2011 y CREG 105 de 2011, el cual quedará así:</w:t>
      </w:r>
    </w:p>
    <w:p w:rsidR="008D1CA9" w:rsidRPr="006D0576" w:rsidRDefault="008D1CA9" w:rsidP="008D1CA9">
      <w:pPr>
        <w:pStyle w:val="Prrafodelista"/>
        <w:ind w:left="0"/>
        <w:rPr>
          <w:rFonts w:ascii="Bookman Old Style" w:hAnsi="Bookman Old Style"/>
          <w:sz w:val="24"/>
          <w:szCs w:val="24"/>
        </w:rPr>
      </w:pPr>
    </w:p>
    <w:p w:rsidR="008D1CA9" w:rsidRPr="006D0576" w:rsidRDefault="008D1CA9" w:rsidP="008D1CA9">
      <w:pPr>
        <w:ind w:left="426" w:right="425"/>
        <w:jc w:val="both"/>
        <w:rPr>
          <w:rFonts w:ascii="Bookman Old Style" w:hAnsi="Bookman Old Style" w:cs="Arial"/>
          <w:i/>
        </w:rPr>
      </w:pPr>
      <w:r w:rsidRPr="006D0576">
        <w:rPr>
          <w:rFonts w:ascii="Bookman Old Style" w:hAnsi="Bookman Old Style" w:cs="Arial"/>
          <w:i/>
        </w:rPr>
        <w:t>“</w:t>
      </w:r>
      <w:r w:rsidRPr="006D0576">
        <w:rPr>
          <w:rFonts w:ascii="Bookman Old Style" w:hAnsi="Bookman Old Style" w:cs="Arial"/>
          <w:b/>
          <w:i/>
        </w:rPr>
        <w:t>Artículo 4. Costo de Reposición de los Activos Eléctricos.</w:t>
      </w:r>
      <w:r w:rsidRPr="006D0576">
        <w:rPr>
          <w:rFonts w:ascii="Bookman Old Style" w:hAnsi="Bookman Old Style" w:cs="Arial"/>
          <w:i/>
        </w:rPr>
        <w:t xml:space="preserve"> El costo de reposición de los activos eléctricos (</w:t>
      </w:r>
      <w:proofErr w:type="spellStart"/>
      <w:r w:rsidRPr="006D0576">
        <w:rPr>
          <w:rFonts w:ascii="Bookman Old Style" w:hAnsi="Bookman Old Style" w:cs="Arial"/>
          <w:i/>
        </w:rPr>
        <w:t>CRE</w:t>
      </w:r>
      <w:r w:rsidRPr="006D0576">
        <w:rPr>
          <w:rFonts w:ascii="Bookman Old Style" w:hAnsi="Bookman Old Style" w:cs="Arial"/>
          <w:i/>
          <w:vertAlign w:val="subscript"/>
        </w:rPr>
        <w:t>j</w:t>
      </w:r>
      <w:proofErr w:type="spellEnd"/>
      <w:r w:rsidRPr="006D0576">
        <w:rPr>
          <w:rFonts w:ascii="Bookman Old Style" w:hAnsi="Bookman Old Style" w:cs="Arial"/>
          <w:i/>
        </w:rPr>
        <w:t xml:space="preserve">) remunerados mediante cargos por uso a </w:t>
      </w:r>
      <w:proofErr w:type="spellStart"/>
      <w:r w:rsidRPr="006D0576">
        <w:rPr>
          <w:rFonts w:ascii="Bookman Old Style" w:hAnsi="Bookman Old Style" w:cs="Arial"/>
          <w:i/>
        </w:rPr>
        <w:t>Transelca</w:t>
      </w:r>
      <w:proofErr w:type="spellEnd"/>
      <w:r w:rsidRPr="006D0576">
        <w:rPr>
          <w:rFonts w:ascii="Bookman Old Style" w:hAnsi="Bookman Old Style" w:cs="Arial"/>
          <w:i/>
        </w:rPr>
        <w:t xml:space="preserve"> S.A. E.S.P., calculado con la base de activos al que hace referencia el artículo 3 de la presente Resolución y de acuerdo con lo señalado en la Resolución CREG 011 de 2009 es:</w:t>
      </w:r>
    </w:p>
    <w:p w:rsidR="008D1CA9" w:rsidRPr="006D0576" w:rsidRDefault="008D1CA9" w:rsidP="008D1CA9">
      <w:pPr>
        <w:ind w:left="0"/>
        <w:jc w:val="both"/>
        <w:rPr>
          <w:rFonts w:ascii="Bookman Old Style" w:hAnsi="Bookman Old Style"/>
        </w:rPr>
      </w:pPr>
    </w:p>
    <w:tbl>
      <w:tblPr>
        <w:tblW w:w="0" w:type="auto"/>
        <w:jc w:val="center"/>
        <w:tblInd w:w="-10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64"/>
        <w:gridCol w:w="2534"/>
      </w:tblGrid>
      <w:tr w:rsidR="008D1CA9" w:rsidRPr="006D0576" w:rsidTr="008F4938">
        <w:trPr>
          <w:trHeight w:val="346"/>
          <w:jc w:val="center"/>
        </w:trPr>
        <w:tc>
          <w:tcPr>
            <w:tcW w:w="5164" w:type="dxa"/>
            <w:vAlign w:val="center"/>
          </w:tcPr>
          <w:p w:rsidR="008D1CA9" w:rsidRPr="00B34FDF" w:rsidRDefault="008D1CA9" w:rsidP="008F4938">
            <w:pPr>
              <w:tabs>
                <w:tab w:val="center" w:pos="4680"/>
              </w:tabs>
              <w:ind w:left="0"/>
              <w:jc w:val="center"/>
              <w:rPr>
                <w:rFonts w:ascii="Bookman Old Style" w:hAnsi="Bookman Old Style" w:cs="Arial"/>
                <w:b/>
                <w:i/>
                <w:spacing w:val="-3"/>
                <w:sz w:val="20"/>
              </w:rPr>
            </w:pPr>
            <w:r w:rsidRPr="00B34FDF">
              <w:rPr>
                <w:rFonts w:ascii="Bookman Old Style" w:hAnsi="Bookman Old Style" w:cs="Arial"/>
                <w:b/>
                <w:i/>
                <w:spacing w:val="-3"/>
                <w:sz w:val="20"/>
              </w:rPr>
              <w:t>Costo de Reposición</w:t>
            </w:r>
          </w:p>
        </w:tc>
        <w:tc>
          <w:tcPr>
            <w:tcW w:w="2534" w:type="dxa"/>
            <w:vAlign w:val="center"/>
          </w:tcPr>
          <w:p w:rsidR="008D1CA9" w:rsidRPr="00B34FDF" w:rsidRDefault="008D1CA9" w:rsidP="008F4938">
            <w:pPr>
              <w:tabs>
                <w:tab w:val="center" w:pos="4680"/>
              </w:tabs>
              <w:ind w:left="42"/>
              <w:jc w:val="center"/>
              <w:rPr>
                <w:rFonts w:ascii="Bookman Old Style" w:hAnsi="Bookman Old Style" w:cs="Arial"/>
                <w:b/>
                <w:i/>
                <w:spacing w:val="-3"/>
                <w:sz w:val="20"/>
              </w:rPr>
            </w:pPr>
            <w:r w:rsidRPr="00B34FDF">
              <w:rPr>
                <w:rFonts w:ascii="Bookman Old Style" w:hAnsi="Bookman Old Style" w:cs="Arial"/>
                <w:b/>
                <w:i/>
                <w:spacing w:val="-3"/>
                <w:sz w:val="20"/>
              </w:rPr>
              <w:t>Pesos de diciembre de 2008</w:t>
            </w:r>
          </w:p>
        </w:tc>
      </w:tr>
      <w:tr w:rsidR="008D1CA9" w:rsidRPr="006D0576" w:rsidTr="008F4938">
        <w:trPr>
          <w:trHeight w:val="346"/>
          <w:jc w:val="center"/>
        </w:trPr>
        <w:tc>
          <w:tcPr>
            <w:tcW w:w="5164" w:type="dxa"/>
            <w:vAlign w:val="center"/>
          </w:tcPr>
          <w:p w:rsidR="008D1CA9" w:rsidRPr="00B34FDF" w:rsidRDefault="008D1CA9" w:rsidP="008F4938">
            <w:pPr>
              <w:tabs>
                <w:tab w:val="center" w:pos="4680"/>
              </w:tabs>
              <w:ind w:left="0"/>
              <w:jc w:val="both"/>
              <w:rPr>
                <w:rFonts w:ascii="Bookman Old Style" w:hAnsi="Bookman Old Style" w:cs="Arial"/>
                <w:i/>
                <w:spacing w:val="-3"/>
                <w:sz w:val="20"/>
              </w:rPr>
            </w:pPr>
            <w:r w:rsidRPr="00B34FDF">
              <w:rPr>
                <w:rFonts w:ascii="Bookman Old Style" w:hAnsi="Bookman Old Style" w:cs="Arial"/>
                <w:i/>
                <w:spacing w:val="-3"/>
                <w:sz w:val="20"/>
              </w:rPr>
              <w:t>Costo de reposición de activos eléctricos</w:t>
            </w:r>
            <w:r w:rsidRPr="00B34FDF">
              <w:rPr>
                <w:rFonts w:ascii="Bookman Old Style" w:hAnsi="Bookman Old Style" w:cs="Arial"/>
                <w:i/>
                <w:sz w:val="20"/>
              </w:rPr>
              <w:t xml:space="preserve"> (</w:t>
            </w:r>
            <w:proofErr w:type="spellStart"/>
            <w:r w:rsidRPr="00B34FDF">
              <w:rPr>
                <w:rFonts w:ascii="Bookman Old Style" w:hAnsi="Bookman Old Style" w:cs="Arial"/>
                <w:i/>
                <w:sz w:val="20"/>
              </w:rPr>
              <w:t>CRE</w:t>
            </w:r>
            <w:r w:rsidRPr="00B34FDF">
              <w:rPr>
                <w:rFonts w:ascii="Bookman Old Style" w:hAnsi="Bookman Old Style" w:cs="Arial"/>
                <w:i/>
                <w:sz w:val="20"/>
                <w:vertAlign w:val="subscript"/>
              </w:rPr>
              <w:t>j</w:t>
            </w:r>
            <w:proofErr w:type="spellEnd"/>
            <w:r w:rsidRPr="00B34FDF">
              <w:rPr>
                <w:rFonts w:ascii="Bookman Old Style" w:hAnsi="Bookman Old Style" w:cs="Arial"/>
                <w:i/>
                <w:sz w:val="20"/>
              </w:rPr>
              <w:t>)</w:t>
            </w:r>
          </w:p>
        </w:tc>
        <w:tc>
          <w:tcPr>
            <w:tcW w:w="2534" w:type="dxa"/>
            <w:vAlign w:val="center"/>
          </w:tcPr>
          <w:p w:rsidR="008D1CA9" w:rsidRPr="00B34FDF" w:rsidRDefault="008D1CA9" w:rsidP="008F4938">
            <w:pPr>
              <w:tabs>
                <w:tab w:val="center" w:pos="4680"/>
              </w:tabs>
              <w:ind w:left="0"/>
              <w:jc w:val="center"/>
              <w:rPr>
                <w:rFonts w:ascii="Bookman Old Style" w:hAnsi="Bookman Old Style" w:cs="Arial"/>
                <w:i/>
                <w:spacing w:val="-3"/>
                <w:sz w:val="20"/>
              </w:rPr>
            </w:pPr>
            <w:r w:rsidRPr="00B34FDF">
              <w:rPr>
                <w:rFonts w:ascii="Bookman Old Style" w:hAnsi="Bookman Old Style" w:cs="Arial"/>
                <w:i/>
                <w:spacing w:val="-3"/>
                <w:sz w:val="20"/>
              </w:rPr>
              <w:t>650.184.180.018</w:t>
            </w:r>
          </w:p>
        </w:tc>
      </w:tr>
    </w:tbl>
    <w:p w:rsidR="008D1CA9" w:rsidRPr="006D0576" w:rsidRDefault="008D1CA9" w:rsidP="008D1CA9">
      <w:pPr>
        <w:ind w:left="426" w:right="425"/>
        <w:jc w:val="both"/>
        <w:rPr>
          <w:rFonts w:ascii="Bookman Old Style" w:hAnsi="Bookman Old Style" w:cs="Arial"/>
          <w:i/>
        </w:rPr>
      </w:pPr>
    </w:p>
    <w:p w:rsidR="008D1CA9" w:rsidRPr="006D0576" w:rsidRDefault="008D1CA9" w:rsidP="008D1CA9">
      <w:pPr>
        <w:ind w:left="426" w:right="425"/>
        <w:jc w:val="both"/>
        <w:rPr>
          <w:rFonts w:ascii="Bookman Old Style" w:hAnsi="Bookman Old Style" w:cs="Arial"/>
          <w:i/>
        </w:rPr>
      </w:pPr>
      <w:bookmarkStart w:id="1" w:name="_Ref188082874"/>
      <w:r w:rsidRPr="006D0576">
        <w:rPr>
          <w:rFonts w:ascii="Bookman Old Style" w:hAnsi="Bookman Old Style" w:cs="Arial"/>
          <w:i/>
        </w:rPr>
        <w:t>La base de activos y los valores aquí aprobados resultan de las variables y de la información que se identifican en la parte motiva de este acto y de las contenidas en el documento soporte.</w:t>
      </w:r>
      <w:bookmarkEnd w:id="1"/>
      <w:r w:rsidRPr="006D0576">
        <w:rPr>
          <w:rFonts w:ascii="Bookman Old Style" w:hAnsi="Bookman Old Style" w:cs="Arial"/>
          <w:i/>
        </w:rPr>
        <w:t>”</w:t>
      </w:r>
    </w:p>
    <w:p w:rsidR="008D1CA9" w:rsidRPr="006D0576" w:rsidRDefault="008D1CA9" w:rsidP="008D1CA9">
      <w:pPr>
        <w:jc w:val="both"/>
        <w:rPr>
          <w:rFonts w:ascii="Bookman Old Style" w:hAnsi="Bookman Old Style" w:cs="Arial"/>
        </w:rPr>
      </w:pPr>
    </w:p>
    <w:p w:rsidR="008D1CA9" w:rsidRPr="006D0576" w:rsidRDefault="008D1CA9" w:rsidP="008D1CA9">
      <w:pPr>
        <w:pStyle w:val="Prrafodelista"/>
        <w:numPr>
          <w:ilvl w:val="0"/>
          <w:numId w:val="18"/>
        </w:numPr>
        <w:jc w:val="both"/>
        <w:rPr>
          <w:rFonts w:ascii="Bookman Old Style" w:hAnsi="Bookman Old Style"/>
          <w:sz w:val="24"/>
          <w:szCs w:val="24"/>
        </w:rPr>
      </w:pPr>
      <w:r w:rsidRPr="006D0576">
        <w:rPr>
          <w:rFonts w:ascii="Bookman Old Style" w:hAnsi="Bookman Old Style"/>
          <w:sz w:val="24"/>
          <w:szCs w:val="24"/>
        </w:rPr>
        <w:t xml:space="preserve">La presente Resolución deberá notificarse a </w:t>
      </w:r>
      <w:proofErr w:type="spellStart"/>
      <w:r w:rsidRPr="006D0576">
        <w:rPr>
          <w:rFonts w:ascii="Bookman Old Style" w:hAnsi="Bookman Old Style"/>
          <w:sz w:val="24"/>
          <w:szCs w:val="24"/>
        </w:rPr>
        <w:t>Transelca</w:t>
      </w:r>
      <w:proofErr w:type="spellEnd"/>
      <w:r w:rsidRPr="006D0576">
        <w:rPr>
          <w:rFonts w:ascii="Bookman Old Style" w:hAnsi="Bookman Old Style"/>
          <w:sz w:val="24"/>
          <w:szCs w:val="24"/>
        </w:rPr>
        <w:t xml:space="preserve"> S.A. E.S.P. y publicarse en el </w:t>
      </w:r>
      <w:r w:rsidRPr="006D0576">
        <w:rPr>
          <w:rFonts w:ascii="Bookman Old Style" w:hAnsi="Bookman Old Style"/>
          <w:i/>
          <w:sz w:val="24"/>
          <w:szCs w:val="24"/>
        </w:rPr>
        <w:t>Diario Oficial</w:t>
      </w:r>
      <w:r w:rsidRPr="006D0576">
        <w:rPr>
          <w:rFonts w:ascii="Bookman Old Style" w:hAnsi="Bookman Old Style"/>
          <w:sz w:val="24"/>
          <w:szCs w:val="24"/>
        </w:rPr>
        <w:t>. Contra lo dispuesto en este acto procede el recurso de reposición, el cual se podrá interponer ante la Dirección Ejecutiva de la CREG dentro de los cinco (5) días hábiles siguientes a la fecha de su notificación.</w:t>
      </w:r>
    </w:p>
    <w:p w:rsidR="008D1CA9" w:rsidRPr="006D0576" w:rsidRDefault="008D1CA9" w:rsidP="008D1CA9">
      <w:pPr>
        <w:ind w:left="0"/>
        <w:jc w:val="both"/>
        <w:rPr>
          <w:lang w:val="es-CO"/>
        </w:rPr>
      </w:pPr>
    </w:p>
    <w:p w:rsidR="00E01463" w:rsidRPr="006D0576" w:rsidRDefault="00E01463" w:rsidP="00E01463">
      <w:pPr>
        <w:rPr>
          <w:lang w:eastAsia="ar-SA"/>
        </w:rPr>
      </w:pPr>
    </w:p>
    <w:p w:rsidR="00E01463" w:rsidRPr="006D0576" w:rsidRDefault="0062705F" w:rsidP="00E01463">
      <w:pPr>
        <w:jc w:val="center"/>
        <w:rPr>
          <w:lang w:eastAsia="ar-SA"/>
        </w:rPr>
      </w:pPr>
      <w:r w:rsidRPr="006D0576">
        <w:rPr>
          <w:rFonts w:ascii="Bookman Old Style" w:hAnsi="Bookman Old Style" w:cs="Arial"/>
          <w:b/>
        </w:rPr>
        <w:t xml:space="preserve">NOTIFÍQUESE, </w:t>
      </w:r>
      <w:r w:rsidR="00E01463" w:rsidRPr="006D0576">
        <w:rPr>
          <w:rFonts w:ascii="Bookman Old Style" w:hAnsi="Bookman Old Style" w:cs="Arial"/>
          <w:b/>
        </w:rPr>
        <w:t>PUBLÍQUESE Y CÚMPLASE</w:t>
      </w:r>
    </w:p>
    <w:p w:rsidR="00E01463" w:rsidRPr="006D0576" w:rsidRDefault="00E01463" w:rsidP="00E01463">
      <w:pPr>
        <w:rPr>
          <w:rFonts w:ascii="Bookman Old Style" w:hAnsi="Bookman Old Style" w:cs="Arial"/>
        </w:rPr>
      </w:pPr>
    </w:p>
    <w:p w:rsidR="00E01463" w:rsidRPr="006D0576" w:rsidRDefault="00E01463" w:rsidP="00E01463">
      <w:pPr>
        <w:ind w:left="0"/>
        <w:rPr>
          <w:rFonts w:ascii="Bookman Old Style" w:hAnsi="Bookman Old Style" w:cs="Arial"/>
        </w:rPr>
      </w:pPr>
      <w:r w:rsidRPr="006D0576">
        <w:rPr>
          <w:rFonts w:ascii="Bookman Old Style" w:hAnsi="Bookman Old Style" w:cs="Arial"/>
        </w:rPr>
        <w:t>Dada en Bogotá, D.C.</w:t>
      </w:r>
    </w:p>
    <w:p w:rsidR="00E01463" w:rsidRPr="006D0576" w:rsidRDefault="00E01463" w:rsidP="00E01463">
      <w:pPr>
        <w:rPr>
          <w:rFonts w:ascii="Bookman Old Style" w:hAnsi="Bookman Old Style" w:cs="Arial"/>
        </w:rPr>
      </w:pPr>
    </w:p>
    <w:p w:rsidR="00E01463" w:rsidRPr="006D0576" w:rsidRDefault="00E01463" w:rsidP="00E01463">
      <w:pPr>
        <w:rPr>
          <w:rFonts w:ascii="Bookman Old Style" w:hAnsi="Bookman Old Style" w:cs="Arial"/>
        </w:rPr>
      </w:pPr>
    </w:p>
    <w:p w:rsidR="00E01463" w:rsidRPr="006D0576" w:rsidRDefault="00E01463" w:rsidP="00E01463">
      <w:pPr>
        <w:rPr>
          <w:rFonts w:ascii="Bookman Old Style" w:hAnsi="Bookman Old Style" w:cs="Arial"/>
        </w:rPr>
      </w:pPr>
    </w:p>
    <w:p w:rsidR="00E01463" w:rsidRPr="006D0576" w:rsidRDefault="00E01463" w:rsidP="00E01463">
      <w:pPr>
        <w:rPr>
          <w:rFonts w:ascii="Bookman Old Style" w:hAnsi="Bookman Old Style" w:cs="Arial"/>
        </w:rPr>
      </w:pPr>
    </w:p>
    <w:p w:rsidR="00E01463" w:rsidRPr="006D0576" w:rsidRDefault="00E01463" w:rsidP="00E01463">
      <w:pPr>
        <w:rPr>
          <w:rFonts w:ascii="Bookman Old Style" w:hAnsi="Bookman Old Style" w:cs="Arial"/>
        </w:rPr>
      </w:pPr>
    </w:p>
    <w:tbl>
      <w:tblPr>
        <w:tblW w:w="0" w:type="auto"/>
        <w:jc w:val="center"/>
        <w:tblInd w:w="-187" w:type="dxa"/>
        <w:tblLayout w:type="fixed"/>
        <w:tblCellMar>
          <w:left w:w="70" w:type="dxa"/>
          <w:right w:w="70" w:type="dxa"/>
        </w:tblCellMar>
        <w:tblLook w:val="0000" w:firstRow="0" w:lastRow="0" w:firstColumn="0" w:lastColumn="0" w:noHBand="0" w:noVBand="0"/>
      </w:tblPr>
      <w:tblGrid>
        <w:gridCol w:w="4962"/>
        <w:gridCol w:w="4207"/>
      </w:tblGrid>
      <w:tr w:rsidR="00E01463" w:rsidRPr="006D0576" w:rsidTr="00B34FDF">
        <w:trPr>
          <w:trHeight w:val="391"/>
          <w:jc w:val="center"/>
        </w:trPr>
        <w:tc>
          <w:tcPr>
            <w:tcW w:w="4962" w:type="dxa"/>
            <w:vAlign w:val="center"/>
          </w:tcPr>
          <w:p w:rsidR="00E01463" w:rsidRPr="006D0576" w:rsidRDefault="0006797A" w:rsidP="00E01463">
            <w:pPr>
              <w:snapToGrid w:val="0"/>
              <w:ind w:left="0" w:firstLine="27"/>
              <w:jc w:val="center"/>
              <w:rPr>
                <w:rFonts w:ascii="Bookman Old Style" w:hAnsi="Bookman Old Style" w:cs="Arial"/>
                <w:b/>
                <w:spacing w:val="-3"/>
              </w:rPr>
            </w:pPr>
            <w:r>
              <w:rPr>
                <w:rFonts w:ascii="Bookman Old Style" w:hAnsi="Bookman Old Style" w:cs="Arial"/>
                <w:b/>
                <w:spacing w:val="-3"/>
              </w:rPr>
              <w:t>FEDERICO RENJIFO VELEZ</w:t>
            </w:r>
          </w:p>
        </w:tc>
        <w:tc>
          <w:tcPr>
            <w:tcW w:w="4207" w:type="dxa"/>
            <w:vAlign w:val="center"/>
          </w:tcPr>
          <w:p w:rsidR="00E01463" w:rsidRPr="006D0576" w:rsidRDefault="00116CF2" w:rsidP="00E01463">
            <w:pPr>
              <w:snapToGrid w:val="0"/>
              <w:ind w:left="72"/>
              <w:jc w:val="center"/>
              <w:rPr>
                <w:rFonts w:ascii="Bookman Old Style" w:hAnsi="Bookman Old Style" w:cs="Arial"/>
                <w:b/>
                <w:spacing w:val="-3"/>
              </w:rPr>
            </w:pPr>
            <w:r w:rsidRPr="006D0576">
              <w:rPr>
                <w:rFonts w:ascii="Bookman Old Style" w:hAnsi="Bookman Old Style" w:cs="Arial"/>
                <w:b/>
                <w:spacing w:val="-3"/>
              </w:rPr>
              <w:t>GERMÁN CASTRO FERREIRA</w:t>
            </w:r>
          </w:p>
        </w:tc>
      </w:tr>
      <w:tr w:rsidR="00E01463" w:rsidRPr="006D0576" w:rsidTr="00B34FDF">
        <w:trPr>
          <w:trHeight w:val="349"/>
          <w:jc w:val="center"/>
        </w:trPr>
        <w:tc>
          <w:tcPr>
            <w:tcW w:w="4962" w:type="dxa"/>
          </w:tcPr>
          <w:p w:rsidR="00E01463" w:rsidRPr="006D0576" w:rsidRDefault="0006797A" w:rsidP="00116CF2">
            <w:pPr>
              <w:snapToGrid w:val="0"/>
              <w:ind w:left="0" w:firstLine="27"/>
              <w:jc w:val="center"/>
              <w:rPr>
                <w:rFonts w:ascii="Bookman Old Style" w:hAnsi="Bookman Old Style" w:cs="Arial"/>
                <w:spacing w:val="-3"/>
              </w:rPr>
            </w:pPr>
            <w:r>
              <w:rPr>
                <w:rFonts w:ascii="Bookman Old Style" w:hAnsi="Bookman Old Style" w:cs="Arial"/>
                <w:spacing w:val="-3"/>
              </w:rPr>
              <w:t>M</w:t>
            </w:r>
            <w:r w:rsidR="00E01463" w:rsidRPr="006D0576">
              <w:rPr>
                <w:rFonts w:ascii="Bookman Old Style" w:hAnsi="Bookman Old Style" w:cs="Arial"/>
                <w:spacing w:val="-3"/>
              </w:rPr>
              <w:t xml:space="preserve">inistro de </w:t>
            </w:r>
            <w:r>
              <w:rPr>
                <w:rFonts w:ascii="Bookman Old Style" w:hAnsi="Bookman Old Style" w:cs="Arial"/>
                <w:spacing w:val="-3"/>
              </w:rPr>
              <w:t xml:space="preserve">Minas y </w:t>
            </w:r>
            <w:r w:rsidR="00E01463" w:rsidRPr="006D0576">
              <w:rPr>
                <w:rFonts w:ascii="Bookman Old Style" w:hAnsi="Bookman Old Style" w:cs="Arial"/>
                <w:spacing w:val="-3"/>
              </w:rPr>
              <w:t>Energía</w:t>
            </w:r>
          </w:p>
        </w:tc>
        <w:tc>
          <w:tcPr>
            <w:tcW w:w="4207" w:type="dxa"/>
          </w:tcPr>
          <w:p w:rsidR="00E01463" w:rsidRPr="006D0576" w:rsidRDefault="00E01463" w:rsidP="00F16A43">
            <w:pPr>
              <w:tabs>
                <w:tab w:val="left" w:pos="-720"/>
              </w:tabs>
              <w:snapToGrid w:val="0"/>
              <w:jc w:val="center"/>
              <w:rPr>
                <w:rFonts w:ascii="Bookman Old Style" w:hAnsi="Bookman Old Style" w:cs="Arial"/>
                <w:spacing w:val="-3"/>
              </w:rPr>
            </w:pPr>
            <w:r w:rsidRPr="006D0576">
              <w:rPr>
                <w:rFonts w:ascii="Bookman Old Style" w:hAnsi="Bookman Old Style" w:cs="Arial"/>
                <w:spacing w:val="-3"/>
              </w:rPr>
              <w:t>Director Ejecutivo</w:t>
            </w:r>
          </w:p>
        </w:tc>
      </w:tr>
      <w:tr w:rsidR="00E01463" w:rsidRPr="006D0576" w:rsidTr="00B34FDF">
        <w:trPr>
          <w:jc w:val="center"/>
        </w:trPr>
        <w:tc>
          <w:tcPr>
            <w:tcW w:w="4962" w:type="dxa"/>
          </w:tcPr>
          <w:p w:rsidR="00E01463" w:rsidRPr="006D0576" w:rsidRDefault="0006797A" w:rsidP="00E01463">
            <w:pPr>
              <w:snapToGrid w:val="0"/>
              <w:ind w:left="0" w:firstLine="27"/>
              <w:jc w:val="center"/>
              <w:rPr>
                <w:rFonts w:ascii="Bookman Old Style" w:hAnsi="Bookman Old Style" w:cs="Arial"/>
                <w:spacing w:val="-3"/>
              </w:rPr>
            </w:pPr>
            <w:r>
              <w:rPr>
                <w:rFonts w:ascii="Bookman Old Style" w:hAnsi="Bookman Old Style" w:cs="Arial"/>
                <w:spacing w:val="-3"/>
              </w:rPr>
              <w:t>Presidente</w:t>
            </w:r>
          </w:p>
        </w:tc>
        <w:tc>
          <w:tcPr>
            <w:tcW w:w="4207" w:type="dxa"/>
          </w:tcPr>
          <w:p w:rsidR="00E01463" w:rsidRPr="006D0576" w:rsidRDefault="00E01463" w:rsidP="00F16A43">
            <w:pPr>
              <w:tabs>
                <w:tab w:val="left" w:pos="-720"/>
              </w:tabs>
              <w:snapToGrid w:val="0"/>
              <w:jc w:val="center"/>
              <w:rPr>
                <w:rFonts w:ascii="Bookman Old Style" w:hAnsi="Bookman Old Style" w:cs="Arial"/>
                <w:spacing w:val="-3"/>
              </w:rPr>
            </w:pPr>
          </w:p>
        </w:tc>
      </w:tr>
      <w:tr w:rsidR="00E01463" w:rsidRPr="006D0576" w:rsidTr="00B34FDF">
        <w:trPr>
          <w:jc w:val="center"/>
        </w:trPr>
        <w:tc>
          <w:tcPr>
            <w:tcW w:w="4962" w:type="dxa"/>
          </w:tcPr>
          <w:p w:rsidR="00E01463" w:rsidRPr="006D0576" w:rsidRDefault="00E01463" w:rsidP="00E01463">
            <w:pPr>
              <w:snapToGrid w:val="0"/>
              <w:ind w:left="0" w:firstLine="27"/>
              <w:jc w:val="center"/>
              <w:rPr>
                <w:rFonts w:ascii="Bookman Old Style" w:hAnsi="Bookman Old Style" w:cs="Arial"/>
                <w:spacing w:val="-3"/>
              </w:rPr>
            </w:pPr>
          </w:p>
        </w:tc>
        <w:tc>
          <w:tcPr>
            <w:tcW w:w="4207" w:type="dxa"/>
          </w:tcPr>
          <w:p w:rsidR="00E01463" w:rsidRPr="006D0576" w:rsidRDefault="00E01463" w:rsidP="00F16A43">
            <w:pPr>
              <w:tabs>
                <w:tab w:val="left" w:pos="-720"/>
              </w:tabs>
              <w:snapToGrid w:val="0"/>
              <w:jc w:val="center"/>
              <w:rPr>
                <w:rFonts w:ascii="Bookman Old Style" w:hAnsi="Bookman Old Style" w:cs="Arial"/>
                <w:spacing w:val="-3"/>
              </w:rPr>
            </w:pPr>
          </w:p>
        </w:tc>
      </w:tr>
    </w:tbl>
    <w:p w:rsidR="00E01463" w:rsidRPr="006D0576" w:rsidRDefault="00E01463" w:rsidP="00D60925">
      <w:pPr>
        <w:tabs>
          <w:tab w:val="center" w:pos="4512"/>
          <w:tab w:val="left" w:pos="7088"/>
        </w:tabs>
        <w:suppressAutoHyphens/>
        <w:ind w:right="51"/>
        <w:rPr>
          <w:rFonts w:ascii="Bookman Old Style" w:hAnsi="Bookman Old Style" w:cs="Arial"/>
          <w:b/>
          <w:color w:val="000000"/>
        </w:rPr>
      </w:pPr>
    </w:p>
    <w:sectPr w:rsidR="00E01463" w:rsidRPr="006D0576" w:rsidSect="005A59EF">
      <w:headerReference w:type="default" r:id="rId10"/>
      <w:headerReference w:type="first" r:id="rId11"/>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1FF2" w:rsidRDefault="00E51FF2">
      <w:r>
        <w:separator/>
      </w:r>
    </w:p>
  </w:endnote>
  <w:endnote w:type="continuationSeparator" w:id="0">
    <w:p w:rsidR="00E51FF2" w:rsidRDefault="00E51F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1FF2" w:rsidRDefault="00E51FF2">
      <w:r>
        <w:separator/>
      </w:r>
    </w:p>
  </w:footnote>
  <w:footnote w:type="continuationSeparator" w:id="0">
    <w:p w:rsidR="00E51FF2" w:rsidRDefault="00E51F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FF2" w:rsidRDefault="00E51FF2" w:rsidP="00951F79">
    <w:pPr>
      <w:pStyle w:val="Ttulo1"/>
      <w:ind w:right="6"/>
      <w:jc w:val="left"/>
      <w:rPr>
        <w:rFonts w:ascii="Bookman Old Style" w:hAnsi="Bookman Old Style" w:cs="Arial"/>
        <w:b w:val="0"/>
        <w:sz w:val="22"/>
        <w:szCs w:val="22"/>
      </w:rPr>
    </w:pPr>
  </w:p>
  <w:p w:rsidR="00E51FF2" w:rsidRPr="00951F79" w:rsidRDefault="00E51FF2"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F74697">
      <w:rPr>
        <w:rFonts w:ascii="Bookman Old Style" w:hAnsi="Bookman Old Style" w:cs="Arial"/>
        <w:b w:val="0"/>
        <w:noProof/>
        <w:sz w:val="22"/>
        <w:szCs w:val="22"/>
      </w:rPr>
      <w:t>2</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F74697" w:rsidRPr="00F74697">
        <w:rPr>
          <w:rFonts w:ascii="Bookman Old Style" w:hAnsi="Bookman Old Style" w:cs="Arial"/>
          <w:b w:val="0"/>
          <w:noProof/>
          <w:sz w:val="22"/>
          <w:szCs w:val="22"/>
        </w:rPr>
        <w:t>4</w:t>
      </w:r>
    </w:fldSimple>
  </w:p>
  <w:p w:rsidR="00E51FF2" w:rsidRDefault="00E51FF2"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6A4CE0D1" wp14:editId="22599715">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E51FF2" w:rsidRPr="0076510A" w:rsidRDefault="00E51FF2" w:rsidP="00752D2E">
    <w:pPr>
      <w:pBdr>
        <w:bottom w:val="single" w:sz="4" w:space="1" w:color="auto"/>
      </w:pBdr>
      <w:ind w:left="142" w:right="148"/>
      <w:jc w:val="both"/>
      <w:rPr>
        <w:rFonts w:ascii="Bookman Old Style" w:hAnsi="Bookman Old Style" w:cs="Arial"/>
        <w:sz w:val="22"/>
        <w:szCs w:val="22"/>
      </w:rPr>
    </w:pPr>
    <w:r w:rsidRPr="0076510A">
      <w:rPr>
        <w:rFonts w:ascii="Bookman Old Style" w:hAnsi="Bookman Old Style" w:cs="Arial"/>
        <w:sz w:val="22"/>
        <w:szCs w:val="22"/>
      </w:rPr>
      <w:t xml:space="preserve">Por la cual se actualiza la base de activos de </w:t>
    </w:r>
    <w:proofErr w:type="spellStart"/>
    <w:r w:rsidRPr="0076510A">
      <w:rPr>
        <w:rFonts w:ascii="Bookman Old Style" w:hAnsi="Bookman Old Style" w:cs="Arial"/>
        <w:sz w:val="22"/>
        <w:szCs w:val="22"/>
      </w:rPr>
      <w:t>Transelca</w:t>
    </w:r>
    <w:proofErr w:type="spellEnd"/>
    <w:r w:rsidRPr="0076510A">
      <w:rPr>
        <w:rFonts w:ascii="Bookman Old Style" w:hAnsi="Bookman Old Style" w:cs="Arial"/>
        <w:sz w:val="22"/>
        <w:szCs w:val="22"/>
      </w:rPr>
      <w:t xml:space="preserve"> S.A. E.S.P. y se modifican los parámetros necesarios para considerar su remuneración en el Sistema de Transmisión Nacional.</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FF2" w:rsidRDefault="00E51FF2"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E51FF2" w:rsidRDefault="00E51FF2">
    <w:pPr>
      <w:pStyle w:val="Encabezado"/>
      <w:jc w:val="center"/>
      <w:rPr>
        <w:rFonts w:ascii="Arial" w:hAnsi="Arial" w:cs="Arial"/>
        <w:spacing w:val="20"/>
        <w:sz w:val="20"/>
      </w:rPr>
    </w:pPr>
  </w:p>
  <w:p w:rsidR="00E51FF2" w:rsidRDefault="00E51FF2"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1">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2">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AAC0FD1"/>
    <w:multiLevelType w:val="multilevel"/>
    <w:tmpl w:val="B3AEB4E4"/>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8">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9">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1">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3">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nsid w:val="6EEA61BB"/>
    <w:multiLevelType w:val="hybridMultilevel"/>
    <w:tmpl w:val="034A8376"/>
    <w:lvl w:ilvl="0" w:tplc="B790A1CE">
      <w:start w:val="505"/>
      <w:numFmt w:val="decimal"/>
      <w:suff w:val="nothing"/>
      <w:lvlText w:val="%1"/>
      <w:lvlJc w:val="center"/>
      <w:pPr>
        <w:ind w:left="0" w:firstLine="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7">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16"/>
  </w:num>
  <w:num w:numId="4">
    <w:abstractNumId w:val="5"/>
  </w:num>
  <w:num w:numId="5">
    <w:abstractNumId w:val="11"/>
  </w:num>
  <w:num w:numId="6">
    <w:abstractNumId w:val="3"/>
  </w:num>
  <w:num w:numId="7">
    <w:abstractNumId w:val="2"/>
  </w:num>
  <w:num w:numId="8">
    <w:abstractNumId w:val="13"/>
  </w:num>
  <w:num w:numId="9">
    <w:abstractNumId w:val="12"/>
  </w:num>
  <w:num w:numId="10">
    <w:abstractNumId w:val="9"/>
  </w:num>
  <w:num w:numId="11">
    <w:abstractNumId w:val="17"/>
  </w:num>
  <w:num w:numId="12">
    <w:abstractNumId w:val="15"/>
  </w:num>
  <w:num w:numId="13">
    <w:abstractNumId w:val="6"/>
  </w:num>
  <w:num w:numId="14">
    <w:abstractNumId w:val="1"/>
  </w:num>
  <w:num w:numId="15">
    <w:abstractNumId w:val="10"/>
  </w:num>
  <w:num w:numId="16">
    <w:abstractNumId w:val="0"/>
  </w:num>
  <w:num w:numId="17">
    <w:abstractNumId w:val="14"/>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215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6AE2"/>
    <w:rsid w:val="000076A1"/>
    <w:rsid w:val="00012259"/>
    <w:rsid w:val="00025383"/>
    <w:rsid w:val="00063657"/>
    <w:rsid w:val="0006797A"/>
    <w:rsid w:val="00075623"/>
    <w:rsid w:val="00076680"/>
    <w:rsid w:val="00076A1D"/>
    <w:rsid w:val="0008073E"/>
    <w:rsid w:val="00091CDB"/>
    <w:rsid w:val="000A19AC"/>
    <w:rsid w:val="000C484F"/>
    <w:rsid w:val="000D26F8"/>
    <w:rsid w:val="00116CF2"/>
    <w:rsid w:val="00127B11"/>
    <w:rsid w:val="00127F03"/>
    <w:rsid w:val="001405C6"/>
    <w:rsid w:val="00141013"/>
    <w:rsid w:val="0016743D"/>
    <w:rsid w:val="00192CBF"/>
    <w:rsid w:val="00192FF1"/>
    <w:rsid w:val="001A5F1B"/>
    <w:rsid w:val="001B1C22"/>
    <w:rsid w:val="001B34C6"/>
    <w:rsid w:val="001C1A26"/>
    <w:rsid w:val="001D7832"/>
    <w:rsid w:val="00211D34"/>
    <w:rsid w:val="00214F04"/>
    <w:rsid w:val="00266CD6"/>
    <w:rsid w:val="00275DAB"/>
    <w:rsid w:val="002A782A"/>
    <w:rsid w:val="002B11E2"/>
    <w:rsid w:val="002B24B8"/>
    <w:rsid w:val="002D3AE9"/>
    <w:rsid w:val="002D4510"/>
    <w:rsid w:val="002F0734"/>
    <w:rsid w:val="002F46E7"/>
    <w:rsid w:val="003101DA"/>
    <w:rsid w:val="00314757"/>
    <w:rsid w:val="003211CE"/>
    <w:rsid w:val="0035403A"/>
    <w:rsid w:val="00362797"/>
    <w:rsid w:val="0036394B"/>
    <w:rsid w:val="00366DB6"/>
    <w:rsid w:val="003709B5"/>
    <w:rsid w:val="003759C2"/>
    <w:rsid w:val="00397365"/>
    <w:rsid w:val="003A31F6"/>
    <w:rsid w:val="003C3447"/>
    <w:rsid w:val="003D076C"/>
    <w:rsid w:val="003E78B5"/>
    <w:rsid w:val="00406A88"/>
    <w:rsid w:val="00415BAB"/>
    <w:rsid w:val="00415ED2"/>
    <w:rsid w:val="0042068C"/>
    <w:rsid w:val="0047122B"/>
    <w:rsid w:val="00473B7A"/>
    <w:rsid w:val="004960E9"/>
    <w:rsid w:val="004A2E88"/>
    <w:rsid w:val="004A5305"/>
    <w:rsid w:val="004D578C"/>
    <w:rsid w:val="004D7634"/>
    <w:rsid w:val="005300D3"/>
    <w:rsid w:val="00531433"/>
    <w:rsid w:val="00544F82"/>
    <w:rsid w:val="00593C4F"/>
    <w:rsid w:val="005946A8"/>
    <w:rsid w:val="005A4407"/>
    <w:rsid w:val="005A59EF"/>
    <w:rsid w:val="005B1C7E"/>
    <w:rsid w:val="005C6976"/>
    <w:rsid w:val="005F6F41"/>
    <w:rsid w:val="00625DC6"/>
    <w:rsid w:val="0062705F"/>
    <w:rsid w:val="006370FA"/>
    <w:rsid w:val="0064391D"/>
    <w:rsid w:val="00651821"/>
    <w:rsid w:val="00654384"/>
    <w:rsid w:val="00663D6D"/>
    <w:rsid w:val="006675CD"/>
    <w:rsid w:val="00684D9B"/>
    <w:rsid w:val="00697556"/>
    <w:rsid w:val="006B4647"/>
    <w:rsid w:val="006B4C2B"/>
    <w:rsid w:val="006B6D47"/>
    <w:rsid w:val="006C5AFE"/>
    <w:rsid w:val="006D0576"/>
    <w:rsid w:val="006F6D95"/>
    <w:rsid w:val="00706F13"/>
    <w:rsid w:val="007072E8"/>
    <w:rsid w:val="0071618D"/>
    <w:rsid w:val="00725FA4"/>
    <w:rsid w:val="00740446"/>
    <w:rsid w:val="007438A9"/>
    <w:rsid w:val="0074491E"/>
    <w:rsid w:val="00752D2E"/>
    <w:rsid w:val="0076247A"/>
    <w:rsid w:val="0076510A"/>
    <w:rsid w:val="00770DAF"/>
    <w:rsid w:val="00775964"/>
    <w:rsid w:val="007765FE"/>
    <w:rsid w:val="00795BFB"/>
    <w:rsid w:val="007B2760"/>
    <w:rsid w:val="007E7091"/>
    <w:rsid w:val="00806C01"/>
    <w:rsid w:val="008148CC"/>
    <w:rsid w:val="008211A4"/>
    <w:rsid w:val="00873150"/>
    <w:rsid w:val="0087525B"/>
    <w:rsid w:val="0087657D"/>
    <w:rsid w:val="008807D5"/>
    <w:rsid w:val="00880832"/>
    <w:rsid w:val="00886EE1"/>
    <w:rsid w:val="0088727D"/>
    <w:rsid w:val="00892E8A"/>
    <w:rsid w:val="0089371F"/>
    <w:rsid w:val="00897C75"/>
    <w:rsid w:val="008C1130"/>
    <w:rsid w:val="008D18E6"/>
    <w:rsid w:val="008D1CA9"/>
    <w:rsid w:val="008D7A9B"/>
    <w:rsid w:val="008E76AC"/>
    <w:rsid w:val="008F21F6"/>
    <w:rsid w:val="008F4938"/>
    <w:rsid w:val="009024CC"/>
    <w:rsid w:val="00945164"/>
    <w:rsid w:val="00951F79"/>
    <w:rsid w:val="00974AB5"/>
    <w:rsid w:val="0098706D"/>
    <w:rsid w:val="009935FB"/>
    <w:rsid w:val="009F45B1"/>
    <w:rsid w:val="009F4A54"/>
    <w:rsid w:val="009F4BEC"/>
    <w:rsid w:val="00A2590E"/>
    <w:rsid w:val="00A25FD7"/>
    <w:rsid w:val="00A43AFF"/>
    <w:rsid w:val="00A7793A"/>
    <w:rsid w:val="00A94DB2"/>
    <w:rsid w:val="00AA4CC7"/>
    <w:rsid w:val="00AA5E8E"/>
    <w:rsid w:val="00AB6CA7"/>
    <w:rsid w:val="00AD01E4"/>
    <w:rsid w:val="00AD0858"/>
    <w:rsid w:val="00AE51AA"/>
    <w:rsid w:val="00AE7340"/>
    <w:rsid w:val="00AF1BBD"/>
    <w:rsid w:val="00B10207"/>
    <w:rsid w:val="00B141E7"/>
    <w:rsid w:val="00B34ADA"/>
    <w:rsid w:val="00B34FDF"/>
    <w:rsid w:val="00B351B4"/>
    <w:rsid w:val="00B46BCA"/>
    <w:rsid w:val="00B478AA"/>
    <w:rsid w:val="00B87806"/>
    <w:rsid w:val="00B87EC9"/>
    <w:rsid w:val="00BC38FD"/>
    <w:rsid w:val="00BC7EFF"/>
    <w:rsid w:val="00BE11CA"/>
    <w:rsid w:val="00C034CB"/>
    <w:rsid w:val="00C051A8"/>
    <w:rsid w:val="00C054BC"/>
    <w:rsid w:val="00C17897"/>
    <w:rsid w:val="00C409D5"/>
    <w:rsid w:val="00C435C3"/>
    <w:rsid w:val="00C6234B"/>
    <w:rsid w:val="00C63EAE"/>
    <w:rsid w:val="00C7629F"/>
    <w:rsid w:val="00C8661B"/>
    <w:rsid w:val="00CA139A"/>
    <w:rsid w:val="00CA2899"/>
    <w:rsid w:val="00CA3A3D"/>
    <w:rsid w:val="00CA77FB"/>
    <w:rsid w:val="00CB379B"/>
    <w:rsid w:val="00CB5DD0"/>
    <w:rsid w:val="00CC51D4"/>
    <w:rsid w:val="00CC65DA"/>
    <w:rsid w:val="00CF21B9"/>
    <w:rsid w:val="00CF32BB"/>
    <w:rsid w:val="00CF6BF9"/>
    <w:rsid w:val="00D03800"/>
    <w:rsid w:val="00D065D3"/>
    <w:rsid w:val="00D14C94"/>
    <w:rsid w:val="00D26E61"/>
    <w:rsid w:val="00D342A6"/>
    <w:rsid w:val="00D464BF"/>
    <w:rsid w:val="00D53E26"/>
    <w:rsid w:val="00D60925"/>
    <w:rsid w:val="00DD4F0E"/>
    <w:rsid w:val="00DF0BF0"/>
    <w:rsid w:val="00E01463"/>
    <w:rsid w:val="00E05E0A"/>
    <w:rsid w:val="00E51FF2"/>
    <w:rsid w:val="00E534CF"/>
    <w:rsid w:val="00E81CB4"/>
    <w:rsid w:val="00E8585B"/>
    <w:rsid w:val="00EA3F15"/>
    <w:rsid w:val="00EA7847"/>
    <w:rsid w:val="00EB02EE"/>
    <w:rsid w:val="00EB4C2F"/>
    <w:rsid w:val="00EE2E6E"/>
    <w:rsid w:val="00F0759E"/>
    <w:rsid w:val="00F16A43"/>
    <w:rsid w:val="00F46780"/>
    <w:rsid w:val="00F74697"/>
    <w:rsid w:val="00F821A3"/>
    <w:rsid w:val="00F9314A"/>
    <w:rsid w:val="00FA5C2F"/>
    <w:rsid w:val="00FC58EF"/>
    <w:rsid w:val="00FD33DF"/>
    <w:rsid w:val="00FE39D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4563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PLANTILLA1.dotx</Template>
  <TotalTime>1</TotalTime>
  <Pages>4</Pages>
  <Words>1365</Words>
  <Characters>6858</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8207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Maria Eugenia Murillo Ramirez</cp:lastModifiedBy>
  <cp:revision>2</cp:revision>
  <cp:lastPrinted>2012-10-01T22:19:00Z</cp:lastPrinted>
  <dcterms:created xsi:type="dcterms:W3CDTF">2012-10-25T23:20:00Z</dcterms:created>
  <dcterms:modified xsi:type="dcterms:W3CDTF">2012-10-25T23:20:00Z</dcterms:modified>
</cp:coreProperties>
</file>