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B38422" w14:textId="77777777" w:rsidR="00625DC6" w:rsidRPr="00E060BE" w:rsidRDefault="00204CC0" w:rsidP="00012259">
      <w:pPr>
        <w:pStyle w:val="Encabezado"/>
        <w:tabs>
          <w:tab w:val="clear" w:pos="8504"/>
          <w:tab w:val="left" w:pos="0"/>
          <w:tab w:val="right" w:pos="9356"/>
        </w:tabs>
        <w:ind w:left="0"/>
        <w:jc w:val="both"/>
        <w:rPr>
          <w:rFonts w:ascii="Bookman Old Style" w:hAnsi="Bookman Old Style"/>
          <w:szCs w:val="24"/>
        </w:rPr>
      </w:pPr>
      <w:bookmarkStart w:id="0" w:name="_GoBack"/>
      <w:bookmarkEnd w:id="0"/>
      <w:r>
        <w:rPr>
          <w:rFonts w:ascii="Bookman Old Style" w:hAnsi="Bookman Old Style"/>
          <w:noProof/>
          <w:szCs w:val="24"/>
        </w:rPr>
        <w:object w:dxaOrig="1440" w:dyaOrig="1440" w14:anchorId="79F3F0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2.4pt;margin-top:-53.35pt;width:52.5pt;height:48.75pt;z-index:251657728" fillcolor="#0c9">
            <v:imagedata r:id="rId8" o:title=""/>
          </v:shape>
          <o:OLEObject Type="Embed" ProgID="PBrush" ShapeID="_x0000_s1026" DrawAspect="Content" ObjectID="_1675492887" r:id="rId9"/>
        </w:object>
      </w:r>
    </w:p>
    <w:p w14:paraId="5D760849" w14:textId="77777777" w:rsidR="00CA77FB" w:rsidRPr="00E060BE" w:rsidRDefault="00CA77FB" w:rsidP="00012259">
      <w:pPr>
        <w:pStyle w:val="Ttulo4"/>
        <w:tabs>
          <w:tab w:val="left" w:pos="0"/>
          <w:tab w:val="right" w:pos="9356"/>
        </w:tabs>
        <w:ind w:left="0"/>
        <w:rPr>
          <w:rFonts w:ascii="Bookman Old Style" w:hAnsi="Bookman Old Style"/>
          <w:b w:val="0"/>
          <w:bCs/>
          <w:noProof/>
          <w:sz w:val="24"/>
          <w:szCs w:val="24"/>
          <w:lang w:val="es-ES"/>
        </w:rPr>
      </w:pPr>
      <w:r w:rsidRPr="00E060BE">
        <w:rPr>
          <w:rFonts w:ascii="Bookman Old Style" w:hAnsi="Bookman Old Style"/>
          <w:b w:val="0"/>
          <w:bCs/>
          <w:sz w:val="24"/>
          <w:szCs w:val="24"/>
        </w:rPr>
        <w:t>Ministerio de Minas y Energía</w:t>
      </w:r>
    </w:p>
    <w:p w14:paraId="1428B090" w14:textId="77777777" w:rsidR="00CA77FB" w:rsidRPr="00E060BE" w:rsidRDefault="00CA77FB" w:rsidP="00012259">
      <w:pPr>
        <w:pStyle w:val="Ttulo4"/>
        <w:tabs>
          <w:tab w:val="left" w:pos="0"/>
          <w:tab w:val="right" w:pos="9356"/>
        </w:tabs>
        <w:ind w:left="0"/>
        <w:rPr>
          <w:rFonts w:ascii="Bookman Old Style" w:hAnsi="Bookman Old Style"/>
          <w:b w:val="0"/>
          <w:bCs/>
          <w:sz w:val="24"/>
          <w:szCs w:val="24"/>
        </w:rPr>
      </w:pPr>
    </w:p>
    <w:p w14:paraId="780A4832" w14:textId="77777777" w:rsidR="00CA77FB" w:rsidRPr="00E060BE" w:rsidRDefault="00CA77FB" w:rsidP="00012259">
      <w:pPr>
        <w:pStyle w:val="Ttulo3"/>
        <w:tabs>
          <w:tab w:val="left" w:pos="0"/>
          <w:tab w:val="right" w:pos="9356"/>
        </w:tabs>
        <w:ind w:left="0"/>
        <w:rPr>
          <w:rFonts w:ascii="Bookman Old Style" w:hAnsi="Bookman Old Style" w:cs="Arial"/>
          <w:spacing w:val="20"/>
          <w:szCs w:val="24"/>
        </w:rPr>
      </w:pPr>
      <w:r w:rsidRPr="00E060BE">
        <w:rPr>
          <w:rFonts w:ascii="Bookman Old Style" w:hAnsi="Bookman Old Style" w:cs="Arial"/>
          <w:spacing w:val="20"/>
          <w:szCs w:val="24"/>
        </w:rPr>
        <w:t>COMISIÓN DE REGULACIÓN DE ENERGÍA Y GAS</w:t>
      </w:r>
    </w:p>
    <w:p w14:paraId="08FD129C" w14:textId="77777777" w:rsidR="00CA77FB" w:rsidRPr="00E060BE" w:rsidRDefault="00CA77FB" w:rsidP="00012259">
      <w:pPr>
        <w:pStyle w:val="Ttulo5"/>
        <w:tabs>
          <w:tab w:val="left" w:pos="0"/>
          <w:tab w:val="right" w:pos="9356"/>
        </w:tabs>
        <w:ind w:left="0"/>
        <w:rPr>
          <w:rFonts w:ascii="Bookman Old Style" w:hAnsi="Bookman Old Style"/>
          <w:sz w:val="24"/>
          <w:szCs w:val="24"/>
        </w:rPr>
      </w:pPr>
    </w:p>
    <w:p w14:paraId="6FBF9ED2" w14:textId="3068412F" w:rsidR="00CA77FB" w:rsidRPr="00E060BE" w:rsidRDefault="00CA77FB" w:rsidP="00012259">
      <w:pPr>
        <w:pStyle w:val="Ttulo5"/>
        <w:tabs>
          <w:tab w:val="left" w:pos="0"/>
          <w:tab w:val="right" w:pos="9356"/>
        </w:tabs>
        <w:ind w:left="0"/>
        <w:rPr>
          <w:rFonts w:ascii="Bookman Old Style" w:hAnsi="Bookman Old Style"/>
          <w:sz w:val="24"/>
          <w:szCs w:val="24"/>
        </w:rPr>
      </w:pPr>
      <w:r w:rsidRPr="00E060BE">
        <w:rPr>
          <w:rFonts w:ascii="Bookman Old Style" w:hAnsi="Bookman Old Style"/>
          <w:sz w:val="24"/>
          <w:szCs w:val="24"/>
        </w:rPr>
        <w:t xml:space="preserve">RESOLUCIÓN No. </w:t>
      </w:r>
      <w:r w:rsidR="00795BFB" w:rsidRPr="00E060BE">
        <w:rPr>
          <w:rFonts w:ascii="Bookman Old Style" w:hAnsi="Bookman Old Style"/>
          <w:sz w:val="24"/>
          <w:szCs w:val="24"/>
        </w:rPr>
        <w:t xml:space="preserve">   </w:t>
      </w:r>
      <w:r w:rsidR="00746D53" w:rsidRPr="00746D53">
        <w:rPr>
          <w:rFonts w:ascii="Bookman Old Style" w:hAnsi="Bookman Old Style"/>
          <w:sz w:val="32"/>
          <w:szCs w:val="32"/>
        </w:rPr>
        <w:t>013</w:t>
      </w:r>
      <w:r w:rsidR="00795BFB" w:rsidRPr="00E060BE">
        <w:rPr>
          <w:rFonts w:ascii="Bookman Old Style" w:hAnsi="Bookman Old Style"/>
          <w:sz w:val="24"/>
          <w:szCs w:val="24"/>
        </w:rPr>
        <w:t xml:space="preserve">      </w:t>
      </w:r>
      <w:r w:rsidRPr="00E060BE">
        <w:rPr>
          <w:rFonts w:ascii="Bookman Old Style" w:hAnsi="Bookman Old Style"/>
          <w:sz w:val="24"/>
          <w:szCs w:val="24"/>
        </w:rPr>
        <w:t>DE 2</w:t>
      </w:r>
      <w:r w:rsidR="004645B5">
        <w:rPr>
          <w:rFonts w:ascii="Bookman Old Style" w:hAnsi="Bookman Old Style"/>
          <w:sz w:val="24"/>
          <w:szCs w:val="24"/>
        </w:rPr>
        <w:t>021</w:t>
      </w:r>
    </w:p>
    <w:p w14:paraId="253CC851" w14:textId="77777777" w:rsidR="00CA77FB" w:rsidRPr="00E060BE" w:rsidRDefault="00CA77FB" w:rsidP="00012259">
      <w:pPr>
        <w:tabs>
          <w:tab w:val="left" w:pos="0"/>
          <w:tab w:val="right" w:pos="9356"/>
        </w:tabs>
        <w:ind w:left="0"/>
        <w:jc w:val="center"/>
        <w:rPr>
          <w:rFonts w:ascii="Bookman Old Style" w:hAnsi="Bookman Old Style" w:cs="Arial"/>
          <w:b/>
          <w:snapToGrid w:val="0"/>
          <w:color w:val="000000"/>
          <w:lang w:val="es-ES_tradnl"/>
        </w:rPr>
      </w:pPr>
    </w:p>
    <w:p w14:paraId="27DD7FCD" w14:textId="62B80803" w:rsidR="00CA77FB" w:rsidRPr="00E060BE" w:rsidRDefault="00CA77FB" w:rsidP="00012259">
      <w:pPr>
        <w:pStyle w:val="Ttulo3"/>
        <w:tabs>
          <w:tab w:val="left" w:pos="0"/>
          <w:tab w:val="right" w:pos="9356"/>
        </w:tabs>
        <w:ind w:left="0"/>
        <w:rPr>
          <w:rFonts w:ascii="Bookman Old Style" w:hAnsi="Bookman Old Style"/>
          <w:b w:val="0"/>
          <w:szCs w:val="24"/>
        </w:rPr>
      </w:pPr>
      <w:r w:rsidRPr="00E060BE">
        <w:rPr>
          <w:rFonts w:ascii="Bookman Old Style" w:hAnsi="Bookman Old Style"/>
          <w:b w:val="0"/>
          <w:szCs w:val="24"/>
        </w:rPr>
        <w:t xml:space="preserve">(   </w:t>
      </w:r>
      <w:r w:rsidR="00746D53" w:rsidRPr="00746D53">
        <w:rPr>
          <w:rFonts w:ascii="Bookman Old Style" w:hAnsi="Bookman Old Style"/>
          <w:bCs/>
          <w:sz w:val="32"/>
          <w:szCs w:val="32"/>
        </w:rPr>
        <w:t>10 FEB. 2021</w:t>
      </w:r>
      <w:r w:rsidRPr="00E060BE">
        <w:rPr>
          <w:rFonts w:ascii="Bookman Old Style" w:hAnsi="Bookman Old Style"/>
          <w:b w:val="0"/>
          <w:szCs w:val="24"/>
        </w:rPr>
        <w:t xml:space="preserve">  )</w:t>
      </w:r>
    </w:p>
    <w:p w14:paraId="777CB409" w14:textId="77777777" w:rsidR="00CA77FB" w:rsidRPr="00E060BE" w:rsidRDefault="00CA77FB" w:rsidP="00012259">
      <w:pPr>
        <w:tabs>
          <w:tab w:val="left" w:pos="0"/>
          <w:tab w:val="right" w:pos="9356"/>
        </w:tabs>
        <w:ind w:left="0"/>
        <w:jc w:val="center"/>
        <w:rPr>
          <w:rFonts w:ascii="Bookman Old Style" w:hAnsi="Bookman Old Style"/>
          <w:lang w:val="es-ES_tradnl"/>
        </w:rPr>
      </w:pPr>
    </w:p>
    <w:p w14:paraId="0C722757" w14:textId="77777777" w:rsidR="00746D53" w:rsidRDefault="00746D53" w:rsidP="008E10C2">
      <w:pPr>
        <w:ind w:left="142" w:right="51"/>
        <w:jc w:val="both"/>
        <w:rPr>
          <w:rFonts w:ascii="Bookman Old Style" w:hAnsi="Bookman Old Style"/>
        </w:rPr>
      </w:pPr>
    </w:p>
    <w:p w14:paraId="0613B1F0" w14:textId="7E7FEB48" w:rsidR="00045D3D" w:rsidRDefault="008E10C2" w:rsidP="008E10C2">
      <w:pPr>
        <w:ind w:left="142" w:right="51"/>
        <w:jc w:val="both"/>
        <w:rPr>
          <w:rFonts w:ascii="Bookman Old Style" w:hAnsi="Bookman Old Style"/>
        </w:rPr>
      </w:pPr>
      <w:r w:rsidRPr="008E10C2">
        <w:rPr>
          <w:rFonts w:ascii="Bookman Old Style" w:hAnsi="Bookman Old Style"/>
        </w:rPr>
        <w:t xml:space="preserve">Por la cual se decide la actuación administrativa adelantada para determinar el incumplimiento grave e insalvable en la puesta en operación del Proyecto Hidroeléctrico </w:t>
      </w:r>
      <w:r w:rsidR="004645B5">
        <w:rPr>
          <w:rFonts w:ascii="Bookman Old Style" w:hAnsi="Bookman Old Style"/>
        </w:rPr>
        <w:t>Miel II</w:t>
      </w:r>
      <w:r w:rsidRPr="008E10C2">
        <w:rPr>
          <w:rFonts w:ascii="Bookman Old Style" w:hAnsi="Bookman Old Style"/>
        </w:rPr>
        <w:t xml:space="preserve">, proyecto desarrollado por </w:t>
      </w:r>
      <w:r w:rsidR="004645B5">
        <w:rPr>
          <w:rFonts w:ascii="Bookman Old Style" w:hAnsi="Bookman Old Style"/>
        </w:rPr>
        <w:t>Promotora Energética de Centro S</w:t>
      </w:r>
      <w:r w:rsidR="00321FD1">
        <w:rPr>
          <w:rFonts w:ascii="Bookman Old Style" w:hAnsi="Bookman Old Style"/>
        </w:rPr>
        <w:t>.</w:t>
      </w:r>
      <w:r w:rsidR="004645B5">
        <w:rPr>
          <w:rFonts w:ascii="Bookman Old Style" w:hAnsi="Bookman Old Style"/>
        </w:rPr>
        <w:t>A</w:t>
      </w:r>
      <w:r w:rsidR="00321FD1">
        <w:rPr>
          <w:rFonts w:ascii="Bookman Old Style" w:hAnsi="Bookman Old Style"/>
        </w:rPr>
        <w:t>.</w:t>
      </w:r>
      <w:r w:rsidR="004645B5">
        <w:rPr>
          <w:rFonts w:ascii="Bookman Old Style" w:hAnsi="Bookman Old Style"/>
        </w:rPr>
        <w:t>S</w:t>
      </w:r>
      <w:r w:rsidR="00321FD1">
        <w:rPr>
          <w:rFonts w:ascii="Bookman Old Style" w:hAnsi="Bookman Old Style"/>
        </w:rPr>
        <w:t>.</w:t>
      </w:r>
      <w:r w:rsidR="004645B5">
        <w:rPr>
          <w:rFonts w:ascii="Bookman Old Style" w:hAnsi="Bookman Old Style"/>
        </w:rPr>
        <w:t xml:space="preserve"> E</w:t>
      </w:r>
      <w:r w:rsidR="00321FD1">
        <w:rPr>
          <w:rFonts w:ascii="Bookman Old Style" w:hAnsi="Bookman Old Style"/>
        </w:rPr>
        <w:t>.</w:t>
      </w:r>
      <w:r w:rsidR="004645B5">
        <w:rPr>
          <w:rFonts w:ascii="Bookman Old Style" w:hAnsi="Bookman Old Style"/>
        </w:rPr>
        <w:t>S</w:t>
      </w:r>
      <w:r w:rsidR="00321FD1">
        <w:rPr>
          <w:rFonts w:ascii="Bookman Old Style" w:hAnsi="Bookman Old Style"/>
        </w:rPr>
        <w:t>.</w:t>
      </w:r>
      <w:r w:rsidR="004645B5">
        <w:rPr>
          <w:rFonts w:ascii="Bookman Old Style" w:hAnsi="Bookman Old Style"/>
        </w:rPr>
        <w:t>P</w:t>
      </w:r>
      <w:r w:rsidR="004743F1">
        <w:rPr>
          <w:rFonts w:ascii="Bookman Old Style" w:hAnsi="Bookman Old Style"/>
        </w:rPr>
        <w:t>.</w:t>
      </w:r>
    </w:p>
    <w:p w14:paraId="3C9DF09F" w14:textId="77777777" w:rsidR="008E10C2" w:rsidRDefault="008E10C2" w:rsidP="00045D3D">
      <w:pPr>
        <w:ind w:right="51"/>
        <w:rPr>
          <w:rFonts w:ascii="Bookman Old Style" w:hAnsi="Bookman Old Style"/>
        </w:rPr>
      </w:pPr>
    </w:p>
    <w:p w14:paraId="1224D297" w14:textId="77777777" w:rsidR="008E10C2" w:rsidRPr="00C435C3" w:rsidRDefault="008E10C2" w:rsidP="00045D3D">
      <w:pPr>
        <w:ind w:right="51"/>
        <w:rPr>
          <w:rFonts w:ascii="Bookman Old Style" w:hAnsi="Bookman Old Style"/>
        </w:rPr>
      </w:pPr>
    </w:p>
    <w:p w14:paraId="29AFA1A1" w14:textId="7B4879C5" w:rsidR="00045D3D" w:rsidRPr="00C435C3" w:rsidRDefault="00045D3D" w:rsidP="00045D3D">
      <w:pPr>
        <w:ind w:right="51"/>
        <w:jc w:val="center"/>
        <w:rPr>
          <w:rFonts w:ascii="Bookman Old Style" w:hAnsi="Bookman Old Style"/>
          <w:b/>
        </w:rPr>
      </w:pPr>
      <w:r w:rsidRPr="00C435C3">
        <w:rPr>
          <w:rFonts w:ascii="Bookman Old Style" w:hAnsi="Bookman Old Style"/>
          <w:b/>
        </w:rPr>
        <w:t>LA COMISIÓN DE REGULACIÓN DE ENERGÍA Y GAS</w:t>
      </w:r>
    </w:p>
    <w:p w14:paraId="51D86EDC" w14:textId="77777777" w:rsidR="00045D3D" w:rsidRPr="00C435C3" w:rsidRDefault="00045D3D" w:rsidP="00045D3D">
      <w:pPr>
        <w:ind w:left="0" w:right="51"/>
        <w:rPr>
          <w:rFonts w:ascii="Bookman Old Style" w:hAnsi="Bookman Old Style"/>
        </w:rPr>
      </w:pPr>
    </w:p>
    <w:p w14:paraId="7721D1CC" w14:textId="77777777" w:rsidR="00045D3D" w:rsidRPr="00C435C3" w:rsidRDefault="00045D3D" w:rsidP="00045D3D">
      <w:pPr>
        <w:ind w:left="0" w:right="51"/>
        <w:rPr>
          <w:rFonts w:ascii="Bookman Old Style" w:hAnsi="Bookman Old Style"/>
        </w:rPr>
      </w:pPr>
    </w:p>
    <w:p w14:paraId="677A842E" w14:textId="77777777" w:rsidR="00045D3D" w:rsidRDefault="008E10C2" w:rsidP="008E10C2">
      <w:pPr>
        <w:ind w:right="51"/>
        <w:jc w:val="center"/>
        <w:rPr>
          <w:rFonts w:ascii="Bookman Old Style" w:hAnsi="Bookman Old Style"/>
        </w:rPr>
      </w:pPr>
      <w:r w:rsidRPr="008E10C2">
        <w:rPr>
          <w:rFonts w:ascii="Bookman Old Style" w:hAnsi="Bookman Old Style" w:cs="Arial"/>
          <w:bCs/>
          <w:spacing w:val="-3"/>
        </w:rPr>
        <w:t>En ejercicio de las atribuciones legales, en especial las conferidas por las Leyes 142 y 143 de 1994, y en desarrollo de los Decretos 1524 y 2253 de 1994, y 1260 de 2013 y</w:t>
      </w:r>
    </w:p>
    <w:p w14:paraId="622DC954" w14:textId="77777777" w:rsidR="00045D3D" w:rsidRDefault="00045D3D" w:rsidP="00045D3D">
      <w:pPr>
        <w:ind w:right="51"/>
        <w:rPr>
          <w:rFonts w:ascii="Bookman Old Style" w:hAnsi="Bookman Old Style"/>
        </w:rPr>
      </w:pPr>
    </w:p>
    <w:p w14:paraId="11917595" w14:textId="77777777" w:rsidR="00045D3D" w:rsidRPr="00C435C3" w:rsidRDefault="00045D3D" w:rsidP="00045D3D">
      <w:pPr>
        <w:ind w:right="51"/>
        <w:jc w:val="center"/>
        <w:rPr>
          <w:rFonts w:ascii="Bookman Old Style" w:hAnsi="Bookman Old Style"/>
          <w:b/>
        </w:rPr>
      </w:pPr>
      <w:r w:rsidRPr="00C435C3">
        <w:rPr>
          <w:rFonts w:ascii="Bookman Old Style" w:hAnsi="Bookman Old Style"/>
          <w:b/>
        </w:rPr>
        <w:t>C O N S I D E R A N D O</w:t>
      </w:r>
      <w:r>
        <w:rPr>
          <w:rFonts w:ascii="Bookman Old Style" w:hAnsi="Bookman Old Style"/>
          <w:b/>
        </w:rPr>
        <w:t xml:space="preserve">  Q U E</w:t>
      </w:r>
      <w:r w:rsidRPr="00C435C3">
        <w:rPr>
          <w:rFonts w:ascii="Bookman Old Style" w:hAnsi="Bookman Old Style"/>
          <w:b/>
        </w:rPr>
        <w:t>:</w:t>
      </w:r>
    </w:p>
    <w:p w14:paraId="14589558" w14:textId="77777777" w:rsidR="00045D3D" w:rsidRPr="00C435C3" w:rsidRDefault="00045D3D" w:rsidP="00045D3D">
      <w:pPr>
        <w:ind w:right="51"/>
        <w:jc w:val="center"/>
        <w:rPr>
          <w:rFonts w:ascii="Bookman Old Style" w:hAnsi="Bookman Old Style"/>
          <w:b/>
        </w:rPr>
      </w:pPr>
    </w:p>
    <w:p w14:paraId="25661DFF" w14:textId="77777777" w:rsidR="00045D3D" w:rsidRDefault="00045D3D" w:rsidP="008E10C2">
      <w:pPr>
        <w:ind w:left="0"/>
        <w:rPr>
          <w:rFonts w:ascii="Bookman Old Style" w:hAnsi="Bookman Old Style"/>
          <w:b/>
        </w:rPr>
      </w:pPr>
    </w:p>
    <w:p w14:paraId="59998EFC" w14:textId="77777777" w:rsidR="008E10C2" w:rsidRPr="00496B75" w:rsidRDefault="008E10C2" w:rsidP="008E10C2">
      <w:pPr>
        <w:numPr>
          <w:ilvl w:val="0"/>
          <w:numId w:val="24"/>
        </w:numPr>
        <w:rPr>
          <w:rFonts w:ascii="Bookman Old Style" w:hAnsi="Bookman Old Style"/>
          <w:b/>
        </w:rPr>
      </w:pPr>
      <w:r w:rsidRPr="00496B75">
        <w:rPr>
          <w:rFonts w:ascii="Bookman Old Style" w:hAnsi="Bookman Old Style"/>
          <w:b/>
        </w:rPr>
        <w:t xml:space="preserve">ANTECEDENTES </w:t>
      </w:r>
    </w:p>
    <w:p w14:paraId="730F4118" w14:textId="77777777" w:rsidR="008E10C2" w:rsidRDefault="008E10C2" w:rsidP="008E10C2">
      <w:pPr>
        <w:rPr>
          <w:rFonts w:ascii="Bookman Old Style" w:hAnsi="Bookman Old Style"/>
        </w:rPr>
      </w:pPr>
    </w:p>
    <w:p w14:paraId="2B4136F9" w14:textId="77777777" w:rsidR="008E10C2" w:rsidRPr="00386A4D" w:rsidRDefault="008E10C2" w:rsidP="008E10C2">
      <w:pPr>
        <w:tabs>
          <w:tab w:val="left" w:pos="720"/>
        </w:tabs>
        <w:ind w:left="0"/>
        <w:jc w:val="both"/>
        <w:rPr>
          <w:rFonts w:ascii="Bookman Old Style" w:hAnsi="Bookman Old Style" w:cs="Arial"/>
        </w:rPr>
      </w:pPr>
      <w:r>
        <w:rPr>
          <w:rFonts w:ascii="Bookman Old Style" w:hAnsi="Bookman Old Style" w:cs="Arial"/>
        </w:rPr>
        <w:t>L</w:t>
      </w:r>
      <w:r w:rsidRPr="00386A4D">
        <w:rPr>
          <w:rFonts w:ascii="Bookman Old Style" w:hAnsi="Bookman Old Style" w:cs="Arial"/>
        </w:rPr>
        <w:t>a Ley 143 de 1994 definió c</w:t>
      </w:r>
      <w:r>
        <w:rPr>
          <w:rFonts w:ascii="Bookman Old Style" w:hAnsi="Bookman Old Style" w:cs="Arial"/>
        </w:rPr>
        <w:t>omo objetivo fundamental de la r</w:t>
      </w:r>
      <w:r w:rsidRPr="00386A4D">
        <w:rPr>
          <w:rFonts w:ascii="Bookman Old Style" w:hAnsi="Bookman Old Style" w:cs="Arial"/>
        </w:rPr>
        <w:t>egulación asegurar una adecuada prestación del servicio mediante el aprovechamiento eficiente de los diferentes recursos energéticos, en beneficio del usuario en términos de calidad, oportunidad y costo del servicio</w:t>
      </w:r>
      <w:r>
        <w:rPr>
          <w:rFonts w:ascii="Bookman Old Style" w:hAnsi="Bookman Old Style" w:cs="Arial"/>
        </w:rPr>
        <w:t xml:space="preserve">.  Así mismo, la ley estableció como función del regulador </w:t>
      </w:r>
      <w:r w:rsidR="00060035">
        <w:rPr>
          <w:rFonts w:ascii="Bookman Old Style" w:hAnsi="Bookman Old Style" w:cs="Arial"/>
        </w:rPr>
        <w:t>la de</w:t>
      </w:r>
      <w:r>
        <w:rPr>
          <w:rFonts w:ascii="Bookman Old Style" w:hAnsi="Bookman Old Style" w:cs="Arial"/>
        </w:rPr>
        <w:t xml:space="preserve"> v</w:t>
      </w:r>
      <w:r w:rsidRPr="00386A4D">
        <w:rPr>
          <w:rFonts w:ascii="Bookman Old Style" w:hAnsi="Bookman Old Style" w:cs="Arial"/>
        </w:rPr>
        <w:t>alorar la capacidad de generación de respaldo de la oferta eficiente</w:t>
      </w:r>
      <w:r>
        <w:rPr>
          <w:rFonts w:ascii="Bookman Old Style" w:hAnsi="Bookman Old Style" w:cs="Arial"/>
        </w:rPr>
        <w:t>.</w:t>
      </w:r>
    </w:p>
    <w:p w14:paraId="7FE6AEAB" w14:textId="77777777" w:rsidR="008E10C2" w:rsidRDefault="008E10C2" w:rsidP="008E10C2">
      <w:pPr>
        <w:ind w:left="0"/>
        <w:rPr>
          <w:rFonts w:ascii="Bookman Old Style" w:hAnsi="Bookman Old Style"/>
        </w:rPr>
      </w:pPr>
    </w:p>
    <w:p w14:paraId="4FC7C983" w14:textId="6FC54984" w:rsidR="008E10C2" w:rsidRDefault="008E10C2" w:rsidP="008E10C2">
      <w:pPr>
        <w:ind w:left="0"/>
        <w:jc w:val="both"/>
        <w:rPr>
          <w:rFonts w:ascii="Bookman Old Style" w:hAnsi="Bookman Old Style"/>
          <w:lang w:val="es-CO"/>
        </w:rPr>
      </w:pPr>
      <w:r>
        <w:rPr>
          <w:rFonts w:ascii="Bookman Old Style" w:hAnsi="Bookman Old Style" w:cs="Arial"/>
        </w:rPr>
        <w:t>En desarrollo de los precitados mandatos legales, la Comisión de Regulación de Energía y Gas</w:t>
      </w:r>
      <w:r w:rsidR="00060035">
        <w:rPr>
          <w:rFonts w:ascii="Bookman Old Style" w:hAnsi="Bookman Old Style" w:cs="Arial"/>
        </w:rPr>
        <w:t>,</w:t>
      </w:r>
      <w:r>
        <w:rPr>
          <w:rFonts w:ascii="Bookman Old Style" w:hAnsi="Bookman Old Style" w:cs="Arial"/>
        </w:rPr>
        <w:t xml:space="preserve"> mediante Resolución CREG 071 de 2006, adoptó el mecanismo del Cargo por Confiabilidad. En la </w:t>
      </w:r>
      <w:r w:rsidRPr="000074D5">
        <w:rPr>
          <w:rFonts w:ascii="Bookman Old Style" w:hAnsi="Bookman Old Style"/>
          <w:lang w:val="es-CO"/>
        </w:rPr>
        <w:t>Resolución CREG 061 de 2007</w:t>
      </w:r>
      <w:r>
        <w:rPr>
          <w:rFonts w:ascii="Bookman Old Style" w:hAnsi="Bookman Old Style"/>
          <w:lang w:val="es-CO"/>
        </w:rPr>
        <w:t xml:space="preserve"> se hicieron ajustes a la resolución mencionada</w:t>
      </w:r>
      <w:r w:rsidR="00321FD1">
        <w:rPr>
          <w:rFonts w:ascii="Bookman Old Style" w:hAnsi="Bookman Old Style"/>
          <w:lang w:val="es-CO"/>
        </w:rPr>
        <w:t>,</w:t>
      </w:r>
      <w:r>
        <w:rPr>
          <w:rFonts w:ascii="Bookman Old Style" w:hAnsi="Bookman Old Style"/>
          <w:lang w:val="es-CO"/>
        </w:rPr>
        <w:t xml:space="preserve"> y se adoptó el reglamento aplicable a las </w:t>
      </w:r>
      <w:r w:rsidRPr="000074D5">
        <w:rPr>
          <w:rFonts w:ascii="Bookman Old Style" w:hAnsi="Bookman Old Style"/>
          <w:lang w:val="es-CO"/>
        </w:rPr>
        <w:t xml:space="preserve">garantías que deben ser otorgadas </w:t>
      </w:r>
      <w:r>
        <w:rPr>
          <w:rFonts w:ascii="Bookman Old Style" w:hAnsi="Bookman Old Style"/>
          <w:lang w:val="es-CO"/>
        </w:rPr>
        <w:t>por quienes participen en el esquema, entre ellas la que respalda</w:t>
      </w:r>
      <w:r w:rsidRPr="000074D5">
        <w:rPr>
          <w:rFonts w:ascii="Bookman Old Style" w:hAnsi="Bookman Old Style"/>
          <w:lang w:val="es-CO"/>
        </w:rPr>
        <w:t xml:space="preserve"> la ejecución de </w:t>
      </w:r>
      <w:r w:rsidR="004743F1">
        <w:rPr>
          <w:rFonts w:ascii="Bookman Old Style" w:hAnsi="Bookman Old Style"/>
          <w:lang w:val="es-CO"/>
        </w:rPr>
        <w:t xml:space="preserve">nuevos </w:t>
      </w:r>
      <w:r w:rsidRPr="000074D5">
        <w:rPr>
          <w:rFonts w:ascii="Bookman Old Style" w:hAnsi="Bookman Old Style"/>
          <w:lang w:val="es-CO"/>
        </w:rPr>
        <w:t>proyectos de generación de energía eléctrica.</w:t>
      </w:r>
      <w:r>
        <w:rPr>
          <w:rFonts w:ascii="Bookman Old Style" w:hAnsi="Bookman Old Style"/>
          <w:lang w:val="es-CO"/>
        </w:rPr>
        <w:t xml:space="preserve"> La regulación define el alcance de las obligaciones que adquieren quienes obtienen asignaciones de obligaciones de energía firme, OEF</w:t>
      </w:r>
      <w:r w:rsidR="00E1475D">
        <w:rPr>
          <w:rFonts w:ascii="Bookman Old Style" w:hAnsi="Bookman Old Style"/>
          <w:lang w:val="es-CO"/>
        </w:rPr>
        <w:t>;</w:t>
      </w:r>
      <w:r>
        <w:rPr>
          <w:rFonts w:ascii="Bookman Old Style" w:hAnsi="Bookman Old Style"/>
          <w:lang w:val="es-CO"/>
        </w:rPr>
        <w:t xml:space="preserve"> el esquema de seguimiento mediante auditorías a las plantas nuevas</w:t>
      </w:r>
      <w:r w:rsidR="00E1475D">
        <w:rPr>
          <w:rFonts w:ascii="Bookman Old Style" w:hAnsi="Bookman Old Style"/>
          <w:lang w:val="es-CO"/>
        </w:rPr>
        <w:t>;</w:t>
      </w:r>
      <w:r>
        <w:rPr>
          <w:rFonts w:ascii="Bookman Old Style" w:hAnsi="Bookman Old Style"/>
          <w:lang w:val="es-CO"/>
        </w:rPr>
        <w:t xml:space="preserve"> los eventos que se consideran incumplimiento y las consecuencias que se derivan del mismo. </w:t>
      </w:r>
    </w:p>
    <w:p w14:paraId="3E8A75F0" w14:textId="77777777" w:rsidR="008E10C2" w:rsidRDefault="008E10C2" w:rsidP="008E10C2">
      <w:pPr>
        <w:ind w:left="0"/>
        <w:jc w:val="both"/>
        <w:rPr>
          <w:rFonts w:ascii="Bookman Old Style" w:hAnsi="Bookman Old Style"/>
          <w:lang w:val="es-CO"/>
        </w:rPr>
      </w:pPr>
    </w:p>
    <w:p w14:paraId="60DB5FBD" w14:textId="7EA22FC8" w:rsidR="008E10C2" w:rsidRPr="000074D5" w:rsidRDefault="008E10C2" w:rsidP="008E10C2">
      <w:pPr>
        <w:ind w:left="0"/>
        <w:jc w:val="both"/>
        <w:rPr>
          <w:rFonts w:ascii="Bookman Old Style" w:hAnsi="Bookman Old Style" w:cs="Arial"/>
          <w:bCs/>
          <w:color w:val="000000"/>
          <w:lang w:val="es-CO" w:eastAsia="es-CO"/>
        </w:rPr>
      </w:pPr>
      <w:r>
        <w:rPr>
          <w:rFonts w:ascii="Bookman Old Style" w:hAnsi="Bookman Old Style"/>
          <w:lang w:val="es-CO"/>
        </w:rPr>
        <w:t>Específicamente</w:t>
      </w:r>
      <w:r w:rsidR="00321FD1">
        <w:rPr>
          <w:rFonts w:ascii="Bookman Old Style" w:hAnsi="Bookman Old Style"/>
          <w:lang w:val="es-CO"/>
        </w:rPr>
        <w:t>,</w:t>
      </w:r>
      <w:r>
        <w:rPr>
          <w:rFonts w:ascii="Bookman Old Style" w:hAnsi="Bookman Old Style"/>
          <w:lang w:val="es-CO"/>
        </w:rPr>
        <w:t xml:space="preserve"> el </w:t>
      </w:r>
      <w:r w:rsidRPr="000074D5">
        <w:rPr>
          <w:rFonts w:ascii="Bookman Old Style" w:hAnsi="Bookman Old Style" w:cs="Arial"/>
          <w:bCs/>
          <w:color w:val="000000"/>
          <w:lang w:val="es-CO" w:eastAsia="es-CO"/>
        </w:rPr>
        <w:t>parágrafo del artículo 9 de la Resolución CREG 071 de 2006</w:t>
      </w:r>
      <w:r>
        <w:rPr>
          <w:rFonts w:ascii="Bookman Old Style" w:hAnsi="Bookman Old Style" w:cs="Arial"/>
          <w:bCs/>
          <w:color w:val="000000"/>
          <w:lang w:val="es-CO" w:eastAsia="es-CO"/>
        </w:rPr>
        <w:t>,</w:t>
      </w:r>
      <w:r w:rsidRPr="000074D5">
        <w:rPr>
          <w:rFonts w:ascii="Bookman Old Style" w:hAnsi="Bookman Old Style" w:cs="Arial"/>
          <w:bCs/>
          <w:color w:val="000000"/>
          <w:lang w:val="es-CO" w:eastAsia="es-CO"/>
        </w:rPr>
        <w:t xml:space="preserve"> </w:t>
      </w:r>
      <w:r w:rsidRPr="000074D5">
        <w:rPr>
          <w:rFonts w:ascii="Bookman Old Style" w:hAnsi="Bookman Old Style" w:cs="Arial"/>
          <w:bCs/>
          <w:lang w:val="es-CO"/>
        </w:rPr>
        <w:t>modificado por el artículo 13 de la Resolución CREG 061 de 2007</w:t>
      </w:r>
      <w:r w:rsidRPr="000074D5">
        <w:rPr>
          <w:rFonts w:ascii="Bookman Old Style" w:hAnsi="Bookman Old Style" w:cs="Arial"/>
          <w:bCs/>
          <w:color w:val="000000"/>
          <w:lang w:val="es-CO" w:eastAsia="es-CO"/>
        </w:rPr>
        <w:t>, establece:</w:t>
      </w:r>
    </w:p>
    <w:p w14:paraId="5AF4B08C" w14:textId="77777777" w:rsidR="008E10C2" w:rsidRPr="000074D5" w:rsidRDefault="008E10C2" w:rsidP="008E10C2">
      <w:pPr>
        <w:jc w:val="both"/>
        <w:rPr>
          <w:rFonts w:ascii="Bookman Old Style" w:hAnsi="Bookman Old Style" w:cs="Arial"/>
          <w:i/>
          <w:color w:val="000000"/>
          <w:lang w:val="es-CO" w:eastAsia="es-CO"/>
        </w:rPr>
      </w:pPr>
    </w:p>
    <w:p w14:paraId="7825D15C" w14:textId="77138BFB" w:rsidR="008E10C2" w:rsidRPr="000074D5" w:rsidRDefault="008E10C2" w:rsidP="00CA3A64">
      <w:pPr>
        <w:ind w:left="708" w:right="142"/>
        <w:jc w:val="both"/>
        <w:rPr>
          <w:rFonts w:ascii="Bookman Old Style" w:hAnsi="Bookman Old Style" w:cs="Arial"/>
          <w:bCs/>
        </w:rPr>
      </w:pPr>
      <w:r>
        <w:rPr>
          <w:rFonts w:ascii="Bookman Old Style" w:hAnsi="Bookman Old Style" w:cs="Arial"/>
          <w:i/>
          <w:color w:val="000000"/>
          <w:lang w:val="es-CO" w:eastAsia="es-CO"/>
        </w:rPr>
        <w:t>“</w:t>
      </w:r>
      <w:r w:rsidRPr="008120F5">
        <w:rPr>
          <w:rFonts w:ascii="Bookman Old Style" w:hAnsi="Bookman Old Style" w:cs="Arial"/>
          <w:b/>
          <w:i/>
          <w:color w:val="000000"/>
          <w:lang w:val="es-CO" w:eastAsia="es-CO"/>
        </w:rPr>
        <w:t>Parágrafo.</w:t>
      </w:r>
      <w:r w:rsidRPr="001E4105">
        <w:rPr>
          <w:rFonts w:ascii="Bookman Old Style" w:hAnsi="Bookman Old Style" w:cs="Arial"/>
          <w:i/>
          <w:color w:val="000000"/>
          <w:lang w:val="es-CO" w:eastAsia="es-CO"/>
        </w:rPr>
        <w:t xml:space="preserve"> En el caso del incumplimiento grave e insalvable que se determina cuando el informe del auditor indica que la puesta en operación </w:t>
      </w:r>
      <w:r w:rsidRPr="001E4105">
        <w:rPr>
          <w:rFonts w:ascii="Bookman Old Style" w:hAnsi="Bookman Old Style" w:cs="Arial"/>
          <w:i/>
          <w:color w:val="000000"/>
          <w:lang w:val="es-CO" w:eastAsia="es-CO"/>
        </w:rPr>
        <w:lastRenderedPageBreak/>
        <w:t>de la planta o unidad de generación tendrá un atraso mayor a un año, contado a partir de la fecha de inicio del P</w:t>
      </w:r>
      <w:r w:rsidR="00321FD1">
        <w:rPr>
          <w:rFonts w:ascii="Bookman Old Style" w:hAnsi="Bookman Old Style" w:cs="Arial"/>
          <w:i/>
          <w:color w:val="000000"/>
          <w:lang w:val="es-CO" w:eastAsia="es-CO"/>
        </w:rPr>
        <w:t>eríodo</w:t>
      </w:r>
      <w:r w:rsidRPr="001E4105">
        <w:rPr>
          <w:rFonts w:ascii="Bookman Old Style" w:hAnsi="Bookman Old Style" w:cs="Arial"/>
          <w:i/>
          <w:color w:val="000000"/>
          <w:lang w:val="es-CO" w:eastAsia="es-CO"/>
        </w:rPr>
        <w:t xml:space="preserve"> de Vigencia de la Obligación, la CREG, con el propósito de establecer plenamente la existencia del incumplimiento, determinar sus consecuencias y garantizar el derecho de defensa de los afectados, agotará el trámite previsto en los Artículos 106 y ss. de la Ley 142 de 1994 y, en lo no previsto en ellos, aplicará las normas de la parte primera del Código Contencioso Administrativo que sean compatibles. En firme la decisión definitiva sobre la actuación y determinada la existencia del incumplimiento, se comunicará la decisión al ASIC y éste adoptará las medidas correspondientes de acuerdo con la Resolución CREG 071 de 2006 y las nomas que la modifiquen, adicionen o sustituyan.</w:t>
      </w:r>
      <w:r>
        <w:rPr>
          <w:rFonts w:ascii="Bookman Old Style" w:hAnsi="Bookman Old Style" w:cs="Arial"/>
          <w:i/>
          <w:color w:val="000000"/>
          <w:lang w:val="es-CO" w:eastAsia="es-CO"/>
        </w:rPr>
        <w:t>”</w:t>
      </w:r>
    </w:p>
    <w:p w14:paraId="5DDDA2D7" w14:textId="5144FA5A" w:rsidR="008E10C2" w:rsidRDefault="008E10C2" w:rsidP="008E10C2">
      <w:pPr>
        <w:ind w:left="0"/>
        <w:jc w:val="both"/>
        <w:rPr>
          <w:rFonts w:ascii="Bookman Old Style" w:hAnsi="Bookman Old Style" w:cs="Arial"/>
        </w:rPr>
      </w:pPr>
    </w:p>
    <w:p w14:paraId="3CBAC852" w14:textId="6EAECCD0" w:rsidR="00BC1F61" w:rsidRPr="0022342E" w:rsidRDefault="00967860" w:rsidP="008E10C2">
      <w:pPr>
        <w:ind w:left="0"/>
        <w:jc w:val="both"/>
        <w:rPr>
          <w:rFonts w:ascii="Bookman Old Style" w:hAnsi="Bookman Old Style" w:cs="Arial"/>
          <w:i/>
          <w:iCs/>
        </w:rPr>
      </w:pPr>
      <w:r>
        <w:rPr>
          <w:rFonts w:ascii="Bookman Old Style" w:hAnsi="Bookman Old Style" w:cs="Arial"/>
        </w:rPr>
        <w:t>En el mismo sentido</w:t>
      </w:r>
      <w:r w:rsidR="00321FD1">
        <w:rPr>
          <w:rFonts w:ascii="Bookman Old Style" w:hAnsi="Bookman Old Style" w:cs="Arial"/>
        </w:rPr>
        <w:t>,</w:t>
      </w:r>
      <w:r>
        <w:rPr>
          <w:rFonts w:ascii="Bookman Old Style" w:hAnsi="Bookman Old Style" w:cs="Arial"/>
        </w:rPr>
        <w:t xml:space="preserve"> el artículo 13 del </w:t>
      </w:r>
      <w:r w:rsidRPr="0022342E">
        <w:rPr>
          <w:rFonts w:ascii="Bookman Old Style" w:hAnsi="Bookman Old Style" w:cs="Arial"/>
          <w:i/>
          <w:iCs/>
        </w:rPr>
        <w:t xml:space="preserve">Reglamento de Garantías </w:t>
      </w:r>
      <w:r w:rsidR="00F8096E" w:rsidRPr="0022342E">
        <w:rPr>
          <w:rFonts w:ascii="Bookman Old Style" w:hAnsi="Bookman Old Style" w:cs="Arial"/>
          <w:i/>
          <w:iCs/>
        </w:rPr>
        <w:t>para el</w:t>
      </w:r>
      <w:r w:rsidRPr="0022342E">
        <w:rPr>
          <w:rFonts w:ascii="Bookman Old Style" w:hAnsi="Bookman Old Style" w:cs="Arial"/>
          <w:i/>
          <w:iCs/>
        </w:rPr>
        <w:t xml:space="preserve"> Cargo por Confiabilidad</w:t>
      </w:r>
      <w:r>
        <w:rPr>
          <w:rFonts w:ascii="Bookman Old Style" w:hAnsi="Bookman Old Style" w:cs="Arial"/>
        </w:rPr>
        <w:t>, adoptado mediante la Res</w:t>
      </w:r>
      <w:r w:rsidR="00321FD1">
        <w:rPr>
          <w:rFonts w:ascii="Bookman Old Style" w:hAnsi="Bookman Old Style" w:cs="Arial"/>
        </w:rPr>
        <w:t>olución</w:t>
      </w:r>
      <w:r>
        <w:rPr>
          <w:rFonts w:ascii="Bookman Old Style" w:hAnsi="Bookman Old Style" w:cs="Arial"/>
        </w:rPr>
        <w:t xml:space="preserve"> 061 de 2007</w:t>
      </w:r>
      <w:r w:rsidR="00321FD1">
        <w:rPr>
          <w:rFonts w:ascii="Bookman Old Style" w:hAnsi="Bookman Old Style" w:cs="Arial"/>
        </w:rPr>
        <w:t>,</w:t>
      </w:r>
      <w:r>
        <w:rPr>
          <w:rFonts w:ascii="Bookman Old Style" w:hAnsi="Bookman Old Style" w:cs="Arial"/>
        </w:rPr>
        <w:t xml:space="preserve"> define como evento de incumplimiento grave e insalvable “</w:t>
      </w:r>
      <w:r w:rsidRPr="0022342E">
        <w:rPr>
          <w:rFonts w:ascii="Bookman Old Style" w:hAnsi="Bookman Old Style" w:cs="Arial"/>
          <w:i/>
          <w:iCs/>
        </w:rPr>
        <w:t>1. Incumplimiento Calificado de Cronograma que implique que la puesta en operación de la planta o unidad de</w:t>
      </w:r>
      <w:r w:rsidR="00321FD1">
        <w:rPr>
          <w:rFonts w:ascii="Bookman Old Style" w:hAnsi="Bookman Old Style" w:cs="Arial"/>
          <w:i/>
          <w:iCs/>
        </w:rPr>
        <w:t xml:space="preserve"> </w:t>
      </w:r>
      <w:r w:rsidRPr="0022342E">
        <w:rPr>
          <w:rFonts w:ascii="Bookman Old Style" w:hAnsi="Bookman Old Style" w:cs="Arial"/>
          <w:i/>
          <w:iCs/>
        </w:rPr>
        <w:t>generación, ocurrirá en un plazo superior a un (1) año contado a partir del IPVO.</w:t>
      </w:r>
      <w:r>
        <w:rPr>
          <w:rFonts w:ascii="Bookman Old Style" w:hAnsi="Bookman Old Style" w:cs="Arial"/>
          <w:i/>
          <w:iCs/>
        </w:rPr>
        <w:t>”</w:t>
      </w:r>
    </w:p>
    <w:p w14:paraId="34D7568A" w14:textId="14A5BC99" w:rsidR="00BC1F61" w:rsidRDefault="00BC1F61" w:rsidP="008E10C2">
      <w:pPr>
        <w:ind w:left="0"/>
        <w:jc w:val="both"/>
        <w:rPr>
          <w:rFonts w:ascii="Bookman Old Style" w:hAnsi="Bookman Old Style" w:cs="Arial"/>
        </w:rPr>
      </w:pPr>
    </w:p>
    <w:p w14:paraId="3541070F" w14:textId="3BC031B0" w:rsidR="00F8096E" w:rsidRDefault="00F8096E" w:rsidP="008E10C2">
      <w:pPr>
        <w:ind w:left="0"/>
        <w:jc w:val="both"/>
        <w:rPr>
          <w:rFonts w:ascii="Bookman Old Style" w:hAnsi="Bookman Old Style" w:cs="Arial"/>
        </w:rPr>
      </w:pPr>
      <w:r>
        <w:rPr>
          <w:rFonts w:ascii="Bookman Old Style" w:hAnsi="Bookman Old Style" w:cs="Arial"/>
        </w:rPr>
        <w:t xml:space="preserve">Conforme a </w:t>
      </w:r>
      <w:r w:rsidR="00F46F1E">
        <w:rPr>
          <w:rFonts w:ascii="Bookman Old Style" w:hAnsi="Bookman Old Style" w:cs="Arial"/>
        </w:rPr>
        <w:t>la regulación</w:t>
      </w:r>
      <w:r w:rsidR="00F24168">
        <w:rPr>
          <w:rFonts w:ascii="Bookman Old Style" w:hAnsi="Bookman Old Style" w:cs="Arial"/>
        </w:rPr>
        <w:t>,</w:t>
      </w:r>
      <w:r w:rsidR="00F46F1E">
        <w:rPr>
          <w:rFonts w:ascii="Bookman Old Style" w:hAnsi="Bookman Old Style" w:cs="Arial"/>
        </w:rPr>
        <w:t xml:space="preserve"> el incumplimiento grave e insalvable da lugar a la ejecución de las garantías y a la pérdida de las OEF asignadas. </w:t>
      </w:r>
    </w:p>
    <w:p w14:paraId="1096432B" w14:textId="77777777" w:rsidR="00BC1F61" w:rsidRDefault="00BC1F61" w:rsidP="008E10C2">
      <w:pPr>
        <w:ind w:left="0"/>
        <w:jc w:val="both"/>
        <w:rPr>
          <w:rFonts w:ascii="Bookman Old Style" w:hAnsi="Bookman Old Style" w:cs="Arial"/>
        </w:rPr>
      </w:pPr>
    </w:p>
    <w:p w14:paraId="503FB71E" w14:textId="1EB47C9A" w:rsidR="008E10C2" w:rsidRDefault="008E10C2" w:rsidP="00712333">
      <w:pPr>
        <w:ind w:left="0"/>
        <w:jc w:val="both"/>
        <w:rPr>
          <w:rFonts w:ascii="Bookman Old Style" w:hAnsi="Bookman Old Style"/>
          <w:b/>
        </w:rPr>
      </w:pPr>
      <w:r>
        <w:rPr>
          <w:rFonts w:ascii="Bookman Old Style" w:hAnsi="Bookman Old Style" w:cs="Arial"/>
        </w:rPr>
        <w:t>En aplicación del mecanismo del Cargo por Confiabilidad</w:t>
      </w:r>
      <w:r w:rsidR="00060035">
        <w:rPr>
          <w:rFonts w:ascii="Bookman Old Style" w:hAnsi="Bookman Old Style" w:cs="Arial"/>
        </w:rPr>
        <w:t>,</w:t>
      </w:r>
      <w:r>
        <w:rPr>
          <w:rFonts w:ascii="Bookman Old Style" w:hAnsi="Bookman Old Style" w:cs="Arial"/>
        </w:rPr>
        <w:t xml:space="preserve"> en el año 20</w:t>
      </w:r>
      <w:r w:rsidR="004645B5">
        <w:rPr>
          <w:rFonts w:ascii="Bookman Old Style" w:hAnsi="Bookman Old Style" w:cs="Arial"/>
        </w:rPr>
        <w:t>19,</w:t>
      </w:r>
      <w:r w:rsidR="00F03690">
        <w:rPr>
          <w:rFonts w:ascii="Bookman Old Style" w:hAnsi="Bookman Old Style" w:cs="Arial"/>
        </w:rPr>
        <w:t xml:space="preserve"> co</w:t>
      </w:r>
      <w:r w:rsidR="00E675E9">
        <w:rPr>
          <w:rFonts w:ascii="Bookman Old Style" w:hAnsi="Bookman Old Style" w:cs="Arial"/>
        </w:rPr>
        <w:t>m</w:t>
      </w:r>
      <w:r w:rsidR="00F03690">
        <w:rPr>
          <w:rFonts w:ascii="Bookman Old Style" w:hAnsi="Bookman Old Style" w:cs="Arial"/>
        </w:rPr>
        <w:t>o resultado</w:t>
      </w:r>
      <w:r w:rsidR="004645B5">
        <w:rPr>
          <w:rFonts w:ascii="Bookman Old Style" w:hAnsi="Bookman Old Style" w:cs="Arial"/>
        </w:rPr>
        <w:t xml:space="preserve"> </w:t>
      </w:r>
      <w:r w:rsidR="00F03690">
        <w:rPr>
          <w:rFonts w:ascii="Bookman Old Style" w:hAnsi="Bookman Old Style" w:cs="Arial"/>
        </w:rPr>
        <w:t>de la</w:t>
      </w:r>
      <w:r w:rsidR="004645B5">
        <w:rPr>
          <w:rFonts w:ascii="Bookman Old Style" w:hAnsi="Bookman Old Style" w:cs="Arial"/>
        </w:rPr>
        <w:t xml:space="preserve"> subasta</w:t>
      </w:r>
      <w:r w:rsidR="00F03690">
        <w:rPr>
          <w:rFonts w:ascii="Bookman Old Style" w:hAnsi="Bookman Old Style" w:cs="Arial"/>
        </w:rPr>
        <w:t xml:space="preserve"> del Cargo por </w:t>
      </w:r>
      <w:r w:rsidR="00E675E9">
        <w:rPr>
          <w:rFonts w:ascii="Bookman Old Style" w:hAnsi="Bookman Old Style" w:cs="Arial"/>
        </w:rPr>
        <w:t>Confiabilidad</w:t>
      </w:r>
      <w:r w:rsidR="00F03690">
        <w:rPr>
          <w:rFonts w:ascii="Bookman Old Style" w:hAnsi="Bookman Old Style" w:cs="Arial"/>
        </w:rPr>
        <w:t xml:space="preserve"> para el p</w:t>
      </w:r>
      <w:r w:rsidR="00321FD1">
        <w:rPr>
          <w:rFonts w:ascii="Bookman Old Style" w:hAnsi="Bookman Old Style" w:cs="Arial"/>
        </w:rPr>
        <w:t>eríodo</w:t>
      </w:r>
      <w:r w:rsidR="00F03690">
        <w:rPr>
          <w:rFonts w:ascii="Bookman Old Style" w:hAnsi="Bookman Old Style" w:cs="Arial"/>
        </w:rPr>
        <w:t xml:space="preserve"> de 1 de diciembre de 2022 y 30 de noviembre de </w:t>
      </w:r>
      <w:r w:rsidR="00321FD1">
        <w:rPr>
          <w:rFonts w:ascii="Bookman Old Style" w:hAnsi="Bookman Old Style" w:cs="Arial"/>
        </w:rPr>
        <w:t>2023</w:t>
      </w:r>
      <w:r w:rsidR="00F24168">
        <w:rPr>
          <w:rFonts w:ascii="Bookman Old Style" w:hAnsi="Bookman Old Style" w:cs="Arial"/>
        </w:rPr>
        <w:t>,</w:t>
      </w:r>
      <w:r w:rsidR="004645B5">
        <w:rPr>
          <w:rFonts w:ascii="Bookman Old Style" w:hAnsi="Bookman Old Style" w:cs="Arial"/>
        </w:rPr>
        <w:t xml:space="preserve"> </w:t>
      </w:r>
      <w:r w:rsidR="00F03690">
        <w:rPr>
          <w:rFonts w:ascii="Bookman Old Style" w:hAnsi="Bookman Old Style" w:cs="Arial"/>
        </w:rPr>
        <w:t>la Promotora Energética de Centro S</w:t>
      </w:r>
      <w:r w:rsidR="00321FD1">
        <w:rPr>
          <w:rFonts w:ascii="Bookman Old Style" w:hAnsi="Bookman Old Style" w:cs="Arial"/>
        </w:rPr>
        <w:t>.</w:t>
      </w:r>
      <w:r w:rsidR="00F03690">
        <w:rPr>
          <w:rFonts w:ascii="Bookman Old Style" w:hAnsi="Bookman Old Style" w:cs="Arial"/>
        </w:rPr>
        <w:t>A</w:t>
      </w:r>
      <w:r w:rsidR="00321FD1">
        <w:rPr>
          <w:rFonts w:ascii="Bookman Old Style" w:hAnsi="Bookman Old Style" w:cs="Arial"/>
        </w:rPr>
        <w:t>.</w:t>
      </w:r>
      <w:r w:rsidR="00F03690">
        <w:rPr>
          <w:rFonts w:ascii="Bookman Old Style" w:hAnsi="Bookman Old Style" w:cs="Arial"/>
        </w:rPr>
        <w:t>S</w:t>
      </w:r>
      <w:r w:rsidR="00321FD1">
        <w:rPr>
          <w:rFonts w:ascii="Bookman Old Style" w:hAnsi="Bookman Old Style" w:cs="Arial"/>
        </w:rPr>
        <w:t>.</w:t>
      </w:r>
      <w:r w:rsidR="00F03690">
        <w:rPr>
          <w:rFonts w:ascii="Bookman Old Style" w:hAnsi="Bookman Old Style" w:cs="Arial"/>
        </w:rPr>
        <w:t xml:space="preserve"> E</w:t>
      </w:r>
      <w:r w:rsidR="00321FD1">
        <w:rPr>
          <w:rFonts w:ascii="Bookman Old Style" w:hAnsi="Bookman Old Style" w:cs="Arial"/>
        </w:rPr>
        <w:t>.</w:t>
      </w:r>
      <w:r w:rsidR="00F03690">
        <w:rPr>
          <w:rFonts w:ascii="Bookman Old Style" w:hAnsi="Bookman Old Style" w:cs="Arial"/>
        </w:rPr>
        <w:t>S</w:t>
      </w:r>
      <w:r w:rsidR="00321FD1">
        <w:rPr>
          <w:rFonts w:ascii="Bookman Old Style" w:hAnsi="Bookman Old Style" w:cs="Arial"/>
        </w:rPr>
        <w:t>.</w:t>
      </w:r>
      <w:r w:rsidR="00F03690">
        <w:rPr>
          <w:rFonts w:ascii="Bookman Old Style" w:hAnsi="Bookman Old Style" w:cs="Arial"/>
        </w:rPr>
        <w:t>P</w:t>
      </w:r>
      <w:r w:rsidR="00321FD1">
        <w:rPr>
          <w:rFonts w:ascii="Bookman Old Style" w:hAnsi="Bookman Old Style" w:cs="Arial"/>
        </w:rPr>
        <w:t>.</w:t>
      </w:r>
      <w:r w:rsidR="00F03690">
        <w:rPr>
          <w:rFonts w:ascii="Bookman Old Style" w:hAnsi="Bookman Old Style" w:cs="Arial"/>
        </w:rPr>
        <w:t xml:space="preserve"> en representación del</w:t>
      </w:r>
      <w:r w:rsidR="004645B5">
        <w:rPr>
          <w:rFonts w:ascii="Bookman Old Style" w:hAnsi="Bookman Old Style" w:cs="Arial"/>
        </w:rPr>
        <w:t xml:space="preserve"> proyecto Miel II</w:t>
      </w:r>
      <w:r w:rsidR="006A18FA">
        <w:rPr>
          <w:rFonts w:ascii="Bookman Old Style" w:hAnsi="Bookman Old Style" w:cs="Arial"/>
        </w:rPr>
        <w:t xml:space="preserve"> </w:t>
      </w:r>
      <w:r w:rsidR="00967860">
        <w:rPr>
          <w:rFonts w:ascii="Bookman Old Style" w:hAnsi="Bookman Old Style" w:cs="Arial"/>
        </w:rPr>
        <w:t xml:space="preserve">recibió asignaciones de </w:t>
      </w:r>
      <w:r w:rsidR="006A18FA">
        <w:rPr>
          <w:rFonts w:ascii="Bookman Old Style" w:hAnsi="Bookman Old Style" w:cs="Arial"/>
        </w:rPr>
        <w:t>Obligaciones de Energía Firme</w:t>
      </w:r>
      <w:r w:rsidR="00321FD1">
        <w:rPr>
          <w:rFonts w:ascii="Bookman Old Style" w:hAnsi="Bookman Old Style" w:cs="Arial"/>
        </w:rPr>
        <w:t xml:space="preserve">, </w:t>
      </w:r>
      <w:r w:rsidR="006A18FA">
        <w:rPr>
          <w:rFonts w:ascii="Bookman Old Style" w:hAnsi="Bookman Old Style" w:cs="Arial"/>
        </w:rPr>
        <w:t>OEF, equivalente</w:t>
      </w:r>
      <w:r w:rsidR="00967860">
        <w:rPr>
          <w:rFonts w:ascii="Bookman Old Style" w:hAnsi="Bookman Old Style" w:cs="Arial"/>
        </w:rPr>
        <w:t>s</w:t>
      </w:r>
      <w:r w:rsidR="006A18FA">
        <w:rPr>
          <w:rFonts w:ascii="Bookman Old Style" w:hAnsi="Bookman Old Style" w:cs="Arial"/>
        </w:rPr>
        <w:t xml:space="preserve"> a </w:t>
      </w:r>
      <w:r w:rsidR="005B280E">
        <w:rPr>
          <w:rFonts w:ascii="Bookman Old Style" w:hAnsi="Bookman Old Style" w:cs="Arial"/>
        </w:rPr>
        <w:t xml:space="preserve">doscientos tres mil ochocientos ochenta y cinco kilovatios hora – día </w:t>
      </w:r>
      <w:r w:rsidR="00F03690">
        <w:rPr>
          <w:rFonts w:ascii="Bookman Old Style" w:hAnsi="Bookman Old Style" w:cs="Arial"/>
        </w:rPr>
        <w:t xml:space="preserve">(203.885 </w:t>
      </w:r>
      <w:r w:rsidR="00195645">
        <w:rPr>
          <w:rFonts w:ascii="Bookman Old Style" w:hAnsi="Bookman Old Style" w:cs="Arial"/>
        </w:rPr>
        <w:t>kWh-día</w:t>
      </w:r>
      <w:r w:rsidR="00F03690">
        <w:rPr>
          <w:rFonts w:ascii="Bookman Old Style" w:hAnsi="Bookman Old Style" w:cs="Arial"/>
        </w:rPr>
        <w:t>)</w:t>
      </w:r>
      <w:r w:rsidR="00321FD1">
        <w:rPr>
          <w:rFonts w:ascii="Bookman Old Style" w:hAnsi="Bookman Old Style" w:cs="Arial"/>
        </w:rPr>
        <w:t xml:space="preserve"> para los períodos cargo comprendidos entre el 1 de diciembre de 2022 a 30 de noviembre de 2042</w:t>
      </w:r>
      <w:r w:rsidR="00F03690">
        <w:rPr>
          <w:rFonts w:ascii="Bookman Old Style" w:hAnsi="Bookman Old Style" w:cs="Arial"/>
        </w:rPr>
        <w:t>.</w:t>
      </w:r>
    </w:p>
    <w:p w14:paraId="3760DCBB" w14:textId="0D82F6B9" w:rsidR="008E10C2" w:rsidRDefault="008E10C2" w:rsidP="008E10C2">
      <w:pPr>
        <w:ind w:left="0"/>
        <w:rPr>
          <w:rFonts w:ascii="Bookman Old Style" w:hAnsi="Bookman Old Style"/>
          <w:b/>
        </w:rPr>
      </w:pPr>
    </w:p>
    <w:p w14:paraId="1A00BBD1" w14:textId="77777777" w:rsidR="008E10C2" w:rsidRDefault="008E10C2" w:rsidP="008E10C2">
      <w:pPr>
        <w:numPr>
          <w:ilvl w:val="0"/>
          <w:numId w:val="24"/>
        </w:numPr>
        <w:rPr>
          <w:rFonts w:ascii="Bookman Old Style" w:hAnsi="Bookman Old Style"/>
          <w:b/>
        </w:rPr>
      </w:pPr>
      <w:r>
        <w:rPr>
          <w:rFonts w:ascii="Bookman Old Style" w:hAnsi="Bookman Old Style"/>
          <w:b/>
        </w:rPr>
        <w:t xml:space="preserve">ACTUACIÓN ADMINISTRATIVA </w:t>
      </w:r>
    </w:p>
    <w:p w14:paraId="2931F826" w14:textId="77777777" w:rsidR="008E10C2" w:rsidRPr="00496B75" w:rsidRDefault="008E10C2" w:rsidP="008E10C2">
      <w:pPr>
        <w:rPr>
          <w:rFonts w:ascii="Bookman Old Style" w:hAnsi="Bookman Old Style"/>
          <w:b/>
        </w:rPr>
      </w:pPr>
    </w:p>
    <w:p w14:paraId="75172B46" w14:textId="77777777" w:rsidR="008E10C2" w:rsidRPr="003D31DD" w:rsidRDefault="008E10C2" w:rsidP="008E10C2">
      <w:pPr>
        <w:numPr>
          <w:ilvl w:val="0"/>
          <w:numId w:val="27"/>
        </w:numPr>
        <w:rPr>
          <w:rFonts w:ascii="Bookman Old Style" w:hAnsi="Bookman Old Style"/>
          <w:b/>
        </w:rPr>
      </w:pPr>
      <w:r w:rsidRPr="003D31DD">
        <w:rPr>
          <w:rFonts w:ascii="Bookman Old Style" w:hAnsi="Bookman Old Style"/>
          <w:b/>
        </w:rPr>
        <w:t xml:space="preserve">Inicio de la actuación administrativa </w:t>
      </w:r>
    </w:p>
    <w:p w14:paraId="14E423D4" w14:textId="77777777" w:rsidR="008E10C2" w:rsidRDefault="008E10C2" w:rsidP="008E10C2">
      <w:pPr>
        <w:ind w:left="0"/>
        <w:jc w:val="both"/>
        <w:rPr>
          <w:rFonts w:ascii="Bookman Old Style" w:hAnsi="Bookman Old Style" w:cs="Arial"/>
          <w:bCs/>
        </w:rPr>
      </w:pPr>
    </w:p>
    <w:p w14:paraId="0F3F3830" w14:textId="7930282B" w:rsidR="008E10C2" w:rsidRPr="003114CC" w:rsidRDefault="008E10C2" w:rsidP="008E10C2">
      <w:pPr>
        <w:ind w:left="0"/>
        <w:jc w:val="both"/>
        <w:rPr>
          <w:rFonts w:ascii="Bookman Old Style" w:hAnsi="Bookman Old Style"/>
          <w:bCs/>
          <w:iCs/>
          <w:lang w:val="es-CO"/>
        </w:rPr>
      </w:pPr>
      <w:r>
        <w:rPr>
          <w:rFonts w:ascii="Bookman Old Style" w:hAnsi="Bookman Old Style" w:cs="Arial"/>
          <w:bCs/>
        </w:rPr>
        <w:t xml:space="preserve">Recibido el informe del auditor del proyecto, atendiendo a las conclusiones del mismo y a lo previsto en la regulación, mediante auto de </w:t>
      </w:r>
      <w:r w:rsidR="00C45C94">
        <w:rPr>
          <w:rFonts w:ascii="Bookman Old Style" w:hAnsi="Bookman Old Style" w:cs="Arial"/>
          <w:bCs/>
        </w:rPr>
        <w:t>10</w:t>
      </w:r>
      <w:r>
        <w:rPr>
          <w:rFonts w:ascii="Bookman Old Style" w:hAnsi="Bookman Old Style" w:cs="Arial"/>
          <w:bCs/>
        </w:rPr>
        <w:t xml:space="preserve"> de </w:t>
      </w:r>
      <w:r w:rsidR="00F03690">
        <w:rPr>
          <w:rFonts w:ascii="Bookman Old Style" w:hAnsi="Bookman Old Style" w:cs="Arial"/>
          <w:bCs/>
        </w:rPr>
        <w:t>septiembre</w:t>
      </w:r>
      <w:r>
        <w:rPr>
          <w:rFonts w:ascii="Bookman Old Style" w:hAnsi="Bookman Old Style" w:cs="Arial"/>
          <w:bCs/>
        </w:rPr>
        <w:t xml:space="preserve"> de 20</w:t>
      </w:r>
      <w:r w:rsidR="00F03690">
        <w:rPr>
          <w:rFonts w:ascii="Bookman Old Style" w:hAnsi="Bookman Old Style" w:cs="Arial"/>
          <w:bCs/>
        </w:rPr>
        <w:t>20</w:t>
      </w:r>
      <w:r>
        <w:rPr>
          <w:rFonts w:ascii="Bookman Old Style" w:hAnsi="Bookman Old Style" w:cs="Arial"/>
          <w:bCs/>
        </w:rPr>
        <w:t xml:space="preserve"> la </w:t>
      </w:r>
      <w:r w:rsidR="00C45C94">
        <w:rPr>
          <w:rFonts w:ascii="Bookman Old Style" w:hAnsi="Bookman Old Style" w:cs="Arial"/>
          <w:bCs/>
        </w:rPr>
        <w:t>D</w:t>
      </w:r>
      <w:r>
        <w:rPr>
          <w:rFonts w:ascii="Bookman Old Style" w:hAnsi="Bookman Old Style" w:cs="Arial"/>
          <w:bCs/>
        </w:rPr>
        <w:t xml:space="preserve">irección </w:t>
      </w:r>
      <w:r w:rsidR="00C45C94">
        <w:rPr>
          <w:rFonts w:ascii="Bookman Old Style" w:hAnsi="Bookman Old Style" w:cs="Arial"/>
          <w:bCs/>
        </w:rPr>
        <w:t>E</w:t>
      </w:r>
      <w:r>
        <w:rPr>
          <w:rFonts w:ascii="Bookman Old Style" w:hAnsi="Bookman Old Style" w:cs="Arial"/>
          <w:bCs/>
        </w:rPr>
        <w:t>jecutiva de la CREG</w:t>
      </w:r>
      <w:r w:rsidR="003114CC">
        <w:rPr>
          <w:rFonts w:ascii="Bookman Old Style" w:hAnsi="Bookman Old Style" w:cs="Arial"/>
          <w:bCs/>
        </w:rPr>
        <w:t xml:space="preserve"> </w:t>
      </w:r>
      <w:r>
        <w:rPr>
          <w:rFonts w:ascii="Bookman Old Style" w:hAnsi="Bookman Old Style" w:cs="Arial"/>
          <w:bCs/>
        </w:rPr>
        <w:t>inició una actuación administrativa</w:t>
      </w:r>
      <w:r w:rsidR="003114CC">
        <w:rPr>
          <w:rFonts w:ascii="Bookman Old Style" w:hAnsi="Bookman Old Style" w:cs="Arial"/>
          <w:bCs/>
        </w:rPr>
        <w:t xml:space="preserve"> con</w:t>
      </w:r>
      <w:r>
        <w:rPr>
          <w:rFonts w:ascii="Bookman Old Style" w:hAnsi="Bookman Old Style" w:cs="Arial"/>
          <w:bCs/>
        </w:rPr>
        <w:t xml:space="preserve"> “</w:t>
      </w:r>
      <w:r w:rsidR="00F03690" w:rsidRPr="00F03690">
        <w:rPr>
          <w:rFonts w:ascii="Bookman Old Style" w:hAnsi="Bookman Old Style"/>
          <w:bCs/>
          <w:i/>
          <w:lang w:val="es-ES_tradnl"/>
        </w:rPr>
        <w:t>el objeto establecer plenamente la existencia del incumplimiento grave e insalvable del proyecto Central Hi</w:t>
      </w:r>
      <w:r w:rsidR="00590FD6">
        <w:rPr>
          <w:rFonts w:ascii="Bookman Old Style" w:hAnsi="Bookman Old Style"/>
          <w:bCs/>
          <w:i/>
          <w:lang w:val="es-ES_tradnl"/>
        </w:rPr>
        <w:t>d</w:t>
      </w:r>
      <w:r w:rsidR="00F03690" w:rsidRPr="00F03690">
        <w:rPr>
          <w:rFonts w:ascii="Bookman Old Style" w:hAnsi="Bookman Old Style"/>
          <w:bCs/>
          <w:i/>
          <w:lang w:val="es-ES_tradnl"/>
        </w:rPr>
        <w:t>roeléctrica Miel II, el cual está siendo adelantado por Promot</w:t>
      </w:r>
      <w:r w:rsidR="008C32F5">
        <w:rPr>
          <w:rFonts w:ascii="Bookman Old Style" w:hAnsi="Bookman Old Style"/>
          <w:bCs/>
          <w:i/>
          <w:lang w:val="es-ES_tradnl"/>
        </w:rPr>
        <w:t>o</w:t>
      </w:r>
      <w:r w:rsidR="00F03690" w:rsidRPr="00F03690">
        <w:rPr>
          <w:rFonts w:ascii="Bookman Old Style" w:hAnsi="Bookman Old Style"/>
          <w:bCs/>
          <w:i/>
          <w:lang w:val="es-ES_tradnl"/>
        </w:rPr>
        <w:t>ra Energética del Centro SAS ESP y determinar las consecuencias respecto de las obligaciones de energía firme (OEF) asignadas con inicio de vigencia 1 de diciembre de 2022 al 30 de noviembre de 2042</w:t>
      </w:r>
      <w:r w:rsidRPr="009F436C">
        <w:rPr>
          <w:rFonts w:ascii="Bookman Old Style" w:hAnsi="Bookman Old Style"/>
          <w:bCs/>
          <w:i/>
          <w:lang w:val="es-CO"/>
        </w:rPr>
        <w:t>.”</w:t>
      </w:r>
      <w:r w:rsidR="003114CC">
        <w:rPr>
          <w:rFonts w:ascii="Bookman Old Style" w:hAnsi="Bookman Old Style"/>
          <w:bCs/>
          <w:i/>
          <w:lang w:val="es-CO"/>
        </w:rPr>
        <w:t xml:space="preserve">. </w:t>
      </w:r>
      <w:r w:rsidR="003114CC">
        <w:rPr>
          <w:rFonts w:ascii="Bookman Old Style" w:hAnsi="Bookman Old Style"/>
          <w:bCs/>
          <w:iCs/>
          <w:lang w:val="es-CO"/>
        </w:rPr>
        <w:t xml:space="preserve">Dicho auto fue comunicado al </w:t>
      </w:r>
      <w:r w:rsidR="00F46F1E">
        <w:rPr>
          <w:rFonts w:ascii="Bookman Old Style" w:hAnsi="Bookman Old Style"/>
          <w:bCs/>
          <w:iCs/>
          <w:lang w:val="es-CO"/>
        </w:rPr>
        <w:t>r</w:t>
      </w:r>
      <w:r w:rsidR="003114CC">
        <w:rPr>
          <w:rFonts w:ascii="Bookman Old Style" w:hAnsi="Bookman Old Style"/>
          <w:bCs/>
          <w:iCs/>
          <w:lang w:val="es-CO"/>
        </w:rPr>
        <w:t xml:space="preserve">epresentante </w:t>
      </w:r>
      <w:r w:rsidR="00F46F1E">
        <w:rPr>
          <w:rFonts w:ascii="Bookman Old Style" w:hAnsi="Bookman Old Style"/>
          <w:bCs/>
          <w:iCs/>
          <w:lang w:val="es-CO"/>
        </w:rPr>
        <w:t>l</w:t>
      </w:r>
      <w:r w:rsidR="003114CC">
        <w:rPr>
          <w:rFonts w:ascii="Bookman Old Style" w:hAnsi="Bookman Old Style"/>
          <w:bCs/>
          <w:iCs/>
          <w:lang w:val="es-CO"/>
        </w:rPr>
        <w:t>egal de Promotora Energética de Centro</w:t>
      </w:r>
      <w:r w:rsidR="00517C6C">
        <w:rPr>
          <w:rFonts w:ascii="Bookman Old Style" w:hAnsi="Bookman Old Style"/>
          <w:bCs/>
          <w:iCs/>
          <w:lang w:val="es-CO"/>
        </w:rPr>
        <w:t xml:space="preserve"> S</w:t>
      </w:r>
      <w:r w:rsidR="00321FD1">
        <w:rPr>
          <w:rFonts w:ascii="Bookman Old Style" w:hAnsi="Bookman Old Style"/>
          <w:bCs/>
          <w:iCs/>
          <w:lang w:val="es-CO"/>
        </w:rPr>
        <w:t>.</w:t>
      </w:r>
      <w:r w:rsidR="00517C6C">
        <w:rPr>
          <w:rFonts w:ascii="Bookman Old Style" w:hAnsi="Bookman Old Style"/>
          <w:bCs/>
          <w:iCs/>
          <w:lang w:val="es-CO"/>
        </w:rPr>
        <w:t>A</w:t>
      </w:r>
      <w:r w:rsidR="00321FD1">
        <w:rPr>
          <w:rFonts w:ascii="Bookman Old Style" w:hAnsi="Bookman Old Style"/>
          <w:bCs/>
          <w:iCs/>
          <w:lang w:val="es-CO"/>
        </w:rPr>
        <w:t>.</w:t>
      </w:r>
      <w:r w:rsidR="00517C6C">
        <w:rPr>
          <w:rFonts w:ascii="Bookman Old Style" w:hAnsi="Bookman Old Style"/>
          <w:bCs/>
          <w:iCs/>
          <w:lang w:val="es-CO"/>
        </w:rPr>
        <w:t>S</w:t>
      </w:r>
      <w:r w:rsidR="00321FD1">
        <w:rPr>
          <w:rFonts w:ascii="Bookman Old Style" w:hAnsi="Bookman Old Style"/>
          <w:bCs/>
          <w:iCs/>
          <w:lang w:val="es-CO"/>
        </w:rPr>
        <w:t>.</w:t>
      </w:r>
      <w:r w:rsidR="00517C6C">
        <w:rPr>
          <w:rFonts w:ascii="Bookman Old Style" w:hAnsi="Bookman Old Style"/>
          <w:bCs/>
          <w:iCs/>
          <w:lang w:val="es-CO"/>
        </w:rPr>
        <w:t xml:space="preserve"> E</w:t>
      </w:r>
      <w:r w:rsidR="00321FD1">
        <w:rPr>
          <w:rFonts w:ascii="Bookman Old Style" w:hAnsi="Bookman Old Style"/>
          <w:bCs/>
          <w:iCs/>
          <w:lang w:val="es-CO"/>
        </w:rPr>
        <w:t>.</w:t>
      </w:r>
      <w:r w:rsidR="00517C6C">
        <w:rPr>
          <w:rFonts w:ascii="Bookman Old Style" w:hAnsi="Bookman Old Style"/>
          <w:bCs/>
          <w:iCs/>
          <w:lang w:val="es-CO"/>
        </w:rPr>
        <w:t>S</w:t>
      </w:r>
      <w:r w:rsidR="00321FD1">
        <w:rPr>
          <w:rFonts w:ascii="Bookman Old Style" w:hAnsi="Bookman Old Style"/>
          <w:bCs/>
          <w:iCs/>
          <w:lang w:val="es-CO"/>
        </w:rPr>
        <w:t>.</w:t>
      </w:r>
      <w:r w:rsidR="00517C6C">
        <w:rPr>
          <w:rFonts w:ascii="Bookman Old Style" w:hAnsi="Bookman Old Style"/>
          <w:bCs/>
          <w:iCs/>
          <w:lang w:val="es-CO"/>
        </w:rPr>
        <w:t>P</w:t>
      </w:r>
      <w:r w:rsidR="00321FD1">
        <w:rPr>
          <w:rFonts w:ascii="Bookman Old Style" w:hAnsi="Bookman Old Style"/>
          <w:bCs/>
          <w:iCs/>
          <w:lang w:val="es-CO"/>
        </w:rPr>
        <w:t>.</w:t>
      </w:r>
      <w:r w:rsidR="003114CC">
        <w:rPr>
          <w:rFonts w:ascii="Bookman Old Style" w:hAnsi="Bookman Old Style"/>
          <w:bCs/>
          <w:iCs/>
          <w:lang w:val="es-CO"/>
        </w:rPr>
        <w:t xml:space="preserve"> </w:t>
      </w:r>
      <w:r w:rsidR="002B0464">
        <w:rPr>
          <w:rFonts w:ascii="Bookman Old Style" w:hAnsi="Bookman Old Style"/>
          <w:bCs/>
          <w:iCs/>
          <w:lang w:val="es-CO"/>
        </w:rPr>
        <w:t>mediante</w:t>
      </w:r>
      <w:r w:rsidR="003114CC">
        <w:rPr>
          <w:rFonts w:ascii="Bookman Old Style" w:hAnsi="Bookman Old Style"/>
          <w:bCs/>
          <w:iCs/>
          <w:lang w:val="es-CO"/>
        </w:rPr>
        <w:t xml:space="preserve"> oficio S-2020-004972.</w:t>
      </w:r>
    </w:p>
    <w:p w14:paraId="0AF1F096" w14:textId="3CED6A65" w:rsidR="008E10C2" w:rsidRDefault="008E10C2" w:rsidP="008E10C2">
      <w:pPr>
        <w:ind w:left="0"/>
        <w:jc w:val="both"/>
        <w:rPr>
          <w:rFonts w:ascii="Bookman Old Style" w:hAnsi="Bookman Old Style" w:cs="Arial"/>
          <w:bCs/>
          <w:lang w:val="es-CO"/>
        </w:rPr>
      </w:pPr>
    </w:p>
    <w:p w14:paraId="74DED79C" w14:textId="28A761D1" w:rsidR="00F46F1E" w:rsidRPr="00C44FA7" w:rsidRDefault="00C44FA7" w:rsidP="0022342E">
      <w:pPr>
        <w:numPr>
          <w:ilvl w:val="0"/>
          <w:numId w:val="27"/>
        </w:numPr>
        <w:rPr>
          <w:rFonts w:ascii="Bookman Old Style" w:hAnsi="Bookman Old Style"/>
          <w:b/>
        </w:rPr>
      </w:pPr>
      <w:r w:rsidRPr="00C44FA7">
        <w:rPr>
          <w:rFonts w:ascii="Bookman Old Style" w:hAnsi="Bookman Old Style"/>
          <w:b/>
        </w:rPr>
        <w:t xml:space="preserve">Respuesta de </w:t>
      </w:r>
      <w:r w:rsidRPr="0022342E">
        <w:rPr>
          <w:rFonts w:ascii="Bookman Old Style" w:hAnsi="Bookman Old Style" w:cs="Arial"/>
          <w:b/>
          <w:lang w:val="es-CO"/>
        </w:rPr>
        <w:t>Promotora Energética de Centro S</w:t>
      </w:r>
      <w:r w:rsidR="00321FD1">
        <w:rPr>
          <w:rFonts w:ascii="Bookman Old Style" w:hAnsi="Bookman Old Style" w:cs="Arial"/>
          <w:b/>
          <w:lang w:val="es-CO"/>
        </w:rPr>
        <w:t>.</w:t>
      </w:r>
      <w:r w:rsidRPr="0022342E">
        <w:rPr>
          <w:rFonts w:ascii="Bookman Old Style" w:hAnsi="Bookman Old Style" w:cs="Arial"/>
          <w:b/>
          <w:lang w:val="es-CO"/>
        </w:rPr>
        <w:t>A</w:t>
      </w:r>
      <w:r w:rsidR="00321FD1">
        <w:rPr>
          <w:rFonts w:ascii="Bookman Old Style" w:hAnsi="Bookman Old Style" w:cs="Arial"/>
          <w:b/>
          <w:lang w:val="es-CO"/>
        </w:rPr>
        <w:t>.</w:t>
      </w:r>
      <w:r w:rsidRPr="0022342E">
        <w:rPr>
          <w:rFonts w:ascii="Bookman Old Style" w:hAnsi="Bookman Old Style" w:cs="Arial"/>
          <w:b/>
          <w:lang w:val="es-CO"/>
        </w:rPr>
        <w:t>S</w:t>
      </w:r>
      <w:r w:rsidR="00321FD1">
        <w:rPr>
          <w:rFonts w:ascii="Bookman Old Style" w:hAnsi="Bookman Old Style" w:cs="Arial"/>
          <w:b/>
          <w:lang w:val="es-CO"/>
        </w:rPr>
        <w:t>.</w:t>
      </w:r>
      <w:r w:rsidRPr="0022342E">
        <w:rPr>
          <w:rFonts w:ascii="Bookman Old Style" w:hAnsi="Bookman Old Style" w:cs="Arial"/>
          <w:b/>
          <w:lang w:val="es-CO"/>
        </w:rPr>
        <w:t xml:space="preserve"> E</w:t>
      </w:r>
      <w:r w:rsidR="00321FD1">
        <w:rPr>
          <w:rFonts w:ascii="Bookman Old Style" w:hAnsi="Bookman Old Style" w:cs="Arial"/>
          <w:b/>
          <w:lang w:val="es-CO"/>
        </w:rPr>
        <w:t>.</w:t>
      </w:r>
      <w:r w:rsidRPr="0022342E">
        <w:rPr>
          <w:rFonts w:ascii="Bookman Old Style" w:hAnsi="Bookman Old Style" w:cs="Arial"/>
          <w:b/>
          <w:lang w:val="es-CO"/>
        </w:rPr>
        <w:t>S</w:t>
      </w:r>
      <w:r w:rsidR="00321FD1">
        <w:rPr>
          <w:rFonts w:ascii="Bookman Old Style" w:hAnsi="Bookman Old Style" w:cs="Arial"/>
          <w:b/>
          <w:lang w:val="es-CO"/>
        </w:rPr>
        <w:t>.</w:t>
      </w:r>
      <w:r w:rsidRPr="0022342E">
        <w:rPr>
          <w:rFonts w:ascii="Bookman Old Style" w:hAnsi="Bookman Old Style" w:cs="Arial"/>
          <w:b/>
          <w:lang w:val="es-CO"/>
        </w:rPr>
        <w:t>P</w:t>
      </w:r>
      <w:r w:rsidR="00321FD1">
        <w:rPr>
          <w:rFonts w:ascii="Bookman Old Style" w:hAnsi="Bookman Old Style" w:cs="Arial"/>
          <w:b/>
          <w:lang w:val="es-CO"/>
        </w:rPr>
        <w:t>.</w:t>
      </w:r>
    </w:p>
    <w:p w14:paraId="7B17740A" w14:textId="77777777" w:rsidR="00F46F1E" w:rsidRPr="004A05EA" w:rsidRDefault="00F46F1E" w:rsidP="008E10C2">
      <w:pPr>
        <w:ind w:left="0"/>
        <w:jc w:val="both"/>
        <w:rPr>
          <w:rFonts w:ascii="Bookman Old Style" w:hAnsi="Bookman Old Style" w:cs="Arial"/>
          <w:bCs/>
          <w:lang w:val="es-CO"/>
        </w:rPr>
      </w:pPr>
    </w:p>
    <w:p w14:paraId="7D41ECD6" w14:textId="77777777" w:rsidR="00746D53" w:rsidRDefault="00746D53" w:rsidP="008E10C2">
      <w:pPr>
        <w:ind w:left="0"/>
        <w:jc w:val="both"/>
        <w:rPr>
          <w:rFonts w:ascii="Bookman Old Style" w:hAnsi="Bookman Old Style" w:cs="Arial"/>
          <w:bCs/>
          <w:lang w:val="es-CO"/>
        </w:rPr>
      </w:pPr>
    </w:p>
    <w:p w14:paraId="44C3BB43" w14:textId="77777777" w:rsidR="00746D53" w:rsidRDefault="00746D53" w:rsidP="008E10C2">
      <w:pPr>
        <w:ind w:left="0"/>
        <w:jc w:val="both"/>
        <w:rPr>
          <w:rFonts w:ascii="Bookman Old Style" w:hAnsi="Bookman Old Style" w:cs="Arial"/>
          <w:bCs/>
          <w:lang w:val="es-CO"/>
        </w:rPr>
      </w:pPr>
    </w:p>
    <w:p w14:paraId="02705905" w14:textId="6527D92F" w:rsidR="001307B2" w:rsidRDefault="008E10C2" w:rsidP="008E10C2">
      <w:pPr>
        <w:ind w:left="0"/>
        <w:jc w:val="both"/>
        <w:rPr>
          <w:rFonts w:ascii="Bookman Old Style" w:hAnsi="Bookman Old Style" w:cs="Arial"/>
          <w:bCs/>
          <w:lang w:val="es-CO"/>
        </w:rPr>
      </w:pPr>
      <w:r>
        <w:rPr>
          <w:rFonts w:ascii="Bookman Old Style" w:hAnsi="Bookman Old Style" w:cs="Arial"/>
          <w:bCs/>
          <w:lang w:val="es-CO"/>
        </w:rPr>
        <w:t>E</w:t>
      </w:r>
      <w:r w:rsidRPr="004A05EA">
        <w:rPr>
          <w:rFonts w:ascii="Bookman Old Style" w:hAnsi="Bookman Old Style" w:cs="Arial"/>
          <w:bCs/>
          <w:lang w:val="es-CO"/>
        </w:rPr>
        <w:t>l</w:t>
      </w:r>
      <w:r w:rsidR="00F03690">
        <w:rPr>
          <w:rFonts w:ascii="Bookman Old Style" w:hAnsi="Bookman Old Style" w:cs="Arial"/>
          <w:bCs/>
          <w:lang w:val="es-CO"/>
        </w:rPr>
        <w:t xml:space="preserve"> 17</w:t>
      </w:r>
      <w:r w:rsidRPr="004A05EA">
        <w:rPr>
          <w:rFonts w:ascii="Bookman Old Style" w:hAnsi="Bookman Old Style" w:cs="Arial"/>
          <w:bCs/>
          <w:lang w:val="es-CO"/>
        </w:rPr>
        <w:t xml:space="preserve"> de</w:t>
      </w:r>
      <w:r w:rsidR="001307B2">
        <w:rPr>
          <w:rFonts w:ascii="Bookman Old Style" w:hAnsi="Bookman Old Style" w:cs="Arial"/>
          <w:bCs/>
          <w:lang w:val="es-CO"/>
        </w:rPr>
        <w:t xml:space="preserve"> </w:t>
      </w:r>
      <w:r w:rsidR="00E700B6">
        <w:rPr>
          <w:rFonts w:ascii="Bookman Old Style" w:hAnsi="Bookman Old Style" w:cs="Arial"/>
          <w:bCs/>
          <w:lang w:val="es-CO"/>
        </w:rPr>
        <w:t>septiembre</w:t>
      </w:r>
      <w:r w:rsidRPr="004A05EA">
        <w:rPr>
          <w:rFonts w:ascii="Bookman Old Style" w:hAnsi="Bookman Old Style" w:cs="Arial"/>
          <w:bCs/>
          <w:lang w:val="es-CO"/>
        </w:rPr>
        <w:t xml:space="preserve"> de 20</w:t>
      </w:r>
      <w:r w:rsidR="00F03690">
        <w:rPr>
          <w:rFonts w:ascii="Bookman Old Style" w:hAnsi="Bookman Old Style" w:cs="Arial"/>
          <w:bCs/>
          <w:lang w:val="es-CO"/>
        </w:rPr>
        <w:t>20 Promotora Energética de Centro S</w:t>
      </w:r>
      <w:r w:rsidR="00321FD1">
        <w:rPr>
          <w:rFonts w:ascii="Bookman Old Style" w:hAnsi="Bookman Old Style" w:cs="Arial"/>
          <w:bCs/>
          <w:lang w:val="es-CO"/>
        </w:rPr>
        <w:t>.</w:t>
      </w:r>
      <w:r w:rsidR="003837CD">
        <w:rPr>
          <w:rFonts w:ascii="Bookman Old Style" w:hAnsi="Bookman Old Style" w:cs="Arial"/>
          <w:bCs/>
          <w:lang w:val="es-CO"/>
        </w:rPr>
        <w:t>A</w:t>
      </w:r>
      <w:r w:rsidR="00321FD1">
        <w:rPr>
          <w:rFonts w:ascii="Bookman Old Style" w:hAnsi="Bookman Old Style" w:cs="Arial"/>
          <w:bCs/>
          <w:lang w:val="es-CO"/>
        </w:rPr>
        <w:t>.</w:t>
      </w:r>
      <w:r w:rsidR="003837CD">
        <w:rPr>
          <w:rFonts w:ascii="Bookman Old Style" w:hAnsi="Bookman Old Style" w:cs="Arial"/>
          <w:bCs/>
          <w:lang w:val="es-CO"/>
        </w:rPr>
        <w:t>S</w:t>
      </w:r>
      <w:r w:rsidR="00321FD1">
        <w:rPr>
          <w:rFonts w:ascii="Bookman Old Style" w:hAnsi="Bookman Old Style" w:cs="Arial"/>
          <w:bCs/>
          <w:lang w:val="es-CO"/>
        </w:rPr>
        <w:t>.</w:t>
      </w:r>
      <w:r w:rsidR="00F03690">
        <w:rPr>
          <w:rFonts w:ascii="Bookman Old Style" w:hAnsi="Bookman Old Style" w:cs="Arial"/>
          <w:bCs/>
          <w:lang w:val="es-CO"/>
        </w:rPr>
        <w:t xml:space="preserve"> E</w:t>
      </w:r>
      <w:r w:rsidR="00321FD1">
        <w:rPr>
          <w:rFonts w:ascii="Bookman Old Style" w:hAnsi="Bookman Old Style" w:cs="Arial"/>
          <w:bCs/>
          <w:lang w:val="es-CO"/>
        </w:rPr>
        <w:t>.</w:t>
      </w:r>
      <w:r w:rsidR="00F03690">
        <w:rPr>
          <w:rFonts w:ascii="Bookman Old Style" w:hAnsi="Bookman Old Style" w:cs="Arial"/>
          <w:bCs/>
          <w:lang w:val="es-CO"/>
        </w:rPr>
        <w:t>S</w:t>
      </w:r>
      <w:r w:rsidR="00321FD1">
        <w:rPr>
          <w:rFonts w:ascii="Bookman Old Style" w:hAnsi="Bookman Old Style" w:cs="Arial"/>
          <w:bCs/>
          <w:lang w:val="es-CO"/>
        </w:rPr>
        <w:t>.</w:t>
      </w:r>
      <w:r w:rsidR="00F03690">
        <w:rPr>
          <w:rFonts w:ascii="Bookman Old Style" w:hAnsi="Bookman Old Style" w:cs="Arial"/>
          <w:bCs/>
          <w:lang w:val="es-CO"/>
        </w:rPr>
        <w:t>P</w:t>
      </w:r>
      <w:r w:rsidR="00321FD1">
        <w:rPr>
          <w:rFonts w:ascii="Bookman Old Style" w:hAnsi="Bookman Old Style" w:cs="Arial"/>
          <w:bCs/>
          <w:lang w:val="es-CO"/>
        </w:rPr>
        <w:t>.</w:t>
      </w:r>
      <w:r w:rsidRPr="004A05EA">
        <w:rPr>
          <w:rFonts w:ascii="Bookman Old Style" w:hAnsi="Bookman Old Style" w:cs="Arial"/>
          <w:bCs/>
          <w:lang w:val="es-CO"/>
        </w:rPr>
        <w:t xml:space="preserve"> se pronunc</w:t>
      </w:r>
      <w:r w:rsidR="00F46F1E">
        <w:rPr>
          <w:rFonts w:ascii="Bookman Old Style" w:hAnsi="Bookman Old Style" w:cs="Arial"/>
          <w:bCs/>
          <w:lang w:val="es-CO"/>
        </w:rPr>
        <w:t>ió</w:t>
      </w:r>
      <w:r w:rsidR="00F03690">
        <w:rPr>
          <w:rFonts w:ascii="Bookman Old Style" w:hAnsi="Bookman Old Style" w:cs="Arial"/>
          <w:bCs/>
          <w:lang w:val="es-CO"/>
        </w:rPr>
        <w:t xml:space="preserve"> a través de su representante legal</w:t>
      </w:r>
      <w:r w:rsidRPr="004A05EA">
        <w:rPr>
          <w:rFonts w:ascii="Bookman Old Style" w:hAnsi="Bookman Old Style" w:cs="Arial"/>
          <w:bCs/>
          <w:lang w:val="es-CO"/>
        </w:rPr>
        <w:t xml:space="preserve">, </w:t>
      </w:r>
      <w:r w:rsidR="00F03690">
        <w:rPr>
          <w:rFonts w:ascii="Bookman Old Style" w:hAnsi="Bookman Old Style" w:cs="Arial"/>
          <w:bCs/>
          <w:lang w:val="es-CO"/>
        </w:rPr>
        <w:t>solicitándole a la CREG se aplace la fecha entrada en operación del proyecto hasta el 30 de noviembre de 2024</w:t>
      </w:r>
      <w:r w:rsidR="00321FD1">
        <w:rPr>
          <w:rFonts w:ascii="Bookman Old Style" w:hAnsi="Bookman Old Style" w:cs="Arial"/>
          <w:bCs/>
          <w:lang w:val="es-CO"/>
        </w:rPr>
        <w:t>,</w:t>
      </w:r>
      <w:r w:rsidR="00F03690">
        <w:rPr>
          <w:rFonts w:ascii="Bookman Old Style" w:hAnsi="Bookman Old Style" w:cs="Arial"/>
          <w:bCs/>
          <w:lang w:val="es-CO"/>
        </w:rPr>
        <w:t xml:space="preserve"> argumentando problemas para la consecución de un socio estratégico</w:t>
      </w:r>
      <w:r w:rsidR="00321FD1">
        <w:rPr>
          <w:rFonts w:ascii="Bookman Old Style" w:hAnsi="Bookman Old Style" w:cs="Arial"/>
          <w:bCs/>
          <w:lang w:val="es-CO"/>
        </w:rPr>
        <w:t>. A</w:t>
      </w:r>
      <w:r w:rsidR="00F03690">
        <w:rPr>
          <w:rFonts w:ascii="Bookman Old Style" w:hAnsi="Bookman Old Style" w:cs="Arial"/>
          <w:bCs/>
          <w:lang w:val="es-CO"/>
        </w:rPr>
        <w:t>sí mismo</w:t>
      </w:r>
      <w:r w:rsidR="00321FD1">
        <w:rPr>
          <w:rFonts w:ascii="Bookman Old Style" w:hAnsi="Bookman Old Style" w:cs="Arial"/>
          <w:bCs/>
          <w:lang w:val="es-CO"/>
        </w:rPr>
        <w:t>,</w:t>
      </w:r>
      <w:r w:rsidR="00F03690">
        <w:rPr>
          <w:rFonts w:ascii="Bookman Old Style" w:hAnsi="Bookman Old Style" w:cs="Arial"/>
          <w:bCs/>
          <w:lang w:val="es-CO"/>
        </w:rPr>
        <w:t xml:space="preserve"> solicitó a la CREG estudiar la posibilidad de ofrecer otra alternativa para el proyec</w:t>
      </w:r>
      <w:r w:rsidR="004A73D7">
        <w:rPr>
          <w:rFonts w:ascii="Bookman Old Style" w:hAnsi="Bookman Old Style" w:cs="Arial"/>
          <w:bCs/>
          <w:lang w:val="es-CO"/>
        </w:rPr>
        <w:t>t</w:t>
      </w:r>
      <w:r w:rsidR="003837CD">
        <w:rPr>
          <w:rFonts w:ascii="Bookman Old Style" w:hAnsi="Bookman Old Style" w:cs="Arial"/>
          <w:bCs/>
          <w:lang w:val="es-CO"/>
        </w:rPr>
        <w:t>o</w:t>
      </w:r>
      <w:r w:rsidR="00321FD1">
        <w:rPr>
          <w:rFonts w:ascii="Bookman Old Style" w:hAnsi="Bookman Old Style" w:cs="Arial"/>
          <w:bCs/>
          <w:lang w:val="es-CO"/>
        </w:rPr>
        <w:t>,</w:t>
      </w:r>
      <w:r w:rsidR="00B81285">
        <w:rPr>
          <w:rFonts w:ascii="Bookman Old Style" w:hAnsi="Bookman Old Style" w:cs="Arial"/>
          <w:bCs/>
          <w:lang w:val="es-CO"/>
        </w:rPr>
        <w:t xml:space="preserve"> similar a</w:t>
      </w:r>
      <w:r w:rsidR="004A73D7">
        <w:rPr>
          <w:rFonts w:ascii="Bookman Old Style" w:hAnsi="Bookman Old Style" w:cs="Arial"/>
          <w:bCs/>
          <w:lang w:val="es-CO"/>
        </w:rPr>
        <w:t xml:space="preserve"> las planteadas en </w:t>
      </w:r>
      <w:r w:rsidR="00B23087">
        <w:rPr>
          <w:rFonts w:ascii="Bookman Old Style" w:hAnsi="Bookman Old Style" w:cs="Arial"/>
          <w:bCs/>
          <w:lang w:val="es-CO"/>
        </w:rPr>
        <w:t>la resolución de consulta CREG</w:t>
      </w:r>
      <w:r w:rsidR="004A73D7">
        <w:rPr>
          <w:rFonts w:ascii="Bookman Old Style" w:hAnsi="Bookman Old Style" w:cs="Arial"/>
          <w:bCs/>
          <w:lang w:val="es-CO"/>
        </w:rPr>
        <w:t xml:space="preserve"> 158 de 2020.</w:t>
      </w:r>
    </w:p>
    <w:p w14:paraId="3153B2C8" w14:textId="72FE8243" w:rsidR="001307B2" w:rsidRDefault="001307B2" w:rsidP="008E10C2">
      <w:pPr>
        <w:ind w:left="0"/>
        <w:jc w:val="both"/>
        <w:rPr>
          <w:rFonts w:ascii="Bookman Old Style" w:hAnsi="Bookman Old Style" w:cs="Arial"/>
          <w:bCs/>
          <w:lang w:val="es-CO"/>
        </w:rPr>
      </w:pPr>
    </w:p>
    <w:p w14:paraId="28D83BDA" w14:textId="61AC6833" w:rsidR="001307B2" w:rsidRDefault="001307B2" w:rsidP="008E10C2">
      <w:pPr>
        <w:ind w:left="0"/>
        <w:jc w:val="both"/>
        <w:rPr>
          <w:rFonts w:ascii="Bookman Old Style" w:hAnsi="Bookman Old Style" w:cs="Arial"/>
          <w:bCs/>
          <w:lang w:val="es-CO"/>
        </w:rPr>
      </w:pPr>
      <w:r>
        <w:rPr>
          <w:rFonts w:ascii="Bookman Old Style" w:hAnsi="Bookman Old Style" w:cs="Arial"/>
          <w:bCs/>
          <w:lang w:val="es-CO"/>
        </w:rPr>
        <w:t xml:space="preserve">El 13 de noviembre 2020 </w:t>
      </w:r>
      <w:r w:rsidR="00321FD1">
        <w:rPr>
          <w:rFonts w:ascii="Bookman Old Style" w:hAnsi="Bookman Old Style" w:cs="Arial"/>
          <w:bCs/>
          <w:lang w:val="es-CO"/>
        </w:rPr>
        <w:t>l</w:t>
      </w:r>
      <w:r>
        <w:rPr>
          <w:rFonts w:ascii="Bookman Old Style" w:hAnsi="Bookman Old Style" w:cs="Arial"/>
          <w:bCs/>
          <w:lang w:val="es-CO"/>
        </w:rPr>
        <w:t>a Dirección Ejecutiva de la CREG</w:t>
      </w:r>
      <w:r w:rsidR="00321FD1">
        <w:rPr>
          <w:rFonts w:ascii="Bookman Old Style" w:hAnsi="Bookman Old Style" w:cs="Arial"/>
          <w:bCs/>
          <w:lang w:val="es-CO"/>
        </w:rPr>
        <w:t>,</w:t>
      </w:r>
      <w:r w:rsidR="00B81285">
        <w:rPr>
          <w:rFonts w:ascii="Bookman Old Style" w:hAnsi="Bookman Old Style" w:cs="Arial"/>
          <w:bCs/>
          <w:lang w:val="es-CO"/>
        </w:rPr>
        <w:t xml:space="preserve"> mediante oficio S</w:t>
      </w:r>
      <w:r w:rsidR="00321FD1">
        <w:rPr>
          <w:rFonts w:ascii="Bookman Old Style" w:hAnsi="Bookman Old Style" w:cs="Arial"/>
          <w:bCs/>
          <w:lang w:val="es-CO"/>
        </w:rPr>
        <w:noBreakHyphen/>
      </w:r>
      <w:r w:rsidR="00B81285">
        <w:rPr>
          <w:rFonts w:ascii="Bookman Old Style" w:hAnsi="Bookman Old Style" w:cs="Arial"/>
          <w:bCs/>
          <w:lang w:val="es-CO"/>
        </w:rPr>
        <w:t>2020-006260</w:t>
      </w:r>
      <w:r w:rsidR="00321FD1">
        <w:rPr>
          <w:rFonts w:ascii="Bookman Old Style" w:hAnsi="Bookman Old Style" w:cs="Arial"/>
          <w:bCs/>
          <w:lang w:val="es-CO"/>
        </w:rPr>
        <w:t>,</w:t>
      </w:r>
      <w:r w:rsidR="004A73D7">
        <w:rPr>
          <w:rFonts w:ascii="Bookman Old Style" w:hAnsi="Bookman Old Style" w:cs="Arial"/>
          <w:bCs/>
          <w:lang w:val="es-CO"/>
        </w:rPr>
        <w:t xml:space="preserve"> le info</w:t>
      </w:r>
      <w:r w:rsidR="003837CD">
        <w:rPr>
          <w:rFonts w:ascii="Bookman Old Style" w:hAnsi="Bookman Old Style" w:cs="Arial"/>
          <w:bCs/>
          <w:lang w:val="es-CO"/>
        </w:rPr>
        <w:t>r</w:t>
      </w:r>
      <w:r w:rsidR="004A73D7">
        <w:rPr>
          <w:rFonts w:ascii="Bookman Old Style" w:hAnsi="Bookman Old Style" w:cs="Arial"/>
          <w:bCs/>
          <w:lang w:val="es-CO"/>
        </w:rPr>
        <w:t>mó</w:t>
      </w:r>
      <w:r w:rsidR="003837CD">
        <w:rPr>
          <w:rFonts w:ascii="Bookman Old Style" w:hAnsi="Bookman Old Style" w:cs="Arial"/>
          <w:bCs/>
          <w:lang w:val="es-CO"/>
        </w:rPr>
        <w:t xml:space="preserve"> al agente</w:t>
      </w:r>
      <w:r w:rsidR="004A73D7">
        <w:rPr>
          <w:rFonts w:ascii="Bookman Old Style" w:hAnsi="Bookman Old Style" w:cs="Arial"/>
          <w:bCs/>
          <w:lang w:val="es-CO"/>
        </w:rPr>
        <w:t xml:space="preserve"> sobr</w:t>
      </w:r>
      <w:r w:rsidR="00517868">
        <w:rPr>
          <w:rFonts w:ascii="Bookman Old Style" w:hAnsi="Bookman Old Style" w:cs="Arial"/>
          <w:bCs/>
          <w:lang w:val="es-CO"/>
        </w:rPr>
        <w:t>e las alternativas dispuestas en</w:t>
      </w:r>
      <w:r w:rsidR="00F46F1E">
        <w:rPr>
          <w:rFonts w:ascii="Bookman Old Style" w:hAnsi="Bookman Old Style" w:cs="Arial"/>
          <w:bCs/>
          <w:lang w:val="es-CO"/>
        </w:rPr>
        <w:t xml:space="preserve"> la regulación vigente,</w:t>
      </w:r>
      <w:r w:rsidR="00517868">
        <w:rPr>
          <w:rFonts w:ascii="Bookman Old Style" w:hAnsi="Bookman Old Style" w:cs="Arial"/>
          <w:bCs/>
          <w:lang w:val="es-CO"/>
        </w:rPr>
        <w:t xml:space="preserve"> </w:t>
      </w:r>
      <w:r w:rsidR="007F6BF5">
        <w:rPr>
          <w:rFonts w:ascii="Bookman Old Style" w:hAnsi="Bookman Old Style" w:cs="Arial"/>
          <w:bCs/>
          <w:lang w:val="es-CO"/>
        </w:rPr>
        <w:t>r</w:t>
      </w:r>
      <w:r w:rsidR="00517868">
        <w:rPr>
          <w:rFonts w:ascii="Bookman Old Style" w:hAnsi="Bookman Old Style" w:cs="Arial"/>
          <w:bCs/>
          <w:lang w:val="es-CO"/>
        </w:rPr>
        <w:t>esoluciones CREG 114 de 2014 y 194 de 2020</w:t>
      </w:r>
      <w:r w:rsidR="00F46F1E">
        <w:rPr>
          <w:rFonts w:ascii="Bookman Old Style" w:hAnsi="Bookman Old Style" w:cs="Arial"/>
          <w:bCs/>
          <w:lang w:val="es-CO"/>
        </w:rPr>
        <w:t>,</w:t>
      </w:r>
      <w:r w:rsidR="00517868">
        <w:rPr>
          <w:rFonts w:ascii="Bookman Old Style" w:hAnsi="Bookman Old Style" w:cs="Arial"/>
          <w:bCs/>
          <w:lang w:val="es-CO"/>
        </w:rPr>
        <w:t xml:space="preserve"> para proyectos que pudieran requerir un plazo adicional al año de atraso previsto en la </w:t>
      </w:r>
      <w:r w:rsidR="00F46F1E">
        <w:rPr>
          <w:rFonts w:ascii="Bookman Old Style" w:hAnsi="Bookman Old Style" w:cs="Arial"/>
          <w:bCs/>
          <w:lang w:val="es-CO"/>
        </w:rPr>
        <w:t>R</w:t>
      </w:r>
      <w:r w:rsidR="00517868">
        <w:rPr>
          <w:rFonts w:ascii="Bookman Old Style" w:hAnsi="Bookman Old Style" w:cs="Arial"/>
          <w:bCs/>
          <w:lang w:val="es-CO"/>
        </w:rPr>
        <w:t>esolución CREG 061de 2007.</w:t>
      </w:r>
    </w:p>
    <w:p w14:paraId="5468DCCC" w14:textId="55EB583F" w:rsidR="00744593" w:rsidRDefault="00744593" w:rsidP="008E10C2">
      <w:pPr>
        <w:ind w:left="0"/>
        <w:jc w:val="both"/>
        <w:rPr>
          <w:rFonts w:ascii="Bookman Old Style" w:hAnsi="Bookman Old Style" w:cs="Arial"/>
          <w:bCs/>
          <w:lang w:val="es-CO"/>
        </w:rPr>
      </w:pPr>
    </w:p>
    <w:p w14:paraId="40A5566F" w14:textId="0C100188" w:rsidR="00744593" w:rsidRDefault="00744593" w:rsidP="008E10C2">
      <w:pPr>
        <w:ind w:left="0"/>
        <w:jc w:val="both"/>
        <w:rPr>
          <w:rFonts w:ascii="Bookman Old Style" w:hAnsi="Bookman Old Style" w:cs="Arial"/>
          <w:bCs/>
          <w:lang w:val="es-CO"/>
        </w:rPr>
      </w:pPr>
      <w:r>
        <w:rPr>
          <w:rFonts w:ascii="Bookman Old Style" w:hAnsi="Bookman Old Style" w:cs="Arial"/>
          <w:bCs/>
          <w:lang w:val="es-CO"/>
        </w:rPr>
        <w:t>El 20 de noviembre de 2020</w:t>
      </w:r>
      <w:r w:rsidR="00A873EC">
        <w:rPr>
          <w:rFonts w:ascii="Bookman Old Style" w:hAnsi="Bookman Old Style" w:cs="Arial"/>
          <w:bCs/>
          <w:lang w:val="es-CO"/>
        </w:rPr>
        <w:t xml:space="preserve"> Promotora Energética de Centro S</w:t>
      </w:r>
      <w:r w:rsidR="00321FD1">
        <w:rPr>
          <w:rFonts w:ascii="Bookman Old Style" w:hAnsi="Bookman Old Style" w:cs="Arial"/>
          <w:bCs/>
          <w:lang w:val="es-CO"/>
        </w:rPr>
        <w:t>.</w:t>
      </w:r>
      <w:r w:rsidR="00A873EC">
        <w:rPr>
          <w:rFonts w:ascii="Bookman Old Style" w:hAnsi="Bookman Old Style" w:cs="Arial"/>
          <w:bCs/>
          <w:lang w:val="es-CO"/>
        </w:rPr>
        <w:t>A</w:t>
      </w:r>
      <w:r w:rsidR="00321FD1">
        <w:rPr>
          <w:rFonts w:ascii="Bookman Old Style" w:hAnsi="Bookman Old Style" w:cs="Arial"/>
          <w:bCs/>
          <w:lang w:val="es-CO"/>
        </w:rPr>
        <w:t>.</w:t>
      </w:r>
      <w:r w:rsidR="00A873EC">
        <w:rPr>
          <w:rFonts w:ascii="Bookman Old Style" w:hAnsi="Bookman Old Style" w:cs="Arial"/>
          <w:bCs/>
          <w:lang w:val="es-CO"/>
        </w:rPr>
        <w:t>S</w:t>
      </w:r>
      <w:r w:rsidR="00321FD1">
        <w:rPr>
          <w:rFonts w:ascii="Bookman Old Style" w:hAnsi="Bookman Old Style" w:cs="Arial"/>
          <w:bCs/>
          <w:lang w:val="es-CO"/>
        </w:rPr>
        <w:t>.</w:t>
      </w:r>
      <w:r w:rsidR="00A873EC">
        <w:rPr>
          <w:rFonts w:ascii="Bookman Old Style" w:hAnsi="Bookman Old Style" w:cs="Arial"/>
          <w:bCs/>
          <w:lang w:val="es-CO"/>
        </w:rPr>
        <w:t xml:space="preserve"> E</w:t>
      </w:r>
      <w:r w:rsidR="00321FD1">
        <w:rPr>
          <w:rFonts w:ascii="Bookman Old Style" w:hAnsi="Bookman Old Style" w:cs="Arial"/>
          <w:bCs/>
          <w:lang w:val="es-CO"/>
        </w:rPr>
        <w:t>.</w:t>
      </w:r>
      <w:r w:rsidR="00A873EC">
        <w:rPr>
          <w:rFonts w:ascii="Bookman Old Style" w:hAnsi="Bookman Old Style" w:cs="Arial"/>
          <w:bCs/>
          <w:lang w:val="es-CO"/>
        </w:rPr>
        <w:t>S</w:t>
      </w:r>
      <w:r w:rsidR="00321FD1">
        <w:rPr>
          <w:rFonts w:ascii="Bookman Old Style" w:hAnsi="Bookman Old Style" w:cs="Arial"/>
          <w:bCs/>
          <w:lang w:val="es-CO"/>
        </w:rPr>
        <w:t>.</w:t>
      </w:r>
      <w:r w:rsidR="00A873EC">
        <w:rPr>
          <w:rFonts w:ascii="Bookman Old Style" w:hAnsi="Bookman Old Style" w:cs="Arial"/>
          <w:bCs/>
          <w:lang w:val="es-CO"/>
        </w:rPr>
        <w:t>P</w:t>
      </w:r>
      <w:r w:rsidR="00321FD1">
        <w:rPr>
          <w:rFonts w:ascii="Bookman Old Style" w:hAnsi="Bookman Old Style" w:cs="Arial"/>
          <w:bCs/>
          <w:lang w:val="es-CO"/>
        </w:rPr>
        <w:t>.</w:t>
      </w:r>
      <w:r w:rsidR="00606A76">
        <w:rPr>
          <w:rFonts w:ascii="Bookman Old Style" w:hAnsi="Bookman Old Style" w:cs="Arial"/>
          <w:bCs/>
          <w:lang w:val="es-CO"/>
        </w:rPr>
        <w:t>,</w:t>
      </w:r>
      <w:r>
        <w:rPr>
          <w:rFonts w:ascii="Bookman Old Style" w:hAnsi="Bookman Old Style" w:cs="Arial"/>
          <w:bCs/>
          <w:lang w:val="es-CO"/>
        </w:rPr>
        <w:t xml:space="preserve"> mediante oficio GP 598-2020 suscrito por </w:t>
      </w:r>
      <w:r w:rsidR="00F46F1E">
        <w:rPr>
          <w:rFonts w:ascii="Bookman Old Style" w:hAnsi="Bookman Old Style" w:cs="Arial"/>
          <w:bCs/>
          <w:lang w:val="es-CO"/>
        </w:rPr>
        <w:t>su r</w:t>
      </w:r>
      <w:r>
        <w:rPr>
          <w:rFonts w:ascii="Bookman Old Style" w:hAnsi="Bookman Old Style" w:cs="Arial"/>
          <w:bCs/>
          <w:lang w:val="es-CO"/>
        </w:rPr>
        <w:t xml:space="preserve">epresentante </w:t>
      </w:r>
      <w:r w:rsidR="00F46F1E">
        <w:rPr>
          <w:rFonts w:ascii="Bookman Old Style" w:hAnsi="Bookman Old Style" w:cs="Arial"/>
          <w:bCs/>
          <w:lang w:val="es-CO"/>
        </w:rPr>
        <w:t>l</w:t>
      </w:r>
      <w:r>
        <w:rPr>
          <w:rFonts w:ascii="Bookman Old Style" w:hAnsi="Bookman Old Style" w:cs="Arial"/>
          <w:bCs/>
          <w:lang w:val="es-CO"/>
        </w:rPr>
        <w:t>egal</w:t>
      </w:r>
      <w:r w:rsidR="00584904">
        <w:rPr>
          <w:rFonts w:ascii="Bookman Old Style" w:hAnsi="Bookman Old Style" w:cs="Arial"/>
          <w:bCs/>
          <w:lang w:val="es-CO"/>
        </w:rPr>
        <w:t>,</w:t>
      </w:r>
      <w:r w:rsidR="007F6BF5">
        <w:rPr>
          <w:rFonts w:ascii="Bookman Old Style" w:hAnsi="Bookman Old Style" w:cs="Arial"/>
          <w:bCs/>
          <w:lang w:val="es-CO"/>
        </w:rPr>
        <w:t xml:space="preserve"> manifestó a la Dirección Ejecutiva de la CREG</w:t>
      </w:r>
      <w:r w:rsidR="00584904">
        <w:rPr>
          <w:rFonts w:ascii="Bookman Old Style" w:hAnsi="Bookman Old Style" w:cs="Arial"/>
          <w:bCs/>
          <w:lang w:val="es-CO"/>
        </w:rPr>
        <w:t xml:space="preserve"> </w:t>
      </w:r>
      <w:r w:rsidR="00321FD1">
        <w:rPr>
          <w:rFonts w:ascii="Bookman Old Style" w:hAnsi="Bookman Old Style" w:cs="Arial"/>
          <w:bCs/>
          <w:lang w:val="es-CO"/>
        </w:rPr>
        <w:t xml:space="preserve">que </w:t>
      </w:r>
      <w:r w:rsidR="00584904">
        <w:rPr>
          <w:rFonts w:ascii="Bookman Old Style" w:hAnsi="Bookman Old Style" w:cs="Arial"/>
          <w:bCs/>
          <w:lang w:val="es-CO"/>
        </w:rPr>
        <w:t>no le es factible acogerse a las alternativas consagradas en la</w:t>
      </w:r>
      <w:r w:rsidR="00F24168">
        <w:rPr>
          <w:rFonts w:ascii="Bookman Old Style" w:hAnsi="Bookman Old Style" w:cs="Arial"/>
          <w:bCs/>
          <w:lang w:val="es-CO"/>
        </w:rPr>
        <w:t>s</w:t>
      </w:r>
      <w:r w:rsidR="00584904">
        <w:rPr>
          <w:rFonts w:ascii="Bookman Old Style" w:hAnsi="Bookman Old Style" w:cs="Arial"/>
          <w:bCs/>
          <w:lang w:val="es-CO"/>
        </w:rPr>
        <w:t xml:space="preserve"> precitadas resoluciones</w:t>
      </w:r>
      <w:r w:rsidR="007B2EF1">
        <w:rPr>
          <w:rFonts w:ascii="Bookman Old Style" w:hAnsi="Bookman Old Style" w:cs="Arial"/>
          <w:bCs/>
          <w:lang w:val="es-CO"/>
        </w:rPr>
        <w:t>, insistiendo que continuaban en la</w:t>
      </w:r>
      <w:r w:rsidR="00E76C09">
        <w:rPr>
          <w:rFonts w:ascii="Bookman Old Style" w:hAnsi="Bookman Old Style" w:cs="Arial"/>
          <w:bCs/>
          <w:lang w:val="es-CO"/>
        </w:rPr>
        <w:t xml:space="preserve"> búsqueda</w:t>
      </w:r>
      <w:r w:rsidR="00CC3DDE">
        <w:rPr>
          <w:rFonts w:ascii="Bookman Old Style" w:hAnsi="Bookman Old Style" w:cs="Arial"/>
          <w:bCs/>
          <w:lang w:val="es-CO"/>
        </w:rPr>
        <w:t xml:space="preserve"> de un aliado estratégico para la materialización </w:t>
      </w:r>
      <w:r w:rsidR="00DC625C">
        <w:rPr>
          <w:rFonts w:ascii="Bookman Old Style" w:hAnsi="Bookman Old Style" w:cs="Arial"/>
          <w:bCs/>
          <w:lang w:val="es-CO"/>
        </w:rPr>
        <w:t>del proyecto</w:t>
      </w:r>
      <w:r w:rsidR="007F6BF5">
        <w:rPr>
          <w:rFonts w:ascii="Bookman Old Style" w:hAnsi="Bookman Old Style" w:cs="Arial"/>
          <w:bCs/>
          <w:lang w:val="es-CO"/>
        </w:rPr>
        <w:t>.</w:t>
      </w:r>
    </w:p>
    <w:p w14:paraId="230200C2" w14:textId="25D174EC" w:rsidR="001307B2" w:rsidRDefault="001307B2" w:rsidP="008E10C2">
      <w:pPr>
        <w:ind w:left="0"/>
        <w:jc w:val="both"/>
        <w:rPr>
          <w:rFonts w:ascii="Bookman Old Style" w:hAnsi="Bookman Old Style" w:cs="Arial"/>
          <w:bCs/>
          <w:lang w:val="es-CO"/>
        </w:rPr>
      </w:pPr>
    </w:p>
    <w:p w14:paraId="12EC11C1" w14:textId="6E88F2F2" w:rsidR="008E10C2" w:rsidRPr="00C44FA7" w:rsidRDefault="008E10C2" w:rsidP="008120F5">
      <w:pPr>
        <w:numPr>
          <w:ilvl w:val="0"/>
          <w:numId w:val="27"/>
        </w:numPr>
        <w:rPr>
          <w:rFonts w:ascii="Bookman Old Style" w:hAnsi="Bookman Old Style"/>
          <w:b/>
        </w:rPr>
      </w:pPr>
      <w:r w:rsidRPr="00C44FA7">
        <w:rPr>
          <w:rFonts w:ascii="Bookman Old Style" w:hAnsi="Bookman Old Style"/>
          <w:b/>
        </w:rPr>
        <w:t>Pruebas decretadas y practicadas</w:t>
      </w:r>
    </w:p>
    <w:p w14:paraId="36453845" w14:textId="188C71D5" w:rsidR="00CC3DDE" w:rsidRDefault="00CC3DDE" w:rsidP="00CC3DDE">
      <w:pPr>
        <w:rPr>
          <w:rFonts w:ascii="Bookman Old Style" w:hAnsi="Bookman Old Style"/>
          <w:b/>
        </w:rPr>
      </w:pPr>
    </w:p>
    <w:p w14:paraId="780AD7BA" w14:textId="0D66104D" w:rsidR="008E10C2" w:rsidRPr="008120F5" w:rsidRDefault="00A57FC2" w:rsidP="00517C6C">
      <w:pPr>
        <w:ind w:left="0"/>
        <w:jc w:val="both"/>
        <w:rPr>
          <w:rFonts w:ascii="Bookman Old Style" w:hAnsi="Bookman Old Style"/>
          <w:b/>
          <w:bCs/>
        </w:rPr>
      </w:pPr>
      <w:r>
        <w:rPr>
          <w:rFonts w:ascii="Bookman Old Style" w:hAnsi="Bookman Old Style"/>
          <w:bCs/>
        </w:rPr>
        <w:t>Mediante auto de 28 de enero de 2020 se decretó</w:t>
      </w:r>
      <w:r w:rsidR="00440069">
        <w:rPr>
          <w:rFonts w:ascii="Bookman Old Style" w:hAnsi="Bookman Old Style"/>
          <w:bCs/>
        </w:rPr>
        <w:t xml:space="preserve"> como prueba documental</w:t>
      </w:r>
      <w:r>
        <w:rPr>
          <w:rFonts w:ascii="Bookman Old Style" w:hAnsi="Bookman Old Style"/>
          <w:bCs/>
        </w:rPr>
        <w:t xml:space="preserve"> el </w:t>
      </w:r>
      <w:r w:rsidRPr="00960007">
        <w:rPr>
          <w:rFonts w:ascii="Bookman Old Style" w:hAnsi="Bookman Old Style"/>
          <w:lang w:val="es-CO"/>
        </w:rPr>
        <w:t>informe del auditor, Estudios Técnicos ETSA, de la curva S y el cronograma de construc</w:t>
      </w:r>
      <w:r w:rsidR="00960007">
        <w:rPr>
          <w:rFonts w:ascii="Bookman Old Style" w:hAnsi="Bookman Old Style"/>
          <w:lang w:val="es-CO"/>
        </w:rPr>
        <w:t>ción</w:t>
      </w:r>
      <w:r w:rsidRPr="00960007">
        <w:rPr>
          <w:rFonts w:ascii="Bookman Old Style" w:hAnsi="Bookman Old Style"/>
          <w:lang w:val="es-CO"/>
        </w:rPr>
        <w:t xml:space="preserve"> y puesta en operación comercial de la Central Hidroeléctrica Miel II.</w:t>
      </w:r>
      <w:r w:rsidR="0005559D">
        <w:rPr>
          <w:rFonts w:ascii="Bookman Old Style" w:hAnsi="Bookman Old Style"/>
          <w:lang w:val="es-CO"/>
        </w:rPr>
        <w:t xml:space="preserve"> </w:t>
      </w:r>
      <w:r w:rsidR="00A873EC">
        <w:rPr>
          <w:rFonts w:ascii="Bookman Old Style" w:hAnsi="Bookman Old Style"/>
          <w:bCs/>
        </w:rPr>
        <w:t xml:space="preserve">Promotora Energética de Centro </w:t>
      </w:r>
      <w:r w:rsidR="00A64AAA">
        <w:rPr>
          <w:rFonts w:ascii="Bookman Old Style" w:hAnsi="Bookman Old Style"/>
          <w:bCs/>
        </w:rPr>
        <w:t>S</w:t>
      </w:r>
      <w:r w:rsidR="00606A76">
        <w:rPr>
          <w:rFonts w:ascii="Bookman Old Style" w:hAnsi="Bookman Old Style"/>
          <w:bCs/>
        </w:rPr>
        <w:t>.</w:t>
      </w:r>
      <w:r w:rsidR="00A64AAA">
        <w:rPr>
          <w:rFonts w:ascii="Bookman Old Style" w:hAnsi="Bookman Old Style"/>
          <w:bCs/>
        </w:rPr>
        <w:t>A</w:t>
      </w:r>
      <w:r w:rsidR="00606A76">
        <w:rPr>
          <w:rFonts w:ascii="Bookman Old Style" w:hAnsi="Bookman Old Style"/>
          <w:bCs/>
        </w:rPr>
        <w:t>.</w:t>
      </w:r>
      <w:r w:rsidR="00A64AAA">
        <w:rPr>
          <w:rFonts w:ascii="Bookman Old Style" w:hAnsi="Bookman Old Style"/>
          <w:bCs/>
        </w:rPr>
        <w:t>S</w:t>
      </w:r>
      <w:r w:rsidR="00606A76">
        <w:rPr>
          <w:rFonts w:ascii="Bookman Old Style" w:hAnsi="Bookman Old Style"/>
          <w:bCs/>
        </w:rPr>
        <w:t>.</w:t>
      </w:r>
      <w:r w:rsidR="00A64AAA">
        <w:rPr>
          <w:rFonts w:ascii="Bookman Old Style" w:hAnsi="Bookman Old Style"/>
          <w:bCs/>
        </w:rPr>
        <w:t xml:space="preserve"> E</w:t>
      </w:r>
      <w:r w:rsidR="00606A76">
        <w:rPr>
          <w:rFonts w:ascii="Bookman Old Style" w:hAnsi="Bookman Old Style"/>
          <w:bCs/>
        </w:rPr>
        <w:t>.</w:t>
      </w:r>
      <w:r w:rsidR="00A64AAA">
        <w:rPr>
          <w:rFonts w:ascii="Bookman Old Style" w:hAnsi="Bookman Old Style"/>
          <w:bCs/>
        </w:rPr>
        <w:t>S</w:t>
      </w:r>
      <w:r w:rsidR="00606A76">
        <w:rPr>
          <w:rFonts w:ascii="Bookman Old Style" w:hAnsi="Bookman Old Style"/>
          <w:bCs/>
        </w:rPr>
        <w:t>.</w:t>
      </w:r>
      <w:r w:rsidR="00A64AAA">
        <w:rPr>
          <w:rFonts w:ascii="Bookman Old Style" w:hAnsi="Bookman Old Style"/>
          <w:bCs/>
        </w:rPr>
        <w:t>P</w:t>
      </w:r>
      <w:r w:rsidR="00606A76">
        <w:rPr>
          <w:rFonts w:ascii="Bookman Old Style" w:hAnsi="Bookman Old Style"/>
          <w:bCs/>
        </w:rPr>
        <w:t>.</w:t>
      </w:r>
      <w:r w:rsidR="00A64AAA">
        <w:rPr>
          <w:rFonts w:ascii="Bookman Old Style" w:hAnsi="Bookman Old Style"/>
          <w:bCs/>
        </w:rPr>
        <w:t xml:space="preserve"> </w:t>
      </w:r>
      <w:r w:rsidR="00A873EC">
        <w:rPr>
          <w:rFonts w:ascii="Bookman Old Style" w:hAnsi="Bookman Old Style"/>
          <w:bCs/>
        </w:rPr>
        <w:t xml:space="preserve">no solicitó </w:t>
      </w:r>
      <w:r w:rsidR="00A64AAA">
        <w:rPr>
          <w:rFonts w:ascii="Bookman Old Style" w:hAnsi="Bookman Old Style"/>
          <w:bCs/>
        </w:rPr>
        <w:t xml:space="preserve">la práctica </w:t>
      </w:r>
      <w:r w:rsidR="00606A76">
        <w:rPr>
          <w:rFonts w:ascii="Bookman Old Style" w:hAnsi="Bookman Old Style"/>
          <w:bCs/>
        </w:rPr>
        <w:t xml:space="preserve">de </w:t>
      </w:r>
      <w:r w:rsidR="00A873EC">
        <w:rPr>
          <w:rFonts w:ascii="Bookman Old Style" w:hAnsi="Bookman Old Style"/>
          <w:bCs/>
        </w:rPr>
        <w:t>ninguna prueba</w:t>
      </w:r>
      <w:r w:rsidR="00A64AAA">
        <w:rPr>
          <w:rFonts w:ascii="Bookman Old Style" w:hAnsi="Bookman Old Style"/>
          <w:bCs/>
        </w:rPr>
        <w:t>.</w:t>
      </w:r>
    </w:p>
    <w:p w14:paraId="72E7165E" w14:textId="77777777" w:rsidR="008E10C2" w:rsidRDefault="008E10C2" w:rsidP="00045D3D">
      <w:pPr>
        <w:rPr>
          <w:rFonts w:ascii="Bookman Old Style" w:hAnsi="Bookman Old Style"/>
          <w:b/>
        </w:rPr>
      </w:pPr>
    </w:p>
    <w:p w14:paraId="2652182D" w14:textId="77777777" w:rsidR="008E10C2" w:rsidRDefault="008E10C2" w:rsidP="008E10C2">
      <w:pPr>
        <w:ind w:left="0"/>
        <w:rPr>
          <w:rFonts w:ascii="Bookman Old Style" w:hAnsi="Bookman Old Style"/>
          <w:b/>
        </w:rPr>
      </w:pPr>
    </w:p>
    <w:p w14:paraId="36762BEC" w14:textId="77777777" w:rsidR="008E10C2" w:rsidRDefault="008E10C2" w:rsidP="008E10C2">
      <w:pPr>
        <w:numPr>
          <w:ilvl w:val="0"/>
          <w:numId w:val="24"/>
        </w:numPr>
        <w:rPr>
          <w:rFonts w:ascii="Bookman Old Style" w:hAnsi="Bookman Old Style"/>
          <w:b/>
        </w:rPr>
      </w:pPr>
      <w:r w:rsidRPr="00496B75">
        <w:rPr>
          <w:rFonts w:ascii="Bookman Old Style" w:hAnsi="Bookman Old Style"/>
          <w:b/>
        </w:rPr>
        <w:t>ANÁLISIS DE LA CREG</w:t>
      </w:r>
    </w:p>
    <w:p w14:paraId="6E7FD1B3" w14:textId="77777777" w:rsidR="008E10C2" w:rsidRPr="00496B75" w:rsidRDefault="008E10C2" w:rsidP="008E10C2">
      <w:pPr>
        <w:ind w:left="720"/>
        <w:rPr>
          <w:rFonts w:ascii="Bookman Old Style" w:hAnsi="Bookman Old Style"/>
          <w:b/>
        </w:rPr>
      </w:pPr>
    </w:p>
    <w:p w14:paraId="389CBF7B" w14:textId="77777777" w:rsidR="008E10C2" w:rsidRPr="00FC2182" w:rsidRDefault="008E10C2" w:rsidP="008E10C2">
      <w:pPr>
        <w:numPr>
          <w:ilvl w:val="0"/>
          <w:numId w:val="29"/>
        </w:numPr>
        <w:rPr>
          <w:rFonts w:ascii="Bookman Old Style" w:hAnsi="Bookman Old Style"/>
          <w:b/>
        </w:rPr>
      </w:pPr>
      <w:r w:rsidRPr="00FC2182">
        <w:rPr>
          <w:rFonts w:ascii="Bookman Old Style" w:hAnsi="Bookman Old Style"/>
          <w:b/>
        </w:rPr>
        <w:t>Regulación del Cargo por Confiabilidad</w:t>
      </w:r>
    </w:p>
    <w:p w14:paraId="706AAA79" w14:textId="77777777" w:rsidR="008E10C2" w:rsidRPr="00FC2182" w:rsidRDefault="008E10C2" w:rsidP="008E10C2">
      <w:pPr>
        <w:ind w:left="0"/>
        <w:rPr>
          <w:rFonts w:ascii="Bookman Old Style" w:hAnsi="Bookman Old Style"/>
          <w:b/>
        </w:rPr>
      </w:pPr>
    </w:p>
    <w:p w14:paraId="471AC729" w14:textId="77777777" w:rsidR="008E10C2" w:rsidRDefault="008E10C2" w:rsidP="008E10C2">
      <w:pPr>
        <w:ind w:left="0"/>
        <w:rPr>
          <w:rFonts w:ascii="Bookman Old Style" w:hAnsi="Bookman Old Style"/>
        </w:rPr>
      </w:pPr>
      <w:r w:rsidRPr="003B7771">
        <w:rPr>
          <w:rFonts w:ascii="Bookman Old Style" w:hAnsi="Bookman Old Style" w:cs="Arial"/>
          <w:b/>
        </w:rPr>
        <w:t>Antecedentes del esquema regulatorio del cargo por confiabilidad. Fines y objetivos de la regulación y fundamentos legales para su expedición.</w:t>
      </w:r>
    </w:p>
    <w:p w14:paraId="69575C9D" w14:textId="77777777" w:rsidR="008E10C2" w:rsidRDefault="008E10C2" w:rsidP="008E10C2">
      <w:pPr>
        <w:ind w:left="0"/>
        <w:rPr>
          <w:rFonts w:ascii="Bookman Old Style" w:hAnsi="Bookman Old Style"/>
        </w:rPr>
      </w:pPr>
    </w:p>
    <w:p w14:paraId="5788E261" w14:textId="5F96EE25" w:rsidR="008E10C2" w:rsidRPr="003B7771" w:rsidRDefault="008E10C2" w:rsidP="008E10C2">
      <w:pPr>
        <w:ind w:left="0"/>
        <w:jc w:val="both"/>
        <w:rPr>
          <w:rFonts w:ascii="Bookman Old Style" w:eastAsia="Calibri" w:hAnsi="Bookman Old Style" w:cs="Arial"/>
        </w:rPr>
      </w:pPr>
      <w:r>
        <w:rPr>
          <w:rFonts w:ascii="Bookman Old Style" w:eastAsia="Calibri" w:hAnsi="Bookman Old Style" w:cs="Arial"/>
        </w:rPr>
        <w:t>La Ley 143 de 1994 establece en su artículo 4 que el Estado</w:t>
      </w:r>
      <w:r w:rsidR="00606A76">
        <w:rPr>
          <w:rFonts w:ascii="Bookman Old Style" w:eastAsia="Calibri" w:hAnsi="Bookman Old Style" w:cs="Arial"/>
        </w:rPr>
        <w:t>,</w:t>
      </w:r>
      <w:r w:rsidRPr="003B7771">
        <w:rPr>
          <w:rFonts w:ascii="Bookman Old Style" w:eastAsia="Calibri" w:hAnsi="Bookman Old Style" w:cs="Arial"/>
        </w:rPr>
        <w:t xml:space="preserve"> en relación </w:t>
      </w:r>
      <w:r>
        <w:rPr>
          <w:rFonts w:ascii="Bookman Old Style" w:eastAsia="Calibri" w:hAnsi="Bookman Old Style" w:cs="Arial"/>
        </w:rPr>
        <w:t>con el servicio de electricidad</w:t>
      </w:r>
      <w:r w:rsidR="00606A76">
        <w:rPr>
          <w:rFonts w:ascii="Bookman Old Style" w:eastAsia="Calibri" w:hAnsi="Bookman Old Style" w:cs="Arial"/>
        </w:rPr>
        <w:t>,</w:t>
      </w:r>
      <w:r w:rsidRPr="003B7771">
        <w:rPr>
          <w:rFonts w:ascii="Bookman Old Style" w:eastAsia="Calibri" w:hAnsi="Bookman Old Style" w:cs="Arial"/>
        </w:rPr>
        <w:t xml:space="preserve"> tendrá como objetivos en el cumplimiento de sus funciones, los de abastecer la demanda de electricidad de la comunidad bajo criterios económicos y de viabilidad financiera, asegurando su cubrimiento en un marco de uso racional y eficiente de los diferentes </w:t>
      </w:r>
      <w:r w:rsidRPr="003B7771">
        <w:rPr>
          <w:rFonts w:ascii="Bookman Old Style" w:hAnsi="Bookman Old Style" w:cs="Arial"/>
        </w:rPr>
        <w:t>recursos</w:t>
      </w:r>
      <w:r w:rsidRPr="003B7771">
        <w:rPr>
          <w:rFonts w:ascii="Bookman Old Style" w:eastAsia="Calibri" w:hAnsi="Bookman Old Style" w:cs="Arial"/>
        </w:rPr>
        <w:t xml:space="preserve"> energéticos del país; asegurar una operación eficiente, segura y confiable en las actividades del sector; y mantener los niveles de calidad y seguridad establecidos. El artículo 20 de la misma ley definió como objetivo fundamental de la regulación en el sector eléctrico,</w:t>
      </w:r>
      <w:r w:rsidR="00B94FEC">
        <w:rPr>
          <w:rFonts w:ascii="Bookman Old Style" w:eastAsia="Calibri" w:hAnsi="Bookman Old Style" w:cs="Arial"/>
        </w:rPr>
        <w:t xml:space="preserve"> </w:t>
      </w:r>
      <w:r w:rsidRPr="003B7771">
        <w:rPr>
          <w:rFonts w:ascii="Bookman Old Style" w:eastAsia="Calibri" w:hAnsi="Bookman Old Style" w:cs="Arial"/>
        </w:rPr>
        <w:t>asegurar una adecuada</w:t>
      </w:r>
      <w:r w:rsidR="00346694">
        <w:rPr>
          <w:rFonts w:ascii="Bookman Old Style" w:eastAsia="Calibri" w:hAnsi="Bookman Old Style" w:cs="Arial"/>
        </w:rPr>
        <w:t xml:space="preserve"> </w:t>
      </w:r>
      <w:r w:rsidRPr="003B7771">
        <w:rPr>
          <w:rFonts w:ascii="Bookman Old Style" w:eastAsia="Calibri" w:hAnsi="Bookman Old Style" w:cs="Arial"/>
        </w:rPr>
        <w:t xml:space="preserve">prestación del servicio mediante el aprovechamiento eficiente de los diferentes recursos energéticos, en beneficio del usuario en términos de calidad, oportunidad y costo del servicio. </w:t>
      </w:r>
    </w:p>
    <w:p w14:paraId="396179EE" w14:textId="77777777" w:rsidR="008E10C2" w:rsidRPr="003B7771" w:rsidRDefault="008E10C2" w:rsidP="008E10C2">
      <w:pPr>
        <w:ind w:left="720"/>
        <w:contextualSpacing/>
        <w:rPr>
          <w:rFonts w:ascii="Bookman Old Style" w:eastAsia="Calibri" w:hAnsi="Bookman Old Style"/>
        </w:rPr>
      </w:pPr>
    </w:p>
    <w:p w14:paraId="6B8F7F5E" w14:textId="3CB2A006" w:rsidR="008E10C2" w:rsidRPr="003B7771" w:rsidRDefault="008E10C2" w:rsidP="008E10C2">
      <w:pPr>
        <w:ind w:left="0"/>
        <w:jc w:val="both"/>
        <w:rPr>
          <w:rFonts w:ascii="Bookman Old Style" w:eastAsia="Calibri" w:hAnsi="Bookman Old Style" w:cs="Arial"/>
        </w:rPr>
      </w:pPr>
      <w:r w:rsidRPr="003B7771">
        <w:rPr>
          <w:rFonts w:ascii="Bookman Old Style" w:eastAsia="Calibri" w:hAnsi="Bookman Old Style" w:cs="Arial"/>
        </w:rPr>
        <w:t>Para el cumplimiento de este objetivo</w:t>
      </w:r>
      <w:r w:rsidR="00606A76">
        <w:rPr>
          <w:rFonts w:ascii="Bookman Old Style" w:eastAsia="Calibri" w:hAnsi="Bookman Old Style" w:cs="Arial"/>
        </w:rPr>
        <w:t>,</w:t>
      </w:r>
      <w:r w:rsidRPr="003B7771">
        <w:rPr>
          <w:rFonts w:ascii="Bookman Old Style" w:eastAsia="Calibri" w:hAnsi="Bookman Old Style" w:cs="Arial"/>
        </w:rPr>
        <w:t xml:space="preserve"> la Ley 143 de 1994, artículo 23</w:t>
      </w:r>
      <w:r w:rsidR="00606A76">
        <w:rPr>
          <w:rFonts w:ascii="Bookman Old Style" w:eastAsia="Calibri" w:hAnsi="Bookman Old Style" w:cs="Arial"/>
        </w:rPr>
        <w:t>,</w:t>
      </w:r>
      <w:r w:rsidRPr="003B7771">
        <w:rPr>
          <w:rFonts w:ascii="Bookman Old Style" w:eastAsia="Calibri" w:hAnsi="Bookman Old Style" w:cs="Arial"/>
        </w:rPr>
        <w:t xml:space="preserve"> le atribuyó a la Comisión de Regulación de Energía y Gas, entre otras, las siguientes funciones:</w:t>
      </w:r>
    </w:p>
    <w:p w14:paraId="7B16262A" w14:textId="77777777" w:rsidR="008E10C2" w:rsidRPr="003B7771" w:rsidRDefault="008E10C2" w:rsidP="008E10C2">
      <w:pPr>
        <w:ind w:left="360"/>
        <w:rPr>
          <w:rFonts w:ascii="Bookman Old Style" w:eastAsia="Calibri" w:hAnsi="Bookman Old Style" w:cs="Arial"/>
        </w:rPr>
      </w:pPr>
    </w:p>
    <w:p w14:paraId="1BC3248D" w14:textId="77777777" w:rsidR="008E10C2" w:rsidRPr="003B7771" w:rsidRDefault="008E10C2" w:rsidP="00606A76">
      <w:pPr>
        <w:numPr>
          <w:ilvl w:val="0"/>
          <w:numId w:val="30"/>
        </w:numPr>
        <w:ind w:left="284" w:hanging="284"/>
        <w:contextualSpacing/>
        <w:jc w:val="both"/>
        <w:rPr>
          <w:rFonts w:ascii="Bookman Old Style" w:eastAsia="Calibri" w:hAnsi="Bookman Old Style" w:cs="Arial"/>
        </w:rPr>
      </w:pPr>
      <w:r w:rsidRPr="003B7771">
        <w:rPr>
          <w:rFonts w:ascii="Bookman Old Style" w:eastAsia="Calibri" w:hAnsi="Bookman Old Style" w:cs="Arial"/>
        </w:rPr>
        <w:t>Crear las condiciones para asegurar la disponibilidad de una oferta energética eficiente capaz de abastecer la demanda bajo criterios sociales, económicos, ambientales y de viabilidad financiera, promover y preservar la competencia, para lo cual, la oferta eficiente, en el sector eléctrico, debe tener en cuenta la capacidad de generación de respaldo.</w:t>
      </w:r>
    </w:p>
    <w:p w14:paraId="285E027A" w14:textId="77777777" w:rsidR="008E10C2" w:rsidRPr="003B7771" w:rsidRDefault="008E10C2" w:rsidP="00606A76">
      <w:pPr>
        <w:numPr>
          <w:ilvl w:val="0"/>
          <w:numId w:val="30"/>
        </w:numPr>
        <w:ind w:left="284" w:hanging="284"/>
        <w:contextualSpacing/>
        <w:rPr>
          <w:rFonts w:ascii="Bookman Old Style" w:eastAsia="Calibri" w:hAnsi="Bookman Old Style" w:cs="Arial"/>
        </w:rPr>
      </w:pPr>
      <w:r w:rsidRPr="003B7771">
        <w:rPr>
          <w:rFonts w:ascii="Bookman Old Style" w:eastAsia="Calibri" w:hAnsi="Bookman Old Style" w:cs="Arial"/>
        </w:rPr>
        <w:t>Valorar la capacidad de generación de respaldo de la oferta eficiente.</w:t>
      </w:r>
    </w:p>
    <w:p w14:paraId="3991C036" w14:textId="77777777" w:rsidR="008E10C2" w:rsidRPr="003B7771" w:rsidRDefault="008E10C2" w:rsidP="00606A76">
      <w:pPr>
        <w:numPr>
          <w:ilvl w:val="0"/>
          <w:numId w:val="30"/>
        </w:numPr>
        <w:ind w:left="284" w:hanging="284"/>
        <w:contextualSpacing/>
        <w:jc w:val="both"/>
        <w:rPr>
          <w:rFonts w:ascii="Bookman Old Style" w:eastAsia="Calibri" w:hAnsi="Bookman Old Style" w:cs="Arial"/>
        </w:rPr>
      </w:pPr>
      <w:r w:rsidRPr="003B7771">
        <w:rPr>
          <w:rFonts w:ascii="Bookman Old Style" w:eastAsia="Calibri" w:hAnsi="Bookman Old Style" w:cs="Arial"/>
        </w:rPr>
        <w:t>Definir y hacer operativos los criterios técnicos de calidad, confiabilidad y seguridad del servicio de energía.</w:t>
      </w:r>
    </w:p>
    <w:p w14:paraId="2787B2CF" w14:textId="77777777" w:rsidR="008E10C2" w:rsidRPr="003B7771" w:rsidRDefault="008E10C2" w:rsidP="00606A76">
      <w:pPr>
        <w:numPr>
          <w:ilvl w:val="0"/>
          <w:numId w:val="30"/>
        </w:numPr>
        <w:ind w:left="284" w:hanging="284"/>
        <w:contextualSpacing/>
        <w:jc w:val="both"/>
        <w:rPr>
          <w:rFonts w:ascii="Bookman Old Style" w:eastAsia="Calibri" w:hAnsi="Bookman Old Style" w:cs="Arial"/>
        </w:rPr>
      </w:pPr>
      <w:r w:rsidRPr="003B7771">
        <w:rPr>
          <w:rFonts w:ascii="Bookman Old Style" w:eastAsia="Calibri" w:hAnsi="Bookman Old Style" w:cs="Arial"/>
        </w:rPr>
        <w:t>Establecer el Reglamento de Operación para realizar el planeamiento y la coordinación de la operación del Sistema Interconectado Nacional y regular el funcionamiento del mercado mayorista de energía.</w:t>
      </w:r>
    </w:p>
    <w:p w14:paraId="1BE364DA" w14:textId="77777777" w:rsidR="008E10C2" w:rsidRPr="003B7771" w:rsidRDefault="008E10C2" w:rsidP="00606A76">
      <w:pPr>
        <w:numPr>
          <w:ilvl w:val="0"/>
          <w:numId w:val="30"/>
        </w:numPr>
        <w:ind w:left="284" w:hanging="284"/>
        <w:contextualSpacing/>
        <w:jc w:val="both"/>
        <w:rPr>
          <w:rFonts w:ascii="Bookman Old Style" w:eastAsia="Calibri" w:hAnsi="Bookman Old Style" w:cs="Arial"/>
        </w:rPr>
      </w:pPr>
      <w:r w:rsidRPr="003B7771">
        <w:rPr>
          <w:rFonts w:ascii="Bookman Old Style" w:eastAsia="Calibri" w:hAnsi="Bookman Old Style" w:cs="Arial"/>
        </w:rPr>
        <w:t>Determinar las condiciones para la liberación gradual del mercado hacia la libre competencia.</w:t>
      </w:r>
    </w:p>
    <w:p w14:paraId="7DA0B4C4" w14:textId="77777777" w:rsidR="008E10C2" w:rsidRPr="003B7771" w:rsidRDefault="008E10C2" w:rsidP="008E10C2">
      <w:pPr>
        <w:ind w:left="360"/>
        <w:rPr>
          <w:rFonts w:ascii="Bookman Old Style" w:eastAsia="Calibri" w:hAnsi="Bookman Old Style" w:cs="Arial"/>
        </w:rPr>
      </w:pPr>
    </w:p>
    <w:p w14:paraId="1943BE8A" w14:textId="77777777" w:rsidR="008E10C2" w:rsidRPr="003B7771" w:rsidRDefault="008E10C2" w:rsidP="008E10C2">
      <w:pPr>
        <w:ind w:left="0"/>
        <w:jc w:val="both"/>
        <w:rPr>
          <w:rFonts w:ascii="Bookman Old Style" w:eastAsia="Calibri" w:hAnsi="Bookman Old Style" w:cs="Arial"/>
        </w:rPr>
      </w:pPr>
      <w:r w:rsidRPr="003B7771">
        <w:rPr>
          <w:rFonts w:ascii="Bookman Old Style" w:eastAsia="Calibri" w:hAnsi="Bookman Old Style" w:cs="Arial"/>
        </w:rPr>
        <w:t>Así mismo</w:t>
      </w:r>
      <w:r w:rsidR="00CB52E7">
        <w:rPr>
          <w:rFonts w:ascii="Bookman Old Style" w:eastAsia="Calibri" w:hAnsi="Bookman Old Style" w:cs="Arial"/>
        </w:rPr>
        <w:t>,</w:t>
      </w:r>
      <w:r w:rsidRPr="003B7771">
        <w:rPr>
          <w:rFonts w:ascii="Bookman Old Style" w:eastAsia="Calibri" w:hAnsi="Bookman Old Style" w:cs="Arial"/>
        </w:rPr>
        <w:t xml:space="preserve"> la Ley 142 de 1994, artículo 74, definió como funciones y facultades especiales de la CREG, entre otras, las de regular el ejercicio de las actividades de los sectores de energía y gas combustible para asegurar la disponibilidad de una oferta energética eficiente; propiciar la competencia en el sector de minas y energía y proponer la adopción de las medidas necesarias para impedir abusos de posición dominante y buscar la liberación gradual de los mercados hacia la libre competencia; y establecer criterios para la fijación de compromisos de ventas garantizadas de energía y potencia entre las empresas eléctricas y entre éstas y los grandes usuarios.  </w:t>
      </w:r>
    </w:p>
    <w:p w14:paraId="56F16702" w14:textId="77777777" w:rsidR="008E10C2" w:rsidRPr="003B7771" w:rsidRDefault="008E10C2" w:rsidP="008E10C2">
      <w:pPr>
        <w:jc w:val="both"/>
        <w:rPr>
          <w:rFonts w:ascii="Bookman Old Style" w:eastAsia="Calibri" w:hAnsi="Bookman Old Style" w:cs="Arial"/>
        </w:rPr>
      </w:pPr>
    </w:p>
    <w:p w14:paraId="06099E62" w14:textId="5F01A837" w:rsidR="008E10C2" w:rsidRPr="003B7771" w:rsidRDefault="008E10C2" w:rsidP="008E10C2">
      <w:pPr>
        <w:ind w:left="0"/>
        <w:jc w:val="both"/>
        <w:rPr>
          <w:rFonts w:ascii="Bookman Old Style" w:eastAsia="Calibri" w:hAnsi="Bookman Old Style" w:cs="Arial"/>
        </w:rPr>
      </w:pPr>
      <w:r w:rsidRPr="003B7771">
        <w:rPr>
          <w:rFonts w:ascii="Bookman Old Style" w:eastAsia="Calibri" w:hAnsi="Bookman Old Style" w:cs="Arial"/>
        </w:rPr>
        <w:t xml:space="preserve">Según las leyes 142 y 143 de 1994, el </w:t>
      </w:r>
      <w:r w:rsidR="00606156" w:rsidRPr="003B7771">
        <w:rPr>
          <w:rFonts w:ascii="Bookman Old Style" w:eastAsia="Calibri" w:hAnsi="Bookman Old Style" w:cs="Arial"/>
        </w:rPr>
        <w:t xml:space="preserve">Mercado </w:t>
      </w:r>
      <w:r w:rsidRPr="003B7771">
        <w:rPr>
          <w:rFonts w:ascii="Bookman Old Style" w:eastAsia="Calibri" w:hAnsi="Bookman Old Style" w:cs="Arial"/>
        </w:rPr>
        <w:t xml:space="preserve">de </w:t>
      </w:r>
      <w:r w:rsidR="00606156" w:rsidRPr="003B7771">
        <w:rPr>
          <w:rFonts w:ascii="Bookman Old Style" w:eastAsia="Calibri" w:hAnsi="Bookman Old Style" w:cs="Arial"/>
        </w:rPr>
        <w:t xml:space="preserve">Energía Mayorista </w:t>
      </w:r>
      <w:r w:rsidRPr="003B7771">
        <w:rPr>
          <w:rFonts w:ascii="Bookman Old Style" w:eastAsia="Calibri" w:hAnsi="Bookman Old Style" w:cs="Arial"/>
        </w:rPr>
        <w:t>se rige, entre otros, por el principio de libertad de entrada y de salida, que supone esencialmente autonomía para que cualquier persona decida la oportunidad para ingresar a dicho mercado y su permanencia o retiro, sin más exigencias que las indispensables para asegurar el cumplimiento de fines legales</w:t>
      </w:r>
      <w:r w:rsidR="00CB52E7">
        <w:rPr>
          <w:rFonts w:ascii="Bookman Old Style" w:eastAsia="Calibri" w:hAnsi="Bookman Old Style" w:cs="Arial"/>
        </w:rPr>
        <w:t>,</w:t>
      </w:r>
      <w:r w:rsidRPr="003B7771">
        <w:rPr>
          <w:rFonts w:ascii="Bookman Old Style" w:eastAsia="Calibri" w:hAnsi="Bookman Old Style" w:cs="Arial"/>
        </w:rPr>
        <w:t xml:space="preserve"> tales como la eficiencia, la seguridad, la libre competencia y el adecuado funcionamiento del mercado.</w:t>
      </w:r>
    </w:p>
    <w:p w14:paraId="3A0DC33C" w14:textId="77777777" w:rsidR="008E10C2" w:rsidRPr="003B7771" w:rsidRDefault="008E10C2" w:rsidP="008E10C2">
      <w:pPr>
        <w:jc w:val="both"/>
        <w:rPr>
          <w:rFonts w:ascii="Bookman Old Style" w:eastAsia="Calibri" w:hAnsi="Bookman Old Style" w:cs="Arial"/>
        </w:rPr>
      </w:pPr>
    </w:p>
    <w:p w14:paraId="3D07A006" w14:textId="78950CEF" w:rsidR="008E10C2" w:rsidRPr="003B7771" w:rsidRDefault="008E10C2" w:rsidP="008E10C2">
      <w:pPr>
        <w:ind w:left="0"/>
        <w:jc w:val="both"/>
        <w:rPr>
          <w:rFonts w:ascii="Bookman Old Style" w:eastAsia="Calibri" w:hAnsi="Bookman Old Style" w:cs="Arial"/>
        </w:rPr>
      </w:pPr>
      <w:r w:rsidRPr="003B7771">
        <w:rPr>
          <w:rFonts w:ascii="Bookman Old Style" w:eastAsia="Calibri" w:hAnsi="Bookman Old Style" w:cs="Arial"/>
        </w:rPr>
        <w:t>Aten</w:t>
      </w:r>
      <w:r w:rsidR="00606156">
        <w:rPr>
          <w:rFonts w:ascii="Bookman Old Style" w:eastAsia="Calibri" w:hAnsi="Bookman Old Style" w:cs="Arial"/>
        </w:rPr>
        <w:t>d</w:t>
      </w:r>
      <w:r w:rsidRPr="003B7771">
        <w:rPr>
          <w:rFonts w:ascii="Bookman Old Style" w:eastAsia="Calibri" w:hAnsi="Bookman Old Style" w:cs="Arial"/>
        </w:rPr>
        <w:t>iendo</w:t>
      </w:r>
      <w:r>
        <w:rPr>
          <w:rFonts w:ascii="Bookman Old Style" w:eastAsia="Calibri" w:hAnsi="Bookman Old Style" w:cs="Arial"/>
        </w:rPr>
        <w:t xml:space="preserve"> a</w:t>
      </w:r>
      <w:r w:rsidRPr="003B7771">
        <w:rPr>
          <w:rFonts w:ascii="Bookman Old Style" w:eastAsia="Calibri" w:hAnsi="Bookman Old Style" w:cs="Arial"/>
        </w:rPr>
        <w:t xml:space="preserve"> los fines y objetivos establecidos por dichas normas, la CREG diseñ</w:t>
      </w:r>
      <w:r>
        <w:rPr>
          <w:rFonts w:ascii="Bookman Old Style" w:eastAsia="Calibri" w:hAnsi="Bookman Old Style" w:cs="Arial"/>
        </w:rPr>
        <w:t>ó</w:t>
      </w:r>
      <w:r w:rsidRPr="003B7771">
        <w:rPr>
          <w:rFonts w:ascii="Bookman Old Style" w:eastAsia="Calibri" w:hAnsi="Bookman Old Style" w:cs="Arial"/>
        </w:rPr>
        <w:t xml:space="preserve"> un </w:t>
      </w:r>
      <w:r w:rsidR="00690F4B">
        <w:rPr>
          <w:rFonts w:ascii="Bookman Old Style" w:eastAsia="Calibri" w:hAnsi="Bookman Old Style" w:cs="Arial"/>
        </w:rPr>
        <w:t>mecanismo</w:t>
      </w:r>
      <w:r w:rsidR="00690F4B" w:rsidRPr="003B7771">
        <w:rPr>
          <w:rFonts w:ascii="Bookman Old Style" w:eastAsia="Calibri" w:hAnsi="Bookman Old Style" w:cs="Arial"/>
        </w:rPr>
        <w:t xml:space="preserve"> </w:t>
      </w:r>
      <w:r w:rsidRPr="003B7771">
        <w:rPr>
          <w:rFonts w:ascii="Bookman Old Style" w:eastAsia="Calibri" w:hAnsi="Bookman Old Style" w:cs="Arial"/>
        </w:rPr>
        <w:t>de remuneración que permit</w:t>
      </w:r>
      <w:r>
        <w:rPr>
          <w:rFonts w:ascii="Bookman Old Style" w:eastAsia="Calibri" w:hAnsi="Bookman Old Style" w:cs="Arial"/>
        </w:rPr>
        <w:t>e</w:t>
      </w:r>
      <w:r w:rsidRPr="003B7771">
        <w:rPr>
          <w:rFonts w:ascii="Bookman Old Style" w:eastAsia="Calibri" w:hAnsi="Bookman Old Style" w:cs="Arial"/>
        </w:rPr>
        <w:t xml:space="preserve"> hacer viable la inversión en los recursos de generación necesarios </w:t>
      </w:r>
      <w:r w:rsidR="00CB52E7">
        <w:rPr>
          <w:rFonts w:ascii="Bookman Old Style" w:eastAsia="Calibri" w:hAnsi="Bookman Old Style" w:cs="Arial"/>
        </w:rPr>
        <w:t xml:space="preserve">para </w:t>
      </w:r>
      <w:r w:rsidRPr="003B7771">
        <w:rPr>
          <w:rFonts w:ascii="Bookman Old Style" w:eastAsia="Calibri" w:hAnsi="Bookman Old Style" w:cs="Arial"/>
        </w:rPr>
        <w:t xml:space="preserve">atender la demanda de manera eficiente </w:t>
      </w:r>
      <w:r w:rsidR="00690F4B">
        <w:rPr>
          <w:rFonts w:ascii="Bookman Old Style" w:eastAsia="Calibri" w:hAnsi="Bookman Old Style" w:cs="Arial"/>
        </w:rPr>
        <w:t xml:space="preserve">aún </w:t>
      </w:r>
      <w:r w:rsidRPr="003B7771">
        <w:rPr>
          <w:rFonts w:ascii="Bookman Old Style" w:eastAsia="Calibri" w:hAnsi="Bookman Old Style" w:cs="Arial"/>
        </w:rPr>
        <w:t xml:space="preserve">en condiciones críticas de abastecimiento hídrico, a través de la estabilización de los ingresos del generador. </w:t>
      </w:r>
      <w:r>
        <w:rPr>
          <w:rFonts w:ascii="Bookman Old Style" w:eastAsia="Calibri" w:hAnsi="Bookman Old Style" w:cs="Arial"/>
        </w:rPr>
        <w:t xml:space="preserve">El esquema se </w:t>
      </w:r>
      <w:r w:rsidR="00690F4B">
        <w:rPr>
          <w:rFonts w:ascii="Bookman Old Style" w:eastAsia="Calibri" w:hAnsi="Bookman Old Style" w:cs="Arial"/>
        </w:rPr>
        <w:t>estableció</w:t>
      </w:r>
      <w:r w:rsidR="00346694">
        <w:rPr>
          <w:rFonts w:ascii="Bookman Old Style" w:eastAsia="Calibri" w:hAnsi="Bookman Old Style" w:cs="Arial"/>
        </w:rPr>
        <w:t xml:space="preserve"> mediante</w:t>
      </w:r>
      <w:r>
        <w:rPr>
          <w:rFonts w:ascii="Bookman Old Style" w:eastAsia="Calibri" w:hAnsi="Bookman Old Style" w:cs="Arial"/>
        </w:rPr>
        <w:t xml:space="preserve"> </w:t>
      </w:r>
      <w:r w:rsidRPr="003B7771">
        <w:rPr>
          <w:rFonts w:ascii="Bookman Old Style" w:eastAsia="Calibri" w:hAnsi="Bookman Old Style" w:cs="Arial"/>
        </w:rPr>
        <w:t xml:space="preserve">la Resolución CREG 071 de 2006 </w:t>
      </w:r>
      <w:r w:rsidRPr="008120F5">
        <w:rPr>
          <w:rFonts w:ascii="Bookman Old Style" w:eastAsia="Calibri" w:hAnsi="Bookman Old Style" w:cs="Arial"/>
          <w:i/>
        </w:rPr>
        <w:t>“Por la cual se adopta la metodología para la remuneración del Cargo por Confiabilidad en el Mercado Mayorista de Energía”</w:t>
      </w:r>
      <w:r w:rsidRPr="003B7771">
        <w:rPr>
          <w:rFonts w:ascii="Bookman Old Style" w:eastAsia="Calibri" w:hAnsi="Bookman Old Style" w:cs="Arial"/>
        </w:rPr>
        <w:t xml:space="preserve">.  </w:t>
      </w:r>
    </w:p>
    <w:p w14:paraId="6892EE1A" w14:textId="77777777" w:rsidR="008E10C2" w:rsidRPr="003B7771" w:rsidRDefault="008E10C2" w:rsidP="008E10C2">
      <w:pPr>
        <w:jc w:val="both"/>
        <w:rPr>
          <w:rFonts w:ascii="Bookman Old Style" w:eastAsia="Calibri" w:hAnsi="Bookman Old Style" w:cs="Arial"/>
        </w:rPr>
      </w:pPr>
    </w:p>
    <w:p w14:paraId="67C5592C" w14:textId="01B15B38" w:rsidR="008E10C2" w:rsidRPr="003B7771" w:rsidRDefault="008E10C2" w:rsidP="008E10C2">
      <w:pPr>
        <w:ind w:left="0"/>
        <w:jc w:val="both"/>
        <w:rPr>
          <w:rFonts w:ascii="Bookman Old Style" w:eastAsia="Calibri" w:hAnsi="Bookman Old Style" w:cs="Arial"/>
        </w:rPr>
      </w:pPr>
      <w:r w:rsidRPr="003B7771">
        <w:rPr>
          <w:rFonts w:ascii="Bookman Old Style" w:eastAsia="Calibri" w:hAnsi="Bookman Old Style" w:cs="Arial"/>
        </w:rPr>
        <w:t xml:space="preserve">Uno de los componentes esenciales de </w:t>
      </w:r>
      <w:r w:rsidR="00077C89">
        <w:rPr>
          <w:rFonts w:ascii="Bookman Old Style" w:eastAsia="Calibri" w:hAnsi="Bookman Old Style" w:cs="Arial"/>
        </w:rPr>
        <w:t>la metodología del Cargo por Confiabilidad</w:t>
      </w:r>
      <w:r w:rsidR="00077C89" w:rsidRPr="003B7771">
        <w:rPr>
          <w:rFonts w:ascii="Bookman Old Style" w:eastAsia="Calibri" w:hAnsi="Bookman Old Style" w:cs="Arial"/>
        </w:rPr>
        <w:t xml:space="preserve"> </w:t>
      </w:r>
      <w:r>
        <w:rPr>
          <w:rFonts w:ascii="Bookman Old Style" w:eastAsia="Calibri" w:hAnsi="Bookman Old Style" w:cs="Arial"/>
        </w:rPr>
        <w:t xml:space="preserve">son </w:t>
      </w:r>
      <w:r w:rsidRPr="003B7771">
        <w:rPr>
          <w:rFonts w:ascii="Bookman Old Style" w:eastAsia="Calibri" w:hAnsi="Bookman Old Style" w:cs="Arial"/>
        </w:rPr>
        <w:t>las Obligaciones de Energía Firme</w:t>
      </w:r>
      <w:r w:rsidR="00606A76">
        <w:rPr>
          <w:rFonts w:ascii="Bookman Old Style" w:eastAsia="Calibri" w:hAnsi="Bookman Old Style" w:cs="Arial"/>
        </w:rPr>
        <w:t xml:space="preserve">, </w:t>
      </w:r>
      <w:r w:rsidRPr="003B7771">
        <w:rPr>
          <w:rFonts w:ascii="Bookman Old Style" w:eastAsia="Calibri" w:hAnsi="Bookman Old Style" w:cs="Arial"/>
        </w:rPr>
        <w:t>OEF</w:t>
      </w:r>
      <w:r w:rsidR="00077C89">
        <w:rPr>
          <w:rFonts w:ascii="Bookman Old Style" w:eastAsia="Calibri" w:hAnsi="Bookman Old Style" w:cs="Arial"/>
        </w:rPr>
        <w:t>,</w:t>
      </w:r>
      <w:r>
        <w:rPr>
          <w:rFonts w:ascii="Bookman Old Style" w:eastAsia="Calibri" w:hAnsi="Bookman Old Style" w:cs="Arial"/>
        </w:rPr>
        <w:t xml:space="preserve"> que reflejan el </w:t>
      </w:r>
      <w:r w:rsidRPr="003B7771">
        <w:rPr>
          <w:rFonts w:ascii="Bookman Old Style" w:eastAsia="Calibri" w:hAnsi="Bookman Old Style" w:cs="Arial"/>
        </w:rPr>
        <w:t xml:space="preserve">compromiso que </w:t>
      </w:r>
      <w:r w:rsidR="00077C89" w:rsidRPr="003B7771">
        <w:rPr>
          <w:rFonts w:ascii="Bookman Old Style" w:eastAsia="Calibri" w:hAnsi="Bookman Old Style" w:cs="Arial"/>
        </w:rPr>
        <w:t xml:space="preserve">voluntariamente </w:t>
      </w:r>
      <w:r w:rsidRPr="003B7771">
        <w:rPr>
          <w:rFonts w:ascii="Bookman Old Style" w:eastAsia="Calibri" w:hAnsi="Bookman Old Style" w:cs="Arial"/>
        </w:rPr>
        <w:t xml:space="preserve">adquieren los generadores que participan </w:t>
      </w:r>
      <w:r>
        <w:rPr>
          <w:rFonts w:ascii="Bookman Old Style" w:eastAsia="Calibri" w:hAnsi="Bookman Old Style" w:cs="Arial"/>
        </w:rPr>
        <w:t xml:space="preserve">en </w:t>
      </w:r>
      <w:r w:rsidR="00077C89">
        <w:rPr>
          <w:rFonts w:ascii="Bookman Old Style" w:eastAsia="Calibri" w:hAnsi="Bookman Old Style" w:cs="Arial"/>
        </w:rPr>
        <w:t xml:space="preserve">este </w:t>
      </w:r>
      <w:r>
        <w:rPr>
          <w:rFonts w:ascii="Bookman Old Style" w:eastAsia="Calibri" w:hAnsi="Bookman Old Style" w:cs="Arial"/>
        </w:rPr>
        <w:t>esquema de entregar energía al sistema cuando se presente la condición crítica</w:t>
      </w:r>
      <w:r w:rsidR="00077C89">
        <w:rPr>
          <w:rFonts w:ascii="Bookman Old Style" w:eastAsia="Calibri" w:hAnsi="Bookman Old Style" w:cs="Arial"/>
        </w:rPr>
        <w:t xml:space="preserve"> de suministro</w:t>
      </w:r>
      <w:r w:rsidR="00690F4B">
        <w:rPr>
          <w:rFonts w:ascii="Bookman Old Style" w:eastAsia="Calibri" w:hAnsi="Bookman Old Style" w:cs="Arial"/>
        </w:rPr>
        <w:t xml:space="preserve"> y a un precio establecido</w:t>
      </w:r>
      <w:r>
        <w:rPr>
          <w:rFonts w:ascii="Bookman Old Style" w:eastAsia="Calibri" w:hAnsi="Bookman Old Style" w:cs="Arial"/>
        </w:rPr>
        <w:t xml:space="preserve">. Este </w:t>
      </w:r>
      <w:r w:rsidRPr="003B7771">
        <w:rPr>
          <w:rFonts w:ascii="Bookman Old Style" w:eastAsia="Calibri" w:hAnsi="Bookman Old Style" w:cs="Arial"/>
        </w:rPr>
        <w:t xml:space="preserve">compromiso debe estar respaldado por </w:t>
      </w:r>
      <w:r>
        <w:rPr>
          <w:rFonts w:ascii="Bookman Old Style" w:eastAsia="Calibri" w:hAnsi="Bookman Old Style" w:cs="Arial"/>
        </w:rPr>
        <w:t xml:space="preserve">la disponibilidad de </w:t>
      </w:r>
      <w:r w:rsidRPr="003B7771">
        <w:rPr>
          <w:rFonts w:ascii="Bookman Old Style" w:eastAsia="Calibri" w:hAnsi="Bookman Old Style" w:cs="Arial"/>
        </w:rPr>
        <w:t xml:space="preserve">activos de generación capaces de producir </w:t>
      </w:r>
      <w:r>
        <w:rPr>
          <w:rFonts w:ascii="Bookman Old Style" w:eastAsia="Calibri" w:hAnsi="Bookman Old Style" w:cs="Arial"/>
        </w:rPr>
        <w:t>dicha energía</w:t>
      </w:r>
      <w:r w:rsidRPr="003B7771">
        <w:rPr>
          <w:rFonts w:ascii="Bookman Old Style" w:eastAsia="Calibri" w:hAnsi="Bookman Old Style" w:cs="Arial"/>
        </w:rPr>
        <w:t xml:space="preserve">. </w:t>
      </w:r>
      <w:r w:rsidR="00690F4B">
        <w:rPr>
          <w:rFonts w:ascii="Bookman Old Style" w:eastAsia="Calibri" w:hAnsi="Bookman Old Style" w:cs="Arial"/>
        </w:rPr>
        <w:t>De esta manera se</w:t>
      </w:r>
      <w:r w:rsidRPr="003B7771">
        <w:rPr>
          <w:rFonts w:ascii="Bookman Old Style" w:eastAsia="Calibri" w:hAnsi="Bookman Old Style" w:cs="Arial"/>
        </w:rPr>
        <w:t xml:space="preserve"> asegura la confiabilidad en el suministro de energía en el largo plazo a precios eficientes</w:t>
      </w:r>
      <w:r w:rsidR="00403611">
        <w:rPr>
          <w:rFonts w:ascii="Bookman Old Style" w:eastAsia="Calibri" w:hAnsi="Bookman Old Style" w:cs="Arial"/>
        </w:rPr>
        <w:t xml:space="preserve">. </w:t>
      </w:r>
      <w:r w:rsidR="00690F4B">
        <w:rPr>
          <w:rFonts w:ascii="Bookman Old Style" w:eastAsia="Calibri" w:hAnsi="Bookman Old Style" w:cs="Arial"/>
        </w:rPr>
        <w:t>Este</w:t>
      </w:r>
      <w:r w:rsidR="00403611">
        <w:rPr>
          <w:rFonts w:ascii="Bookman Old Style" w:eastAsia="Calibri" w:hAnsi="Bookman Old Style" w:cs="Arial"/>
        </w:rPr>
        <w:t xml:space="preserve"> esquema incentiva </w:t>
      </w:r>
      <w:r>
        <w:rPr>
          <w:rFonts w:ascii="Bookman Old Style" w:eastAsia="Calibri" w:hAnsi="Bookman Old Style" w:cs="Arial"/>
        </w:rPr>
        <w:t xml:space="preserve">la instalación de nueva capacidad de generación cuando las proyecciones de demanda </w:t>
      </w:r>
      <w:r w:rsidR="00403611">
        <w:rPr>
          <w:rFonts w:ascii="Bookman Old Style" w:eastAsia="Calibri" w:hAnsi="Bookman Old Style" w:cs="Arial"/>
        </w:rPr>
        <w:t xml:space="preserve">y el balance de energía que hace la CREG evidencian que es necesario ampliar el parque de generación </w:t>
      </w:r>
      <w:r w:rsidR="00077C89">
        <w:rPr>
          <w:rFonts w:ascii="Bookman Old Style" w:eastAsia="Calibri" w:hAnsi="Bookman Old Style" w:cs="Arial"/>
        </w:rPr>
        <w:t xml:space="preserve">para contar </w:t>
      </w:r>
      <w:r w:rsidR="00403611">
        <w:rPr>
          <w:rFonts w:ascii="Bookman Old Style" w:eastAsia="Calibri" w:hAnsi="Bookman Old Style" w:cs="Arial"/>
        </w:rPr>
        <w:t xml:space="preserve">con </w:t>
      </w:r>
      <w:r w:rsidR="00077C89">
        <w:rPr>
          <w:rFonts w:ascii="Bookman Old Style" w:eastAsia="Calibri" w:hAnsi="Bookman Old Style" w:cs="Arial"/>
        </w:rPr>
        <w:t xml:space="preserve">energía firme </w:t>
      </w:r>
      <w:r w:rsidR="0024692B">
        <w:rPr>
          <w:rFonts w:ascii="Bookman Old Style" w:eastAsia="Calibri" w:hAnsi="Bookman Old Style" w:cs="Arial"/>
        </w:rPr>
        <w:t xml:space="preserve">suficiente </w:t>
      </w:r>
      <w:r w:rsidR="00403611">
        <w:rPr>
          <w:rFonts w:ascii="Bookman Old Style" w:eastAsia="Calibri" w:hAnsi="Bookman Old Style" w:cs="Arial"/>
        </w:rPr>
        <w:t xml:space="preserve">para asegurar el </w:t>
      </w:r>
      <w:r w:rsidR="0024692B">
        <w:rPr>
          <w:rFonts w:ascii="Bookman Old Style" w:eastAsia="Calibri" w:hAnsi="Bookman Old Style" w:cs="Arial"/>
        </w:rPr>
        <w:t>abastecimiento de</w:t>
      </w:r>
      <w:r w:rsidR="00403611">
        <w:rPr>
          <w:rFonts w:ascii="Bookman Old Style" w:eastAsia="Calibri" w:hAnsi="Bookman Old Style" w:cs="Arial"/>
        </w:rPr>
        <w:t xml:space="preserve"> la demanda. </w:t>
      </w:r>
    </w:p>
    <w:p w14:paraId="18FAE53F" w14:textId="77777777" w:rsidR="008E10C2" w:rsidRPr="003B7771" w:rsidRDefault="008E10C2" w:rsidP="008E10C2">
      <w:pPr>
        <w:jc w:val="both"/>
        <w:rPr>
          <w:rFonts w:ascii="Bookman Old Style" w:eastAsia="Calibri" w:hAnsi="Bookman Old Style" w:cs="Arial"/>
        </w:rPr>
      </w:pPr>
    </w:p>
    <w:p w14:paraId="6C3969D1" w14:textId="3B9E0FBF" w:rsidR="00CB52E7" w:rsidRDefault="008E10C2" w:rsidP="008E10C2">
      <w:pPr>
        <w:ind w:left="0"/>
        <w:jc w:val="both"/>
        <w:rPr>
          <w:rFonts w:ascii="Bookman Old Style" w:eastAsia="Calibri" w:hAnsi="Bookman Old Style" w:cs="Arial"/>
        </w:rPr>
      </w:pPr>
      <w:r>
        <w:rPr>
          <w:rFonts w:ascii="Bookman Old Style" w:eastAsia="Calibri" w:hAnsi="Bookman Old Style" w:cs="Arial"/>
        </w:rPr>
        <w:t xml:space="preserve">Con este </w:t>
      </w:r>
      <w:r w:rsidR="0024692B">
        <w:rPr>
          <w:rFonts w:ascii="Bookman Old Style" w:eastAsia="Calibri" w:hAnsi="Bookman Old Style" w:cs="Arial"/>
        </w:rPr>
        <w:t>fin</w:t>
      </w:r>
      <w:r w:rsidRPr="003B7771">
        <w:rPr>
          <w:rFonts w:ascii="Bookman Old Style" w:eastAsia="Calibri" w:hAnsi="Bookman Old Style" w:cs="Arial"/>
        </w:rPr>
        <w:t xml:space="preserve">, </w:t>
      </w:r>
      <w:r w:rsidR="0024692B">
        <w:rPr>
          <w:rFonts w:ascii="Bookman Old Style" w:eastAsia="Calibri" w:hAnsi="Bookman Old Style" w:cs="Arial"/>
        </w:rPr>
        <w:t>cuando hay necesidad de nueva generación</w:t>
      </w:r>
      <w:r w:rsidR="00606A76">
        <w:rPr>
          <w:rFonts w:ascii="Bookman Old Style" w:eastAsia="Calibri" w:hAnsi="Bookman Old Style" w:cs="Arial"/>
        </w:rPr>
        <w:t>,</w:t>
      </w:r>
      <w:r w:rsidR="0024692B" w:rsidRPr="003B7771">
        <w:rPr>
          <w:rFonts w:ascii="Bookman Old Style" w:eastAsia="Calibri" w:hAnsi="Bookman Old Style" w:cs="Arial"/>
        </w:rPr>
        <w:t xml:space="preserve"> </w:t>
      </w:r>
      <w:r w:rsidRPr="003B7771">
        <w:rPr>
          <w:rFonts w:ascii="Bookman Old Style" w:eastAsia="Calibri" w:hAnsi="Bookman Old Style" w:cs="Arial"/>
        </w:rPr>
        <w:t xml:space="preserve">se </w:t>
      </w:r>
      <w:r>
        <w:rPr>
          <w:rFonts w:ascii="Bookman Old Style" w:eastAsia="Calibri" w:hAnsi="Bookman Old Style" w:cs="Arial"/>
        </w:rPr>
        <w:t>realiza una subasta</w:t>
      </w:r>
      <w:r w:rsidR="0024692B">
        <w:rPr>
          <w:rFonts w:ascii="Bookman Old Style" w:eastAsia="Calibri" w:hAnsi="Bookman Old Style" w:cs="Arial"/>
        </w:rPr>
        <w:t xml:space="preserve"> de asignación de OEF,</w:t>
      </w:r>
      <w:r>
        <w:rPr>
          <w:rFonts w:ascii="Bookman Old Style" w:eastAsia="Calibri" w:hAnsi="Bookman Old Style" w:cs="Arial"/>
        </w:rPr>
        <w:t xml:space="preserve"> o </w:t>
      </w:r>
      <w:r w:rsidR="0024692B">
        <w:rPr>
          <w:rFonts w:ascii="Bookman Old Style" w:eastAsia="Calibri" w:hAnsi="Bookman Old Style" w:cs="Arial"/>
        </w:rPr>
        <w:t>en otro caso</w:t>
      </w:r>
      <w:r w:rsidR="00606A76">
        <w:rPr>
          <w:rFonts w:ascii="Bookman Old Style" w:eastAsia="Calibri" w:hAnsi="Bookman Old Style" w:cs="Arial"/>
        </w:rPr>
        <w:t>,</w:t>
      </w:r>
      <w:r w:rsidR="0024692B">
        <w:rPr>
          <w:rFonts w:ascii="Bookman Old Style" w:eastAsia="Calibri" w:hAnsi="Bookman Old Style" w:cs="Arial"/>
        </w:rPr>
        <w:t xml:space="preserve"> </w:t>
      </w:r>
      <w:r>
        <w:rPr>
          <w:rFonts w:ascii="Bookman Old Style" w:eastAsia="Calibri" w:hAnsi="Bookman Old Style" w:cs="Arial"/>
        </w:rPr>
        <w:t xml:space="preserve">se utiliza un mecanismo </w:t>
      </w:r>
      <w:r w:rsidR="00077C89">
        <w:rPr>
          <w:rFonts w:ascii="Bookman Old Style" w:eastAsia="Calibri" w:hAnsi="Bookman Old Style" w:cs="Arial"/>
        </w:rPr>
        <w:t xml:space="preserve">administrado </w:t>
      </w:r>
      <w:r>
        <w:rPr>
          <w:rFonts w:ascii="Bookman Old Style" w:eastAsia="Calibri" w:hAnsi="Bookman Old Style" w:cs="Arial"/>
        </w:rPr>
        <w:t xml:space="preserve">para asignar entre </w:t>
      </w:r>
      <w:r w:rsidRPr="003B7771">
        <w:rPr>
          <w:rFonts w:ascii="Bookman Old Style" w:eastAsia="Calibri" w:hAnsi="Bookman Old Style" w:cs="Arial"/>
        </w:rPr>
        <w:t xml:space="preserve">los generadores </w:t>
      </w:r>
      <w:r w:rsidR="0024692B">
        <w:rPr>
          <w:rFonts w:ascii="Bookman Old Style" w:eastAsia="Calibri" w:hAnsi="Bookman Old Style" w:cs="Arial"/>
        </w:rPr>
        <w:t xml:space="preserve">existentes </w:t>
      </w:r>
      <w:r w:rsidRPr="003B7771">
        <w:rPr>
          <w:rFonts w:ascii="Bookman Old Style" w:eastAsia="Calibri" w:hAnsi="Bookman Old Style" w:cs="Arial"/>
        </w:rPr>
        <w:t xml:space="preserve">las OEF que se requieren para cubrir la demanda del Sistema. El generador al que se le asigna una OEF recibe una remuneración conocida y estable durante un plazo determinado, </w:t>
      </w:r>
      <w:r w:rsidR="00077C89">
        <w:rPr>
          <w:rFonts w:ascii="Bookman Old Style" w:eastAsia="Calibri" w:hAnsi="Bookman Old Style" w:cs="Arial"/>
        </w:rPr>
        <w:t xml:space="preserve">que es el </w:t>
      </w:r>
      <w:r>
        <w:rPr>
          <w:rFonts w:ascii="Bookman Old Style" w:eastAsia="Calibri" w:hAnsi="Bookman Old Style" w:cs="Arial"/>
        </w:rPr>
        <w:t xml:space="preserve">período de vigencia de la obligación, </w:t>
      </w:r>
      <w:r w:rsidR="00CB52E7">
        <w:rPr>
          <w:rFonts w:ascii="Bookman Old Style" w:eastAsia="Calibri" w:hAnsi="Bookman Old Style" w:cs="Arial"/>
        </w:rPr>
        <w:t xml:space="preserve">denominada </w:t>
      </w:r>
      <w:r w:rsidR="00077C89">
        <w:rPr>
          <w:rFonts w:ascii="Bookman Old Style" w:eastAsia="Calibri" w:hAnsi="Bookman Old Style" w:cs="Arial"/>
        </w:rPr>
        <w:t xml:space="preserve">pago de </w:t>
      </w:r>
      <w:r w:rsidR="00CB52E7">
        <w:rPr>
          <w:rFonts w:ascii="Bookman Old Style" w:eastAsia="Calibri" w:hAnsi="Bookman Old Style" w:cs="Arial"/>
        </w:rPr>
        <w:t xml:space="preserve">cargo por confiabilidad </w:t>
      </w:r>
      <w:r w:rsidRPr="003B7771">
        <w:rPr>
          <w:rFonts w:ascii="Bookman Old Style" w:eastAsia="Calibri" w:hAnsi="Bookman Old Style" w:cs="Arial"/>
        </w:rPr>
        <w:t>y</w:t>
      </w:r>
      <w:r w:rsidR="00CB52E7">
        <w:rPr>
          <w:rFonts w:ascii="Bookman Old Style" w:eastAsia="Calibri" w:hAnsi="Bookman Old Style" w:cs="Arial"/>
        </w:rPr>
        <w:t>,</w:t>
      </w:r>
      <w:r w:rsidRPr="003B7771">
        <w:rPr>
          <w:rFonts w:ascii="Bookman Old Style" w:eastAsia="Calibri" w:hAnsi="Bookman Old Style" w:cs="Arial"/>
        </w:rPr>
        <w:t xml:space="preserve"> a cambio</w:t>
      </w:r>
      <w:r w:rsidR="00CB52E7">
        <w:rPr>
          <w:rFonts w:ascii="Bookman Old Style" w:eastAsia="Calibri" w:hAnsi="Bookman Old Style" w:cs="Arial"/>
        </w:rPr>
        <w:t>,</w:t>
      </w:r>
      <w:r w:rsidRPr="003B7771">
        <w:rPr>
          <w:rFonts w:ascii="Bookman Old Style" w:eastAsia="Calibri" w:hAnsi="Bookman Old Style" w:cs="Arial"/>
        </w:rPr>
        <w:t xml:space="preserve"> se compromete </w:t>
      </w:r>
      <w:r w:rsidR="00B807C6">
        <w:rPr>
          <w:rFonts w:ascii="Bookman Old Style" w:eastAsia="Calibri" w:hAnsi="Bookman Old Style" w:cs="Arial"/>
        </w:rPr>
        <w:t xml:space="preserve">a </w:t>
      </w:r>
      <w:r w:rsidR="00B807C6" w:rsidRPr="00B807C6">
        <w:rPr>
          <w:rFonts w:ascii="Bookman Old Style" w:eastAsia="Calibri" w:hAnsi="Bookman Old Style" w:cs="Arial"/>
        </w:rPr>
        <w:t xml:space="preserve">estar disponible con un activo de generación que </w:t>
      </w:r>
      <w:r w:rsidR="00077C89">
        <w:rPr>
          <w:rFonts w:ascii="Bookman Old Style" w:eastAsia="Calibri" w:hAnsi="Bookman Old Style" w:cs="Arial"/>
        </w:rPr>
        <w:t xml:space="preserve">le </w:t>
      </w:r>
      <w:r w:rsidR="00B807C6" w:rsidRPr="00B807C6">
        <w:rPr>
          <w:rFonts w:ascii="Bookman Old Style" w:eastAsia="Calibri" w:hAnsi="Bookman Old Style" w:cs="Arial"/>
        </w:rPr>
        <w:t xml:space="preserve">permita </w:t>
      </w:r>
      <w:r w:rsidRPr="003B7771">
        <w:rPr>
          <w:rFonts w:ascii="Bookman Old Style" w:eastAsia="Calibri" w:hAnsi="Bookman Old Style" w:cs="Arial"/>
        </w:rPr>
        <w:t xml:space="preserve">entregar </w:t>
      </w:r>
      <w:r w:rsidR="00077C89">
        <w:rPr>
          <w:rFonts w:ascii="Bookman Old Style" w:eastAsia="Calibri" w:hAnsi="Bookman Old Style" w:cs="Arial"/>
        </w:rPr>
        <w:t>l</w:t>
      </w:r>
      <w:r w:rsidR="00077C89" w:rsidRPr="003B7771">
        <w:rPr>
          <w:rFonts w:ascii="Bookman Old Style" w:eastAsia="Calibri" w:hAnsi="Bookman Old Style" w:cs="Arial"/>
        </w:rPr>
        <w:t xml:space="preserve">a </w:t>
      </w:r>
      <w:r w:rsidRPr="003B7771">
        <w:rPr>
          <w:rFonts w:ascii="Bookman Old Style" w:eastAsia="Calibri" w:hAnsi="Bookman Old Style" w:cs="Arial"/>
        </w:rPr>
        <w:t xml:space="preserve">cantidad de energía </w:t>
      </w:r>
      <w:r w:rsidR="00077C89">
        <w:rPr>
          <w:rFonts w:ascii="Bookman Old Style" w:eastAsia="Calibri" w:hAnsi="Bookman Old Style" w:cs="Arial"/>
        </w:rPr>
        <w:t xml:space="preserve">comprometida </w:t>
      </w:r>
      <w:r w:rsidR="0024692B">
        <w:rPr>
          <w:rFonts w:ascii="Bookman Old Style" w:eastAsia="Calibri" w:hAnsi="Bookman Old Style" w:cs="Arial"/>
        </w:rPr>
        <w:t xml:space="preserve">en la OEF.  La entrega de las OEF se requiere </w:t>
      </w:r>
      <w:r w:rsidRPr="003B7771">
        <w:rPr>
          <w:rFonts w:ascii="Bookman Old Style" w:eastAsia="Calibri" w:hAnsi="Bookman Old Style" w:cs="Arial"/>
        </w:rPr>
        <w:t>cuando el precio de bolsa supera un umbral previamente establecido por la CREG</w:t>
      </w:r>
      <w:r>
        <w:rPr>
          <w:rFonts w:ascii="Bookman Old Style" w:eastAsia="Calibri" w:hAnsi="Bookman Old Style" w:cs="Arial"/>
        </w:rPr>
        <w:t xml:space="preserve">, </w:t>
      </w:r>
      <w:r w:rsidRPr="003B7771">
        <w:rPr>
          <w:rFonts w:ascii="Bookman Old Style" w:eastAsia="Calibri" w:hAnsi="Bookman Old Style" w:cs="Arial"/>
        </w:rPr>
        <w:t xml:space="preserve">denominado “Precio </w:t>
      </w:r>
      <w:r>
        <w:rPr>
          <w:rFonts w:ascii="Bookman Old Style" w:eastAsia="Calibri" w:hAnsi="Bookman Old Style" w:cs="Arial"/>
        </w:rPr>
        <w:t xml:space="preserve">Marginal </w:t>
      </w:r>
      <w:r w:rsidRPr="003B7771">
        <w:rPr>
          <w:rFonts w:ascii="Bookman Old Style" w:eastAsia="Calibri" w:hAnsi="Bookman Old Style" w:cs="Arial"/>
        </w:rPr>
        <w:t>de Escasez”</w:t>
      </w:r>
      <w:r w:rsidR="00077C89">
        <w:rPr>
          <w:rFonts w:ascii="Bookman Old Style" w:eastAsia="Calibri" w:hAnsi="Bookman Old Style" w:cs="Arial"/>
        </w:rPr>
        <w:t>, evento que define que el sistema se encuentra en condición crítica de suministro</w:t>
      </w:r>
      <w:r w:rsidRPr="003B7771">
        <w:rPr>
          <w:rFonts w:ascii="Bookman Old Style" w:eastAsia="Calibri" w:hAnsi="Bookman Old Style" w:cs="Arial"/>
        </w:rPr>
        <w:t xml:space="preserve">. </w:t>
      </w:r>
    </w:p>
    <w:p w14:paraId="719D5F26" w14:textId="77777777" w:rsidR="00CB52E7" w:rsidRDefault="00CB52E7" w:rsidP="008E10C2">
      <w:pPr>
        <w:ind w:left="0"/>
        <w:jc w:val="both"/>
        <w:rPr>
          <w:rFonts w:ascii="Bookman Old Style" w:eastAsia="Calibri" w:hAnsi="Bookman Old Style" w:cs="Arial"/>
        </w:rPr>
      </w:pPr>
    </w:p>
    <w:p w14:paraId="3D58281F" w14:textId="7F2CFD12" w:rsidR="008E10C2" w:rsidRPr="003B7771" w:rsidRDefault="00CB52E7" w:rsidP="008E10C2">
      <w:pPr>
        <w:ind w:left="0"/>
        <w:jc w:val="both"/>
        <w:rPr>
          <w:rFonts w:ascii="Bookman Old Style" w:eastAsia="Calibri" w:hAnsi="Bookman Old Style" w:cs="Arial"/>
        </w:rPr>
      </w:pPr>
      <w:r>
        <w:rPr>
          <w:rFonts w:ascii="Bookman Old Style" w:eastAsia="Calibri" w:hAnsi="Bookman Old Style" w:cs="Arial"/>
        </w:rPr>
        <w:t xml:space="preserve">La remuneración del cargo por confiabilidad </w:t>
      </w:r>
      <w:r w:rsidR="008E10C2" w:rsidRPr="003B7771">
        <w:rPr>
          <w:rFonts w:ascii="Bookman Old Style" w:eastAsia="Calibri" w:hAnsi="Bookman Old Style" w:cs="Arial"/>
        </w:rPr>
        <w:t>es liquidada y recaudada por</w:t>
      </w:r>
      <w:r w:rsidR="008E10C2">
        <w:rPr>
          <w:rFonts w:ascii="Bookman Old Style" w:eastAsia="Calibri" w:hAnsi="Bookman Old Style" w:cs="Arial"/>
        </w:rPr>
        <w:t xml:space="preserve"> la empresa XM S.A. E.S.P</w:t>
      </w:r>
      <w:r>
        <w:rPr>
          <w:rFonts w:ascii="Bookman Old Style" w:eastAsia="Calibri" w:hAnsi="Bookman Old Style" w:cs="Arial"/>
        </w:rPr>
        <w:t>,</w:t>
      </w:r>
      <w:r w:rsidR="008E10C2">
        <w:rPr>
          <w:rFonts w:ascii="Bookman Old Style" w:eastAsia="Calibri" w:hAnsi="Bookman Old Style" w:cs="Arial"/>
        </w:rPr>
        <w:t xml:space="preserve"> quien ejerce las funciones de</w:t>
      </w:r>
      <w:r w:rsidR="008E10C2" w:rsidRPr="003B7771">
        <w:rPr>
          <w:rFonts w:ascii="Bookman Old Style" w:eastAsia="Calibri" w:hAnsi="Bookman Old Style" w:cs="Arial"/>
        </w:rPr>
        <w:t xml:space="preserve"> </w:t>
      </w:r>
      <w:r w:rsidR="008E10C2">
        <w:rPr>
          <w:rFonts w:ascii="Bookman Old Style" w:eastAsia="Calibri" w:hAnsi="Bookman Old Style" w:cs="Arial"/>
        </w:rPr>
        <w:t xml:space="preserve">Administrador del Sistema de Intercambios Comerciales, </w:t>
      </w:r>
      <w:r w:rsidR="008E10C2" w:rsidRPr="003B7771">
        <w:rPr>
          <w:rFonts w:ascii="Bookman Old Style" w:eastAsia="Calibri" w:hAnsi="Bookman Old Style" w:cs="Arial"/>
        </w:rPr>
        <w:t>ASIC</w:t>
      </w:r>
      <w:r w:rsidR="008E10C2">
        <w:rPr>
          <w:rFonts w:ascii="Bookman Old Style" w:eastAsia="Calibri" w:hAnsi="Bookman Old Style" w:cs="Arial"/>
        </w:rPr>
        <w:t>,</w:t>
      </w:r>
      <w:r w:rsidR="008E10C2" w:rsidRPr="003B7771">
        <w:rPr>
          <w:rFonts w:ascii="Bookman Old Style" w:eastAsia="Calibri" w:hAnsi="Bookman Old Style" w:cs="Arial"/>
        </w:rPr>
        <w:t xml:space="preserve"> y </w:t>
      </w:r>
      <w:r>
        <w:rPr>
          <w:rFonts w:ascii="Bookman Old Style" w:eastAsia="Calibri" w:hAnsi="Bookman Old Style" w:cs="Arial"/>
        </w:rPr>
        <w:t xml:space="preserve">es </w:t>
      </w:r>
      <w:r w:rsidR="008E10C2" w:rsidRPr="003B7771">
        <w:rPr>
          <w:rFonts w:ascii="Bookman Old Style" w:eastAsia="Calibri" w:hAnsi="Bookman Old Style" w:cs="Arial"/>
        </w:rPr>
        <w:t xml:space="preserve">pagada por los usuarios del </w:t>
      </w:r>
      <w:r w:rsidR="008E10C2">
        <w:rPr>
          <w:rFonts w:ascii="Bookman Old Style" w:eastAsia="Calibri" w:hAnsi="Bookman Old Style" w:cs="Arial"/>
        </w:rPr>
        <w:t>Sistema Interconectado Nacional,</w:t>
      </w:r>
      <w:r w:rsidR="00590FD6">
        <w:rPr>
          <w:rFonts w:ascii="Bookman Old Style" w:eastAsia="Calibri" w:hAnsi="Bookman Old Style" w:cs="Arial"/>
        </w:rPr>
        <w:t xml:space="preserve"> </w:t>
      </w:r>
      <w:r w:rsidR="008E10C2" w:rsidRPr="003B7771">
        <w:rPr>
          <w:rFonts w:ascii="Bookman Old Style" w:eastAsia="Calibri" w:hAnsi="Bookman Old Style" w:cs="Arial"/>
        </w:rPr>
        <w:t>SIN, a través de las tarifas que cobran los comercializadores.</w:t>
      </w:r>
    </w:p>
    <w:p w14:paraId="7A07F5B7" w14:textId="77777777" w:rsidR="008E10C2" w:rsidRPr="003B7771" w:rsidRDefault="008E10C2" w:rsidP="008E10C2">
      <w:pPr>
        <w:jc w:val="both"/>
        <w:rPr>
          <w:rFonts w:ascii="Bookman Old Style" w:eastAsia="Calibri" w:hAnsi="Bookman Old Style" w:cs="Arial"/>
        </w:rPr>
      </w:pPr>
    </w:p>
    <w:p w14:paraId="1E6A6020" w14:textId="0451F865" w:rsidR="008E10C2" w:rsidRPr="003B7771" w:rsidRDefault="008E10C2" w:rsidP="008E10C2">
      <w:pPr>
        <w:ind w:left="0"/>
        <w:jc w:val="both"/>
        <w:rPr>
          <w:rFonts w:ascii="Bookman Old Style" w:eastAsia="Calibri" w:hAnsi="Bookman Old Style" w:cs="Arial"/>
        </w:rPr>
      </w:pPr>
      <w:r>
        <w:rPr>
          <w:rFonts w:ascii="Bookman Old Style" w:eastAsia="Calibri" w:hAnsi="Bookman Old Style" w:cs="Arial"/>
        </w:rPr>
        <w:t xml:space="preserve">El </w:t>
      </w:r>
      <w:r w:rsidR="0024692B">
        <w:rPr>
          <w:rFonts w:ascii="Bookman Old Style" w:eastAsia="Calibri" w:hAnsi="Bookman Old Style" w:cs="Arial"/>
        </w:rPr>
        <w:t xml:space="preserve">Cargo por Confiabilidad </w:t>
      </w:r>
      <w:r w:rsidRPr="003B7771">
        <w:rPr>
          <w:rFonts w:ascii="Bookman Old Style" w:eastAsia="Calibri" w:hAnsi="Bookman Old Style" w:cs="Arial"/>
        </w:rPr>
        <w:t>permite</w:t>
      </w:r>
      <w:r w:rsidR="00B21588">
        <w:rPr>
          <w:rFonts w:ascii="Bookman Old Style" w:eastAsia="Calibri" w:hAnsi="Bookman Old Style" w:cs="Arial"/>
        </w:rPr>
        <w:t>,</w:t>
      </w:r>
      <w:r w:rsidRPr="003B7771">
        <w:rPr>
          <w:rFonts w:ascii="Bookman Old Style" w:eastAsia="Calibri" w:hAnsi="Bookman Old Style" w:cs="Arial"/>
        </w:rPr>
        <w:t xml:space="preserve"> tanto a generadores como a usuarios del sistema, obtener los beneficios derivados de un mecanismo estable en el largo plazo</w:t>
      </w:r>
      <w:r w:rsidR="00CB52E7">
        <w:rPr>
          <w:rFonts w:ascii="Bookman Old Style" w:eastAsia="Calibri" w:hAnsi="Bookman Old Style" w:cs="Arial"/>
        </w:rPr>
        <w:t>,</w:t>
      </w:r>
      <w:r w:rsidRPr="003B7771">
        <w:rPr>
          <w:rFonts w:ascii="Bookman Old Style" w:eastAsia="Calibri" w:hAnsi="Bookman Old Style" w:cs="Arial"/>
        </w:rPr>
        <w:t xml:space="preserve"> que da señales e incentivos para la inversión en nuevos recursos de generación, garantizando</w:t>
      </w:r>
      <w:r w:rsidR="00CB52E7">
        <w:rPr>
          <w:rFonts w:ascii="Bookman Old Style" w:eastAsia="Calibri" w:hAnsi="Bookman Old Style" w:cs="Arial"/>
        </w:rPr>
        <w:t>,</w:t>
      </w:r>
      <w:r w:rsidRPr="003B7771">
        <w:rPr>
          <w:rFonts w:ascii="Bookman Old Style" w:eastAsia="Calibri" w:hAnsi="Bookman Old Style" w:cs="Arial"/>
        </w:rPr>
        <w:t xml:space="preserve"> de esta forma</w:t>
      </w:r>
      <w:r w:rsidR="00CB52E7">
        <w:rPr>
          <w:rFonts w:ascii="Bookman Old Style" w:eastAsia="Calibri" w:hAnsi="Bookman Old Style" w:cs="Arial"/>
        </w:rPr>
        <w:t>,</w:t>
      </w:r>
      <w:r w:rsidRPr="003B7771">
        <w:rPr>
          <w:rFonts w:ascii="Bookman Old Style" w:eastAsia="Calibri" w:hAnsi="Bookman Old Style" w:cs="Arial"/>
        </w:rPr>
        <w:t xml:space="preserve"> el suministro de energía eléctrica</w:t>
      </w:r>
      <w:r w:rsidR="00CB52E7">
        <w:rPr>
          <w:rFonts w:ascii="Bookman Old Style" w:eastAsia="Calibri" w:hAnsi="Bookman Old Style" w:cs="Arial"/>
        </w:rPr>
        <w:t xml:space="preserve"> de forma continua a todos los usuarios del sistema, aun en condición crítica</w:t>
      </w:r>
      <w:r w:rsidRPr="003B7771">
        <w:rPr>
          <w:rFonts w:ascii="Bookman Old Style" w:eastAsia="Calibri" w:hAnsi="Bookman Old Style" w:cs="Arial"/>
        </w:rPr>
        <w:t>.</w:t>
      </w:r>
    </w:p>
    <w:p w14:paraId="71F65BCD" w14:textId="77777777" w:rsidR="008E10C2" w:rsidRPr="003B7771" w:rsidRDefault="008E10C2" w:rsidP="008E10C2">
      <w:pPr>
        <w:jc w:val="both"/>
        <w:rPr>
          <w:rFonts w:ascii="Bookman Old Style" w:eastAsia="Calibri" w:hAnsi="Bookman Old Style" w:cs="Arial"/>
        </w:rPr>
      </w:pPr>
    </w:p>
    <w:p w14:paraId="132CBFD0" w14:textId="7EDB0D8A" w:rsidR="008E10C2" w:rsidRPr="003B7771" w:rsidRDefault="00015D1C" w:rsidP="008E10C2">
      <w:pPr>
        <w:ind w:left="0"/>
        <w:jc w:val="both"/>
        <w:rPr>
          <w:rFonts w:ascii="Bookman Old Style" w:eastAsia="Calibri" w:hAnsi="Bookman Old Style" w:cs="Arial"/>
        </w:rPr>
      </w:pPr>
      <w:r>
        <w:rPr>
          <w:rFonts w:ascii="Bookman Old Style" w:eastAsia="Calibri" w:hAnsi="Bookman Old Style" w:cs="Arial"/>
        </w:rPr>
        <w:t xml:space="preserve">La regulación del </w:t>
      </w:r>
      <w:r w:rsidR="006F501F">
        <w:rPr>
          <w:rFonts w:ascii="Bookman Old Style" w:eastAsia="Calibri" w:hAnsi="Bookman Old Style" w:cs="Arial"/>
        </w:rPr>
        <w:t xml:space="preserve">Cargo por Confiabilidad </w:t>
      </w:r>
      <w:r w:rsidR="008E10C2" w:rsidRPr="003B7771">
        <w:rPr>
          <w:rFonts w:ascii="Bookman Old Style" w:eastAsia="Calibri" w:hAnsi="Bookman Old Style" w:cs="Arial"/>
        </w:rPr>
        <w:t xml:space="preserve">define </w:t>
      </w:r>
      <w:r w:rsidR="006F501F">
        <w:rPr>
          <w:rFonts w:ascii="Bookman Old Style" w:eastAsia="Calibri" w:hAnsi="Bookman Old Style" w:cs="Arial"/>
        </w:rPr>
        <w:t xml:space="preserve">entre otros </w:t>
      </w:r>
      <w:r w:rsidR="008E10C2" w:rsidRPr="003B7771">
        <w:rPr>
          <w:rFonts w:ascii="Bookman Old Style" w:eastAsia="Calibri" w:hAnsi="Bookman Old Style" w:cs="Arial"/>
        </w:rPr>
        <w:t xml:space="preserve">las Obligaciones de Energía </w:t>
      </w:r>
      <w:r w:rsidR="006F501F">
        <w:rPr>
          <w:rFonts w:ascii="Bookman Old Style" w:eastAsia="Calibri" w:hAnsi="Bookman Old Style" w:cs="Arial"/>
        </w:rPr>
        <w:t>F</w:t>
      </w:r>
      <w:r w:rsidR="008E10C2" w:rsidRPr="003B7771">
        <w:rPr>
          <w:rFonts w:ascii="Bookman Old Style" w:eastAsia="Calibri" w:hAnsi="Bookman Old Style" w:cs="Arial"/>
        </w:rPr>
        <w:t xml:space="preserve">irme, el alcance de </w:t>
      </w:r>
      <w:r>
        <w:rPr>
          <w:rFonts w:ascii="Bookman Old Style" w:eastAsia="Calibri" w:hAnsi="Bookman Old Style" w:cs="Arial"/>
        </w:rPr>
        <w:t xml:space="preserve">estas, y </w:t>
      </w:r>
      <w:r w:rsidR="008E10C2" w:rsidRPr="003B7771">
        <w:rPr>
          <w:rFonts w:ascii="Bookman Old Style" w:eastAsia="Calibri" w:hAnsi="Bookman Old Style" w:cs="Arial"/>
        </w:rPr>
        <w:t xml:space="preserve">la forma de calcular </w:t>
      </w:r>
      <w:r>
        <w:rPr>
          <w:rFonts w:ascii="Bookman Old Style" w:eastAsia="Calibri" w:hAnsi="Bookman Old Style" w:cs="Arial"/>
        </w:rPr>
        <w:t xml:space="preserve">la cantidad de energía </w:t>
      </w:r>
      <w:r w:rsidR="006F501F">
        <w:rPr>
          <w:rFonts w:ascii="Bookman Old Style" w:eastAsia="Calibri" w:hAnsi="Bookman Old Style" w:cs="Arial"/>
        </w:rPr>
        <w:t xml:space="preserve">firme </w:t>
      </w:r>
      <w:r>
        <w:rPr>
          <w:rFonts w:ascii="Bookman Old Style" w:eastAsia="Calibri" w:hAnsi="Bookman Old Style" w:cs="Arial"/>
        </w:rPr>
        <w:t xml:space="preserve">objeto de la obligación. La regulación </w:t>
      </w:r>
      <w:r w:rsidR="00243445">
        <w:rPr>
          <w:rFonts w:ascii="Bookman Old Style" w:eastAsia="Calibri" w:hAnsi="Bookman Old Style" w:cs="Arial"/>
        </w:rPr>
        <w:t>también</w:t>
      </w:r>
      <w:r w:rsidR="00243445" w:rsidRPr="003B7771">
        <w:rPr>
          <w:rFonts w:ascii="Bookman Old Style" w:eastAsia="Calibri" w:hAnsi="Bookman Old Style" w:cs="Arial"/>
        </w:rPr>
        <w:t xml:space="preserve"> establece</w:t>
      </w:r>
      <w:r w:rsidR="008E10C2" w:rsidRPr="003B7771">
        <w:rPr>
          <w:rFonts w:ascii="Bookman Old Style" w:eastAsia="Calibri" w:hAnsi="Bookman Old Style" w:cs="Arial"/>
        </w:rPr>
        <w:t xml:space="preserve"> las reglas aplicables a la subasta </w:t>
      </w:r>
      <w:r w:rsidR="006F501F">
        <w:rPr>
          <w:rFonts w:ascii="Bookman Old Style" w:eastAsia="Calibri" w:hAnsi="Bookman Old Style" w:cs="Arial"/>
        </w:rPr>
        <w:t xml:space="preserve">de asignación, </w:t>
      </w:r>
      <w:r w:rsidR="008E10C2" w:rsidRPr="003B7771">
        <w:rPr>
          <w:rFonts w:ascii="Bookman Old Style" w:eastAsia="Calibri" w:hAnsi="Bookman Old Style" w:cs="Arial"/>
        </w:rPr>
        <w:t>en la que participan los generadores que desean comprometerse a suministrar la energía en las condiciones antes descritas, a cambio de una remuneración</w:t>
      </w:r>
      <w:r w:rsidR="006F501F">
        <w:rPr>
          <w:rFonts w:ascii="Bookman Old Style" w:eastAsia="Calibri" w:hAnsi="Bookman Old Style" w:cs="Arial"/>
        </w:rPr>
        <w:t>,</w:t>
      </w:r>
      <w:r w:rsidR="008E10C2" w:rsidRPr="003B7771">
        <w:rPr>
          <w:rFonts w:ascii="Bookman Old Style" w:eastAsia="Calibri" w:hAnsi="Bookman Old Style" w:cs="Arial"/>
        </w:rPr>
        <w:t xml:space="preserve"> y establece </w:t>
      </w:r>
      <w:r w:rsidR="006F501F">
        <w:rPr>
          <w:rFonts w:ascii="Bookman Old Style" w:eastAsia="Calibri" w:hAnsi="Bookman Old Style" w:cs="Arial"/>
        </w:rPr>
        <w:t>la</w:t>
      </w:r>
      <w:r w:rsidR="006F501F" w:rsidRPr="003B7771">
        <w:rPr>
          <w:rFonts w:ascii="Bookman Old Style" w:eastAsia="Calibri" w:hAnsi="Bookman Old Style" w:cs="Arial"/>
        </w:rPr>
        <w:t xml:space="preserve"> </w:t>
      </w:r>
      <w:r w:rsidR="008E10C2" w:rsidRPr="003B7771">
        <w:rPr>
          <w:rFonts w:ascii="Bookman Old Style" w:eastAsia="Calibri" w:hAnsi="Bookman Old Style" w:cs="Arial"/>
        </w:rPr>
        <w:t xml:space="preserve">forma </w:t>
      </w:r>
      <w:r w:rsidR="006F501F">
        <w:rPr>
          <w:rFonts w:ascii="Bookman Old Style" w:eastAsia="Calibri" w:hAnsi="Bookman Old Style" w:cs="Arial"/>
        </w:rPr>
        <w:t xml:space="preserve">en que </w:t>
      </w:r>
      <w:r w:rsidR="008E10C2" w:rsidRPr="003B7771">
        <w:rPr>
          <w:rFonts w:ascii="Bookman Old Style" w:eastAsia="Calibri" w:hAnsi="Bookman Old Style" w:cs="Arial"/>
        </w:rPr>
        <w:t xml:space="preserve">se determina la energía que puede comprometer cada planta, </w:t>
      </w:r>
      <w:r w:rsidR="006F501F">
        <w:rPr>
          <w:rFonts w:ascii="Bookman Old Style" w:eastAsia="Calibri" w:hAnsi="Bookman Old Style" w:cs="Arial"/>
        </w:rPr>
        <w:t xml:space="preserve">o </w:t>
      </w:r>
      <w:r w:rsidR="008E10C2" w:rsidRPr="003B7771">
        <w:rPr>
          <w:rFonts w:ascii="Bookman Old Style" w:eastAsia="Calibri" w:hAnsi="Bookman Old Style" w:cs="Arial"/>
        </w:rPr>
        <w:t>energía firme</w:t>
      </w:r>
      <w:r w:rsidR="006F501F">
        <w:rPr>
          <w:rFonts w:ascii="Bookman Old Style" w:eastAsia="Calibri" w:hAnsi="Bookman Old Style" w:cs="Arial"/>
        </w:rPr>
        <w:t xml:space="preserve"> del cago por confiabilidad, ENFICC</w:t>
      </w:r>
      <w:r w:rsidR="008E10C2" w:rsidRPr="003B7771">
        <w:rPr>
          <w:rFonts w:ascii="Bookman Old Style" w:eastAsia="Calibri" w:hAnsi="Bookman Old Style" w:cs="Arial"/>
          <w:vertAlign w:val="superscript"/>
        </w:rPr>
        <w:footnoteReference w:id="1"/>
      </w:r>
      <w:r w:rsidR="008E10C2" w:rsidRPr="003B7771">
        <w:rPr>
          <w:rFonts w:ascii="Bookman Old Style" w:eastAsia="Calibri" w:hAnsi="Bookman Old Style" w:cs="Arial"/>
        </w:rPr>
        <w:t xml:space="preserve">. </w:t>
      </w:r>
    </w:p>
    <w:p w14:paraId="36C73740" w14:textId="77777777" w:rsidR="008E10C2" w:rsidRPr="003B7771" w:rsidRDefault="008E10C2" w:rsidP="008E10C2">
      <w:pPr>
        <w:jc w:val="both"/>
        <w:rPr>
          <w:rFonts w:ascii="Bookman Old Style" w:eastAsia="Calibri" w:hAnsi="Bookman Old Style" w:cs="Arial"/>
        </w:rPr>
      </w:pPr>
    </w:p>
    <w:p w14:paraId="139F5DEE" w14:textId="39CEEB4D" w:rsidR="00EC7ABD" w:rsidRPr="003B7771" w:rsidRDefault="006F501F" w:rsidP="00243445">
      <w:pPr>
        <w:ind w:left="0"/>
        <w:jc w:val="both"/>
        <w:rPr>
          <w:rFonts w:ascii="Bookman Old Style" w:eastAsia="Calibri" w:hAnsi="Bookman Old Style" w:cs="Arial"/>
        </w:rPr>
      </w:pPr>
      <w:r>
        <w:rPr>
          <w:rFonts w:ascii="Bookman Old Style" w:eastAsia="Calibri" w:hAnsi="Bookman Old Style" w:cs="Arial"/>
        </w:rPr>
        <w:t>Para</w:t>
      </w:r>
      <w:r w:rsidR="008E10C2" w:rsidRPr="003B7771">
        <w:rPr>
          <w:rFonts w:ascii="Bookman Old Style" w:eastAsia="Calibri" w:hAnsi="Bookman Old Style" w:cs="Arial"/>
        </w:rPr>
        <w:t xml:space="preserve"> incentivar la instalación de nueva capacidad de generación, </w:t>
      </w:r>
      <w:r w:rsidR="008E10C2">
        <w:rPr>
          <w:rFonts w:ascii="Bookman Old Style" w:eastAsia="Calibri" w:hAnsi="Bookman Old Style" w:cs="Arial"/>
        </w:rPr>
        <w:t>que permita asegurar el suministro</w:t>
      </w:r>
      <w:r>
        <w:rPr>
          <w:rFonts w:ascii="Bookman Old Style" w:eastAsia="Calibri" w:hAnsi="Bookman Old Style" w:cs="Arial"/>
        </w:rPr>
        <w:t xml:space="preserve"> futuro de energía</w:t>
      </w:r>
      <w:r w:rsidR="008E10C2">
        <w:rPr>
          <w:rFonts w:ascii="Bookman Old Style" w:eastAsia="Calibri" w:hAnsi="Bookman Old Style" w:cs="Arial"/>
        </w:rPr>
        <w:t xml:space="preserve">, </w:t>
      </w:r>
      <w:r w:rsidR="008E10C2" w:rsidRPr="003B7771">
        <w:rPr>
          <w:rFonts w:ascii="Bookman Old Style" w:eastAsia="Calibri" w:hAnsi="Bookman Old Style" w:cs="Arial"/>
        </w:rPr>
        <w:t xml:space="preserve">la Resolución CREG 071 de 2006 </w:t>
      </w:r>
      <w:r>
        <w:rPr>
          <w:rFonts w:ascii="Bookman Old Style" w:eastAsia="Calibri" w:hAnsi="Bookman Old Style" w:cs="Arial"/>
        </w:rPr>
        <w:t>permite</w:t>
      </w:r>
      <w:r w:rsidR="008E10C2" w:rsidRPr="003B7771">
        <w:rPr>
          <w:rFonts w:ascii="Bookman Old Style" w:eastAsia="Calibri" w:hAnsi="Bookman Old Style" w:cs="Arial"/>
        </w:rPr>
        <w:t xml:space="preserve"> que generadores con plantas de generación que aún no est</w:t>
      </w:r>
      <w:r w:rsidR="008E10C2">
        <w:rPr>
          <w:rFonts w:ascii="Bookman Old Style" w:eastAsia="Calibri" w:hAnsi="Bookman Old Style" w:cs="Arial"/>
        </w:rPr>
        <w:t>á</w:t>
      </w:r>
      <w:r w:rsidR="008E10C2" w:rsidRPr="003B7771">
        <w:rPr>
          <w:rFonts w:ascii="Bookman Old Style" w:eastAsia="Calibri" w:hAnsi="Bookman Old Style" w:cs="Arial"/>
        </w:rPr>
        <w:t xml:space="preserve">n instaladas y generando energía </w:t>
      </w:r>
      <w:r>
        <w:rPr>
          <w:rFonts w:ascii="Bookman Old Style" w:eastAsia="Calibri" w:hAnsi="Bookman Old Style" w:cs="Arial"/>
        </w:rPr>
        <w:t xml:space="preserve">en el sistema </w:t>
      </w:r>
      <w:r w:rsidR="008E10C2" w:rsidRPr="003B7771">
        <w:rPr>
          <w:rFonts w:ascii="Bookman Old Style" w:eastAsia="Calibri" w:hAnsi="Bookman Old Style" w:cs="Arial"/>
        </w:rPr>
        <w:t>participen en  subasta</w:t>
      </w:r>
      <w:r>
        <w:rPr>
          <w:rFonts w:ascii="Bookman Old Style" w:eastAsia="Calibri" w:hAnsi="Bookman Old Style" w:cs="Arial"/>
        </w:rPr>
        <w:t>s de asignación de OEF</w:t>
      </w:r>
      <w:r w:rsidR="00243445">
        <w:rPr>
          <w:rFonts w:ascii="Bookman Old Style" w:eastAsia="Calibri" w:hAnsi="Bookman Old Style" w:cs="Arial"/>
        </w:rPr>
        <w:t xml:space="preserve">, en la cual se define la cantidad </w:t>
      </w:r>
      <w:r>
        <w:rPr>
          <w:rFonts w:ascii="Bookman Old Style" w:eastAsia="Calibri" w:hAnsi="Bookman Old Style" w:cs="Arial"/>
        </w:rPr>
        <w:t xml:space="preserve">comprometida </w:t>
      </w:r>
      <w:r w:rsidR="00243445">
        <w:rPr>
          <w:rFonts w:ascii="Bookman Old Style" w:eastAsia="Calibri" w:hAnsi="Bookman Old Style" w:cs="Arial"/>
        </w:rPr>
        <w:t>de energía firme que se asigna a cada planta o unidad de generación nueva</w:t>
      </w:r>
      <w:r w:rsidR="00606A76">
        <w:rPr>
          <w:rFonts w:ascii="Bookman Old Style" w:eastAsia="Calibri" w:hAnsi="Bookman Old Style" w:cs="Arial"/>
        </w:rPr>
        <w:t>,</w:t>
      </w:r>
      <w:r w:rsidR="00243445">
        <w:rPr>
          <w:rFonts w:ascii="Bookman Old Style" w:eastAsia="Calibri" w:hAnsi="Bookman Old Style" w:cs="Arial"/>
        </w:rPr>
        <w:t xml:space="preserve"> y el valor de</w:t>
      </w:r>
      <w:r>
        <w:rPr>
          <w:rFonts w:ascii="Bookman Old Style" w:eastAsia="Calibri" w:hAnsi="Bookman Old Style" w:cs="Arial"/>
        </w:rPr>
        <w:t xml:space="preserve"> remuneración de</w:t>
      </w:r>
      <w:r w:rsidR="00243445">
        <w:rPr>
          <w:rFonts w:ascii="Bookman Old Style" w:eastAsia="Calibri" w:hAnsi="Bookman Old Style" w:cs="Arial"/>
        </w:rPr>
        <w:t>l cargo por confiabilidad para el p</w:t>
      </w:r>
      <w:r w:rsidR="00321FD1">
        <w:rPr>
          <w:rFonts w:ascii="Bookman Old Style" w:eastAsia="Calibri" w:hAnsi="Bookman Old Style" w:cs="Arial"/>
        </w:rPr>
        <w:t>eríodo</w:t>
      </w:r>
      <w:r w:rsidR="00243445">
        <w:rPr>
          <w:rFonts w:ascii="Bookman Old Style" w:eastAsia="Calibri" w:hAnsi="Bookman Old Style" w:cs="Arial"/>
        </w:rPr>
        <w:t xml:space="preserve"> de vigencia de la obligación</w:t>
      </w:r>
      <w:r w:rsidR="00EC13D5">
        <w:rPr>
          <w:rFonts w:ascii="Bookman Old Style" w:eastAsia="Calibri" w:hAnsi="Bookman Old Style" w:cs="Arial"/>
        </w:rPr>
        <w:t xml:space="preserve">. </w:t>
      </w:r>
    </w:p>
    <w:p w14:paraId="63E33878" w14:textId="77777777" w:rsidR="008E10C2" w:rsidRPr="003B7771" w:rsidRDefault="008E10C2" w:rsidP="008E10C2">
      <w:pPr>
        <w:jc w:val="both"/>
        <w:rPr>
          <w:rFonts w:ascii="Bookman Old Style" w:eastAsia="Calibri" w:hAnsi="Bookman Old Style" w:cs="Arial"/>
        </w:rPr>
      </w:pPr>
    </w:p>
    <w:p w14:paraId="1EFA3899" w14:textId="600DA7CF" w:rsidR="00100637" w:rsidRDefault="00EC13D5" w:rsidP="008E10C2">
      <w:pPr>
        <w:ind w:left="0"/>
        <w:jc w:val="both"/>
        <w:rPr>
          <w:rFonts w:ascii="Bookman Old Style" w:eastAsia="Calibri" w:hAnsi="Bookman Old Style" w:cs="Arial"/>
        </w:rPr>
      </w:pPr>
      <w:r>
        <w:rPr>
          <w:rFonts w:ascii="Bookman Old Style" w:eastAsia="Calibri" w:hAnsi="Bookman Old Style" w:cs="Arial"/>
        </w:rPr>
        <w:t xml:space="preserve">La regulación dispone </w:t>
      </w:r>
      <w:r w:rsidR="008E10C2" w:rsidRPr="003B7771">
        <w:rPr>
          <w:rFonts w:ascii="Bookman Old Style" w:eastAsia="Calibri" w:hAnsi="Bookman Old Style" w:cs="Arial"/>
        </w:rPr>
        <w:t>que el agente que</w:t>
      </w:r>
      <w:r w:rsidR="00835A71">
        <w:rPr>
          <w:rFonts w:ascii="Bookman Old Style" w:eastAsia="Calibri" w:hAnsi="Bookman Old Style" w:cs="Arial"/>
        </w:rPr>
        <w:t>,</w:t>
      </w:r>
      <w:r w:rsidR="008E10C2" w:rsidRPr="003B7771">
        <w:rPr>
          <w:rFonts w:ascii="Bookman Old Style" w:eastAsia="Calibri" w:hAnsi="Bookman Old Style" w:cs="Arial"/>
        </w:rPr>
        <w:t xml:space="preserve"> como resultado de la subasta</w:t>
      </w:r>
      <w:r w:rsidR="00835A71">
        <w:rPr>
          <w:rFonts w:ascii="Bookman Old Style" w:eastAsia="Calibri" w:hAnsi="Bookman Old Style" w:cs="Arial"/>
        </w:rPr>
        <w:t>,</w:t>
      </w:r>
      <w:r w:rsidR="008E10C2" w:rsidRPr="003B7771">
        <w:rPr>
          <w:rFonts w:ascii="Bookman Old Style" w:eastAsia="Calibri" w:hAnsi="Bookman Old Style" w:cs="Arial"/>
        </w:rPr>
        <w:t xml:space="preserve"> resulte asignado con una OEF respaldada con una </w:t>
      </w:r>
      <w:r w:rsidR="00835A71">
        <w:rPr>
          <w:rFonts w:ascii="Bookman Old Style" w:eastAsia="Calibri" w:hAnsi="Bookman Old Style" w:cs="Arial"/>
        </w:rPr>
        <w:t>nueva planta de generación</w:t>
      </w:r>
      <w:r w:rsidR="008E10C2">
        <w:rPr>
          <w:rFonts w:ascii="Bookman Old Style" w:eastAsia="Calibri" w:hAnsi="Bookman Old Style" w:cs="Arial"/>
        </w:rPr>
        <w:t>,</w:t>
      </w:r>
      <w:r w:rsidR="008E10C2" w:rsidRPr="003B7771">
        <w:rPr>
          <w:rFonts w:ascii="Bookman Old Style" w:eastAsia="Calibri" w:hAnsi="Bookman Old Style" w:cs="Arial"/>
        </w:rPr>
        <w:t xml:space="preserve"> se compromete a realizar la construcción e instalación de la planta</w:t>
      </w:r>
      <w:r w:rsidR="008E10C2">
        <w:rPr>
          <w:rFonts w:ascii="Bookman Old Style" w:eastAsia="Calibri" w:hAnsi="Bookman Old Style" w:cs="Arial"/>
        </w:rPr>
        <w:t xml:space="preserve"> antes de la fecha del inicio del período de vigencia de la obligación, de acuerdo</w:t>
      </w:r>
      <w:r w:rsidR="00B807C6">
        <w:rPr>
          <w:rFonts w:ascii="Bookman Old Style" w:eastAsia="Calibri" w:hAnsi="Bookman Old Style" w:cs="Arial"/>
        </w:rPr>
        <w:t xml:space="preserve"> con</w:t>
      </w:r>
      <w:r w:rsidR="008E10C2">
        <w:rPr>
          <w:rFonts w:ascii="Bookman Old Style" w:eastAsia="Calibri" w:hAnsi="Bookman Old Style" w:cs="Arial"/>
        </w:rPr>
        <w:t xml:space="preserve"> la Curva S y el cronograma que </w:t>
      </w:r>
      <w:r w:rsidR="00835A71">
        <w:rPr>
          <w:rFonts w:ascii="Bookman Old Style" w:eastAsia="Calibri" w:hAnsi="Bookman Old Style" w:cs="Arial"/>
        </w:rPr>
        <w:t xml:space="preserve">presenta </w:t>
      </w:r>
      <w:r w:rsidR="008E10C2">
        <w:rPr>
          <w:rFonts w:ascii="Bookman Old Style" w:eastAsia="Calibri" w:hAnsi="Bookman Old Style" w:cs="Arial"/>
        </w:rPr>
        <w:t>para participar en la asignación</w:t>
      </w:r>
      <w:r w:rsidR="00606A76">
        <w:rPr>
          <w:rFonts w:ascii="Bookman Old Style" w:eastAsia="Calibri" w:hAnsi="Bookman Old Style" w:cs="Arial"/>
        </w:rPr>
        <w:t>. I</w:t>
      </w:r>
      <w:r w:rsidR="00835A71">
        <w:rPr>
          <w:rFonts w:ascii="Bookman Old Style" w:eastAsia="Calibri" w:hAnsi="Bookman Old Style" w:cs="Arial"/>
        </w:rPr>
        <w:t>gualmente</w:t>
      </w:r>
      <w:r w:rsidR="00606A76">
        <w:rPr>
          <w:rFonts w:ascii="Bookman Old Style" w:eastAsia="Calibri" w:hAnsi="Bookman Old Style" w:cs="Arial"/>
        </w:rPr>
        <w:t>,</w:t>
      </w:r>
      <w:r w:rsidR="00835A71">
        <w:rPr>
          <w:rFonts w:ascii="Bookman Old Style" w:eastAsia="Calibri" w:hAnsi="Bookman Old Style" w:cs="Arial"/>
        </w:rPr>
        <w:t xml:space="preserve"> a</w:t>
      </w:r>
      <w:r w:rsidR="008E10C2">
        <w:rPr>
          <w:rFonts w:ascii="Bookman Old Style" w:eastAsia="Calibri" w:hAnsi="Bookman Old Style" w:cs="Arial"/>
        </w:rPr>
        <w:t xml:space="preserve"> q</w:t>
      </w:r>
      <w:r w:rsidR="008E10C2" w:rsidRPr="003B7771">
        <w:rPr>
          <w:rFonts w:ascii="Bookman Old Style" w:eastAsia="Calibri" w:hAnsi="Bookman Old Style" w:cs="Arial"/>
        </w:rPr>
        <w:t xml:space="preserve">ue </w:t>
      </w:r>
      <w:r w:rsidR="00835A71">
        <w:rPr>
          <w:rFonts w:ascii="Bookman Old Style" w:eastAsia="Calibri" w:hAnsi="Bookman Old Style" w:cs="Arial"/>
        </w:rPr>
        <w:t>e</w:t>
      </w:r>
      <w:r w:rsidR="008E10C2" w:rsidRPr="003B7771">
        <w:rPr>
          <w:rFonts w:ascii="Bookman Old Style" w:eastAsia="Calibri" w:hAnsi="Bookman Old Style" w:cs="Arial"/>
        </w:rPr>
        <w:t xml:space="preserve">sta </w:t>
      </w:r>
      <w:r w:rsidR="00835A71">
        <w:rPr>
          <w:rFonts w:ascii="Bookman Old Style" w:eastAsia="Calibri" w:hAnsi="Bookman Old Style" w:cs="Arial"/>
        </w:rPr>
        <w:t xml:space="preserve">planta </w:t>
      </w:r>
      <w:r w:rsidR="008E10C2" w:rsidRPr="003B7771">
        <w:rPr>
          <w:rFonts w:ascii="Bookman Old Style" w:eastAsia="Calibri" w:hAnsi="Bookman Old Style" w:cs="Arial"/>
        </w:rPr>
        <w:t xml:space="preserve">esté </w:t>
      </w:r>
      <w:r w:rsidR="008E10C2">
        <w:rPr>
          <w:rFonts w:ascii="Bookman Old Style" w:eastAsia="Calibri" w:hAnsi="Bookman Old Style" w:cs="Arial"/>
        </w:rPr>
        <w:t>disponible</w:t>
      </w:r>
      <w:r w:rsidR="008E10C2" w:rsidRPr="003B7771">
        <w:rPr>
          <w:rFonts w:ascii="Bookman Old Style" w:eastAsia="Calibri" w:hAnsi="Bookman Old Style" w:cs="Arial"/>
        </w:rPr>
        <w:t xml:space="preserve"> y en condiciones de entregar la energía durante el período de vigencia de la OEF. </w:t>
      </w:r>
    </w:p>
    <w:p w14:paraId="005A19BB" w14:textId="77777777" w:rsidR="00100637" w:rsidRDefault="00100637" w:rsidP="008E10C2">
      <w:pPr>
        <w:ind w:left="0"/>
        <w:jc w:val="both"/>
        <w:rPr>
          <w:rFonts w:ascii="Bookman Old Style" w:eastAsia="Calibri" w:hAnsi="Bookman Old Style" w:cs="Arial"/>
        </w:rPr>
      </w:pPr>
    </w:p>
    <w:p w14:paraId="1B99CDBD" w14:textId="06EBA7A4" w:rsidR="00243445" w:rsidRDefault="008E10C2" w:rsidP="008E10C2">
      <w:pPr>
        <w:ind w:left="0"/>
        <w:jc w:val="both"/>
        <w:rPr>
          <w:rFonts w:ascii="Bookman Old Style" w:eastAsia="Calibri" w:hAnsi="Bookman Old Style" w:cs="Arial"/>
        </w:rPr>
      </w:pPr>
      <w:r w:rsidRPr="003B7771">
        <w:rPr>
          <w:rFonts w:ascii="Bookman Old Style" w:eastAsia="Calibri" w:hAnsi="Bookman Old Style" w:cs="Arial"/>
        </w:rPr>
        <w:t xml:space="preserve">La regulación dispone </w:t>
      </w:r>
      <w:r w:rsidR="00100637">
        <w:rPr>
          <w:rFonts w:ascii="Bookman Old Style" w:eastAsia="Calibri" w:hAnsi="Bookman Old Style" w:cs="Arial"/>
        </w:rPr>
        <w:t xml:space="preserve">que se deben realizar </w:t>
      </w:r>
      <w:r>
        <w:rPr>
          <w:rFonts w:ascii="Bookman Old Style" w:eastAsia="Calibri" w:hAnsi="Bookman Old Style" w:cs="Arial"/>
        </w:rPr>
        <w:t xml:space="preserve">auditorías semestrales </w:t>
      </w:r>
      <w:r w:rsidR="00B807C6">
        <w:rPr>
          <w:rFonts w:ascii="Bookman Old Style" w:eastAsia="Calibri" w:hAnsi="Bookman Old Style" w:cs="Arial"/>
        </w:rPr>
        <w:t xml:space="preserve">y trimestrales </w:t>
      </w:r>
      <w:r>
        <w:rPr>
          <w:rFonts w:ascii="Bookman Old Style" w:eastAsia="Calibri" w:hAnsi="Bookman Old Style" w:cs="Arial"/>
        </w:rPr>
        <w:t xml:space="preserve">del avance </w:t>
      </w:r>
      <w:r w:rsidRPr="003B7771">
        <w:rPr>
          <w:rFonts w:ascii="Bookman Old Style" w:eastAsia="Calibri" w:hAnsi="Bookman Old Style" w:cs="Arial"/>
        </w:rPr>
        <w:t xml:space="preserve">de la ejecución del proyecto </w:t>
      </w:r>
      <w:r>
        <w:rPr>
          <w:rFonts w:ascii="Bookman Old Style" w:eastAsia="Calibri" w:hAnsi="Bookman Old Style" w:cs="Arial"/>
        </w:rPr>
        <w:t>y de su entrada en operación</w:t>
      </w:r>
      <w:r w:rsidR="00835A71">
        <w:rPr>
          <w:rFonts w:ascii="Bookman Old Style" w:eastAsia="Calibri" w:hAnsi="Bookman Old Style" w:cs="Arial"/>
        </w:rPr>
        <w:t>,</w:t>
      </w:r>
      <w:r>
        <w:rPr>
          <w:rFonts w:ascii="Bookman Old Style" w:eastAsia="Calibri" w:hAnsi="Bookman Old Style" w:cs="Arial"/>
        </w:rPr>
        <w:t xml:space="preserve"> </w:t>
      </w:r>
      <w:r w:rsidRPr="003B7771">
        <w:rPr>
          <w:rFonts w:ascii="Bookman Old Style" w:eastAsia="Calibri" w:hAnsi="Bookman Old Style" w:cs="Arial"/>
        </w:rPr>
        <w:t xml:space="preserve">para verificar el cumplimiento de </w:t>
      </w:r>
      <w:r w:rsidR="00835A71">
        <w:rPr>
          <w:rFonts w:ascii="Bookman Old Style" w:eastAsia="Calibri" w:hAnsi="Bookman Old Style" w:cs="Arial"/>
        </w:rPr>
        <w:t>l</w:t>
      </w:r>
      <w:r w:rsidRPr="003B7771">
        <w:rPr>
          <w:rFonts w:ascii="Bookman Old Style" w:eastAsia="Calibri" w:hAnsi="Bookman Old Style" w:cs="Arial"/>
        </w:rPr>
        <w:t xml:space="preserve">as obligaciones </w:t>
      </w:r>
      <w:r w:rsidR="00835A71">
        <w:rPr>
          <w:rFonts w:ascii="Bookman Old Style" w:eastAsia="Calibri" w:hAnsi="Bookman Old Style" w:cs="Arial"/>
        </w:rPr>
        <w:t>adquiridas</w:t>
      </w:r>
      <w:r w:rsidR="00606A76">
        <w:rPr>
          <w:rFonts w:ascii="Bookman Old Style" w:eastAsia="Calibri" w:hAnsi="Bookman Old Style" w:cs="Arial"/>
        </w:rPr>
        <w:t>,</w:t>
      </w:r>
      <w:r w:rsidR="00835A71">
        <w:rPr>
          <w:rFonts w:ascii="Bookman Old Style" w:eastAsia="Calibri" w:hAnsi="Bookman Old Style" w:cs="Arial"/>
        </w:rPr>
        <w:t xml:space="preserve"> </w:t>
      </w:r>
      <w:r w:rsidRPr="003B7771">
        <w:rPr>
          <w:rFonts w:ascii="Bookman Old Style" w:eastAsia="Calibri" w:hAnsi="Bookman Old Style" w:cs="Arial"/>
        </w:rPr>
        <w:t>y señala expresamente qu</w:t>
      </w:r>
      <w:r>
        <w:rPr>
          <w:rFonts w:ascii="Bookman Old Style" w:eastAsia="Calibri" w:hAnsi="Bookman Old Style" w:cs="Arial"/>
        </w:rPr>
        <w:t>e</w:t>
      </w:r>
      <w:r w:rsidRPr="003B7771">
        <w:rPr>
          <w:rFonts w:ascii="Bookman Old Style" w:eastAsia="Calibri" w:hAnsi="Bookman Old Style" w:cs="Arial"/>
        </w:rPr>
        <w:t xml:space="preserve"> se debe </w:t>
      </w:r>
      <w:r w:rsidR="00835A71">
        <w:rPr>
          <w:rFonts w:ascii="Bookman Old Style" w:eastAsia="Calibri" w:hAnsi="Bookman Old Style" w:cs="Arial"/>
        </w:rPr>
        <w:t>respaldar</w:t>
      </w:r>
      <w:r w:rsidR="00835A71" w:rsidRPr="003B7771">
        <w:rPr>
          <w:rFonts w:ascii="Bookman Old Style" w:eastAsia="Calibri" w:hAnsi="Bookman Old Style" w:cs="Arial"/>
        </w:rPr>
        <w:t xml:space="preserve"> </w:t>
      </w:r>
      <w:r w:rsidRPr="003B7771">
        <w:rPr>
          <w:rFonts w:ascii="Bookman Old Style" w:eastAsia="Calibri" w:hAnsi="Bookman Old Style" w:cs="Arial"/>
        </w:rPr>
        <w:t xml:space="preserve">el cumplimiento de las mismas mediante </w:t>
      </w:r>
      <w:r w:rsidR="00835A71">
        <w:rPr>
          <w:rFonts w:ascii="Bookman Old Style" w:eastAsia="Calibri" w:hAnsi="Bookman Old Style" w:cs="Arial"/>
        </w:rPr>
        <w:t xml:space="preserve">la constitución de </w:t>
      </w:r>
      <w:r w:rsidRPr="003B7771">
        <w:rPr>
          <w:rFonts w:ascii="Bookman Old Style" w:eastAsia="Calibri" w:hAnsi="Bookman Old Style" w:cs="Arial"/>
        </w:rPr>
        <w:t>una garantía que debe cumplir las condiciones previstas en la regulación</w:t>
      </w:r>
      <w:r w:rsidRPr="00C34340">
        <w:rPr>
          <w:rFonts w:ascii="Bookman Old Style" w:eastAsia="Calibri" w:hAnsi="Bookman Old Style" w:cs="Arial"/>
        </w:rPr>
        <w:t xml:space="preserve">.  </w:t>
      </w:r>
      <w:r>
        <w:rPr>
          <w:rFonts w:ascii="Bookman Old Style" w:eastAsia="Calibri" w:hAnsi="Bookman Old Style" w:cs="Arial"/>
        </w:rPr>
        <w:t xml:space="preserve">El reglamento de </w:t>
      </w:r>
      <w:r w:rsidRPr="00C34340">
        <w:rPr>
          <w:rFonts w:ascii="Bookman Old Style" w:eastAsia="Calibri" w:hAnsi="Bookman Old Style" w:cs="Arial"/>
        </w:rPr>
        <w:t xml:space="preserve">garantías para el cargo por confiabilidad se </w:t>
      </w:r>
      <w:r>
        <w:rPr>
          <w:rFonts w:ascii="Bookman Old Style" w:eastAsia="Calibri" w:hAnsi="Bookman Old Style" w:cs="Arial"/>
        </w:rPr>
        <w:t xml:space="preserve">adoptó mediante </w:t>
      </w:r>
      <w:r w:rsidRPr="00C34340">
        <w:rPr>
          <w:rFonts w:ascii="Bookman Old Style" w:eastAsia="Calibri" w:hAnsi="Bookman Old Style" w:cs="Arial"/>
        </w:rPr>
        <w:t>la Resolución CREG 061 de</w:t>
      </w:r>
      <w:r>
        <w:rPr>
          <w:rFonts w:ascii="Bookman Old Style" w:eastAsia="Calibri" w:hAnsi="Bookman Old Style" w:cs="Arial"/>
        </w:rPr>
        <w:t xml:space="preserve"> </w:t>
      </w:r>
      <w:r w:rsidRPr="00C34340">
        <w:rPr>
          <w:rFonts w:ascii="Bookman Old Style" w:eastAsia="Calibri" w:hAnsi="Bookman Old Style" w:cs="Arial"/>
        </w:rPr>
        <w:t>2007.</w:t>
      </w:r>
    </w:p>
    <w:p w14:paraId="4056F523" w14:textId="77777777" w:rsidR="008E10C2" w:rsidRDefault="008E10C2" w:rsidP="004E7266">
      <w:pPr>
        <w:ind w:left="0"/>
        <w:jc w:val="both"/>
        <w:rPr>
          <w:rFonts w:ascii="Bookman Old Style" w:eastAsia="Calibri" w:hAnsi="Bookman Old Style" w:cs="Arial"/>
        </w:rPr>
      </w:pPr>
    </w:p>
    <w:p w14:paraId="630705B2" w14:textId="32A34202" w:rsidR="008E10C2" w:rsidRDefault="008E10C2" w:rsidP="008E10C2">
      <w:pPr>
        <w:ind w:left="0"/>
        <w:jc w:val="both"/>
        <w:rPr>
          <w:rFonts w:ascii="Bookman Old Style" w:hAnsi="Bookman Old Style"/>
        </w:rPr>
      </w:pPr>
      <w:r>
        <w:rPr>
          <w:rFonts w:ascii="Bookman Old Style" w:eastAsia="Calibri" w:hAnsi="Bookman Old Style" w:cs="Arial"/>
        </w:rPr>
        <w:t>Finalmente, si bien dentro de la regulación se encuentran expuestas las condiciones a las cuales se sujetan y someten los agentes que participan en el esquema del cargo por confiabilidad, esta actividad parte de la iniciativa privada y la libertad de los agentes de someterse voluntariamente a estas condiciones, lo cual es concordante con lo dispuesto en el artículo 85 de la Ley 143 de 1994, el cual expone que l</w:t>
      </w:r>
      <w:r w:rsidRPr="009754EE">
        <w:rPr>
          <w:rFonts w:ascii="Bookman Old Style" w:eastAsia="Calibri" w:hAnsi="Bookman Old Style" w:cs="Arial"/>
        </w:rPr>
        <w:t xml:space="preserve">as decisiones de inversión </w:t>
      </w:r>
      <w:r>
        <w:rPr>
          <w:rFonts w:ascii="Bookman Old Style" w:eastAsia="Calibri" w:hAnsi="Bookman Old Style" w:cs="Arial"/>
        </w:rPr>
        <w:t xml:space="preserve">en esta materia </w:t>
      </w:r>
      <w:r w:rsidRPr="009754EE">
        <w:rPr>
          <w:rFonts w:ascii="Bookman Old Style" w:eastAsia="Calibri" w:hAnsi="Bookman Old Style" w:cs="Arial"/>
        </w:rPr>
        <w:t>constituyen responsabilidad de aquéllos que las acometan</w:t>
      </w:r>
      <w:r w:rsidR="00606A76">
        <w:rPr>
          <w:rFonts w:ascii="Bookman Old Style" w:eastAsia="Calibri" w:hAnsi="Bookman Old Style" w:cs="Arial"/>
        </w:rPr>
        <w:t>. P</w:t>
      </w:r>
      <w:r>
        <w:rPr>
          <w:rFonts w:ascii="Bookman Old Style" w:eastAsia="Calibri" w:hAnsi="Bookman Old Style" w:cs="Arial"/>
        </w:rPr>
        <w:t>or tanto</w:t>
      </w:r>
      <w:r w:rsidR="00606A76">
        <w:rPr>
          <w:rFonts w:ascii="Bookman Old Style" w:eastAsia="Calibri" w:hAnsi="Bookman Old Style" w:cs="Arial"/>
        </w:rPr>
        <w:t>,</w:t>
      </w:r>
      <w:r>
        <w:rPr>
          <w:rFonts w:ascii="Bookman Old Style" w:eastAsia="Calibri" w:hAnsi="Bookman Old Style" w:cs="Arial"/>
        </w:rPr>
        <w:t xml:space="preserve"> son dichos agentes quienes</w:t>
      </w:r>
      <w:r w:rsidRPr="009754EE">
        <w:rPr>
          <w:rFonts w:ascii="Bookman Old Style" w:eastAsia="Calibri" w:hAnsi="Bookman Old Style" w:cs="Arial"/>
        </w:rPr>
        <w:t xml:space="preserve"> asumen en su integridad los riesgos inherentes a la ejecución y explotación de los proyectos.</w:t>
      </w:r>
    </w:p>
    <w:p w14:paraId="1F52A5A5" w14:textId="16ADEAA0" w:rsidR="008E10C2" w:rsidRPr="00496B75" w:rsidRDefault="008E10C2" w:rsidP="008E10C2">
      <w:pPr>
        <w:ind w:left="0"/>
        <w:rPr>
          <w:rFonts w:ascii="Bookman Old Style" w:hAnsi="Bookman Old Style"/>
        </w:rPr>
      </w:pPr>
    </w:p>
    <w:p w14:paraId="40A95CD8" w14:textId="26DD6231" w:rsidR="008E10C2" w:rsidRDefault="008E10C2" w:rsidP="008E10C2">
      <w:pPr>
        <w:numPr>
          <w:ilvl w:val="0"/>
          <w:numId w:val="29"/>
        </w:numPr>
        <w:rPr>
          <w:rFonts w:ascii="Bookman Old Style" w:hAnsi="Bookman Old Style"/>
          <w:b/>
        </w:rPr>
      </w:pPr>
      <w:r w:rsidRPr="00496B75">
        <w:rPr>
          <w:rFonts w:ascii="Bookman Old Style" w:hAnsi="Bookman Old Style"/>
          <w:b/>
        </w:rPr>
        <w:t>Alcance de la actuación</w:t>
      </w:r>
      <w:r w:rsidR="006A1329">
        <w:rPr>
          <w:rFonts w:ascii="Bookman Old Style" w:hAnsi="Bookman Old Style"/>
          <w:b/>
        </w:rPr>
        <w:t xml:space="preserve"> y </w:t>
      </w:r>
      <w:r w:rsidRPr="00496B75">
        <w:rPr>
          <w:rFonts w:ascii="Bookman Old Style" w:hAnsi="Bookman Old Style"/>
          <w:b/>
        </w:rPr>
        <w:t>decisión</w:t>
      </w:r>
    </w:p>
    <w:p w14:paraId="3C5BA342" w14:textId="77777777" w:rsidR="008E10C2" w:rsidRPr="00496B75" w:rsidRDefault="008E10C2" w:rsidP="008E10C2">
      <w:pPr>
        <w:ind w:left="720"/>
        <w:rPr>
          <w:rFonts w:ascii="Bookman Old Style" w:hAnsi="Bookman Old Style"/>
          <w:b/>
        </w:rPr>
      </w:pPr>
    </w:p>
    <w:p w14:paraId="2292FE2F" w14:textId="6334127F" w:rsidR="008E10C2" w:rsidRDefault="00252214" w:rsidP="008E10C2">
      <w:pPr>
        <w:ind w:left="0"/>
        <w:jc w:val="both"/>
        <w:rPr>
          <w:rFonts w:ascii="Bookman Old Style" w:hAnsi="Bookman Old Style"/>
        </w:rPr>
      </w:pPr>
      <w:r>
        <w:rPr>
          <w:rFonts w:ascii="Bookman Old Style" w:hAnsi="Bookman Old Style" w:cs="Arial"/>
        </w:rPr>
        <w:t>C</w:t>
      </w:r>
      <w:r w:rsidR="00E675E9">
        <w:rPr>
          <w:rFonts w:ascii="Bookman Old Style" w:hAnsi="Bookman Old Style" w:cs="Arial"/>
        </w:rPr>
        <w:t>omo resultado de la subasta del Cargo por Confiabilidad</w:t>
      </w:r>
      <w:r w:rsidR="005F6594">
        <w:rPr>
          <w:rFonts w:ascii="Bookman Old Style" w:hAnsi="Bookman Old Style" w:cs="Arial"/>
        </w:rPr>
        <w:t xml:space="preserve"> convocada con la </w:t>
      </w:r>
      <w:r w:rsidR="005F6594" w:rsidRPr="0000127F">
        <w:rPr>
          <w:rFonts w:ascii="Bookman Old Style" w:hAnsi="Bookman Old Style" w:cs="Arial"/>
        </w:rPr>
        <w:t>Resolución CREG 104 de 2018,</w:t>
      </w:r>
      <w:r w:rsidR="00E675E9">
        <w:rPr>
          <w:rFonts w:ascii="Bookman Old Style" w:hAnsi="Bookman Old Style" w:cs="Arial"/>
        </w:rPr>
        <w:t xml:space="preserve"> </w:t>
      </w:r>
      <w:r>
        <w:rPr>
          <w:rFonts w:ascii="Bookman Old Style" w:hAnsi="Bookman Old Style" w:cs="Arial"/>
        </w:rPr>
        <w:t>realizada</w:t>
      </w:r>
      <w:r w:rsidR="0034560F">
        <w:rPr>
          <w:rFonts w:ascii="Bookman Old Style" w:hAnsi="Bookman Old Style" w:cs="Arial"/>
        </w:rPr>
        <w:t xml:space="preserve"> el 28 de febrero de 2019</w:t>
      </w:r>
      <w:r w:rsidR="0000127F">
        <w:rPr>
          <w:rFonts w:ascii="Bookman Old Style" w:hAnsi="Bookman Old Style" w:cs="Arial"/>
        </w:rPr>
        <w:t>,</w:t>
      </w:r>
      <w:r>
        <w:rPr>
          <w:rFonts w:ascii="Bookman Old Style" w:hAnsi="Bookman Old Style" w:cs="Arial"/>
        </w:rPr>
        <w:t xml:space="preserve"> </w:t>
      </w:r>
      <w:r w:rsidR="00E675E9">
        <w:rPr>
          <w:rFonts w:ascii="Bookman Old Style" w:hAnsi="Bookman Old Style" w:cs="Arial"/>
        </w:rPr>
        <w:t xml:space="preserve">para </w:t>
      </w:r>
      <w:r>
        <w:rPr>
          <w:rFonts w:ascii="Bookman Old Style" w:hAnsi="Bookman Old Style" w:cs="Arial"/>
        </w:rPr>
        <w:t xml:space="preserve">asignaciones de OEF con vigencia en </w:t>
      </w:r>
      <w:r w:rsidR="00E675E9">
        <w:rPr>
          <w:rFonts w:ascii="Bookman Old Style" w:hAnsi="Bookman Old Style" w:cs="Arial"/>
        </w:rPr>
        <w:t>el p</w:t>
      </w:r>
      <w:r w:rsidR="00321FD1">
        <w:rPr>
          <w:rFonts w:ascii="Bookman Old Style" w:hAnsi="Bookman Old Style" w:cs="Arial"/>
        </w:rPr>
        <w:t>eríodo</w:t>
      </w:r>
      <w:r w:rsidR="00E675E9">
        <w:rPr>
          <w:rFonts w:ascii="Bookman Old Style" w:hAnsi="Bookman Old Style" w:cs="Arial"/>
        </w:rPr>
        <w:t xml:space="preserve"> </w:t>
      </w:r>
      <w:r>
        <w:rPr>
          <w:rFonts w:ascii="Bookman Old Style" w:hAnsi="Bookman Old Style" w:cs="Arial"/>
        </w:rPr>
        <w:t xml:space="preserve">entre el </w:t>
      </w:r>
      <w:r w:rsidR="00E675E9">
        <w:rPr>
          <w:rFonts w:ascii="Bookman Old Style" w:hAnsi="Bookman Old Style" w:cs="Arial"/>
        </w:rPr>
        <w:t>1 de diciembre de 2022 y 30 de noviembre de 20</w:t>
      </w:r>
      <w:r w:rsidR="00606A76">
        <w:rPr>
          <w:rFonts w:ascii="Bookman Old Style" w:hAnsi="Bookman Old Style" w:cs="Arial"/>
        </w:rPr>
        <w:t>23</w:t>
      </w:r>
      <w:r>
        <w:rPr>
          <w:rFonts w:ascii="Bookman Old Style" w:hAnsi="Bookman Old Style" w:cs="Arial"/>
        </w:rPr>
        <w:t>,</w:t>
      </w:r>
      <w:r w:rsidR="006A1329" w:rsidRPr="006A1329">
        <w:rPr>
          <w:rFonts w:ascii="Bookman Old Style" w:hAnsi="Bookman Old Style" w:cs="Arial"/>
        </w:rPr>
        <w:t xml:space="preserve"> </w:t>
      </w:r>
      <w:r w:rsidR="006A1329">
        <w:rPr>
          <w:rFonts w:ascii="Bookman Old Style" w:hAnsi="Bookman Old Style" w:cs="Arial"/>
        </w:rPr>
        <w:t xml:space="preserve">el proyecto </w:t>
      </w:r>
      <w:r>
        <w:rPr>
          <w:rFonts w:ascii="Bookman Old Style" w:hAnsi="Bookman Old Style" w:cs="Arial"/>
        </w:rPr>
        <w:t xml:space="preserve">de generación </w:t>
      </w:r>
      <w:r w:rsidR="006A1329">
        <w:rPr>
          <w:rFonts w:ascii="Bookman Old Style" w:hAnsi="Bookman Old Style" w:cs="Arial"/>
        </w:rPr>
        <w:t>Miel II</w:t>
      </w:r>
      <w:r w:rsidR="00E675E9">
        <w:rPr>
          <w:rFonts w:ascii="Bookman Old Style" w:hAnsi="Bookman Old Style" w:cs="Arial"/>
        </w:rPr>
        <w:t xml:space="preserve"> </w:t>
      </w:r>
      <w:r w:rsidR="006A1329">
        <w:rPr>
          <w:rFonts w:ascii="Bookman Old Style" w:hAnsi="Bookman Old Style" w:cs="Arial"/>
        </w:rPr>
        <w:t xml:space="preserve">representado por </w:t>
      </w:r>
      <w:r w:rsidR="00E675E9">
        <w:rPr>
          <w:rFonts w:ascii="Bookman Old Style" w:hAnsi="Bookman Old Style" w:cs="Arial"/>
        </w:rPr>
        <w:t>la Promotora Energética de Centro S</w:t>
      </w:r>
      <w:r w:rsidR="00606A76">
        <w:rPr>
          <w:rFonts w:ascii="Bookman Old Style" w:hAnsi="Bookman Old Style" w:cs="Arial"/>
        </w:rPr>
        <w:t>.</w:t>
      </w:r>
      <w:r w:rsidR="00E675E9">
        <w:rPr>
          <w:rFonts w:ascii="Bookman Old Style" w:hAnsi="Bookman Old Style" w:cs="Arial"/>
        </w:rPr>
        <w:t>A</w:t>
      </w:r>
      <w:r w:rsidR="00606A76">
        <w:rPr>
          <w:rFonts w:ascii="Bookman Old Style" w:hAnsi="Bookman Old Style" w:cs="Arial"/>
        </w:rPr>
        <w:t>.</w:t>
      </w:r>
      <w:r w:rsidR="00E675E9">
        <w:rPr>
          <w:rFonts w:ascii="Bookman Old Style" w:hAnsi="Bookman Old Style" w:cs="Arial"/>
        </w:rPr>
        <w:t>S</w:t>
      </w:r>
      <w:r w:rsidR="00606A76">
        <w:rPr>
          <w:rFonts w:ascii="Bookman Old Style" w:hAnsi="Bookman Old Style" w:cs="Arial"/>
        </w:rPr>
        <w:t>.</w:t>
      </w:r>
      <w:r w:rsidR="00E675E9">
        <w:rPr>
          <w:rFonts w:ascii="Bookman Old Style" w:hAnsi="Bookman Old Style" w:cs="Arial"/>
        </w:rPr>
        <w:t xml:space="preserve"> E</w:t>
      </w:r>
      <w:r w:rsidR="00606A76">
        <w:rPr>
          <w:rFonts w:ascii="Bookman Old Style" w:hAnsi="Bookman Old Style" w:cs="Arial"/>
        </w:rPr>
        <w:t>.</w:t>
      </w:r>
      <w:r w:rsidR="00E675E9">
        <w:rPr>
          <w:rFonts w:ascii="Bookman Old Style" w:hAnsi="Bookman Old Style" w:cs="Arial"/>
        </w:rPr>
        <w:t>S</w:t>
      </w:r>
      <w:r w:rsidR="00606A76">
        <w:rPr>
          <w:rFonts w:ascii="Bookman Old Style" w:hAnsi="Bookman Old Style" w:cs="Arial"/>
        </w:rPr>
        <w:t>.</w:t>
      </w:r>
      <w:r w:rsidR="00E675E9">
        <w:rPr>
          <w:rFonts w:ascii="Bookman Old Style" w:hAnsi="Bookman Old Style" w:cs="Arial"/>
        </w:rPr>
        <w:t>P</w:t>
      </w:r>
      <w:r w:rsidR="00606A76">
        <w:rPr>
          <w:rFonts w:ascii="Bookman Old Style" w:hAnsi="Bookman Old Style" w:cs="Arial"/>
        </w:rPr>
        <w:t>.</w:t>
      </w:r>
      <w:r w:rsidR="006A1329">
        <w:rPr>
          <w:rFonts w:ascii="Bookman Old Style" w:hAnsi="Bookman Old Style" w:cs="Arial"/>
        </w:rPr>
        <w:t>,</w:t>
      </w:r>
      <w:r w:rsidR="00E675E9">
        <w:rPr>
          <w:rFonts w:ascii="Bookman Old Style" w:hAnsi="Bookman Old Style" w:cs="Arial"/>
        </w:rPr>
        <w:t xml:space="preserve"> </w:t>
      </w:r>
      <w:r w:rsidR="006A1329">
        <w:rPr>
          <w:rFonts w:ascii="Bookman Old Style" w:hAnsi="Bookman Old Style" w:cs="Arial"/>
        </w:rPr>
        <w:t xml:space="preserve">recibió asignaciones de </w:t>
      </w:r>
      <w:r w:rsidR="001E28DB">
        <w:rPr>
          <w:rFonts w:ascii="Bookman Old Style" w:hAnsi="Bookman Old Style" w:cs="Arial"/>
        </w:rPr>
        <w:t>Obligaciones de Energía Firme</w:t>
      </w:r>
      <w:r w:rsidR="00606A76">
        <w:rPr>
          <w:rFonts w:ascii="Bookman Old Style" w:hAnsi="Bookman Old Style" w:cs="Arial"/>
        </w:rPr>
        <w:t xml:space="preserve">, </w:t>
      </w:r>
      <w:r w:rsidR="001E28DB">
        <w:rPr>
          <w:rFonts w:ascii="Bookman Old Style" w:hAnsi="Bookman Old Style" w:cs="Arial"/>
        </w:rPr>
        <w:t>OEF</w:t>
      </w:r>
      <w:r w:rsidR="00606A76">
        <w:rPr>
          <w:rFonts w:ascii="Bookman Old Style" w:hAnsi="Bookman Old Style" w:cs="Arial"/>
        </w:rPr>
        <w:t>,</w:t>
      </w:r>
      <w:r w:rsidR="001E28DB">
        <w:rPr>
          <w:rFonts w:ascii="Bookman Old Style" w:hAnsi="Bookman Old Style" w:cs="Arial"/>
        </w:rPr>
        <w:t xml:space="preserve"> equivalentes a la cantidad de</w:t>
      </w:r>
      <w:r w:rsidR="00E675E9">
        <w:rPr>
          <w:rFonts w:ascii="Bookman Old Style" w:hAnsi="Bookman Old Style" w:cs="Arial"/>
        </w:rPr>
        <w:t xml:space="preserve"> </w:t>
      </w:r>
      <w:r w:rsidR="006A1329">
        <w:rPr>
          <w:rFonts w:ascii="Bookman Old Style" w:hAnsi="Bookman Old Style" w:cs="Arial"/>
        </w:rPr>
        <w:t xml:space="preserve">doscientos tres mil ochocientos ochenta y cinco kilovatios hora – día </w:t>
      </w:r>
      <w:r w:rsidR="00E675E9">
        <w:rPr>
          <w:rFonts w:ascii="Bookman Old Style" w:hAnsi="Bookman Old Style" w:cs="Arial"/>
        </w:rPr>
        <w:t xml:space="preserve">(203.885 </w:t>
      </w:r>
      <w:r w:rsidR="00E118F5">
        <w:rPr>
          <w:rFonts w:ascii="Bookman Old Style" w:hAnsi="Bookman Old Style" w:cs="Arial"/>
        </w:rPr>
        <w:t>kWh-día</w:t>
      </w:r>
      <w:r w:rsidR="00E675E9">
        <w:rPr>
          <w:rFonts w:ascii="Bookman Old Style" w:hAnsi="Bookman Old Style" w:cs="Arial"/>
        </w:rPr>
        <w:t>)</w:t>
      </w:r>
      <w:r w:rsidR="00606A76">
        <w:rPr>
          <w:rFonts w:ascii="Bookman Old Style" w:hAnsi="Bookman Old Style" w:cs="Arial"/>
        </w:rPr>
        <w:t>, para el período de 20 años comprendido entre el 1 de diciembre de 2022 y el 30 de noviembre de 2042</w:t>
      </w:r>
      <w:r w:rsidR="00E675E9">
        <w:rPr>
          <w:rFonts w:ascii="Bookman Old Style" w:hAnsi="Bookman Old Style" w:cs="Arial"/>
        </w:rPr>
        <w:t>.</w:t>
      </w:r>
    </w:p>
    <w:p w14:paraId="7C2E176E" w14:textId="77777777" w:rsidR="008E10C2" w:rsidRDefault="008E10C2" w:rsidP="008E10C2">
      <w:pPr>
        <w:ind w:left="0"/>
        <w:rPr>
          <w:rFonts w:ascii="Bookman Old Style" w:hAnsi="Bookman Old Style"/>
        </w:rPr>
      </w:pPr>
    </w:p>
    <w:p w14:paraId="0F45C64F" w14:textId="13B93ACC" w:rsidR="008E10C2" w:rsidRPr="00052B5D" w:rsidRDefault="008E10C2" w:rsidP="008E10C2">
      <w:pPr>
        <w:ind w:left="0"/>
        <w:jc w:val="both"/>
        <w:rPr>
          <w:rFonts w:ascii="Bookman Old Style" w:hAnsi="Bookman Old Style"/>
          <w:bCs/>
          <w:lang w:val="es-CO"/>
        </w:rPr>
      </w:pPr>
      <w:r>
        <w:rPr>
          <w:rFonts w:ascii="Bookman Old Style" w:hAnsi="Bookman Old Style" w:cs="Arial"/>
          <w:bCs/>
        </w:rPr>
        <w:t xml:space="preserve">La </w:t>
      </w:r>
      <w:r w:rsidR="00252214">
        <w:rPr>
          <w:rFonts w:ascii="Bookman Old Style" w:hAnsi="Bookman Old Style" w:cs="Arial"/>
          <w:bCs/>
        </w:rPr>
        <w:t xml:space="preserve">presente </w:t>
      </w:r>
      <w:r>
        <w:rPr>
          <w:rFonts w:ascii="Bookman Old Style" w:hAnsi="Bookman Old Style" w:cs="Arial"/>
          <w:bCs/>
        </w:rPr>
        <w:t xml:space="preserve">actuación administrativa se adelanta </w:t>
      </w:r>
      <w:r w:rsidR="007E4C61">
        <w:rPr>
          <w:rFonts w:ascii="Bookman Old Style" w:hAnsi="Bookman Old Style" w:cs="Arial"/>
          <w:bCs/>
        </w:rPr>
        <w:t xml:space="preserve">con </w:t>
      </w:r>
      <w:r>
        <w:rPr>
          <w:rFonts w:ascii="Bookman Old Style" w:hAnsi="Bookman Old Style" w:cs="Arial"/>
          <w:bCs/>
        </w:rPr>
        <w:t>“</w:t>
      </w:r>
      <w:r w:rsidR="00924826" w:rsidRPr="00924826">
        <w:rPr>
          <w:rFonts w:ascii="Bookman Old Style" w:hAnsi="Bookman Old Style"/>
          <w:bCs/>
          <w:i/>
          <w:lang w:val="es-ES_tradnl"/>
        </w:rPr>
        <w:t xml:space="preserve">el objeto establecer plenamente la existencia del incumplimiento grave e insalvable </w:t>
      </w:r>
      <w:r w:rsidR="00252214">
        <w:rPr>
          <w:rFonts w:ascii="Bookman Old Style" w:hAnsi="Bookman Old Style"/>
          <w:bCs/>
          <w:i/>
          <w:lang w:val="es-ES_tradnl"/>
        </w:rPr>
        <w:t xml:space="preserve">en la puesta en operación </w:t>
      </w:r>
      <w:r w:rsidR="00924826" w:rsidRPr="00924826">
        <w:rPr>
          <w:rFonts w:ascii="Bookman Old Style" w:hAnsi="Bookman Old Style"/>
          <w:bCs/>
          <w:i/>
          <w:lang w:val="es-ES_tradnl"/>
        </w:rPr>
        <w:t>del proyecto Central Hi</w:t>
      </w:r>
      <w:r w:rsidR="00252214">
        <w:rPr>
          <w:rFonts w:ascii="Bookman Old Style" w:hAnsi="Bookman Old Style"/>
          <w:bCs/>
          <w:i/>
          <w:lang w:val="es-ES_tradnl"/>
        </w:rPr>
        <w:t>d</w:t>
      </w:r>
      <w:r w:rsidR="00924826" w:rsidRPr="00924826">
        <w:rPr>
          <w:rFonts w:ascii="Bookman Old Style" w:hAnsi="Bookman Old Style"/>
          <w:bCs/>
          <w:i/>
          <w:lang w:val="es-ES_tradnl"/>
        </w:rPr>
        <w:t>roeléctrica Miel II, el cual está siendo adelantado por Promot</w:t>
      </w:r>
      <w:r w:rsidR="00E118F5">
        <w:rPr>
          <w:rFonts w:ascii="Bookman Old Style" w:hAnsi="Bookman Old Style"/>
          <w:bCs/>
          <w:i/>
          <w:lang w:val="es-ES_tradnl"/>
        </w:rPr>
        <w:t>o</w:t>
      </w:r>
      <w:r w:rsidR="00924826" w:rsidRPr="00924826">
        <w:rPr>
          <w:rFonts w:ascii="Bookman Old Style" w:hAnsi="Bookman Old Style"/>
          <w:bCs/>
          <w:i/>
          <w:lang w:val="es-ES_tradnl"/>
        </w:rPr>
        <w:t>ra Energética del Centro SAS ESP y determinar las consecuencias respecto de las obligaciones de energía firme (OEF) asignadas con inicio de vigencia 1 de diciembre de 2022 al 30 de noviembre de 2042</w:t>
      </w:r>
      <w:r w:rsidRPr="00FE4F73">
        <w:rPr>
          <w:rFonts w:ascii="Bookman Old Style" w:hAnsi="Bookman Old Style"/>
          <w:bCs/>
          <w:i/>
          <w:lang w:val="es-CO"/>
        </w:rPr>
        <w:t>.</w:t>
      </w:r>
      <w:r>
        <w:rPr>
          <w:rFonts w:ascii="Bookman Old Style" w:hAnsi="Bookman Old Style"/>
          <w:bCs/>
          <w:i/>
          <w:lang w:val="es-CO"/>
        </w:rPr>
        <w:t>”</w:t>
      </w:r>
    </w:p>
    <w:p w14:paraId="4F664B5F" w14:textId="531DC48A" w:rsidR="008E10C2" w:rsidRDefault="008E10C2" w:rsidP="008E10C2">
      <w:pPr>
        <w:ind w:left="0"/>
        <w:jc w:val="both"/>
        <w:rPr>
          <w:rFonts w:ascii="Bookman Old Style" w:hAnsi="Bookman Old Style"/>
        </w:rPr>
      </w:pPr>
    </w:p>
    <w:p w14:paraId="2266580D" w14:textId="77777777" w:rsidR="008E10C2" w:rsidRPr="00496B75" w:rsidRDefault="008E10C2" w:rsidP="008E10C2">
      <w:pPr>
        <w:ind w:left="0"/>
        <w:rPr>
          <w:rFonts w:ascii="Bookman Old Style" w:hAnsi="Bookman Old Style"/>
        </w:rPr>
      </w:pPr>
    </w:p>
    <w:p w14:paraId="21F8296C" w14:textId="7F652192" w:rsidR="002F24FB" w:rsidRPr="009F22A4" w:rsidRDefault="008E10C2" w:rsidP="009F22A4">
      <w:pPr>
        <w:pStyle w:val="Prrafodelista"/>
        <w:numPr>
          <w:ilvl w:val="0"/>
          <w:numId w:val="29"/>
        </w:numPr>
        <w:jc w:val="both"/>
        <w:rPr>
          <w:rFonts w:ascii="Bookman Old Style" w:hAnsi="Bookman Old Style"/>
          <w:b/>
          <w:sz w:val="24"/>
          <w:szCs w:val="24"/>
        </w:rPr>
      </w:pPr>
      <w:r w:rsidRPr="009F22A4">
        <w:rPr>
          <w:rFonts w:ascii="Bookman Old Style" w:hAnsi="Bookman Old Style"/>
          <w:b/>
          <w:sz w:val="24"/>
          <w:szCs w:val="24"/>
        </w:rPr>
        <w:t xml:space="preserve">Alcance de las asignaciones de Obligaciones de Energía Firme obtenidas por el proyecto </w:t>
      </w:r>
      <w:r w:rsidR="002F24FB" w:rsidRPr="009F22A4">
        <w:rPr>
          <w:rFonts w:ascii="Bookman Old Style" w:hAnsi="Bookman Old Style"/>
          <w:b/>
          <w:sz w:val="24"/>
          <w:szCs w:val="24"/>
        </w:rPr>
        <w:t>Miel II</w:t>
      </w:r>
      <w:r w:rsidRPr="009F22A4">
        <w:rPr>
          <w:rFonts w:ascii="Bookman Old Style" w:hAnsi="Bookman Old Style"/>
          <w:b/>
          <w:sz w:val="24"/>
          <w:szCs w:val="24"/>
        </w:rPr>
        <w:t xml:space="preserve"> en la subasta </w:t>
      </w:r>
      <w:r w:rsidR="002F24FB" w:rsidRPr="009F22A4">
        <w:rPr>
          <w:rFonts w:ascii="Bookman Old Style" w:hAnsi="Bookman Old Style"/>
          <w:b/>
          <w:sz w:val="24"/>
          <w:szCs w:val="24"/>
        </w:rPr>
        <w:t>2019</w:t>
      </w:r>
    </w:p>
    <w:p w14:paraId="6496C547" w14:textId="77777777" w:rsidR="009F22A4" w:rsidRPr="009F22A4" w:rsidRDefault="009F22A4" w:rsidP="009F22A4">
      <w:pPr>
        <w:pStyle w:val="Prrafodelista"/>
        <w:ind w:left="360"/>
        <w:jc w:val="both"/>
        <w:rPr>
          <w:rFonts w:ascii="Bookman Old Style" w:hAnsi="Bookman Old Style" w:cs="Arial"/>
        </w:rPr>
      </w:pPr>
    </w:p>
    <w:p w14:paraId="6AAF81F3" w14:textId="5FB671F8" w:rsidR="008E10C2" w:rsidRDefault="008E10C2" w:rsidP="008E10C2">
      <w:pPr>
        <w:ind w:left="0"/>
        <w:jc w:val="both"/>
        <w:rPr>
          <w:rFonts w:ascii="Bookman Old Style" w:hAnsi="Bookman Old Style" w:cs="Arial"/>
        </w:rPr>
      </w:pPr>
      <w:r>
        <w:rPr>
          <w:rFonts w:ascii="Bookman Old Style" w:hAnsi="Bookman Old Style" w:cs="Arial"/>
        </w:rPr>
        <w:t>Para analizar el tema</w:t>
      </w:r>
      <w:r w:rsidR="00606A76">
        <w:rPr>
          <w:rFonts w:ascii="Bookman Old Style" w:hAnsi="Bookman Old Style" w:cs="Arial"/>
        </w:rPr>
        <w:t>,</w:t>
      </w:r>
      <w:r>
        <w:rPr>
          <w:rFonts w:ascii="Bookman Old Style" w:hAnsi="Bookman Old Style" w:cs="Arial"/>
        </w:rPr>
        <w:t xml:space="preserve"> es necesario partir de </w:t>
      </w:r>
      <w:r w:rsidRPr="001266BC">
        <w:rPr>
          <w:rFonts w:ascii="Bookman Old Style" w:hAnsi="Bookman Old Style" w:cs="Arial"/>
        </w:rPr>
        <w:t xml:space="preserve">las disposiciones regulatorias </w:t>
      </w:r>
      <w:r>
        <w:rPr>
          <w:rFonts w:ascii="Bookman Old Style" w:hAnsi="Bookman Old Style" w:cs="Arial"/>
        </w:rPr>
        <w:t xml:space="preserve">pertinentes contenidas en </w:t>
      </w:r>
      <w:r w:rsidRPr="001266BC">
        <w:rPr>
          <w:rFonts w:ascii="Bookman Old Style" w:hAnsi="Bookman Old Style" w:cs="Arial"/>
        </w:rPr>
        <w:t>la</w:t>
      </w:r>
      <w:r>
        <w:rPr>
          <w:rFonts w:ascii="Bookman Old Style" w:hAnsi="Bookman Old Style" w:cs="Arial"/>
        </w:rPr>
        <w:t>s</w:t>
      </w:r>
      <w:r w:rsidRPr="001266BC">
        <w:rPr>
          <w:rFonts w:ascii="Bookman Old Style" w:hAnsi="Bookman Old Style" w:cs="Arial"/>
        </w:rPr>
        <w:t xml:space="preserve"> </w:t>
      </w:r>
      <w:r>
        <w:rPr>
          <w:rFonts w:ascii="Bookman Old Style" w:hAnsi="Bookman Old Style" w:cs="Arial"/>
        </w:rPr>
        <w:t>resoluciones</w:t>
      </w:r>
      <w:r w:rsidRPr="001266BC">
        <w:rPr>
          <w:rFonts w:ascii="Bookman Old Style" w:hAnsi="Bookman Old Style" w:cs="Arial"/>
        </w:rPr>
        <w:t xml:space="preserve"> CREG 071 de 2006</w:t>
      </w:r>
      <w:r>
        <w:rPr>
          <w:rFonts w:ascii="Bookman Old Style" w:hAnsi="Bookman Old Style" w:cs="Arial"/>
        </w:rPr>
        <w:t xml:space="preserve"> y 061 de 2007.</w:t>
      </w:r>
    </w:p>
    <w:p w14:paraId="6A1946CE" w14:textId="77777777" w:rsidR="008E10C2" w:rsidRDefault="008E10C2" w:rsidP="008E10C2">
      <w:pPr>
        <w:ind w:left="0"/>
        <w:jc w:val="both"/>
        <w:rPr>
          <w:rFonts w:ascii="Bookman Old Style" w:hAnsi="Bookman Old Style" w:cs="Arial"/>
        </w:rPr>
      </w:pPr>
    </w:p>
    <w:p w14:paraId="66BE2C84" w14:textId="77777777" w:rsidR="008E10C2" w:rsidRPr="001266BC" w:rsidRDefault="008E10C2" w:rsidP="008E10C2">
      <w:pPr>
        <w:ind w:left="0"/>
        <w:jc w:val="both"/>
        <w:rPr>
          <w:rFonts w:ascii="Bookman Old Style" w:hAnsi="Bookman Old Style" w:cs="Arial"/>
        </w:rPr>
      </w:pPr>
      <w:r>
        <w:rPr>
          <w:rFonts w:ascii="Bookman Old Style" w:hAnsi="Bookman Old Style" w:cs="Arial"/>
        </w:rPr>
        <w:t xml:space="preserve">El artículo 2 de la Resolución CREG 071 de 2006 define los siguientes conceptos: </w:t>
      </w:r>
    </w:p>
    <w:p w14:paraId="28BEC26F" w14:textId="77777777" w:rsidR="008E10C2" w:rsidRDefault="008E10C2" w:rsidP="008E10C2">
      <w:pPr>
        <w:ind w:left="708"/>
        <w:jc w:val="both"/>
        <w:rPr>
          <w:rFonts w:ascii="Bookman Old Style" w:hAnsi="Bookman Old Style" w:cs="Arial"/>
          <w:i/>
        </w:rPr>
      </w:pPr>
    </w:p>
    <w:p w14:paraId="3935E72E" w14:textId="77777777" w:rsidR="008E10C2" w:rsidRPr="001266BC" w:rsidRDefault="008E10C2" w:rsidP="00606A76">
      <w:pPr>
        <w:ind w:left="284"/>
        <w:jc w:val="both"/>
        <w:rPr>
          <w:rFonts w:ascii="Bookman Old Style" w:hAnsi="Bookman Old Style" w:cs="Arial"/>
          <w:i/>
        </w:rPr>
      </w:pPr>
      <w:r w:rsidRPr="001266BC">
        <w:rPr>
          <w:rFonts w:ascii="Bookman Old Style" w:hAnsi="Bookman Old Style" w:cs="Arial"/>
          <w:i/>
        </w:rPr>
        <w:t>“</w:t>
      </w:r>
      <w:r w:rsidRPr="001266BC">
        <w:rPr>
          <w:rFonts w:ascii="Bookman Old Style" w:hAnsi="Bookman Old Style" w:cs="Arial"/>
          <w:b/>
          <w:i/>
        </w:rPr>
        <w:t>Cargo por Confiabilidad:</w:t>
      </w:r>
      <w:r w:rsidRPr="001266BC">
        <w:rPr>
          <w:rFonts w:ascii="Bookman Old Style" w:hAnsi="Bookman Old Style" w:cs="Arial"/>
          <w:i/>
        </w:rPr>
        <w:t xml:space="preserve"> Remuneración que se paga a un agente generador por la disponibilidad de </w:t>
      </w:r>
      <w:r w:rsidRPr="001266BC">
        <w:rPr>
          <w:rFonts w:ascii="Bookman Old Style" w:hAnsi="Bookman Old Style" w:cs="Arial"/>
          <w:i/>
          <w:u w:val="single"/>
        </w:rPr>
        <w:t>activos de generación con las características y parámetros declarados para el cálculo de la ENFICC</w:t>
      </w:r>
      <w:r w:rsidRPr="001266BC">
        <w:rPr>
          <w:rFonts w:ascii="Bookman Old Style" w:hAnsi="Bookman Old Style" w:cs="Arial"/>
          <w:i/>
        </w:rPr>
        <w:t xml:space="preserve">, que garantiza el cumplimiento de la Obligación de Energía Firme que le fue asignada en una Subasta para la Asignación de Obligaciones de Energía Firme o en el mecanismo que haga sus veces. Esta energía </w:t>
      </w:r>
      <w:r w:rsidRPr="001266BC">
        <w:rPr>
          <w:rFonts w:ascii="Bookman Old Style" w:hAnsi="Bookman Old Style" w:cs="Arial"/>
          <w:i/>
          <w:u w:val="single"/>
        </w:rPr>
        <w:t>está asociada a la Capacidad de Generación de Respaldo</w:t>
      </w:r>
      <w:r w:rsidRPr="001266BC">
        <w:rPr>
          <w:rFonts w:ascii="Bookman Old Style" w:hAnsi="Bookman Old Style" w:cs="Arial"/>
          <w:i/>
        </w:rPr>
        <w:t xml:space="preserve"> de que trata el artículo 23 de la Ley 143 de 1994 y es la que puede comprometerse para garantizar a los usuarios la confiabilidad en la prestación del servicio de energía eléctrica bajo condiciones críticas.</w:t>
      </w:r>
      <w:r>
        <w:rPr>
          <w:rFonts w:ascii="Bookman Old Style" w:hAnsi="Bookman Old Style" w:cs="Arial"/>
          <w:i/>
        </w:rPr>
        <w:t>”</w:t>
      </w:r>
    </w:p>
    <w:p w14:paraId="63F294CB" w14:textId="77777777" w:rsidR="008E10C2" w:rsidRDefault="008E10C2" w:rsidP="00606A76">
      <w:pPr>
        <w:ind w:left="284"/>
        <w:jc w:val="both"/>
        <w:rPr>
          <w:rFonts w:ascii="Bookman Old Style" w:hAnsi="Bookman Old Style" w:cs="Arial"/>
          <w:b/>
          <w:i/>
        </w:rPr>
      </w:pPr>
    </w:p>
    <w:p w14:paraId="6C431BB7" w14:textId="77777777" w:rsidR="008E10C2" w:rsidRPr="001266BC" w:rsidRDefault="008E10C2" w:rsidP="00606A76">
      <w:pPr>
        <w:ind w:left="284"/>
        <w:jc w:val="both"/>
        <w:rPr>
          <w:rFonts w:ascii="Bookman Old Style" w:hAnsi="Bookman Old Style" w:cs="Arial"/>
          <w:i/>
        </w:rPr>
      </w:pPr>
      <w:r>
        <w:rPr>
          <w:rFonts w:ascii="Bookman Old Style" w:hAnsi="Bookman Old Style" w:cs="Arial"/>
          <w:b/>
          <w:i/>
        </w:rPr>
        <w:t>“</w:t>
      </w:r>
      <w:r w:rsidRPr="001266BC">
        <w:rPr>
          <w:rFonts w:ascii="Bookman Old Style" w:hAnsi="Bookman Old Style" w:cs="Arial"/>
          <w:b/>
          <w:i/>
        </w:rPr>
        <w:t>Obligación de Energía Firme:</w:t>
      </w:r>
      <w:r w:rsidRPr="001266BC">
        <w:rPr>
          <w:rFonts w:ascii="Bookman Old Style" w:hAnsi="Bookman Old Style" w:cs="Arial"/>
          <w:i/>
        </w:rPr>
        <w:t xml:space="preserve"> </w:t>
      </w:r>
      <w:r w:rsidRPr="001266BC">
        <w:rPr>
          <w:rFonts w:ascii="Bookman Old Style" w:hAnsi="Bookman Old Style" w:cs="Arial"/>
          <w:i/>
          <w:u w:val="single"/>
        </w:rPr>
        <w:t>Vínculo resultante de la Subasta</w:t>
      </w:r>
      <w:r w:rsidRPr="001266BC">
        <w:rPr>
          <w:rFonts w:ascii="Bookman Old Style" w:hAnsi="Bookman Old Style" w:cs="Arial"/>
          <w:i/>
        </w:rPr>
        <w:t xml:space="preserve"> o del mecanismo que haga sus veces, que impone a un </w:t>
      </w:r>
      <w:r w:rsidRPr="001266BC">
        <w:rPr>
          <w:rFonts w:ascii="Bookman Old Style" w:hAnsi="Bookman Old Style" w:cs="Arial"/>
          <w:i/>
          <w:u w:val="single"/>
        </w:rPr>
        <w:t>generador el deber de generar</w:t>
      </w:r>
      <w:r w:rsidRPr="001266BC">
        <w:rPr>
          <w:rFonts w:ascii="Bookman Old Style" w:hAnsi="Bookman Old Style" w:cs="Arial"/>
          <w:i/>
        </w:rPr>
        <w:t>, de acuerdo con el Despacho Ideal, una cantidad diaria de energía durante el Período de Vigencia de la Obligación, cuando el Precio de Bolsa supere el Precio de Escasez. Esta cantidad de energía corresponde a la programación de generación horaria resultante del Despacho Ideal hasta una cantidad igual a la asignación hecha en la Subasta, considerando solamente la Demanda Doméstica, calculada de acuerdo con lo definido en esta resolución.</w:t>
      </w:r>
      <w:r>
        <w:rPr>
          <w:rFonts w:ascii="Bookman Old Style" w:hAnsi="Bookman Old Style" w:cs="Arial"/>
          <w:i/>
        </w:rPr>
        <w:t>”</w:t>
      </w:r>
      <w:r w:rsidRPr="001266BC">
        <w:rPr>
          <w:rFonts w:ascii="Bookman Old Style" w:hAnsi="Bookman Old Style" w:cs="Arial"/>
          <w:i/>
        </w:rPr>
        <w:t xml:space="preserve"> </w:t>
      </w:r>
    </w:p>
    <w:p w14:paraId="658B31DD" w14:textId="77777777" w:rsidR="008E10C2" w:rsidRDefault="008E10C2" w:rsidP="00606A76">
      <w:pPr>
        <w:ind w:left="284"/>
        <w:jc w:val="both"/>
        <w:rPr>
          <w:rFonts w:ascii="Bookman Old Style" w:hAnsi="Bookman Old Style" w:cs="Arial"/>
          <w:b/>
          <w:i/>
        </w:rPr>
      </w:pPr>
    </w:p>
    <w:p w14:paraId="2804EB31" w14:textId="77777777" w:rsidR="008E10C2" w:rsidRDefault="008E10C2" w:rsidP="00606A76">
      <w:pPr>
        <w:ind w:left="284"/>
        <w:jc w:val="both"/>
        <w:rPr>
          <w:rFonts w:ascii="Bookman Old Style" w:hAnsi="Bookman Old Style" w:cs="Arial"/>
          <w:i/>
          <w:u w:val="single"/>
        </w:rPr>
      </w:pPr>
      <w:r>
        <w:rPr>
          <w:rFonts w:ascii="Bookman Old Style" w:hAnsi="Bookman Old Style" w:cs="Arial"/>
          <w:b/>
          <w:i/>
        </w:rPr>
        <w:t>“</w:t>
      </w:r>
      <w:r w:rsidRPr="001266BC">
        <w:rPr>
          <w:rFonts w:ascii="Bookman Old Style" w:hAnsi="Bookman Old Style" w:cs="Arial"/>
          <w:b/>
          <w:i/>
        </w:rPr>
        <w:t>Período de Vigencia de la Obligación:</w:t>
      </w:r>
      <w:r w:rsidRPr="001266BC">
        <w:rPr>
          <w:rFonts w:ascii="Bookman Old Style" w:hAnsi="Bookman Old Style" w:cs="Arial"/>
          <w:i/>
        </w:rPr>
        <w:t xml:space="preserve"> </w:t>
      </w:r>
      <w:r w:rsidRPr="001266BC">
        <w:rPr>
          <w:rFonts w:ascii="Bookman Old Style" w:hAnsi="Bookman Old Style" w:cs="Arial"/>
          <w:i/>
          <w:u w:val="single"/>
        </w:rPr>
        <w:t>Período</w:t>
      </w:r>
      <w:r w:rsidRPr="001266BC">
        <w:rPr>
          <w:rFonts w:ascii="Bookman Old Style" w:hAnsi="Bookman Old Style" w:cs="Arial"/>
          <w:i/>
        </w:rPr>
        <w:t xml:space="preserve"> de tiempo durante el cual un agente generador queda </w:t>
      </w:r>
      <w:r w:rsidRPr="001266BC">
        <w:rPr>
          <w:rFonts w:ascii="Bookman Old Style" w:hAnsi="Bookman Old Style" w:cs="Arial"/>
          <w:i/>
          <w:u w:val="single"/>
        </w:rPr>
        <w:t>vinculado al cumplimiento de su Obligación de Energía Firme.</w:t>
      </w:r>
      <w:r>
        <w:rPr>
          <w:rFonts w:ascii="Bookman Old Style" w:hAnsi="Bookman Old Style" w:cs="Arial"/>
          <w:i/>
          <w:u w:val="single"/>
        </w:rPr>
        <w:t>”</w:t>
      </w:r>
    </w:p>
    <w:p w14:paraId="5FBF6C99" w14:textId="77777777" w:rsidR="008E10C2" w:rsidRPr="001266BC" w:rsidRDefault="008E10C2" w:rsidP="00606A76">
      <w:pPr>
        <w:ind w:left="284"/>
        <w:jc w:val="both"/>
        <w:rPr>
          <w:rFonts w:ascii="Bookman Old Style" w:hAnsi="Bookman Old Style" w:cs="Arial"/>
          <w:i/>
          <w:u w:val="single"/>
        </w:rPr>
      </w:pPr>
    </w:p>
    <w:p w14:paraId="4DB61375" w14:textId="77777777" w:rsidR="008E10C2" w:rsidRDefault="008E10C2" w:rsidP="00606A76">
      <w:pPr>
        <w:ind w:left="284"/>
        <w:jc w:val="both"/>
        <w:rPr>
          <w:rFonts w:ascii="Bookman Old Style" w:hAnsi="Bookman Old Style" w:cs="Arial"/>
          <w:i/>
        </w:rPr>
      </w:pPr>
      <w:r>
        <w:rPr>
          <w:rFonts w:ascii="Bookman Old Style" w:hAnsi="Bookman Old Style" w:cs="Arial"/>
          <w:b/>
          <w:i/>
        </w:rPr>
        <w:t>“</w:t>
      </w:r>
      <w:r w:rsidRPr="001266BC">
        <w:rPr>
          <w:rFonts w:ascii="Bookman Old Style" w:hAnsi="Bookman Old Style" w:cs="Arial"/>
          <w:b/>
          <w:i/>
        </w:rPr>
        <w:t>Planta y/o Unidad de Generación que respalda una Obligación de Energía Firme</w:t>
      </w:r>
      <w:r w:rsidRPr="001266BC">
        <w:rPr>
          <w:rFonts w:ascii="Bookman Old Style" w:hAnsi="Bookman Old Style" w:cs="Arial"/>
          <w:i/>
        </w:rPr>
        <w:t xml:space="preserve">. Es la planta y/o Unidad de generación cuya </w:t>
      </w:r>
      <w:r w:rsidRPr="001266BC">
        <w:rPr>
          <w:rFonts w:ascii="Bookman Old Style" w:hAnsi="Bookman Old Style" w:cs="Arial"/>
          <w:i/>
          <w:u w:val="single"/>
        </w:rPr>
        <w:t>ENFICC fue declarada</w:t>
      </w:r>
      <w:r w:rsidRPr="001266BC">
        <w:rPr>
          <w:rFonts w:ascii="Bookman Old Style" w:hAnsi="Bookman Old Style" w:cs="Arial"/>
          <w:i/>
        </w:rPr>
        <w:t xml:space="preserve"> por el propietario o por quien la representa comercialmente y </w:t>
      </w:r>
      <w:r w:rsidRPr="001266BC">
        <w:rPr>
          <w:rFonts w:ascii="Bookman Old Style" w:hAnsi="Bookman Old Style" w:cs="Arial"/>
          <w:i/>
          <w:u w:val="single"/>
        </w:rPr>
        <w:t>dio lugar a la asignación de la Obligación de Energía Firme</w:t>
      </w:r>
      <w:r w:rsidRPr="001266BC">
        <w:rPr>
          <w:rFonts w:ascii="Bookman Old Style" w:hAnsi="Bookman Old Style" w:cs="Arial"/>
          <w:i/>
        </w:rPr>
        <w:t xml:space="preserve"> en la Subasta o en el mecanismo que haga sus veces.”</w:t>
      </w:r>
      <w:r w:rsidR="00237E17">
        <w:rPr>
          <w:rFonts w:ascii="Bookman Old Style" w:hAnsi="Bookman Old Style" w:cs="Arial"/>
          <w:i/>
        </w:rPr>
        <w:t xml:space="preserve"> </w:t>
      </w:r>
      <w:r w:rsidR="00237E17" w:rsidRPr="00712333">
        <w:rPr>
          <w:rFonts w:ascii="Bookman Old Style" w:hAnsi="Bookman Old Style" w:cs="Arial"/>
        </w:rPr>
        <w:t>(Subrayado fuera del texto)</w:t>
      </w:r>
    </w:p>
    <w:p w14:paraId="5D153C3B" w14:textId="77777777" w:rsidR="008E10C2" w:rsidRDefault="008E10C2" w:rsidP="008E10C2">
      <w:pPr>
        <w:ind w:left="0"/>
        <w:jc w:val="both"/>
        <w:rPr>
          <w:rFonts w:ascii="Bookman Old Style" w:hAnsi="Bookman Old Style" w:cs="Arial"/>
        </w:rPr>
      </w:pPr>
    </w:p>
    <w:p w14:paraId="12B47D47" w14:textId="77777777" w:rsidR="008E10C2" w:rsidRDefault="008E10C2" w:rsidP="008E10C2">
      <w:pPr>
        <w:ind w:left="0"/>
        <w:jc w:val="both"/>
        <w:rPr>
          <w:rFonts w:ascii="Bookman Old Style" w:hAnsi="Bookman Old Style" w:cs="Arial"/>
        </w:rPr>
      </w:pPr>
      <w:r>
        <w:rPr>
          <w:rFonts w:ascii="Bookman Old Style" w:hAnsi="Bookman Old Style" w:cs="Arial"/>
        </w:rPr>
        <w:t>Posteriormente</w:t>
      </w:r>
      <w:r w:rsidR="00100637">
        <w:rPr>
          <w:rFonts w:ascii="Bookman Old Style" w:hAnsi="Bookman Old Style" w:cs="Arial"/>
        </w:rPr>
        <w:t>,</w:t>
      </w:r>
      <w:r>
        <w:rPr>
          <w:rFonts w:ascii="Bookman Old Style" w:hAnsi="Bookman Old Style" w:cs="Arial"/>
        </w:rPr>
        <w:t xml:space="preserve"> en el desarrollo de la regulación del mecanismo del Cargo por Confiabilidad</w:t>
      </w:r>
      <w:r w:rsidR="00100637">
        <w:rPr>
          <w:rFonts w:ascii="Bookman Old Style" w:hAnsi="Bookman Old Style" w:cs="Arial"/>
        </w:rPr>
        <w:t>,</w:t>
      </w:r>
      <w:r>
        <w:rPr>
          <w:rFonts w:ascii="Bookman Old Style" w:hAnsi="Bookman Old Style" w:cs="Arial"/>
        </w:rPr>
        <w:t xml:space="preserve"> la misma resolución define algunos elementos específicos aplicables a las plantas nuevas que participan en las subastas: </w:t>
      </w:r>
    </w:p>
    <w:p w14:paraId="3136B81A" w14:textId="77777777" w:rsidR="008E10C2" w:rsidRPr="00C34340" w:rsidRDefault="008E10C2" w:rsidP="008E10C2">
      <w:pPr>
        <w:ind w:left="0"/>
        <w:jc w:val="both"/>
        <w:rPr>
          <w:rFonts w:ascii="Bookman Old Style" w:hAnsi="Bookman Old Style" w:cs="Arial"/>
        </w:rPr>
      </w:pPr>
    </w:p>
    <w:p w14:paraId="1B4196D6" w14:textId="77777777" w:rsidR="008E10C2" w:rsidRPr="009B05DD" w:rsidRDefault="008E10C2" w:rsidP="00606A76">
      <w:pPr>
        <w:ind w:left="284"/>
        <w:jc w:val="both"/>
        <w:rPr>
          <w:rFonts w:ascii="Bookman Old Style" w:hAnsi="Bookman Old Style" w:cs="Arial"/>
          <w:i/>
        </w:rPr>
      </w:pPr>
      <w:r w:rsidRPr="001266BC">
        <w:rPr>
          <w:rFonts w:ascii="Bookman Old Style" w:hAnsi="Bookman Old Style" w:cs="Arial"/>
          <w:b/>
          <w:i/>
        </w:rPr>
        <w:t>“</w:t>
      </w:r>
      <w:r w:rsidRPr="001E4AC3">
        <w:rPr>
          <w:rFonts w:ascii="Bookman Old Style" w:hAnsi="Bookman Old Style" w:cs="Arial"/>
          <w:b/>
          <w:i/>
        </w:rPr>
        <w:t>Artículo 7.</w:t>
      </w:r>
      <w:r w:rsidRPr="001E4AC3">
        <w:rPr>
          <w:rFonts w:ascii="Bookman Old Style" w:hAnsi="Bookman Old Style" w:cs="Arial"/>
          <w:b/>
          <w:i/>
        </w:rPr>
        <w:tab/>
        <w:t xml:space="preserve">Obligaciones adicionales para los agentes con plantas y/o unidades de generación nuevas o especiales. </w:t>
      </w:r>
      <w:r w:rsidRPr="009B05DD">
        <w:rPr>
          <w:rFonts w:ascii="Bookman Old Style" w:hAnsi="Bookman Old Style" w:cs="Arial"/>
          <w:i/>
        </w:rPr>
        <w:t>Además de las establecidas en otros artículos de esta resolución, los agentes con plantas y/o unidades de generación nuevas o especiales a quienes les hayan sido asignadas obligaciones de energía firme, tendrán las siguientes obligaciones:</w:t>
      </w:r>
    </w:p>
    <w:p w14:paraId="3E445DF8" w14:textId="77777777" w:rsidR="008E10C2" w:rsidRPr="009B05DD" w:rsidRDefault="008E10C2" w:rsidP="00606A76">
      <w:pPr>
        <w:ind w:left="284"/>
        <w:jc w:val="both"/>
        <w:rPr>
          <w:rFonts w:ascii="Bookman Old Style" w:hAnsi="Bookman Old Style" w:cs="Arial"/>
          <w:i/>
        </w:rPr>
      </w:pPr>
      <w:r w:rsidRPr="009B05DD">
        <w:rPr>
          <w:rFonts w:ascii="Bookman Old Style" w:hAnsi="Bookman Old Style" w:cs="Arial"/>
          <w:i/>
        </w:rPr>
        <w:t>1.</w:t>
      </w:r>
      <w:r w:rsidRPr="009B05DD">
        <w:rPr>
          <w:rFonts w:ascii="Bookman Old Style" w:hAnsi="Bookman Old Style" w:cs="Arial"/>
          <w:i/>
        </w:rPr>
        <w:tab/>
        <w:t>Poner en operación comercial la planta y/o unidad de generación a más tardar en la fecha de inicio del Período de Vigencia de la Obligación y con la ENFICC asignada en la Subasta.</w:t>
      </w:r>
    </w:p>
    <w:p w14:paraId="5FD5BED8" w14:textId="77777777" w:rsidR="008E10C2" w:rsidRPr="009B05DD" w:rsidRDefault="008E10C2" w:rsidP="00606A76">
      <w:pPr>
        <w:ind w:left="284"/>
        <w:jc w:val="both"/>
        <w:rPr>
          <w:rFonts w:ascii="Bookman Old Style" w:hAnsi="Bookman Old Style" w:cs="Arial"/>
          <w:i/>
        </w:rPr>
      </w:pPr>
      <w:r w:rsidRPr="009B05DD">
        <w:rPr>
          <w:rFonts w:ascii="Bookman Old Style" w:hAnsi="Bookman Old Style" w:cs="Arial"/>
          <w:i/>
        </w:rPr>
        <w:t>2.</w:t>
      </w:r>
      <w:r w:rsidRPr="009B05DD">
        <w:rPr>
          <w:rFonts w:ascii="Bookman Old Style" w:hAnsi="Bookman Old Style" w:cs="Arial"/>
          <w:i/>
        </w:rPr>
        <w:tab/>
        <w:t xml:space="preserve">Cumplir el cronograma de construcción o repotenciación de la planta y la Curva S. </w:t>
      </w:r>
    </w:p>
    <w:p w14:paraId="260756D0" w14:textId="3F1C89E4" w:rsidR="008E10C2" w:rsidRPr="009B05DD" w:rsidRDefault="008E10C2" w:rsidP="00606A76">
      <w:pPr>
        <w:ind w:left="284"/>
        <w:jc w:val="both"/>
        <w:rPr>
          <w:rFonts w:ascii="Bookman Old Style" w:hAnsi="Bookman Old Style" w:cs="Arial"/>
          <w:i/>
        </w:rPr>
      </w:pPr>
      <w:r w:rsidRPr="009B05DD">
        <w:rPr>
          <w:rFonts w:ascii="Bookman Old Style" w:hAnsi="Bookman Old Style" w:cs="Arial"/>
          <w:i/>
        </w:rPr>
        <w:t>3.</w:t>
      </w:r>
      <w:r w:rsidRPr="009B05DD">
        <w:rPr>
          <w:rFonts w:ascii="Bookman Old Style" w:hAnsi="Bookman Old Style" w:cs="Arial"/>
          <w:i/>
        </w:rPr>
        <w:tab/>
        <w:t xml:space="preserve">Pagar el costo de la auditoría establecida en el artículo 8 de esta Resolución, periódicamente en forma anticipada. El incumplimiento en el pago de la </w:t>
      </w:r>
      <w:r w:rsidR="00001A29" w:rsidRPr="009B05DD">
        <w:rPr>
          <w:rFonts w:ascii="Bookman Old Style" w:hAnsi="Bookman Old Style" w:cs="Arial"/>
          <w:i/>
        </w:rPr>
        <w:t>auditoría</w:t>
      </w:r>
      <w:r w:rsidRPr="009B05DD">
        <w:rPr>
          <w:rFonts w:ascii="Bookman Old Style" w:hAnsi="Bookman Old Style" w:cs="Arial"/>
          <w:i/>
        </w:rPr>
        <w:t xml:space="preserve"> dará lugar a la ejecución de la garantía a que se refiere el numeral 4 de este artículo y la pérdida para el generador de la Obligación de Energía Firme y la remuneración asociada a ella.</w:t>
      </w:r>
    </w:p>
    <w:p w14:paraId="029A2416" w14:textId="77777777" w:rsidR="008E10C2" w:rsidRPr="009B05DD" w:rsidRDefault="008E10C2" w:rsidP="00606A76">
      <w:pPr>
        <w:ind w:left="284"/>
        <w:jc w:val="both"/>
        <w:rPr>
          <w:rFonts w:ascii="Bookman Old Style" w:hAnsi="Bookman Old Style" w:cs="Arial"/>
          <w:i/>
        </w:rPr>
      </w:pPr>
      <w:r w:rsidRPr="009B05DD">
        <w:rPr>
          <w:rFonts w:ascii="Bookman Old Style" w:hAnsi="Bookman Old Style" w:cs="Arial"/>
          <w:i/>
        </w:rPr>
        <w:t>4.</w:t>
      </w:r>
      <w:r w:rsidRPr="009B05DD">
        <w:rPr>
          <w:rFonts w:ascii="Bookman Old Style" w:hAnsi="Bookman Old Style" w:cs="Arial"/>
          <w:i/>
        </w:rPr>
        <w:tab/>
        <w:t>Constituir y mantener vigente la garantía de cumplimiento de la fecha de inicio de la operación comercial de las plantas o unidades de generación en instalación o por instalar o repotenciar con la ENFICC asignada en la Subasta, y del pago de la auditoría. Estas garantías deben cumplir las disposiciones contenidas en el Capítulo VIII de esta resolución.</w:t>
      </w:r>
    </w:p>
    <w:p w14:paraId="6E670E25" w14:textId="77777777" w:rsidR="008E10C2" w:rsidRDefault="008E10C2" w:rsidP="00606A76">
      <w:pPr>
        <w:ind w:left="284"/>
        <w:jc w:val="both"/>
        <w:rPr>
          <w:rFonts w:ascii="Bookman Old Style" w:hAnsi="Bookman Old Style" w:cs="Arial"/>
          <w:i/>
        </w:rPr>
      </w:pPr>
      <w:r w:rsidRPr="009B05DD">
        <w:rPr>
          <w:rFonts w:ascii="Bookman Old Style" w:hAnsi="Bookman Old Style" w:cs="Arial"/>
          <w:i/>
        </w:rPr>
        <w:t>5.</w:t>
      </w:r>
      <w:r w:rsidRPr="009B05DD">
        <w:rPr>
          <w:rFonts w:ascii="Bookman Old Style" w:hAnsi="Bookman Old Style" w:cs="Arial"/>
          <w:i/>
        </w:rPr>
        <w:tab/>
        <w:t>Haberse constituido en Empresa de Servicios Públicos con anterioridad al plazo fijado por la CREG para el otorgamiento de las garantías exigibles para el cumplimiento de las Obligaciones de Energía Firme.</w:t>
      </w:r>
      <w:r w:rsidRPr="001E4AC3">
        <w:rPr>
          <w:rFonts w:ascii="Bookman Old Style" w:hAnsi="Bookman Old Style" w:cs="Arial"/>
          <w:i/>
        </w:rPr>
        <w:t>”</w:t>
      </w:r>
    </w:p>
    <w:p w14:paraId="02969D74" w14:textId="77777777" w:rsidR="008E10C2" w:rsidRDefault="008E10C2" w:rsidP="00606A76">
      <w:pPr>
        <w:ind w:left="284"/>
        <w:jc w:val="both"/>
        <w:rPr>
          <w:rFonts w:ascii="Bookman Old Style" w:hAnsi="Bookman Old Style" w:cs="Arial"/>
          <w:i/>
        </w:rPr>
      </w:pPr>
    </w:p>
    <w:p w14:paraId="672326DB" w14:textId="77777777" w:rsidR="008E10C2" w:rsidRPr="001E4AC3" w:rsidRDefault="008E10C2" w:rsidP="00606A76">
      <w:pPr>
        <w:ind w:left="284"/>
        <w:jc w:val="both"/>
        <w:rPr>
          <w:rFonts w:ascii="Bookman Old Style" w:hAnsi="Bookman Old Style" w:cs="Arial"/>
          <w:i/>
        </w:rPr>
      </w:pPr>
      <w:r w:rsidRPr="009B05DD">
        <w:rPr>
          <w:rFonts w:ascii="Bookman Old Style" w:hAnsi="Bookman Old Style" w:cs="Arial"/>
          <w:b/>
          <w:i/>
        </w:rPr>
        <w:t>“Artículo 9.</w:t>
      </w:r>
      <w:r w:rsidRPr="009B05DD">
        <w:rPr>
          <w:rFonts w:ascii="Bookman Old Style" w:hAnsi="Bookman Old Style" w:cs="Arial"/>
          <w:b/>
          <w:i/>
        </w:rPr>
        <w:tab/>
        <w:t>Efectos del incumplimiento del cronograma de construcción o de repotenciación, o de la puesta en operación de la planta.</w:t>
      </w:r>
      <w:r w:rsidRPr="001E4AC3">
        <w:rPr>
          <w:rFonts w:ascii="Bookman Old Style" w:hAnsi="Bookman Old Style" w:cs="Arial"/>
          <w:i/>
        </w:rPr>
        <w:t xml:space="preserve"> El incumplimiento de las obligaciones relacionadas con el cronograma de construcción o con la puesta en operación de la planta o unidad de generación producirá los siguientes efectos:</w:t>
      </w:r>
    </w:p>
    <w:p w14:paraId="4A9696D9" w14:textId="77777777" w:rsidR="008E10C2" w:rsidRPr="001E4AC3" w:rsidRDefault="008E10C2" w:rsidP="00606A76">
      <w:pPr>
        <w:ind w:left="284"/>
        <w:jc w:val="both"/>
        <w:rPr>
          <w:rFonts w:ascii="Bookman Old Style" w:hAnsi="Bookman Old Style" w:cs="Arial"/>
          <w:i/>
        </w:rPr>
      </w:pPr>
      <w:r w:rsidRPr="001E4AC3">
        <w:rPr>
          <w:rFonts w:ascii="Bookman Old Style" w:hAnsi="Bookman Old Style" w:cs="Arial"/>
          <w:i/>
        </w:rPr>
        <w:t>1.</w:t>
      </w:r>
      <w:r w:rsidRPr="001E4AC3">
        <w:rPr>
          <w:rFonts w:ascii="Bookman Old Style" w:hAnsi="Bookman Old Style" w:cs="Arial"/>
          <w:i/>
        </w:rPr>
        <w:tab/>
        <w:t xml:space="preserve">La no presentación del cronograma de construcción o de repotenciación de la planta o unidad de generación en el plazo estipulado en el numeral 2.2 del Anexo 2 de esta resolución, o de la curva S del proyecto, dará lugar a la descalificación del agente para participar en la respectiva Subasta. </w:t>
      </w:r>
    </w:p>
    <w:p w14:paraId="0E25D3E8" w14:textId="77777777" w:rsidR="008E10C2" w:rsidRPr="001E4AC3" w:rsidRDefault="008E10C2" w:rsidP="00606A76">
      <w:pPr>
        <w:ind w:left="284"/>
        <w:jc w:val="both"/>
        <w:rPr>
          <w:rFonts w:ascii="Bookman Old Style" w:hAnsi="Bookman Old Style" w:cs="Arial"/>
          <w:i/>
        </w:rPr>
      </w:pPr>
      <w:r w:rsidRPr="001E4AC3">
        <w:rPr>
          <w:rFonts w:ascii="Bookman Old Style" w:hAnsi="Bookman Old Style" w:cs="Arial"/>
          <w:i/>
        </w:rPr>
        <w:t>2.</w:t>
      </w:r>
      <w:r w:rsidRPr="001E4AC3">
        <w:rPr>
          <w:rFonts w:ascii="Bookman Old Style" w:hAnsi="Bookman Old Style" w:cs="Arial"/>
          <w:i/>
        </w:rPr>
        <w:tab/>
        <w:t>El retraso en el cronograma de construcción o repotenciación de la planta o unidad de generación frente a la Curva S que no constituya incumplimiento grave e insalvable, dará lugar al ajuste de la garantía de conformidad con los procedimientos que se definan en el Reglamento de Garantías para el Cargo por Confiabilidad de que trata el Artículo 78 de esta resolución.</w:t>
      </w:r>
    </w:p>
    <w:p w14:paraId="5C3F3349" w14:textId="77777777" w:rsidR="008E10C2" w:rsidRPr="001E4AC3" w:rsidRDefault="008E10C2" w:rsidP="00606A76">
      <w:pPr>
        <w:ind w:left="284"/>
        <w:jc w:val="both"/>
        <w:rPr>
          <w:rFonts w:ascii="Bookman Old Style" w:hAnsi="Bookman Old Style" w:cs="Arial"/>
          <w:i/>
        </w:rPr>
      </w:pPr>
      <w:r w:rsidRPr="001E4AC3">
        <w:rPr>
          <w:rFonts w:ascii="Bookman Old Style" w:hAnsi="Bookman Old Style" w:cs="Arial"/>
          <w:i/>
        </w:rPr>
        <w:t>3.</w:t>
      </w:r>
      <w:r w:rsidRPr="001E4AC3">
        <w:rPr>
          <w:rFonts w:ascii="Bookman Old Style" w:hAnsi="Bookman Old Style" w:cs="Arial"/>
          <w:i/>
        </w:rPr>
        <w:tab/>
        <w:t>El incumplimiento grave e insalvable de la puesta en operación de la planta o unidad de generación, dará lugar a:</w:t>
      </w:r>
    </w:p>
    <w:p w14:paraId="7F9F66B6" w14:textId="77777777" w:rsidR="008E10C2" w:rsidRPr="001E4AC3" w:rsidRDefault="008E10C2" w:rsidP="00606A76">
      <w:pPr>
        <w:ind w:left="284"/>
        <w:jc w:val="both"/>
        <w:rPr>
          <w:rFonts w:ascii="Bookman Old Style" w:hAnsi="Bookman Old Style" w:cs="Arial"/>
          <w:i/>
        </w:rPr>
      </w:pPr>
      <w:r w:rsidRPr="001E4AC3">
        <w:rPr>
          <w:rFonts w:ascii="Bookman Old Style" w:hAnsi="Bookman Old Style" w:cs="Arial"/>
          <w:i/>
        </w:rPr>
        <w:t>a)</w:t>
      </w:r>
      <w:r w:rsidRPr="001E4AC3">
        <w:rPr>
          <w:rFonts w:ascii="Bookman Old Style" w:hAnsi="Bookman Old Style" w:cs="Arial"/>
          <w:i/>
        </w:rPr>
        <w:tab/>
        <w:t xml:space="preserve">La ejecución de la garantía. </w:t>
      </w:r>
    </w:p>
    <w:p w14:paraId="2134433D" w14:textId="77777777" w:rsidR="008E10C2" w:rsidRPr="001E4AC3" w:rsidRDefault="008E10C2" w:rsidP="00606A76">
      <w:pPr>
        <w:ind w:left="284"/>
        <w:jc w:val="both"/>
        <w:rPr>
          <w:rFonts w:ascii="Bookman Old Style" w:hAnsi="Bookman Old Style" w:cs="Arial"/>
          <w:i/>
        </w:rPr>
      </w:pPr>
      <w:r w:rsidRPr="001E4AC3">
        <w:rPr>
          <w:rFonts w:ascii="Bookman Old Style" w:hAnsi="Bookman Old Style" w:cs="Arial"/>
          <w:i/>
        </w:rPr>
        <w:t>b)</w:t>
      </w:r>
      <w:r w:rsidRPr="001E4AC3">
        <w:rPr>
          <w:rFonts w:ascii="Bookman Old Style" w:hAnsi="Bookman Old Style" w:cs="Arial"/>
          <w:i/>
        </w:rPr>
        <w:tab/>
        <w:t>La pérdida para el generador de la asignación de la Obligación de Energía Firme y la remuneración asociada a ella.</w:t>
      </w:r>
    </w:p>
    <w:p w14:paraId="6D043D05" w14:textId="77777777" w:rsidR="008E10C2" w:rsidRPr="001E4AC3" w:rsidRDefault="008E10C2" w:rsidP="00606A76">
      <w:pPr>
        <w:ind w:left="284"/>
        <w:jc w:val="both"/>
        <w:rPr>
          <w:rFonts w:ascii="Bookman Old Style" w:hAnsi="Bookman Old Style" w:cs="Arial"/>
          <w:i/>
        </w:rPr>
      </w:pPr>
      <w:r w:rsidRPr="001E4AC3">
        <w:rPr>
          <w:rFonts w:ascii="Bookman Old Style" w:hAnsi="Bookman Old Style" w:cs="Arial"/>
          <w:i/>
        </w:rPr>
        <w:t>4.</w:t>
      </w:r>
      <w:r w:rsidRPr="001E4AC3">
        <w:rPr>
          <w:rFonts w:ascii="Bookman Old Style" w:hAnsi="Bookman Old Style" w:cs="Arial"/>
          <w:i/>
        </w:rPr>
        <w:tab/>
        <w:t>Modificado por el artículo 2 de la Resolución CREG-153 de 2011. Cuando la fecha de puesta en operación de la planta, determinada por el auditor, sea posterior a la fecha de inicio del Período de Vigencia de la Obligación y no constituya incumplimiento grave e insalvable, el agente deberá garantizar el cumplimiento de su Obligación de Energía Firme a través de un contrato con uno o algunos de los anillos de seguridad, vigente desde la fecha de inicio del Período de Vigencia de la Obligación y hasta la nueva fecha de puesta en operación de la planta. La omisión en la obligación de garantizar la Obligación de Energía Firme a través de un contrato con uno o algunos de los anillos de seguridad dará lugar a que el incumplimiento se considere grave e insalvable con las consecuencias previstas en el numeral 3 de este artículo.</w:t>
      </w:r>
    </w:p>
    <w:p w14:paraId="56A5DC0E" w14:textId="77777777" w:rsidR="008E10C2" w:rsidRPr="001E4AC3" w:rsidRDefault="008E10C2" w:rsidP="00606A76">
      <w:pPr>
        <w:ind w:left="284"/>
        <w:jc w:val="both"/>
        <w:rPr>
          <w:rFonts w:ascii="Bookman Old Style" w:hAnsi="Bookman Old Style" w:cs="Arial"/>
          <w:i/>
        </w:rPr>
      </w:pPr>
    </w:p>
    <w:p w14:paraId="33F7ED03" w14:textId="2296A3A9" w:rsidR="008E10C2" w:rsidRDefault="008E10C2" w:rsidP="00606A76">
      <w:pPr>
        <w:ind w:left="284"/>
        <w:jc w:val="both"/>
        <w:rPr>
          <w:rFonts w:ascii="Bookman Old Style" w:hAnsi="Bookman Old Style" w:cs="Arial"/>
          <w:i/>
        </w:rPr>
      </w:pPr>
      <w:r w:rsidRPr="001E4AC3">
        <w:rPr>
          <w:rFonts w:ascii="Bookman Old Style" w:hAnsi="Bookman Old Style" w:cs="Arial"/>
          <w:i/>
        </w:rPr>
        <w:t>Parágrafo. En el caso del incumplimiento grave e insalvable que se determina cuando el informe del auditor indica que la puesta en operación de la planta o unidad de generación tendrá un atraso mayor a un año, contado a partir de la fecha de inicio del P</w:t>
      </w:r>
      <w:r w:rsidR="00321FD1">
        <w:rPr>
          <w:rFonts w:ascii="Bookman Old Style" w:hAnsi="Bookman Old Style" w:cs="Arial"/>
          <w:i/>
        </w:rPr>
        <w:t>eríodo</w:t>
      </w:r>
      <w:r w:rsidRPr="001E4AC3">
        <w:rPr>
          <w:rFonts w:ascii="Bookman Old Style" w:hAnsi="Bookman Old Style" w:cs="Arial"/>
          <w:i/>
        </w:rPr>
        <w:t xml:space="preserve"> de Vigencia de la Obligación, la CREG, con el propósito de establecer plenamente la existencia del incumplimiento, determinar sus consecuencias y garantizar el derecho de defensa de los afectados, agotará el trámite previsto en los Artículos 106 y ss. de la Ley 142 de 1994 y, en lo no previsto en ellos, aplicará las normas de la parte primera del Código Contencioso Administrativo que sean compatibles. En firme la decisión definitiva sobre la actuación y determinada la existencia del incumplimiento, se comunicará la decisión al ASIC y éste adoptará las medidas correspondientes de acuerdo con la Resolución CREG 071 de 2006 y las nomas que la modifiquen, adicionen o sustituyan.</w:t>
      </w:r>
      <w:r w:rsidRPr="001266BC">
        <w:rPr>
          <w:rFonts w:ascii="Bookman Old Style" w:hAnsi="Bookman Old Style" w:cs="Arial"/>
          <w:i/>
        </w:rPr>
        <w:t>”</w:t>
      </w:r>
    </w:p>
    <w:p w14:paraId="494C6375" w14:textId="77777777" w:rsidR="008E10C2" w:rsidRDefault="008E10C2" w:rsidP="008E10C2">
      <w:pPr>
        <w:ind w:left="0"/>
        <w:jc w:val="both"/>
        <w:rPr>
          <w:rFonts w:ascii="Bookman Old Style" w:hAnsi="Bookman Old Style" w:cs="Arial"/>
          <w:i/>
        </w:rPr>
      </w:pPr>
    </w:p>
    <w:p w14:paraId="12905167" w14:textId="4B3FA38E" w:rsidR="008E10C2" w:rsidRPr="00C34340" w:rsidRDefault="008E10C2" w:rsidP="008E10C2">
      <w:pPr>
        <w:ind w:left="0"/>
        <w:jc w:val="both"/>
        <w:rPr>
          <w:rFonts w:ascii="Bookman Old Style" w:hAnsi="Bookman Old Style" w:cs="Arial"/>
        </w:rPr>
      </w:pPr>
      <w:r>
        <w:rPr>
          <w:rFonts w:ascii="Bookman Old Style" w:hAnsi="Bookman Old Style" w:cs="Arial"/>
        </w:rPr>
        <w:t>Mediante la Resolución CREG 061 de 2007 se hicieron ajustes a la Resolución CREG 071 de 2006</w:t>
      </w:r>
      <w:r w:rsidR="00606A76">
        <w:rPr>
          <w:rFonts w:ascii="Bookman Old Style" w:hAnsi="Bookman Old Style" w:cs="Arial"/>
        </w:rPr>
        <w:t>,</w:t>
      </w:r>
      <w:r>
        <w:rPr>
          <w:rFonts w:ascii="Bookman Old Style" w:hAnsi="Bookman Old Style" w:cs="Arial"/>
        </w:rPr>
        <w:t xml:space="preserve"> y se adoptó el reglamento de garantías del Cargo por Confiabilidad.  Este reglamento</w:t>
      </w:r>
      <w:r w:rsidR="00606A76">
        <w:rPr>
          <w:rFonts w:ascii="Bookman Old Style" w:hAnsi="Bookman Old Style" w:cs="Arial"/>
        </w:rPr>
        <w:t>,</w:t>
      </w:r>
      <w:r>
        <w:rPr>
          <w:rFonts w:ascii="Bookman Old Style" w:hAnsi="Bookman Old Style" w:cs="Arial"/>
        </w:rPr>
        <w:t xml:space="preserve"> en el capítulo de “</w:t>
      </w:r>
      <w:r w:rsidRPr="00C34340">
        <w:rPr>
          <w:rFonts w:ascii="Bookman Old Style" w:hAnsi="Bookman Old Style" w:cs="Arial"/>
          <w:bCs/>
          <w:i/>
        </w:rPr>
        <w:t>GARANTIAS PARA CONSTRUCCIÓN Y PUESTA EN OPERACIÓN</w:t>
      </w:r>
      <w:r>
        <w:rPr>
          <w:rFonts w:ascii="Bookman Old Style" w:hAnsi="Bookman Old Style" w:cs="Arial"/>
          <w:bCs/>
          <w:i/>
        </w:rPr>
        <w:t xml:space="preserve">”, </w:t>
      </w:r>
      <w:r>
        <w:rPr>
          <w:rFonts w:ascii="Bookman Old Style" w:hAnsi="Bookman Old Style" w:cs="Arial"/>
        </w:rPr>
        <w:t>artículo 13</w:t>
      </w:r>
      <w:r w:rsidR="00606A76">
        <w:rPr>
          <w:rFonts w:ascii="Bookman Old Style" w:hAnsi="Bookman Old Style" w:cs="Arial"/>
        </w:rPr>
        <w:t>,</w:t>
      </w:r>
      <w:r>
        <w:rPr>
          <w:rFonts w:ascii="Bookman Old Style" w:hAnsi="Bookman Old Style" w:cs="Arial"/>
        </w:rPr>
        <w:t xml:space="preserve"> señala:</w:t>
      </w:r>
    </w:p>
    <w:p w14:paraId="458FA459" w14:textId="77777777" w:rsidR="008E10C2" w:rsidRPr="001266BC" w:rsidRDefault="008E10C2" w:rsidP="008E10C2">
      <w:pPr>
        <w:ind w:left="708"/>
        <w:jc w:val="both"/>
        <w:rPr>
          <w:rFonts w:ascii="Bookman Old Style" w:hAnsi="Bookman Old Style" w:cs="Arial"/>
          <w:i/>
        </w:rPr>
      </w:pPr>
    </w:p>
    <w:p w14:paraId="32A0D28F" w14:textId="77777777" w:rsidR="008E10C2" w:rsidRPr="009B05DD" w:rsidRDefault="008E10C2" w:rsidP="00606A76">
      <w:pPr>
        <w:ind w:left="284"/>
        <w:jc w:val="both"/>
        <w:rPr>
          <w:rFonts w:ascii="Bookman Old Style" w:hAnsi="Bookman Old Style" w:cs="Arial"/>
          <w:i/>
        </w:rPr>
      </w:pPr>
      <w:r>
        <w:rPr>
          <w:rFonts w:ascii="Bookman Old Style" w:hAnsi="Bookman Old Style" w:cs="Arial"/>
          <w:b/>
          <w:i/>
        </w:rPr>
        <w:t>“</w:t>
      </w:r>
      <w:r w:rsidRPr="004524D3">
        <w:rPr>
          <w:rFonts w:ascii="Bookman Old Style" w:hAnsi="Bookman Old Style" w:cs="Arial"/>
          <w:b/>
          <w:i/>
        </w:rPr>
        <w:t>Artículo 13. Eventos de incumplimiento.</w:t>
      </w:r>
      <w:r w:rsidRPr="009B05DD">
        <w:rPr>
          <w:rFonts w:ascii="Bookman Old Style" w:hAnsi="Bookman Old Style" w:cs="Arial"/>
          <w:i/>
        </w:rPr>
        <w:t xml:space="preserve"> Constituyen eventos de incumplimiento grave e insalvable los siguientes:</w:t>
      </w:r>
    </w:p>
    <w:p w14:paraId="5EBA84D3" w14:textId="77777777" w:rsidR="008E10C2" w:rsidRPr="009B05DD" w:rsidRDefault="008E10C2" w:rsidP="00606A76">
      <w:pPr>
        <w:ind w:left="284"/>
        <w:jc w:val="both"/>
        <w:rPr>
          <w:rFonts w:ascii="Bookman Old Style" w:hAnsi="Bookman Old Style" w:cs="Arial"/>
          <w:i/>
        </w:rPr>
      </w:pPr>
    </w:p>
    <w:p w14:paraId="34867A6E" w14:textId="77777777" w:rsidR="008E10C2" w:rsidRPr="009B05DD" w:rsidRDefault="008E10C2" w:rsidP="00606A76">
      <w:pPr>
        <w:ind w:left="284"/>
        <w:jc w:val="both"/>
        <w:rPr>
          <w:rFonts w:ascii="Bookman Old Style" w:hAnsi="Bookman Old Style" w:cs="Arial"/>
          <w:i/>
        </w:rPr>
      </w:pPr>
      <w:r w:rsidRPr="009B05DD">
        <w:rPr>
          <w:rFonts w:ascii="Bookman Old Style" w:hAnsi="Bookman Old Style" w:cs="Arial"/>
          <w:i/>
        </w:rPr>
        <w:t>1.</w:t>
      </w:r>
      <w:r w:rsidRPr="009B05DD">
        <w:rPr>
          <w:rFonts w:ascii="Bookman Old Style" w:hAnsi="Bookman Old Style" w:cs="Arial"/>
          <w:i/>
        </w:rPr>
        <w:tab/>
        <w:t>Incumplimiento Calificado de Cronograma que implique que la puesta en operación de la planta o unidad de generación, ocurrirá en un plazo superior a un (1) año contado a partir del IPVO.</w:t>
      </w:r>
    </w:p>
    <w:p w14:paraId="26139764" w14:textId="77777777" w:rsidR="008E10C2" w:rsidRPr="009B05DD" w:rsidRDefault="008E10C2" w:rsidP="00606A76">
      <w:pPr>
        <w:ind w:left="284"/>
        <w:jc w:val="both"/>
        <w:rPr>
          <w:rFonts w:ascii="Bookman Old Style" w:hAnsi="Bookman Old Style" w:cs="Arial"/>
          <w:i/>
        </w:rPr>
      </w:pPr>
    </w:p>
    <w:p w14:paraId="58A3B177" w14:textId="77777777" w:rsidR="008E10C2" w:rsidRPr="009B05DD" w:rsidRDefault="008E10C2" w:rsidP="00606A76">
      <w:pPr>
        <w:ind w:left="284"/>
        <w:jc w:val="both"/>
        <w:rPr>
          <w:rFonts w:ascii="Bookman Old Style" w:hAnsi="Bookman Old Style" w:cs="Arial"/>
          <w:i/>
        </w:rPr>
      </w:pPr>
      <w:r w:rsidRPr="009B05DD">
        <w:rPr>
          <w:rFonts w:ascii="Bookman Old Style" w:hAnsi="Bookman Old Style" w:cs="Arial"/>
          <w:i/>
        </w:rPr>
        <w:t>2.</w:t>
      </w:r>
      <w:r w:rsidRPr="009B05DD">
        <w:rPr>
          <w:rFonts w:ascii="Bookman Old Style" w:hAnsi="Bookman Old Style" w:cs="Arial"/>
          <w:i/>
        </w:rPr>
        <w:tab/>
        <w:t>Incumplimiento Calificado de Cronograma, que implique que la puesta en operación de la planta o unidad de generación ocurrirá en un plazo inferior a un (1) año, contado a partir del IPVO, y el Agente Generador o la Persona Jurídica Interesada, una vez esté registrada como Agente Generador ante el ASIC, no garanticen el cumplimiento de la Obligación de Energía Firme con un Contrato o Declaración de Respaldo, de otra planta o unidad de generación. Este Contrato o Declaración de Respaldo debe estar registrado ante el ASIC a más tardar dentro de los quince (15) días calendario siguientes a la fecha en que el CND reciba el correspondiente informe del auditor y debe estar vigente desde el IPVO hasta la nueva fecha de puesta en operación de la planta o unidad de generación, certificada por el Auditor.</w:t>
      </w:r>
    </w:p>
    <w:p w14:paraId="1ADC0FC7" w14:textId="77777777" w:rsidR="008E10C2" w:rsidRPr="009B05DD" w:rsidRDefault="008E10C2" w:rsidP="00606A76">
      <w:pPr>
        <w:ind w:left="284"/>
        <w:jc w:val="both"/>
        <w:rPr>
          <w:rFonts w:ascii="Bookman Old Style" w:hAnsi="Bookman Old Style" w:cs="Arial"/>
          <w:i/>
        </w:rPr>
      </w:pPr>
    </w:p>
    <w:p w14:paraId="07560E34" w14:textId="77777777" w:rsidR="008E10C2" w:rsidRPr="009B05DD" w:rsidRDefault="008E10C2" w:rsidP="00606A76">
      <w:pPr>
        <w:ind w:left="284"/>
        <w:jc w:val="both"/>
        <w:rPr>
          <w:rFonts w:ascii="Bookman Old Style" w:hAnsi="Bookman Old Style" w:cs="Arial"/>
          <w:i/>
        </w:rPr>
      </w:pPr>
      <w:r w:rsidRPr="009B05DD">
        <w:rPr>
          <w:rFonts w:ascii="Bookman Old Style" w:hAnsi="Bookman Old Style" w:cs="Arial"/>
          <w:i/>
        </w:rPr>
        <w:t>3.</w:t>
      </w:r>
      <w:r w:rsidRPr="009B05DD">
        <w:rPr>
          <w:rFonts w:ascii="Bookman Old Style" w:hAnsi="Bookman Old Style" w:cs="Arial"/>
          <w:i/>
        </w:rPr>
        <w:tab/>
        <w:t>Puesta en operación de la planta o unidad de generación con una ENFICC inferior a la asociada a la Obligación de Energía Firme asignada, calculada en la forma prevista en el Anexo 3 de la Resolución CREG 071 de 2006 o aquellas que la modifiquen, adicionen o sustituyan.</w:t>
      </w:r>
    </w:p>
    <w:p w14:paraId="0B6B8A41" w14:textId="77777777" w:rsidR="008E10C2" w:rsidRPr="009B05DD" w:rsidRDefault="008E10C2" w:rsidP="00606A76">
      <w:pPr>
        <w:ind w:left="284"/>
        <w:jc w:val="both"/>
        <w:rPr>
          <w:rFonts w:ascii="Bookman Old Style" w:hAnsi="Bookman Old Style" w:cs="Arial"/>
          <w:i/>
        </w:rPr>
      </w:pPr>
    </w:p>
    <w:p w14:paraId="37A39D48" w14:textId="77777777" w:rsidR="008E10C2" w:rsidRPr="009B05DD" w:rsidRDefault="008E10C2" w:rsidP="00606A76">
      <w:pPr>
        <w:ind w:left="284"/>
        <w:jc w:val="both"/>
        <w:rPr>
          <w:rFonts w:ascii="Bookman Old Style" w:hAnsi="Bookman Old Style" w:cs="Arial"/>
          <w:i/>
        </w:rPr>
      </w:pPr>
      <w:r w:rsidRPr="009B05DD">
        <w:rPr>
          <w:rFonts w:ascii="Bookman Old Style" w:hAnsi="Bookman Old Style" w:cs="Arial"/>
          <w:i/>
        </w:rPr>
        <w:t>4.</w:t>
      </w:r>
      <w:r w:rsidRPr="009B05DD">
        <w:rPr>
          <w:rFonts w:ascii="Bookman Old Style" w:hAnsi="Bookman Old Style" w:cs="Arial"/>
          <w:i/>
        </w:rPr>
        <w:tab/>
        <w:t>El Agente Generador o la Persona Jurídica Interesada no acredita ante la CREG el ajuste o reposición de las garantías conforme a lo establecido en el presente Reglamento.</w:t>
      </w:r>
    </w:p>
    <w:p w14:paraId="1AD59971" w14:textId="77777777" w:rsidR="008E10C2" w:rsidRPr="009B05DD" w:rsidRDefault="008E10C2" w:rsidP="00606A76">
      <w:pPr>
        <w:ind w:left="284"/>
        <w:jc w:val="both"/>
        <w:rPr>
          <w:rFonts w:ascii="Bookman Old Style" w:hAnsi="Bookman Old Style" w:cs="Arial"/>
          <w:i/>
        </w:rPr>
      </w:pPr>
    </w:p>
    <w:p w14:paraId="0F6C4611" w14:textId="77777777" w:rsidR="008E10C2" w:rsidRPr="009B05DD" w:rsidRDefault="008E10C2" w:rsidP="00606A76">
      <w:pPr>
        <w:ind w:left="284"/>
        <w:jc w:val="both"/>
        <w:rPr>
          <w:rFonts w:ascii="Bookman Old Style" w:hAnsi="Bookman Old Style" w:cs="Arial"/>
          <w:i/>
        </w:rPr>
      </w:pPr>
      <w:r w:rsidRPr="009B05DD">
        <w:rPr>
          <w:rFonts w:ascii="Bookman Old Style" w:hAnsi="Bookman Old Style" w:cs="Arial"/>
          <w:i/>
        </w:rPr>
        <w:t>5.</w:t>
      </w:r>
      <w:r w:rsidRPr="009B05DD">
        <w:rPr>
          <w:rFonts w:ascii="Bookman Old Style" w:hAnsi="Bookman Old Style" w:cs="Arial"/>
          <w:i/>
        </w:rPr>
        <w:tab/>
        <w:t>El Agente Generador o la Persona Jurídica Interesada no acredita ante el ASIC el pago de los honorarios del Auditor designado para verificar el cumplimiento del cronograma de construcción o repotenciación, o de puesta en operación de la planta o unidad de generación, conforme a lo establecido en el presente Capítulo.</w:t>
      </w:r>
    </w:p>
    <w:p w14:paraId="47C8AEA0" w14:textId="77777777" w:rsidR="008E10C2" w:rsidRPr="009B05DD" w:rsidRDefault="008E10C2" w:rsidP="00606A76">
      <w:pPr>
        <w:ind w:left="284"/>
        <w:jc w:val="both"/>
        <w:rPr>
          <w:rFonts w:ascii="Bookman Old Style" w:hAnsi="Bookman Old Style" w:cs="Arial"/>
          <w:i/>
        </w:rPr>
      </w:pPr>
    </w:p>
    <w:p w14:paraId="78E00FA8" w14:textId="77777777" w:rsidR="008E10C2" w:rsidRDefault="008E10C2" w:rsidP="00606A76">
      <w:pPr>
        <w:ind w:left="284"/>
        <w:jc w:val="both"/>
        <w:rPr>
          <w:rFonts w:ascii="Bookman Old Style" w:hAnsi="Bookman Old Style" w:cs="Arial"/>
        </w:rPr>
      </w:pPr>
      <w:r w:rsidRPr="009B05DD">
        <w:rPr>
          <w:rFonts w:ascii="Bookman Old Style" w:hAnsi="Bookman Old Style" w:cs="Arial"/>
          <w:i/>
        </w:rPr>
        <w:t>Parágrafo. El evento de incumplimiento indicado en el numeral 1 deberá ser informado por la CREG al ASIC, conforme al Parágrafo del Artículo 9 de la Resolución CREG 071 de 2006 o aquellas normas que la modifiquen, adicionen o sustituyan.</w:t>
      </w:r>
      <w:r>
        <w:rPr>
          <w:rFonts w:ascii="Bookman Old Style" w:hAnsi="Bookman Old Style" w:cs="Arial"/>
          <w:i/>
        </w:rPr>
        <w:t>”</w:t>
      </w:r>
      <w:r w:rsidRPr="00AD206B" w:rsidDel="00AD206B">
        <w:rPr>
          <w:rFonts w:ascii="Bookman Old Style" w:hAnsi="Bookman Old Style" w:cs="Arial"/>
          <w:b/>
          <w:i/>
        </w:rPr>
        <w:t xml:space="preserve"> </w:t>
      </w:r>
    </w:p>
    <w:p w14:paraId="46C59093" w14:textId="77777777" w:rsidR="008E10C2" w:rsidRDefault="008E10C2" w:rsidP="008E10C2">
      <w:pPr>
        <w:ind w:left="0"/>
        <w:jc w:val="both"/>
        <w:rPr>
          <w:rFonts w:ascii="Bookman Old Style" w:hAnsi="Bookman Old Style" w:cs="Arial"/>
        </w:rPr>
      </w:pPr>
    </w:p>
    <w:p w14:paraId="24482AA6" w14:textId="1BC1E2E9" w:rsidR="008E10C2" w:rsidRDefault="008E10C2" w:rsidP="008E10C2">
      <w:pPr>
        <w:ind w:left="0"/>
        <w:jc w:val="both"/>
        <w:rPr>
          <w:rFonts w:ascii="Bookman Old Style" w:hAnsi="Bookman Old Style" w:cs="Arial"/>
        </w:rPr>
      </w:pPr>
      <w:r w:rsidRPr="001266BC">
        <w:rPr>
          <w:rFonts w:ascii="Bookman Old Style" w:hAnsi="Bookman Old Style" w:cs="Arial"/>
        </w:rPr>
        <w:t xml:space="preserve">De lo </w:t>
      </w:r>
      <w:r>
        <w:rPr>
          <w:rFonts w:ascii="Bookman Old Style" w:hAnsi="Bookman Old Style" w:cs="Arial"/>
        </w:rPr>
        <w:t xml:space="preserve">previsto </w:t>
      </w:r>
      <w:r w:rsidRPr="001266BC">
        <w:rPr>
          <w:rFonts w:ascii="Bookman Old Style" w:hAnsi="Bookman Old Style" w:cs="Arial"/>
        </w:rPr>
        <w:t xml:space="preserve">en la regulación, principalmente en sus artículos 2, 7 y 9 de la Resolución CREG 071 de 2006, se </w:t>
      </w:r>
      <w:r>
        <w:rPr>
          <w:rFonts w:ascii="Bookman Old Style" w:hAnsi="Bookman Old Style" w:cs="Arial"/>
        </w:rPr>
        <w:t xml:space="preserve">encuentra </w:t>
      </w:r>
      <w:r w:rsidRPr="001266BC">
        <w:rPr>
          <w:rFonts w:ascii="Bookman Old Style" w:hAnsi="Bookman Old Style" w:cs="Arial"/>
        </w:rPr>
        <w:t>que</w:t>
      </w:r>
      <w:r w:rsidR="00606A76">
        <w:rPr>
          <w:rFonts w:ascii="Bookman Old Style" w:hAnsi="Bookman Old Style" w:cs="Arial"/>
        </w:rPr>
        <w:t>,</w:t>
      </w:r>
      <w:r w:rsidRPr="001266BC">
        <w:rPr>
          <w:rFonts w:ascii="Bookman Old Style" w:hAnsi="Bookman Old Style" w:cs="Arial"/>
        </w:rPr>
        <w:t xml:space="preserve"> frente al esquema de cargo por confiabilidad</w:t>
      </w:r>
      <w:r w:rsidR="00606A76">
        <w:rPr>
          <w:rFonts w:ascii="Bookman Old Style" w:hAnsi="Bookman Old Style" w:cs="Arial"/>
        </w:rPr>
        <w:t>,</w:t>
      </w:r>
      <w:r w:rsidRPr="001266BC">
        <w:rPr>
          <w:rFonts w:ascii="Bookman Old Style" w:hAnsi="Bookman Old Style" w:cs="Arial"/>
        </w:rPr>
        <w:t xml:space="preserve"> </w:t>
      </w:r>
      <w:r>
        <w:rPr>
          <w:rFonts w:ascii="Bookman Old Style" w:hAnsi="Bookman Old Style" w:cs="Arial"/>
        </w:rPr>
        <w:t>las plantas nuevas que reciben asignaciones en las subastas del Cargo por Confiabilidad adquieren</w:t>
      </w:r>
      <w:r w:rsidR="00606A76">
        <w:rPr>
          <w:rFonts w:ascii="Bookman Old Style" w:hAnsi="Bookman Old Style" w:cs="Arial"/>
        </w:rPr>
        <w:t>,</w:t>
      </w:r>
      <w:r>
        <w:rPr>
          <w:rFonts w:ascii="Bookman Old Style" w:hAnsi="Bookman Old Style" w:cs="Arial"/>
        </w:rPr>
        <w:t xml:space="preserve"> </w:t>
      </w:r>
      <w:r w:rsidRPr="001266BC">
        <w:rPr>
          <w:rFonts w:ascii="Bookman Old Style" w:hAnsi="Bookman Old Style" w:cs="Arial"/>
        </w:rPr>
        <w:t>cuando menos</w:t>
      </w:r>
      <w:r w:rsidR="00606A76">
        <w:rPr>
          <w:rFonts w:ascii="Bookman Old Style" w:hAnsi="Bookman Old Style" w:cs="Arial"/>
        </w:rPr>
        <w:t>,</w:t>
      </w:r>
      <w:r w:rsidRPr="001266BC">
        <w:rPr>
          <w:rFonts w:ascii="Bookman Old Style" w:hAnsi="Bookman Old Style" w:cs="Arial"/>
        </w:rPr>
        <w:t xml:space="preserve"> las obligaciones </w:t>
      </w:r>
      <w:r>
        <w:rPr>
          <w:rFonts w:ascii="Bookman Old Style" w:hAnsi="Bookman Old Style" w:cs="Arial"/>
        </w:rPr>
        <w:t xml:space="preserve">que se enumeran más adelante, </w:t>
      </w:r>
      <w:r w:rsidRPr="001266BC">
        <w:rPr>
          <w:rFonts w:ascii="Bookman Old Style" w:hAnsi="Bookman Old Style" w:cs="Arial"/>
        </w:rPr>
        <w:t>frente a las cuales la regulación</w:t>
      </w:r>
      <w:r>
        <w:rPr>
          <w:rFonts w:ascii="Bookman Old Style" w:hAnsi="Bookman Old Style" w:cs="Arial"/>
        </w:rPr>
        <w:t xml:space="preserve"> ha establecido el momento en que nacen a la vida jurídica - regulatoria, es decir, desde cuando se predica su existencia, así </w:t>
      </w:r>
      <w:r w:rsidRPr="001266BC">
        <w:rPr>
          <w:rFonts w:ascii="Bookman Old Style" w:hAnsi="Bookman Old Style" w:cs="Arial"/>
        </w:rPr>
        <w:t>como los efectos y consecuencias</w:t>
      </w:r>
      <w:r w:rsidR="003F76CB">
        <w:rPr>
          <w:rFonts w:ascii="Bookman Old Style" w:hAnsi="Bookman Old Style" w:cs="Arial"/>
        </w:rPr>
        <w:t>,</w:t>
      </w:r>
      <w:r w:rsidRPr="001266BC">
        <w:rPr>
          <w:rFonts w:ascii="Bookman Old Style" w:hAnsi="Bookman Old Style" w:cs="Arial"/>
        </w:rPr>
        <w:t xml:space="preserve"> tanto de su</w:t>
      </w:r>
      <w:r>
        <w:rPr>
          <w:rFonts w:ascii="Bookman Old Style" w:hAnsi="Bookman Old Style" w:cs="Arial"/>
        </w:rPr>
        <w:t xml:space="preserve"> posible cumplimiento</w:t>
      </w:r>
      <w:r w:rsidR="003F76CB">
        <w:rPr>
          <w:rFonts w:ascii="Bookman Old Style" w:hAnsi="Bookman Old Style" w:cs="Arial"/>
        </w:rPr>
        <w:t>,</w:t>
      </w:r>
      <w:r>
        <w:rPr>
          <w:rFonts w:ascii="Bookman Old Style" w:hAnsi="Bookman Old Style" w:cs="Arial"/>
        </w:rPr>
        <w:t xml:space="preserve"> </w:t>
      </w:r>
      <w:r w:rsidR="00EE72F6">
        <w:rPr>
          <w:rFonts w:ascii="Bookman Old Style" w:hAnsi="Bookman Old Style" w:cs="Arial"/>
        </w:rPr>
        <w:t>como de su eventual</w:t>
      </w:r>
      <w:r>
        <w:rPr>
          <w:rFonts w:ascii="Bookman Old Style" w:hAnsi="Bookman Old Style" w:cs="Arial"/>
        </w:rPr>
        <w:t xml:space="preserve"> incumplimiento.  </w:t>
      </w:r>
      <w:r w:rsidRPr="001266BC">
        <w:rPr>
          <w:rFonts w:ascii="Bookman Old Style" w:hAnsi="Bookman Old Style" w:cs="Arial"/>
        </w:rPr>
        <w:t>Estas obligaciones son:</w:t>
      </w:r>
    </w:p>
    <w:p w14:paraId="7F98F493" w14:textId="77777777" w:rsidR="008E10C2" w:rsidRPr="001266BC" w:rsidRDefault="008E10C2" w:rsidP="008E10C2">
      <w:pPr>
        <w:ind w:left="0"/>
        <w:jc w:val="both"/>
        <w:rPr>
          <w:rFonts w:ascii="Bookman Old Style" w:hAnsi="Bookman Old Style" w:cs="Arial"/>
        </w:rPr>
      </w:pPr>
    </w:p>
    <w:p w14:paraId="29EB962D" w14:textId="77777777" w:rsidR="008E10C2" w:rsidRPr="001266BC" w:rsidRDefault="008E10C2" w:rsidP="003F76CB">
      <w:pPr>
        <w:ind w:left="284"/>
        <w:jc w:val="both"/>
        <w:rPr>
          <w:rFonts w:ascii="Bookman Old Style" w:hAnsi="Bookman Old Style" w:cs="Arial"/>
        </w:rPr>
      </w:pPr>
      <w:r w:rsidRPr="001266BC">
        <w:rPr>
          <w:rFonts w:ascii="Bookman Old Style" w:hAnsi="Bookman Old Style" w:cs="Arial"/>
          <w:b/>
        </w:rPr>
        <w:t xml:space="preserve">1. Obligación de Energía en Firme – OEF. </w:t>
      </w:r>
      <w:r w:rsidRPr="00384997">
        <w:rPr>
          <w:rFonts w:ascii="Bookman Old Style" w:hAnsi="Bookman Old Style" w:cs="Arial"/>
        </w:rPr>
        <w:t>Esta obligación está relacionada con la disponibilidad de activos de generación, así como el d</w:t>
      </w:r>
      <w:r w:rsidRPr="001266BC">
        <w:rPr>
          <w:rFonts w:ascii="Bookman Old Style" w:hAnsi="Bookman Old Style" w:cs="Arial"/>
        </w:rPr>
        <w:t>eber de generar</w:t>
      </w:r>
      <w:r>
        <w:rPr>
          <w:rFonts w:ascii="Bookman Old Style" w:hAnsi="Bookman Old Style" w:cs="Arial"/>
        </w:rPr>
        <w:t xml:space="preserve"> con dichos activos</w:t>
      </w:r>
      <w:r w:rsidRPr="001266BC">
        <w:rPr>
          <w:rFonts w:ascii="Bookman Old Style" w:hAnsi="Bookman Old Style" w:cs="Arial"/>
        </w:rPr>
        <w:t xml:space="preserve"> de acuerdo con el despacho ideal, una cantidad diaria de energía durante el período de vigencia de la obligación, cuando el precio de bolsa supere el precio marginal de escasez.</w:t>
      </w:r>
    </w:p>
    <w:p w14:paraId="4DED100B" w14:textId="77777777" w:rsidR="008E10C2" w:rsidRDefault="008E10C2" w:rsidP="003F76CB">
      <w:pPr>
        <w:ind w:left="284"/>
        <w:jc w:val="both"/>
        <w:rPr>
          <w:rFonts w:ascii="Bookman Old Style" w:hAnsi="Bookman Old Style" w:cs="Arial"/>
          <w:b/>
        </w:rPr>
      </w:pPr>
    </w:p>
    <w:p w14:paraId="1A8D4BB7" w14:textId="77777777" w:rsidR="008E10C2" w:rsidRPr="001266BC" w:rsidRDefault="008E10C2" w:rsidP="003F76CB">
      <w:pPr>
        <w:ind w:left="284"/>
        <w:jc w:val="both"/>
        <w:rPr>
          <w:rFonts w:ascii="Bookman Old Style" w:hAnsi="Bookman Old Style" w:cs="Arial"/>
        </w:rPr>
      </w:pPr>
      <w:r w:rsidRPr="001266BC">
        <w:rPr>
          <w:rFonts w:ascii="Bookman Old Style" w:hAnsi="Bookman Old Style" w:cs="Arial"/>
          <w:b/>
        </w:rPr>
        <w:t>2. Puesta en operación.</w:t>
      </w:r>
      <w:r w:rsidRPr="001266BC">
        <w:rPr>
          <w:rFonts w:ascii="Bookman Old Style" w:hAnsi="Bookman Old Style" w:cs="Arial"/>
        </w:rPr>
        <w:t xml:space="preserve"> </w:t>
      </w:r>
      <w:r>
        <w:rPr>
          <w:rFonts w:ascii="Bookman Old Style" w:hAnsi="Bookman Old Style" w:cs="Arial"/>
        </w:rPr>
        <w:t>Esta obligación hace referencia a p</w:t>
      </w:r>
      <w:r w:rsidRPr="001266BC">
        <w:rPr>
          <w:rFonts w:ascii="Bookman Old Style" w:hAnsi="Bookman Old Style" w:cs="Arial"/>
        </w:rPr>
        <w:t>oner en operación comercial la planta y/o unidad de generación a más tardar en la fecha de inicio del período de vigencia de la obligación.</w:t>
      </w:r>
    </w:p>
    <w:p w14:paraId="399E7D87" w14:textId="77777777" w:rsidR="008E10C2" w:rsidRDefault="008E10C2" w:rsidP="003F76CB">
      <w:pPr>
        <w:ind w:left="284"/>
        <w:jc w:val="both"/>
        <w:rPr>
          <w:rFonts w:ascii="Bookman Old Style" w:hAnsi="Bookman Old Style" w:cs="Arial"/>
          <w:b/>
        </w:rPr>
      </w:pPr>
    </w:p>
    <w:p w14:paraId="104279EA" w14:textId="77777777" w:rsidR="008E10C2" w:rsidRPr="001266BC" w:rsidRDefault="008E10C2" w:rsidP="003F76CB">
      <w:pPr>
        <w:ind w:left="284"/>
        <w:jc w:val="both"/>
        <w:rPr>
          <w:rFonts w:ascii="Bookman Old Style" w:hAnsi="Bookman Old Style" w:cs="Arial"/>
        </w:rPr>
      </w:pPr>
      <w:r w:rsidRPr="001266BC">
        <w:rPr>
          <w:rFonts w:ascii="Bookman Old Style" w:hAnsi="Bookman Old Style" w:cs="Arial"/>
          <w:b/>
        </w:rPr>
        <w:t>3. Cronograma y Curva S.</w:t>
      </w:r>
      <w:r w:rsidRPr="001266BC">
        <w:rPr>
          <w:rFonts w:ascii="Bookman Old Style" w:hAnsi="Bookman Old Style" w:cs="Arial"/>
        </w:rPr>
        <w:t xml:space="preserve"> Cumplir el cronograma de construcción o repotenciación de la planta y la Curva S.</w:t>
      </w:r>
    </w:p>
    <w:p w14:paraId="614BBFA0" w14:textId="77777777" w:rsidR="008E10C2" w:rsidRDefault="008E10C2" w:rsidP="003F76CB">
      <w:pPr>
        <w:ind w:left="284"/>
        <w:jc w:val="both"/>
        <w:rPr>
          <w:rFonts w:ascii="Bookman Old Style" w:hAnsi="Bookman Old Style" w:cs="Arial"/>
          <w:b/>
        </w:rPr>
      </w:pPr>
    </w:p>
    <w:p w14:paraId="3203511D" w14:textId="77777777" w:rsidR="008E10C2" w:rsidRPr="001266BC" w:rsidRDefault="008E10C2" w:rsidP="003F76CB">
      <w:pPr>
        <w:ind w:left="284"/>
        <w:jc w:val="both"/>
        <w:rPr>
          <w:rFonts w:ascii="Bookman Old Style" w:hAnsi="Bookman Old Style" w:cs="Arial"/>
        </w:rPr>
      </w:pPr>
      <w:r w:rsidRPr="001266BC">
        <w:rPr>
          <w:rFonts w:ascii="Bookman Old Style" w:hAnsi="Bookman Old Style" w:cs="Arial"/>
          <w:b/>
        </w:rPr>
        <w:t>4. Garantía.</w:t>
      </w:r>
      <w:r w:rsidRPr="001266BC">
        <w:rPr>
          <w:rFonts w:ascii="Bookman Old Style" w:hAnsi="Bookman Old Style" w:cs="Arial"/>
        </w:rPr>
        <w:t xml:space="preserve"> Constituir y mantener vigente la garantía de cumplimiento de la fecha de inicio de la operación comercial de las plantas o unidades de generación en instalación o por instalar o repotenciar con la ENFICC asignada en la Subasta, y del pago de la auditoría</w:t>
      </w:r>
    </w:p>
    <w:p w14:paraId="444BA645" w14:textId="77777777" w:rsidR="008E10C2" w:rsidRDefault="008E10C2" w:rsidP="003F76CB">
      <w:pPr>
        <w:ind w:left="284"/>
        <w:jc w:val="both"/>
        <w:rPr>
          <w:rFonts w:ascii="Bookman Old Style" w:hAnsi="Bookman Old Style" w:cs="Arial"/>
          <w:b/>
        </w:rPr>
      </w:pPr>
    </w:p>
    <w:p w14:paraId="25366BA7" w14:textId="77777777" w:rsidR="008E10C2" w:rsidRPr="001266BC" w:rsidRDefault="008E10C2" w:rsidP="003F76CB">
      <w:pPr>
        <w:ind w:left="284"/>
        <w:jc w:val="both"/>
        <w:rPr>
          <w:rFonts w:ascii="Bookman Old Style" w:hAnsi="Bookman Old Style" w:cs="Arial"/>
        </w:rPr>
      </w:pPr>
      <w:r w:rsidRPr="001266BC">
        <w:rPr>
          <w:rFonts w:ascii="Bookman Old Style" w:hAnsi="Bookman Old Style" w:cs="Arial"/>
          <w:b/>
        </w:rPr>
        <w:t>5. Auditoría.</w:t>
      </w:r>
      <w:r w:rsidRPr="001266BC">
        <w:rPr>
          <w:rFonts w:ascii="Bookman Old Style" w:hAnsi="Bookman Old Style" w:cs="Arial"/>
        </w:rPr>
        <w:t xml:space="preserve"> Pagar el costo de la auditoría establecida en el artículo 8 de </w:t>
      </w:r>
      <w:r>
        <w:rPr>
          <w:rFonts w:ascii="Bookman Old Style" w:hAnsi="Bookman Old Style" w:cs="Arial"/>
        </w:rPr>
        <w:t>la</w:t>
      </w:r>
      <w:r w:rsidRPr="001266BC">
        <w:rPr>
          <w:rFonts w:ascii="Bookman Old Style" w:hAnsi="Bookman Old Style" w:cs="Arial"/>
        </w:rPr>
        <w:t xml:space="preserve"> Resolución</w:t>
      </w:r>
      <w:r>
        <w:rPr>
          <w:rFonts w:ascii="Bookman Old Style" w:hAnsi="Bookman Old Style" w:cs="Arial"/>
        </w:rPr>
        <w:t xml:space="preserve"> CREG 071 de 2006</w:t>
      </w:r>
      <w:r w:rsidRPr="001266BC">
        <w:rPr>
          <w:rFonts w:ascii="Bookman Old Style" w:hAnsi="Bookman Old Style" w:cs="Arial"/>
        </w:rPr>
        <w:t>, periódicamente en forma anticipada.</w:t>
      </w:r>
    </w:p>
    <w:p w14:paraId="33CC9D31" w14:textId="77777777" w:rsidR="008E10C2" w:rsidRDefault="008E10C2" w:rsidP="008E10C2">
      <w:pPr>
        <w:ind w:left="0"/>
        <w:jc w:val="both"/>
        <w:rPr>
          <w:rFonts w:ascii="Bookman Old Style" w:hAnsi="Bookman Old Style" w:cs="Arial"/>
        </w:rPr>
      </w:pPr>
    </w:p>
    <w:p w14:paraId="4BB72B21" w14:textId="77777777" w:rsidR="008E10C2" w:rsidRDefault="008E10C2" w:rsidP="008E10C2">
      <w:pPr>
        <w:ind w:left="0"/>
        <w:jc w:val="both"/>
        <w:rPr>
          <w:rFonts w:ascii="Bookman Old Style" w:hAnsi="Bookman Old Style" w:cs="Arial"/>
        </w:rPr>
      </w:pPr>
      <w:r w:rsidRPr="001266BC">
        <w:rPr>
          <w:rFonts w:ascii="Bookman Old Style" w:hAnsi="Bookman Old Style" w:cs="Arial"/>
        </w:rPr>
        <w:t xml:space="preserve">La estructura de dichas obligaciones parte de la existencia de una situación jurídica </w:t>
      </w:r>
      <w:r w:rsidR="00E10DC8">
        <w:rPr>
          <w:rFonts w:ascii="Bookman Old Style" w:hAnsi="Bookman Old Style" w:cs="Arial"/>
        </w:rPr>
        <w:t xml:space="preserve">que es producto de la ocurrencia </w:t>
      </w:r>
      <w:r w:rsidRPr="001266BC">
        <w:rPr>
          <w:rFonts w:ascii="Bookman Old Style" w:hAnsi="Bookman Old Style" w:cs="Arial"/>
        </w:rPr>
        <w:t xml:space="preserve">de un hecho y/o acto </w:t>
      </w:r>
      <w:r w:rsidR="00E10DC8">
        <w:rPr>
          <w:rFonts w:ascii="Bookman Old Style" w:hAnsi="Bookman Old Style" w:cs="Arial"/>
        </w:rPr>
        <w:t xml:space="preserve">al </w:t>
      </w:r>
      <w:r w:rsidRPr="001266BC">
        <w:rPr>
          <w:rFonts w:ascii="Bookman Old Style" w:hAnsi="Bookman Old Style" w:cs="Arial"/>
        </w:rPr>
        <w:t>cual la regulación le ha dado efectos jurídicos.</w:t>
      </w:r>
    </w:p>
    <w:p w14:paraId="4CFE7205" w14:textId="77777777" w:rsidR="008E10C2" w:rsidRDefault="008E10C2" w:rsidP="008E10C2">
      <w:pPr>
        <w:ind w:left="0"/>
        <w:jc w:val="both"/>
        <w:rPr>
          <w:rFonts w:ascii="Bookman Old Style" w:hAnsi="Bookman Old Style" w:cs="Arial"/>
        </w:rPr>
      </w:pPr>
    </w:p>
    <w:p w14:paraId="58690C45" w14:textId="1C998AC1" w:rsidR="008E10C2" w:rsidRPr="00384997" w:rsidRDefault="00BA6A1B" w:rsidP="00BA6A1B">
      <w:pPr>
        <w:ind w:left="0"/>
        <w:jc w:val="both"/>
        <w:rPr>
          <w:rFonts w:ascii="Bookman Old Style" w:hAnsi="Bookman Old Style" w:cs="Arial"/>
        </w:rPr>
      </w:pPr>
      <w:r>
        <w:rPr>
          <w:rFonts w:ascii="Bookman Old Style" w:hAnsi="Bookman Old Style" w:cs="Arial"/>
        </w:rPr>
        <w:t xml:space="preserve">En el caso del proyecto Hidroeléctrico </w:t>
      </w:r>
      <w:r w:rsidR="00E25998">
        <w:rPr>
          <w:rFonts w:ascii="Bookman Old Style" w:hAnsi="Bookman Old Style" w:cs="Arial"/>
        </w:rPr>
        <w:t>Miel II</w:t>
      </w:r>
      <w:r>
        <w:rPr>
          <w:rFonts w:ascii="Bookman Old Style" w:hAnsi="Bookman Old Style" w:cs="Arial"/>
        </w:rPr>
        <w:t xml:space="preserve"> e</w:t>
      </w:r>
      <w:r w:rsidR="008E10C2">
        <w:rPr>
          <w:rFonts w:ascii="Bookman Old Style" w:hAnsi="Bookman Old Style" w:cs="Arial"/>
        </w:rPr>
        <w:t>xiste</w:t>
      </w:r>
      <w:r w:rsidR="00E25998">
        <w:rPr>
          <w:rFonts w:ascii="Bookman Old Style" w:hAnsi="Bookman Old Style" w:cs="Arial"/>
        </w:rPr>
        <w:t xml:space="preserve"> un</w:t>
      </w:r>
      <w:r w:rsidR="008E10C2">
        <w:rPr>
          <w:rFonts w:ascii="Bookman Old Style" w:hAnsi="Bookman Old Style" w:cs="Arial"/>
        </w:rPr>
        <w:t xml:space="preserve"> proceso de subasta</w:t>
      </w:r>
      <w:r w:rsidR="00BB1092">
        <w:rPr>
          <w:rFonts w:ascii="Bookman Old Style" w:hAnsi="Bookman Old Style" w:cs="Arial"/>
        </w:rPr>
        <w:t xml:space="preserve"> de asignación de OEF</w:t>
      </w:r>
      <w:r w:rsidR="008E10C2">
        <w:rPr>
          <w:rFonts w:ascii="Bookman Old Style" w:hAnsi="Bookman Old Style" w:cs="Arial"/>
        </w:rPr>
        <w:t xml:space="preserve">, </w:t>
      </w:r>
      <w:r w:rsidR="00E25998">
        <w:rPr>
          <w:rFonts w:ascii="Bookman Old Style" w:hAnsi="Bookman Old Style" w:cs="Arial"/>
        </w:rPr>
        <w:t>en el cua</w:t>
      </w:r>
      <w:r w:rsidR="008B04A9">
        <w:rPr>
          <w:rFonts w:ascii="Bookman Old Style" w:hAnsi="Bookman Old Style" w:cs="Arial"/>
        </w:rPr>
        <w:t>l</w:t>
      </w:r>
      <w:r w:rsidR="008E10C2">
        <w:rPr>
          <w:rFonts w:ascii="Bookman Old Style" w:hAnsi="Bookman Old Style" w:cs="Arial"/>
        </w:rPr>
        <w:t xml:space="preserve"> se generan</w:t>
      </w:r>
      <w:r>
        <w:rPr>
          <w:rFonts w:ascii="Bookman Old Style" w:hAnsi="Bookman Old Style" w:cs="Arial"/>
        </w:rPr>
        <w:t xml:space="preserve"> </w:t>
      </w:r>
      <w:r w:rsidR="008E10C2">
        <w:rPr>
          <w:rFonts w:ascii="Bookman Old Style" w:hAnsi="Bookman Old Style" w:cs="Arial"/>
        </w:rPr>
        <w:t xml:space="preserve">las cinco </w:t>
      </w:r>
      <w:r w:rsidR="008E10C2" w:rsidRPr="00EF3D55">
        <w:rPr>
          <w:rFonts w:ascii="Bookman Old Style" w:hAnsi="Bookman Old Style" w:cs="Arial"/>
        </w:rPr>
        <w:t>obligaciones previstas en la regulación a las que se ha hecho r</w:t>
      </w:r>
      <w:r w:rsidR="008E10C2" w:rsidRPr="005B280E">
        <w:rPr>
          <w:rFonts w:ascii="Bookman Old Style" w:hAnsi="Bookman Old Style" w:cs="Arial"/>
        </w:rPr>
        <w:t>eferencia</w:t>
      </w:r>
      <w:r w:rsidRPr="005B280E">
        <w:rPr>
          <w:rFonts w:ascii="Bookman Old Style" w:hAnsi="Bookman Old Style" w:cs="Arial"/>
        </w:rPr>
        <w:t xml:space="preserve">, asociadas a </w:t>
      </w:r>
      <w:r w:rsidR="005B280E">
        <w:rPr>
          <w:rFonts w:ascii="Bookman Old Style" w:hAnsi="Bookman Old Style" w:cs="Arial"/>
        </w:rPr>
        <w:t xml:space="preserve">la </w:t>
      </w:r>
      <w:r w:rsidRPr="005B280E">
        <w:rPr>
          <w:rFonts w:ascii="Bookman Old Style" w:hAnsi="Bookman Old Style" w:cs="Arial"/>
        </w:rPr>
        <w:t>fecha de inicio de</w:t>
      </w:r>
      <w:r>
        <w:rPr>
          <w:rFonts w:ascii="Bookman Old Style" w:hAnsi="Bookman Old Style" w:cs="Arial"/>
        </w:rPr>
        <w:t xml:space="preserve"> período de vigencia de la obligación, IPVO.</w:t>
      </w:r>
    </w:p>
    <w:p w14:paraId="5108A6D4" w14:textId="77777777" w:rsidR="008E10C2" w:rsidRPr="001266BC" w:rsidRDefault="008E10C2" w:rsidP="008E10C2">
      <w:pPr>
        <w:jc w:val="both"/>
        <w:rPr>
          <w:rFonts w:ascii="Bookman Old Style" w:hAnsi="Bookman Old Style" w:cs="Arial"/>
        </w:rPr>
      </w:pPr>
    </w:p>
    <w:p w14:paraId="53F50535" w14:textId="5E21BC85" w:rsidR="008E10C2" w:rsidRPr="00C34340" w:rsidRDefault="008E10C2" w:rsidP="008E10C2">
      <w:pPr>
        <w:ind w:left="0"/>
        <w:jc w:val="both"/>
        <w:rPr>
          <w:rFonts w:ascii="Bookman Old Style" w:hAnsi="Bookman Old Style" w:cs="Arial"/>
        </w:rPr>
      </w:pPr>
      <w:r w:rsidRPr="00C34340">
        <w:rPr>
          <w:rFonts w:ascii="Bookman Old Style" w:hAnsi="Bookman Old Style" w:cs="Arial"/>
        </w:rPr>
        <w:t>Es así como en el caso de la denominada Obligación de Energía en Firme</w:t>
      </w:r>
      <w:r>
        <w:rPr>
          <w:rFonts w:ascii="Bookman Old Style" w:hAnsi="Bookman Old Style" w:cs="Arial"/>
        </w:rPr>
        <w:t>,</w:t>
      </w:r>
      <w:r w:rsidRPr="00C34340">
        <w:rPr>
          <w:rFonts w:ascii="Bookman Old Style" w:hAnsi="Bookman Old Style" w:cs="Arial"/>
        </w:rPr>
        <w:t xml:space="preserve"> OEF, esta nace a la vida jurídica al momento de llevar a cabo su asignación dentro de la subasta para la asignación de obligaciones de energía firme o en el mecanismo que haga sus veces, toda vez que un agente ha manifestado su interés en participar en dicho mecanismo en las condiciones previstas en la regulación. Esto, considerando que dicha obligación corresponde a una obligación de plazo, donde</w:t>
      </w:r>
      <w:r w:rsidR="003F76CB">
        <w:rPr>
          <w:rFonts w:ascii="Bookman Old Style" w:hAnsi="Bookman Old Style" w:cs="Arial"/>
        </w:rPr>
        <w:t>,</w:t>
      </w:r>
      <w:r w:rsidRPr="00C34340">
        <w:rPr>
          <w:rFonts w:ascii="Bookman Old Style" w:hAnsi="Bookman Old Style" w:cs="Arial"/>
        </w:rPr>
        <w:t xml:space="preserve"> si bien su nacimiento se da al momento de la asignación de la subasta, su exigibilidad se da al momento del inicio del período de vigencia de la obligación, en el cual se debe cumplir con la disponibilidad de activos de generación, así como el </w:t>
      </w:r>
      <w:r w:rsidR="00CE1567">
        <w:rPr>
          <w:rFonts w:ascii="Bookman Old Style" w:hAnsi="Bookman Old Style" w:cs="Arial"/>
        </w:rPr>
        <w:t>compromiso</w:t>
      </w:r>
      <w:r w:rsidRPr="00C34340">
        <w:rPr>
          <w:rFonts w:ascii="Bookman Old Style" w:hAnsi="Bookman Old Style" w:cs="Arial"/>
        </w:rPr>
        <w:t xml:space="preserve"> de generar con dichos activos durante </w:t>
      </w:r>
      <w:r w:rsidR="005B280E">
        <w:rPr>
          <w:rFonts w:ascii="Bookman Old Style" w:hAnsi="Bookman Old Style" w:cs="Arial"/>
        </w:rPr>
        <w:t xml:space="preserve">el </w:t>
      </w:r>
      <w:r w:rsidRPr="00C34340">
        <w:rPr>
          <w:rFonts w:ascii="Bookman Old Style" w:hAnsi="Bookman Old Style" w:cs="Arial"/>
        </w:rPr>
        <w:t xml:space="preserve">período </w:t>
      </w:r>
      <w:r w:rsidR="005B280E">
        <w:rPr>
          <w:rFonts w:ascii="Bookman Old Style" w:hAnsi="Bookman Old Style" w:cs="Arial"/>
        </w:rPr>
        <w:t>comprometido</w:t>
      </w:r>
      <w:r w:rsidR="003F76CB">
        <w:rPr>
          <w:rFonts w:ascii="Bookman Old Style" w:hAnsi="Bookman Old Style" w:cs="Arial"/>
        </w:rPr>
        <w:t>,</w:t>
      </w:r>
      <w:r w:rsidR="005B280E">
        <w:rPr>
          <w:rFonts w:ascii="Bookman Old Style" w:hAnsi="Bookman Old Style" w:cs="Arial"/>
        </w:rPr>
        <w:t xml:space="preserve"> </w:t>
      </w:r>
      <w:r w:rsidRPr="00C34340">
        <w:rPr>
          <w:rFonts w:ascii="Bookman Old Style" w:hAnsi="Bookman Old Style" w:cs="Arial"/>
        </w:rPr>
        <w:t>de presentarse la condición crítica.</w:t>
      </w:r>
    </w:p>
    <w:p w14:paraId="79D59532" w14:textId="77777777" w:rsidR="008E10C2" w:rsidRPr="00C34340" w:rsidRDefault="008E10C2" w:rsidP="008E10C2">
      <w:pPr>
        <w:ind w:left="0"/>
        <w:jc w:val="both"/>
        <w:rPr>
          <w:rFonts w:ascii="Bookman Old Style" w:hAnsi="Bookman Old Style" w:cs="Arial"/>
        </w:rPr>
      </w:pPr>
      <w:r w:rsidRPr="00C34340">
        <w:rPr>
          <w:rFonts w:ascii="Bookman Old Style" w:hAnsi="Bookman Old Style" w:cs="Arial"/>
        </w:rPr>
        <w:t xml:space="preserve"> </w:t>
      </w:r>
    </w:p>
    <w:p w14:paraId="3B046E0E" w14:textId="2DA73EC8" w:rsidR="008B04A9" w:rsidRDefault="009040EB" w:rsidP="008E10C2">
      <w:pPr>
        <w:ind w:left="0"/>
        <w:jc w:val="both"/>
        <w:rPr>
          <w:rFonts w:ascii="Bookman Old Style" w:hAnsi="Bookman Old Style" w:cs="Arial"/>
        </w:rPr>
      </w:pPr>
      <w:r>
        <w:rPr>
          <w:rFonts w:ascii="Bookman Old Style" w:hAnsi="Bookman Old Style" w:cs="Arial"/>
        </w:rPr>
        <w:t xml:space="preserve">Para el análisis propuesto, debemos observar </w:t>
      </w:r>
      <w:r w:rsidR="008E10C2" w:rsidRPr="00C34340">
        <w:rPr>
          <w:rFonts w:ascii="Bookman Old Style" w:hAnsi="Bookman Old Style" w:cs="Arial"/>
        </w:rPr>
        <w:t>que la OEF</w:t>
      </w:r>
      <w:r w:rsidR="00BB1092">
        <w:rPr>
          <w:rFonts w:ascii="Bookman Old Style" w:hAnsi="Bookman Old Style" w:cs="Arial"/>
        </w:rPr>
        <w:t xml:space="preserve"> por una cantidad</w:t>
      </w:r>
      <w:r w:rsidR="008E10C2" w:rsidRPr="00C34340">
        <w:rPr>
          <w:rFonts w:ascii="Bookman Old Style" w:hAnsi="Bookman Old Style" w:cs="Arial"/>
        </w:rPr>
        <w:t xml:space="preserve"> de </w:t>
      </w:r>
      <w:r w:rsidR="008B04A9">
        <w:rPr>
          <w:rFonts w:ascii="Bookman Old Style" w:hAnsi="Bookman Old Style" w:cs="Arial"/>
        </w:rPr>
        <w:t>203.885</w:t>
      </w:r>
      <w:r w:rsidR="008E10C2" w:rsidRPr="00C34340">
        <w:rPr>
          <w:rFonts w:ascii="Bookman Old Style" w:hAnsi="Bookman Old Style" w:cs="Arial"/>
        </w:rPr>
        <w:t xml:space="preserve"> </w:t>
      </w:r>
      <w:r w:rsidR="008B04A9">
        <w:rPr>
          <w:rFonts w:ascii="Bookman Old Style" w:hAnsi="Bookman Old Style" w:cs="Arial"/>
        </w:rPr>
        <w:t>Kw</w:t>
      </w:r>
      <w:r w:rsidR="00BB1092">
        <w:rPr>
          <w:rFonts w:ascii="Bookman Old Style" w:hAnsi="Bookman Old Style" w:cs="Arial"/>
        </w:rPr>
        <w:t>h-día</w:t>
      </w:r>
      <w:r w:rsidR="008E10C2" w:rsidRPr="00C34340">
        <w:rPr>
          <w:rFonts w:ascii="Bookman Old Style" w:hAnsi="Bookman Old Style" w:cs="Arial"/>
        </w:rPr>
        <w:t xml:space="preserve"> fue asignada durante el proceso de subasta</w:t>
      </w:r>
      <w:r w:rsidR="008E10C2">
        <w:rPr>
          <w:rFonts w:ascii="Bookman Old Style" w:hAnsi="Bookman Old Style" w:cs="Arial"/>
        </w:rPr>
        <w:t xml:space="preserve"> </w:t>
      </w:r>
      <w:r w:rsidR="008B04A9">
        <w:rPr>
          <w:rFonts w:ascii="Bookman Old Style" w:hAnsi="Bookman Old Style" w:cs="Arial"/>
        </w:rPr>
        <w:t>del Cargo por Confiabilidad</w:t>
      </w:r>
      <w:r w:rsidR="008E10C2" w:rsidRPr="00C34340">
        <w:rPr>
          <w:rFonts w:ascii="Bookman Old Style" w:hAnsi="Bookman Old Style" w:cs="Arial"/>
        </w:rPr>
        <w:t xml:space="preserve"> llevada a cabo </w:t>
      </w:r>
      <w:r w:rsidR="005B280E">
        <w:rPr>
          <w:rFonts w:ascii="Bookman Old Style" w:hAnsi="Bookman Old Style" w:cs="Arial"/>
        </w:rPr>
        <w:t xml:space="preserve">en </w:t>
      </w:r>
      <w:r w:rsidR="008E10C2" w:rsidRPr="00C34340">
        <w:rPr>
          <w:rFonts w:ascii="Bookman Old Style" w:hAnsi="Bookman Old Style" w:cs="Arial"/>
        </w:rPr>
        <w:t>el año 2</w:t>
      </w:r>
      <w:r w:rsidR="008B04A9">
        <w:rPr>
          <w:rFonts w:ascii="Bookman Old Style" w:hAnsi="Bookman Old Style" w:cs="Arial"/>
        </w:rPr>
        <w:t>019</w:t>
      </w:r>
      <w:r w:rsidR="008E10C2" w:rsidRPr="00C34340">
        <w:rPr>
          <w:rFonts w:ascii="Bookman Old Style" w:hAnsi="Bookman Old Style" w:cs="Arial"/>
        </w:rPr>
        <w:t xml:space="preserve"> para el período de vigencia de la obligación 20</w:t>
      </w:r>
      <w:r w:rsidR="008B04A9">
        <w:rPr>
          <w:rFonts w:ascii="Bookman Old Style" w:hAnsi="Bookman Old Style" w:cs="Arial"/>
        </w:rPr>
        <w:t>22-20</w:t>
      </w:r>
      <w:r w:rsidR="003F76CB">
        <w:rPr>
          <w:rFonts w:ascii="Bookman Old Style" w:hAnsi="Bookman Old Style" w:cs="Arial"/>
        </w:rPr>
        <w:t>23</w:t>
      </w:r>
      <w:r w:rsidR="008E10C2" w:rsidRPr="00C34340">
        <w:rPr>
          <w:rFonts w:ascii="Bookman Old Style" w:hAnsi="Bookman Old Style" w:cs="Arial"/>
        </w:rPr>
        <w:t>, con fecha de inicio de período de vigencia de la obligación, IPVO, diciembre 1 de 20</w:t>
      </w:r>
      <w:r w:rsidR="008B04A9">
        <w:rPr>
          <w:rFonts w:ascii="Bookman Old Style" w:hAnsi="Bookman Old Style" w:cs="Arial"/>
        </w:rPr>
        <w:t>22</w:t>
      </w:r>
      <w:r w:rsidR="003F76CB">
        <w:rPr>
          <w:rFonts w:ascii="Bookman Old Style" w:hAnsi="Bookman Old Style" w:cs="Arial"/>
        </w:rPr>
        <w:t>, y durante 20 años, conforme la regulación aplicable a las plantas nuevas que participan en la subasta, es decir, hasta el 30 de noviembre de 2042</w:t>
      </w:r>
      <w:r w:rsidR="008B04A9">
        <w:rPr>
          <w:rFonts w:ascii="Bookman Old Style" w:hAnsi="Bookman Old Style" w:cs="Arial"/>
        </w:rPr>
        <w:t>.</w:t>
      </w:r>
    </w:p>
    <w:p w14:paraId="38ED6BFA" w14:textId="6B19503B" w:rsidR="006E0111" w:rsidRDefault="006E0111" w:rsidP="008E10C2">
      <w:pPr>
        <w:ind w:left="0"/>
        <w:jc w:val="both"/>
        <w:rPr>
          <w:rFonts w:ascii="Bookman Old Style" w:hAnsi="Bookman Old Style" w:cs="Arial"/>
        </w:rPr>
      </w:pPr>
    </w:p>
    <w:p w14:paraId="456464AB" w14:textId="04205906" w:rsidR="008E10C2" w:rsidRDefault="006E0111" w:rsidP="008E10C2">
      <w:pPr>
        <w:ind w:left="0"/>
        <w:jc w:val="both"/>
        <w:rPr>
          <w:rFonts w:ascii="Bookman Old Style" w:hAnsi="Bookman Old Style" w:cs="Arial"/>
        </w:rPr>
      </w:pPr>
      <w:r>
        <w:rPr>
          <w:rFonts w:ascii="Bookman Old Style" w:hAnsi="Bookman Old Style" w:cs="Arial"/>
        </w:rPr>
        <w:t xml:space="preserve">Siguiendo con el análisis de la obligación de </w:t>
      </w:r>
      <w:r w:rsidRPr="006E0111">
        <w:rPr>
          <w:rFonts w:ascii="Bookman Old Style" w:hAnsi="Bookman Old Style" w:cs="Arial"/>
        </w:rPr>
        <w:t>dar cumplimiento al cronograma de construcción o repotenciación de la planta y la Curva S</w:t>
      </w:r>
      <w:r>
        <w:rPr>
          <w:rFonts w:ascii="Bookman Old Style" w:hAnsi="Bookman Old Style" w:cs="Arial"/>
        </w:rPr>
        <w:t>, se observa que su exigibilidad se hace</w:t>
      </w:r>
      <w:r w:rsidR="008E10C2">
        <w:rPr>
          <w:rFonts w:ascii="Bookman Old Style" w:hAnsi="Bookman Old Style" w:cs="Arial"/>
        </w:rPr>
        <w:t xml:space="preserve"> considera</w:t>
      </w:r>
      <w:r w:rsidR="00821B90">
        <w:rPr>
          <w:rFonts w:ascii="Bookman Old Style" w:hAnsi="Bookman Old Style" w:cs="Arial"/>
        </w:rPr>
        <w:t>n</w:t>
      </w:r>
      <w:r w:rsidR="008E10C2">
        <w:rPr>
          <w:rFonts w:ascii="Bookman Old Style" w:hAnsi="Bookman Old Style" w:cs="Arial"/>
        </w:rPr>
        <w:t xml:space="preserve">do </w:t>
      </w:r>
      <w:r w:rsidR="008E10C2" w:rsidRPr="00FE206D">
        <w:rPr>
          <w:rFonts w:ascii="Bookman Old Style" w:hAnsi="Bookman Old Style" w:cs="Arial"/>
        </w:rPr>
        <w:t>el porcentaje estimado de avance del proyecto durante el tiempo de ejecución y el tiempo trascurrido</w:t>
      </w:r>
      <w:r w:rsidR="00BB1092">
        <w:rPr>
          <w:rFonts w:ascii="Bookman Old Style" w:hAnsi="Bookman Old Style" w:cs="Arial"/>
        </w:rPr>
        <w:t>,</w:t>
      </w:r>
      <w:r w:rsidR="008E10C2">
        <w:rPr>
          <w:rFonts w:ascii="Bookman Old Style" w:hAnsi="Bookman Old Style" w:cs="Arial"/>
        </w:rPr>
        <w:t xml:space="preserve"> teniendo como referencia de tiempo </w:t>
      </w:r>
      <w:r w:rsidR="00BB1092">
        <w:rPr>
          <w:rFonts w:ascii="Bookman Old Style" w:hAnsi="Bookman Old Style" w:cs="Arial"/>
        </w:rPr>
        <w:t xml:space="preserve">máximo </w:t>
      </w:r>
      <w:r w:rsidR="008E10C2">
        <w:rPr>
          <w:rFonts w:ascii="Bookman Old Style" w:hAnsi="Bookman Old Style" w:cs="Arial"/>
        </w:rPr>
        <w:t>de ejecución hasta el inicio del período de vigencia de la obligación y un año más, siendo relevantes para esto los conceptos de “atraso” y/o “retraso” a que hace referencia la regulación frente a su incumplimiento y sus consecuencias</w:t>
      </w:r>
      <w:r w:rsidR="008E10C2" w:rsidRPr="00FE206D">
        <w:rPr>
          <w:rFonts w:ascii="Bookman Old Style" w:hAnsi="Bookman Old Style" w:cs="Arial"/>
        </w:rPr>
        <w:t>.</w:t>
      </w:r>
      <w:r w:rsidR="008E10C2">
        <w:rPr>
          <w:rFonts w:ascii="Bookman Old Style" w:hAnsi="Bookman Old Style" w:cs="Arial"/>
        </w:rPr>
        <w:t xml:space="preserve"> Dicha circunstancia permite establecer que</w:t>
      </w:r>
      <w:r w:rsidR="003F76CB">
        <w:rPr>
          <w:rFonts w:ascii="Bookman Old Style" w:hAnsi="Bookman Old Style" w:cs="Arial"/>
        </w:rPr>
        <w:t>,</w:t>
      </w:r>
      <w:r w:rsidR="008E10C2">
        <w:rPr>
          <w:rFonts w:ascii="Bookman Old Style" w:hAnsi="Bookman Old Style" w:cs="Arial"/>
        </w:rPr>
        <w:t xml:space="preserve"> para el caso de esta obligación</w:t>
      </w:r>
      <w:r w:rsidR="00BB1092">
        <w:rPr>
          <w:rFonts w:ascii="Bookman Old Style" w:hAnsi="Bookman Old Style" w:cs="Arial"/>
        </w:rPr>
        <w:t>,</w:t>
      </w:r>
      <w:r w:rsidR="008E10C2">
        <w:rPr>
          <w:rFonts w:ascii="Bookman Old Style" w:hAnsi="Bookman Old Style" w:cs="Arial"/>
        </w:rPr>
        <w:t xml:space="preserve"> a diferencia de las anteriores, es una obligación pura y simple, pero de tracto sucesivo, es decir, nace a la vida jurídica al momento de la asignación de la subasta</w:t>
      </w:r>
      <w:r w:rsidR="00821B90">
        <w:rPr>
          <w:rFonts w:ascii="Bookman Old Style" w:hAnsi="Bookman Old Style" w:cs="Arial"/>
        </w:rPr>
        <w:t xml:space="preserve"> del Cargo por </w:t>
      </w:r>
      <w:r w:rsidR="00001A29">
        <w:rPr>
          <w:rFonts w:ascii="Bookman Old Style" w:hAnsi="Bookman Old Style" w:cs="Arial"/>
        </w:rPr>
        <w:t>Confiablidad</w:t>
      </w:r>
      <w:r w:rsidR="008E10C2">
        <w:rPr>
          <w:rFonts w:ascii="Bookman Old Style" w:hAnsi="Bookman Old Style" w:cs="Arial"/>
        </w:rPr>
        <w:t xml:space="preserve">, pero su exigibilidad y cumplimiento se va dando periódicamente.  </w:t>
      </w:r>
    </w:p>
    <w:p w14:paraId="3776C92A" w14:textId="77777777" w:rsidR="008E10C2" w:rsidRDefault="008E10C2" w:rsidP="008E10C2">
      <w:pPr>
        <w:ind w:left="0"/>
        <w:jc w:val="both"/>
        <w:rPr>
          <w:rFonts w:ascii="Bookman Old Style" w:hAnsi="Bookman Old Style" w:cs="Arial"/>
        </w:rPr>
      </w:pPr>
    </w:p>
    <w:p w14:paraId="7F1A6804" w14:textId="77777777" w:rsidR="008E10C2" w:rsidRDefault="008E10C2" w:rsidP="008E10C2">
      <w:pPr>
        <w:ind w:left="0"/>
        <w:jc w:val="both"/>
        <w:rPr>
          <w:rFonts w:ascii="Bookman Old Style" w:hAnsi="Bookman Old Style" w:cs="Arial"/>
        </w:rPr>
      </w:pPr>
    </w:p>
    <w:p w14:paraId="3315646E" w14:textId="6803F0E7" w:rsidR="008E10C2" w:rsidRDefault="008E10C2" w:rsidP="008E10C2">
      <w:pPr>
        <w:numPr>
          <w:ilvl w:val="0"/>
          <w:numId w:val="29"/>
        </w:numPr>
        <w:rPr>
          <w:rFonts w:ascii="Bookman Old Style" w:hAnsi="Bookman Old Style"/>
          <w:b/>
        </w:rPr>
      </w:pPr>
      <w:r>
        <w:rPr>
          <w:rFonts w:ascii="Bookman Old Style" w:hAnsi="Bookman Old Style"/>
          <w:b/>
        </w:rPr>
        <w:t>Análisis de incumplimiento de las OEF</w:t>
      </w:r>
    </w:p>
    <w:p w14:paraId="0E854BFB" w14:textId="77777777" w:rsidR="008E10C2" w:rsidRDefault="008E10C2" w:rsidP="008E10C2">
      <w:pPr>
        <w:ind w:left="0"/>
        <w:rPr>
          <w:rFonts w:ascii="Bookman Old Style" w:hAnsi="Bookman Old Style"/>
          <w:b/>
        </w:rPr>
      </w:pPr>
    </w:p>
    <w:p w14:paraId="2AC08CAA" w14:textId="5107EA52" w:rsidR="008E10C2" w:rsidRDefault="008E10C2" w:rsidP="008E10C2">
      <w:pPr>
        <w:numPr>
          <w:ilvl w:val="1"/>
          <w:numId w:val="29"/>
        </w:numPr>
        <w:rPr>
          <w:rFonts w:ascii="Bookman Old Style" w:hAnsi="Bookman Old Style"/>
          <w:b/>
        </w:rPr>
      </w:pPr>
      <w:r>
        <w:rPr>
          <w:rFonts w:ascii="Bookman Old Style" w:hAnsi="Bookman Old Style"/>
          <w:b/>
        </w:rPr>
        <w:t>I</w:t>
      </w:r>
      <w:r w:rsidRPr="00496B75">
        <w:rPr>
          <w:rFonts w:ascii="Bookman Old Style" w:hAnsi="Bookman Old Style"/>
          <w:b/>
        </w:rPr>
        <w:t xml:space="preserve">ncumplimiento </w:t>
      </w:r>
      <w:r>
        <w:rPr>
          <w:rFonts w:ascii="Bookman Old Style" w:hAnsi="Bookman Old Style"/>
          <w:b/>
        </w:rPr>
        <w:t xml:space="preserve">de las OEF con IPVO </w:t>
      </w:r>
      <w:r w:rsidRPr="00496B75">
        <w:rPr>
          <w:rFonts w:ascii="Bookman Old Style" w:hAnsi="Bookman Old Style"/>
          <w:b/>
        </w:rPr>
        <w:t>20</w:t>
      </w:r>
      <w:r w:rsidR="00C96513">
        <w:rPr>
          <w:rFonts w:ascii="Bookman Old Style" w:hAnsi="Bookman Old Style"/>
          <w:b/>
        </w:rPr>
        <w:t>22</w:t>
      </w:r>
    </w:p>
    <w:p w14:paraId="2116A8D3" w14:textId="7D57776C" w:rsidR="00C96513" w:rsidRDefault="00C96513" w:rsidP="00C96513">
      <w:pPr>
        <w:ind w:left="792"/>
        <w:rPr>
          <w:rFonts w:ascii="Bookman Old Style" w:hAnsi="Bookman Old Style"/>
          <w:b/>
        </w:rPr>
      </w:pPr>
    </w:p>
    <w:p w14:paraId="1F8D6319" w14:textId="7A3DB0D2" w:rsidR="00C96513" w:rsidRDefault="00C96513" w:rsidP="000101A4">
      <w:pPr>
        <w:ind w:left="0"/>
        <w:jc w:val="both"/>
        <w:rPr>
          <w:rFonts w:ascii="Bookman Old Style" w:hAnsi="Bookman Old Style"/>
          <w:bCs/>
        </w:rPr>
      </w:pPr>
      <w:r w:rsidRPr="00712333">
        <w:rPr>
          <w:rFonts w:ascii="Bookman Old Style" w:hAnsi="Bookman Old Style"/>
          <w:bCs/>
        </w:rPr>
        <w:t>Mediante informe</w:t>
      </w:r>
      <w:r w:rsidR="00DE5C6C">
        <w:rPr>
          <w:rFonts w:ascii="Bookman Old Style" w:hAnsi="Bookman Old Style"/>
          <w:bCs/>
        </w:rPr>
        <w:t>,</w:t>
      </w:r>
      <w:r w:rsidRPr="00712333">
        <w:rPr>
          <w:rFonts w:ascii="Bookman Old Style" w:hAnsi="Bookman Old Style"/>
          <w:bCs/>
        </w:rPr>
        <w:t xml:space="preserve"> el auditor ETSA Estudios Té</w:t>
      </w:r>
      <w:r w:rsidR="00C91C0C">
        <w:rPr>
          <w:rFonts w:ascii="Bookman Old Style" w:hAnsi="Bookman Old Style"/>
          <w:bCs/>
        </w:rPr>
        <w:t>c</w:t>
      </w:r>
      <w:r w:rsidRPr="00712333">
        <w:rPr>
          <w:rFonts w:ascii="Bookman Old Style" w:hAnsi="Bookman Old Style"/>
          <w:bCs/>
        </w:rPr>
        <w:t>nicos,</w:t>
      </w:r>
      <w:r>
        <w:rPr>
          <w:rFonts w:ascii="Bookman Old Style" w:hAnsi="Bookman Old Style"/>
          <w:bCs/>
        </w:rPr>
        <w:t xml:space="preserve"> concluyó que en la construcción del proyecto </w:t>
      </w:r>
      <w:r w:rsidR="006651DE">
        <w:rPr>
          <w:rFonts w:ascii="Bookman Old Style" w:hAnsi="Bookman Old Style"/>
          <w:bCs/>
        </w:rPr>
        <w:t xml:space="preserve">hidroeléctrico Miel II </w:t>
      </w:r>
      <w:r>
        <w:rPr>
          <w:rFonts w:ascii="Bookman Old Style" w:hAnsi="Bookman Old Style"/>
          <w:bCs/>
        </w:rPr>
        <w:t>se presenta un retraso de</w:t>
      </w:r>
      <w:r w:rsidR="00F85C54">
        <w:rPr>
          <w:rFonts w:ascii="Bookman Old Style" w:hAnsi="Bookman Old Style"/>
          <w:bCs/>
        </w:rPr>
        <w:t xml:space="preserve"> 7</w:t>
      </w:r>
      <w:r w:rsidR="007A3A09">
        <w:rPr>
          <w:rFonts w:ascii="Bookman Old Style" w:hAnsi="Bookman Old Style"/>
          <w:bCs/>
        </w:rPr>
        <w:t>3</w:t>
      </w:r>
      <w:r w:rsidR="00F85C54">
        <w:rPr>
          <w:rFonts w:ascii="Bookman Old Style" w:hAnsi="Bookman Old Style"/>
          <w:bCs/>
        </w:rPr>
        <w:t>1 días respecto del</w:t>
      </w:r>
      <w:r w:rsidR="009269C5">
        <w:rPr>
          <w:rFonts w:ascii="Bookman Old Style" w:hAnsi="Bookman Old Style"/>
          <w:bCs/>
        </w:rPr>
        <w:t xml:space="preserve"> Inicio de P</w:t>
      </w:r>
      <w:r w:rsidR="00321FD1">
        <w:rPr>
          <w:rFonts w:ascii="Bookman Old Style" w:hAnsi="Bookman Old Style"/>
          <w:bCs/>
        </w:rPr>
        <w:t>eríodo</w:t>
      </w:r>
      <w:r w:rsidR="009269C5">
        <w:rPr>
          <w:rFonts w:ascii="Bookman Old Style" w:hAnsi="Bookman Old Style"/>
          <w:bCs/>
        </w:rPr>
        <w:t xml:space="preserve"> de Vigencia de la Obligación</w:t>
      </w:r>
      <w:r w:rsidR="00F85C54">
        <w:rPr>
          <w:rFonts w:ascii="Bookman Old Style" w:hAnsi="Bookman Old Style"/>
          <w:bCs/>
        </w:rPr>
        <w:t xml:space="preserve"> </w:t>
      </w:r>
      <w:r w:rsidR="009269C5">
        <w:rPr>
          <w:rFonts w:ascii="Bookman Old Style" w:hAnsi="Bookman Old Style"/>
          <w:bCs/>
        </w:rPr>
        <w:t>-</w:t>
      </w:r>
      <w:r w:rsidR="00F85C54">
        <w:rPr>
          <w:rFonts w:ascii="Bookman Old Style" w:hAnsi="Bookman Old Style"/>
          <w:bCs/>
        </w:rPr>
        <w:t>IPVO</w:t>
      </w:r>
      <w:r w:rsidR="009269C5">
        <w:rPr>
          <w:rFonts w:ascii="Bookman Old Style" w:hAnsi="Bookman Old Style"/>
          <w:bCs/>
        </w:rPr>
        <w:t>-</w:t>
      </w:r>
      <w:r w:rsidR="00F85C54">
        <w:rPr>
          <w:rFonts w:ascii="Bookman Old Style" w:hAnsi="Bookman Old Style"/>
          <w:bCs/>
        </w:rPr>
        <w:t xml:space="preserve"> (</w:t>
      </w:r>
      <w:r w:rsidR="000101A4">
        <w:rPr>
          <w:rFonts w:ascii="Bookman Old Style" w:hAnsi="Bookman Old Style"/>
          <w:bCs/>
        </w:rPr>
        <w:t>1 de diciembre</w:t>
      </w:r>
      <w:r w:rsidR="00F85C54">
        <w:rPr>
          <w:rFonts w:ascii="Bookman Old Style" w:hAnsi="Bookman Old Style"/>
          <w:bCs/>
        </w:rPr>
        <w:t xml:space="preserve"> 2022).</w:t>
      </w:r>
    </w:p>
    <w:p w14:paraId="2A5AE921" w14:textId="7CAE7253" w:rsidR="00F85C54" w:rsidRDefault="00F85C54" w:rsidP="000101A4">
      <w:pPr>
        <w:ind w:left="0"/>
        <w:jc w:val="both"/>
        <w:rPr>
          <w:rFonts w:ascii="Bookman Old Style" w:hAnsi="Bookman Old Style"/>
          <w:bCs/>
        </w:rPr>
      </w:pPr>
    </w:p>
    <w:p w14:paraId="4B64C41A" w14:textId="275FB440" w:rsidR="00F85C54" w:rsidRPr="00712333" w:rsidRDefault="00F85C54" w:rsidP="000101A4">
      <w:pPr>
        <w:ind w:left="0"/>
        <w:jc w:val="both"/>
        <w:rPr>
          <w:rFonts w:ascii="Bookman Old Style" w:hAnsi="Bookman Old Style"/>
          <w:bCs/>
        </w:rPr>
      </w:pPr>
      <w:r>
        <w:rPr>
          <w:rFonts w:ascii="Bookman Old Style" w:hAnsi="Bookman Old Style"/>
          <w:bCs/>
        </w:rPr>
        <w:t>Dentro de la actuación administrativa</w:t>
      </w:r>
      <w:r w:rsidR="006651DE">
        <w:rPr>
          <w:rFonts w:ascii="Bookman Old Style" w:hAnsi="Bookman Old Style"/>
          <w:bCs/>
        </w:rPr>
        <w:t>,</w:t>
      </w:r>
      <w:r>
        <w:rPr>
          <w:rFonts w:ascii="Bookman Old Style" w:hAnsi="Bookman Old Style"/>
          <w:bCs/>
        </w:rPr>
        <w:t xml:space="preserve"> habi</w:t>
      </w:r>
      <w:r w:rsidR="006651DE">
        <w:rPr>
          <w:rFonts w:ascii="Bookman Old Style" w:hAnsi="Bookman Old Style"/>
          <w:bCs/>
        </w:rPr>
        <w:t>endo</w:t>
      </w:r>
      <w:r>
        <w:rPr>
          <w:rFonts w:ascii="Bookman Old Style" w:hAnsi="Bookman Old Style"/>
          <w:bCs/>
        </w:rPr>
        <w:t xml:space="preserve"> dado traslado a Promotora Energética de Centro S</w:t>
      </w:r>
      <w:r w:rsidR="003F76CB">
        <w:rPr>
          <w:rFonts w:ascii="Bookman Old Style" w:hAnsi="Bookman Old Style"/>
          <w:bCs/>
        </w:rPr>
        <w:t>.</w:t>
      </w:r>
      <w:r>
        <w:rPr>
          <w:rFonts w:ascii="Bookman Old Style" w:hAnsi="Bookman Old Style"/>
          <w:bCs/>
        </w:rPr>
        <w:t>A</w:t>
      </w:r>
      <w:r w:rsidR="003F76CB">
        <w:rPr>
          <w:rFonts w:ascii="Bookman Old Style" w:hAnsi="Bookman Old Style"/>
          <w:bCs/>
        </w:rPr>
        <w:t>.</w:t>
      </w:r>
      <w:r>
        <w:rPr>
          <w:rFonts w:ascii="Bookman Old Style" w:hAnsi="Bookman Old Style"/>
          <w:bCs/>
        </w:rPr>
        <w:t>S</w:t>
      </w:r>
      <w:r w:rsidR="003F76CB">
        <w:rPr>
          <w:rFonts w:ascii="Bookman Old Style" w:hAnsi="Bookman Old Style"/>
          <w:bCs/>
        </w:rPr>
        <w:t>.</w:t>
      </w:r>
      <w:r>
        <w:rPr>
          <w:rFonts w:ascii="Bookman Old Style" w:hAnsi="Bookman Old Style"/>
          <w:bCs/>
        </w:rPr>
        <w:t xml:space="preserve"> E</w:t>
      </w:r>
      <w:r w:rsidR="003F76CB">
        <w:rPr>
          <w:rFonts w:ascii="Bookman Old Style" w:hAnsi="Bookman Old Style"/>
          <w:bCs/>
        </w:rPr>
        <w:t>.</w:t>
      </w:r>
      <w:r>
        <w:rPr>
          <w:rFonts w:ascii="Bookman Old Style" w:hAnsi="Bookman Old Style"/>
          <w:bCs/>
        </w:rPr>
        <w:t>S</w:t>
      </w:r>
      <w:r w:rsidR="003F76CB">
        <w:rPr>
          <w:rFonts w:ascii="Bookman Old Style" w:hAnsi="Bookman Old Style"/>
          <w:bCs/>
        </w:rPr>
        <w:t>.</w:t>
      </w:r>
      <w:r>
        <w:rPr>
          <w:rFonts w:ascii="Bookman Old Style" w:hAnsi="Bookman Old Style"/>
          <w:bCs/>
        </w:rPr>
        <w:t>P</w:t>
      </w:r>
      <w:r w:rsidR="003F76CB">
        <w:rPr>
          <w:rFonts w:ascii="Bookman Old Style" w:hAnsi="Bookman Old Style"/>
          <w:bCs/>
        </w:rPr>
        <w:t>.</w:t>
      </w:r>
      <w:r>
        <w:rPr>
          <w:rFonts w:ascii="Bookman Old Style" w:hAnsi="Bookman Old Style"/>
          <w:bCs/>
        </w:rPr>
        <w:t xml:space="preserve"> del informe de auditoría, el mismo no fue </w:t>
      </w:r>
      <w:r w:rsidR="00574073">
        <w:rPr>
          <w:rFonts w:ascii="Bookman Old Style" w:hAnsi="Bookman Old Style"/>
          <w:bCs/>
        </w:rPr>
        <w:t>controvertido</w:t>
      </w:r>
      <w:r>
        <w:rPr>
          <w:rFonts w:ascii="Bookman Old Style" w:hAnsi="Bookman Old Style"/>
          <w:bCs/>
        </w:rPr>
        <w:t>, ni tampoco fue solicitada por parte de este agente la p</w:t>
      </w:r>
      <w:r w:rsidR="00F076B1">
        <w:rPr>
          <w:rFonts w:ascii="Bookman Old Style" w:hAnsi="Bookman Old Style"/>
          <w:bCs/>
        </w:rPr>
        <w:t>ráctica</w:t>
      </w:r>
      <w:r>
        <w:rPr>
          <w:rFonts w:ascii="Bookman Old Style" w:hAnsi="Bookman Old Style"/>
          <w:bCs/>
        </w:rPr>
        <w:t xml:space="preserve"> de ninguna prueba.</w:t>
      </w:r>
    </w:p>
    <w:p w14:paraId="37E11D3D" w14:textId="77777777" w:rsidR="008E10C2" w:rsidRDefault="008E10C2" w:rsidP="000101A4">
      <w:pPr>
        <w:ind w:left="0"/>
        <w:jc w:val="both"/>
        <w:rPr>
          <w:rFonts w:ascii="Bookman Old Style" w:hAnsi="Bookman Old Style"/>
          <w:b/>
        </w:rPr>
      </w:pPr>
    </w:p>
    <w:p w14:paraId="522B91F0" w14:textId="04F32912" w:rsidR="008E10C2" w:rsidRDefault="00271AB9" w:rsidP="008E10C2">
      <w:pPr>
        <w:ind w:left="0"/>
        <w:jc w:val="both"/>
        <w:rPr>
          <w:rFonts w:ascii="Bookman Old Style" w:hAnsi="Bookman Old Style" w:cs="Arial"/>
          <w:bCs/>
        </w:rPr>
      </w:pPr>
      <w:r>
        <w:rPr>
          <w:rFonts w:ascii="Bookman Old Style" w:hAnsi="Bookman Old Style" w:cs="Arial"/>
          <w:bCs/>
        </w:rPr>
        <w:t>E</w:t>
      </w:r>
      <w:r w:rsidR="008E10C2">
        <w:rPr>
          <w:rFonts w:ascii="Bookman Old Style" w:hAnsi="Bookman Old Style" w:cs="Arial"/>
          <w:bCs/>
        </w:rPr>
        <w:t xml:space="preserve">sta Comisión cuenta </w:t>
      </w:r>
      <w:r>
        <w:rPr>
          <w:rFonts w:ascii="Bookman Old Style" w:hAnsi="Bookman Old Style" w:cs="Arial"/>
          <w:bCs/>
        </w:rPr>
        <w:t xml:space="preserve">entonces </w:t>
      </w:r>
      <w:r w:rsidR="008E10C2">
        <w:rPr>
          <w:rFonts w:ascii="Bookman Old Style" w:hAnsi="Bookman Old Style" w:cs="Arial"/>
          <w:bCs/>
        </w:rPr>
        <w:t xml:space="preserve">con elementos de prueba necesarios </w:t>
      </w:r>
      <w:r>
        <w:rPr>
          <w:rFonts w:ascii="Bookman Old Style" w:hAnsi="Bookman Old Style" w:cs="Arial"/>
          <w:bCs/>
        </w:rPr>
        <w:t xml:space="preserve">para </w:t>
      </w:r>
      <w:r w:rsidR="008E10C2" w:rsidRPr="00A01035">
        <w:rPr>
          <w:rFonts w:ascii="Bookman Old Style" w:hAnsi="Bookman Old Style" w:cs="Arial"/>
          <w:bCs/>
        </w:rPr>
        <w:t xml:space="preserve">establecer plenamente la existencia del incumplimiento grave e insalvable del proyecto hidroeléctrico </w:t>
      </w:r>
      <w:r w:rsidR="00F85C54">
        <w:rPr>
          <w:rFonts w:ascii="Bookman Old Style" w:hAnsi="Bookman Old Style" w:cs="Arial"/>
          <w:bCs/>
        </w:rPr>
        <w:t>Miel II</w:t>
      </w:r>
      <w:r w:rsidR="008E10C2" w:rsidRPr="00A01035">
        <w:rPr>
          <w:rFonts w:ascii="Bookman Old Style" w:hAnsi="Bookman Old Style" w:cs="Arial"/>
          <w:bCs/>
        </w:rPr>
        <w:t>, y determinar las consecuencias respecto de las obligaciones de energía firme asignadas con inicio de vigencia del p</w:t>
      </w:r>
      <w:r w:rsidR="00321FD1">
        <w:rPr>
          <w:rFonts w:ascii="Bookman Old Style" w:hAnsi="Bookman Old Style" w:cs="Arial"/>
          <w:bCs/>
        </w:rPr>
        <w:t>eríodo</w:t>
      </w:r>
      <w:r w:rsidR="008E10C2" w:rsidRPr="00A01035">
        <w:rPr>
          <w:rFonts w:ascii="Bookman Old Style" w:hAnsi="Bookman Old Style" w:cs="Arial"/>
          <w:bCs/>
        </w:rPr>
        <w:t xml:space="preserve"> de la obligación </w:t>
      </w:r>
      <w:r>
        <w:rPr>
          <w:rFonts w:ascii="Bookman Old Style" w:hAnsi="Bookman Old Style" w:cs="Arial"/>
          <w:bCs/>
        </w:rPr>
        <w:t xml:space="preserve">en </w:t>
      </w:r>
      <w:r w:rsidR="008E10C2" w:rsidRPr="00A01035">
        <w:rPr>
          <w:rFonts w:ascii="Bookman Old Style" w:hAnsi="Bookman Old Style" w:cs="Arial"/>
          <w:bCs/>
        </w:rPr>
        <w:t>el año 20</w:t>
      </w:r>
      <w:r w:rsidR="00F85C54">
        <w:rPr>
          <w:rFonts w:ascii="Bookman Old Style" w:hAnsi="Bookman Old Style" w:cs="Arial"/>
          <w:bCs/>
        </w:rPr>
        <w:t>22</w:t>
      </w:r>
      <w:r>
        <w:rPr>
          <w:rFonts w:ascii="Bookman Old Style" w:hAnsi="Bookman Old Style" w:cs="Arial"/>
          <w:bCs/>
        </w:rPr>
        <w:t>.</w:t>
      </w:r>
    </w:p>
    <w:p w14:paraId="6C8A89CA" w14:textId="77777777" w:rsidR="008E10C2" w:rsidRDefault="008E10C2" w:rsidP="008E10C2">
      <w:pPr>
        <w:ind w:left="0"/>
        <w:jc w:val="both"/>
        <w:rPr>
          <w:rFonts w:ascii="Bookman Old Style" w:hAnsi="Bookman Old Style" w:cs="Arial"/>
          <w:bCs/>
        </w:rPr>
      </w:pPr>
    </w:p>
    <w:p w14:paraId="19D4EFEA" w14:textId="41C0DA5A" w:rsidR="008E10C2" w:rsidRDefault="008E10C2" w:rsidP="008E10C2">
      <w:pPr>
        <w:ind w:left="0"/>
        <w:jc w:val="both"/>
        <w:rPr>
          <w:rFonts w:ascii="Bookman Old Style" w:hAnsi="Bookman Old Style" w:cs="Arial"/>
          <w:bCs/>
        </w:rPr>
      </w:pPr>
      <w:r>
        <w:rPr>
          <w:rFonts w:ascii="Bookman Old Style" w:hAnsi="Bookman Old Style" w:cs="Arial"/>
          <w:bCs/>
        </w:rPr>
        <w:t xml:space="preserve">De acuerdo con esto, teniendo en cuenta que la presente actuación administrativa se adelanta con el fin de </w:t>
      </w:r>
      <w:r w:rsidRPr="005D57BB">
        <w:rPr>
          <w:rFonts w:ascii="Bookman Old Style" w:hAnsi="Bookman Old Style" w:cs="Arial"/>
          <w:bCs/>
        </w:rPr>
        <w:t xml:space="preserve">establecer plenamente la existencia del incumplimiento grave e insalvable del proyecto hidroeléctrico </w:t>
      </w:r>
      <w:r w:rsidR="00F85C54">
        <w:rPr>
          <w:rFonts w:ascii="Bookman Old Style" w:hAnsi="Bookman Old Style" w:cs="Arial"/>
          <w:bCs/>
        </w:rPr>
        <w:t>Miel II</w:t>
      </w:r>
      <w:r w:rsidRPr="005D57BB">
        <w:rPr>
          <w:rFonts w:ascii="Bookman Old Style" w:hAnsi="Bookman Old Style" w:cs="Arial"/>
          <w:bCs/>
        </w:rPr>
        <w:t>, y determinar las consecuencias respecto de las obligaciones de energía firme asignad</w:t>
      </w:r>
      <w:r>
        <w:rPr>
          <w:rFonts w:ascii="Bookman Old Style" w:hAnsi="Bookman Old Style" w:cs="Arial"/>
          <w:bCs/>
        </w:rPr>
        <w:t>as con inicio de vigencia 20</w:t>
      </w:r>
      <w:r w:rsidR="00F85C54">
        <w:rPr>
          <w:rFonts w:ascii="Bookman Old Style" w:hAnsi="Bookman Old Style" w:cs="Arial"/>
          <w:bCs/>
        </w:rPr>
        <w:t>22</w:t>
      </w:r>
      <w:r>
        <w:rPr>
          <w:rFonts w:ascii="Bookman Old Style" w:hAnsi="Bookman Old Style" w:cs="Arial"/>
          <w:bCs/>
        </w:rPr>
        <w:t xml:space="preserve">, le corresponde a esta Comisión en la presente actuación </w:t>
      </w:r>
      <w:r w:rsidR="00A74647">
        <w:rPr>
          <w:rFonts w:ascii="Bookman Old Style" w:hAnsi="Bookman Old Style" w:cs="Arial"/>
          <w:bCs/>
        </w:rPr>
        <w:t xml:space="preserve">establecer plenamente </w:t>
      </w:r>
      <w:r>
        <w:rPr>
          <w:rFonts w:ascii="Bookman Old Style" w:hAnsi="Bookman Old Style" w:cs="Arial"/>
          <w:bCs/>
        </w:rPr>
        <w:t xml:space="preserve">la existencia de los siguientes eventos:  </w:t>
      </w:r>
    </w:p>
    <w:p w14:paraId="19049C48" w14:textId="77777777" w:rsidR="0030591F" w:rsidRDefault="0030591F" w:rsidP="008E10C2">
      <w:pPr>
        <w:ind w:left="0"/>
        <w:jc w:val="both"/>
        <w:rPr>
          <w:rFonts w:ascii="Bookman Old Style" w:hAnsi="Bookman Old Style" w:cs="Arial"/>
          <w:bCs/>
        </w:rPr>
      </w:pPr>
    </w:p>
    <w:p w14:paraId="60EC3971" w14:textId="75AD11E8" w:rsidR="00782B1B" w:rsidRPr="00712333" w:rsidRDefault="008E10C2" w:rsidP="003F76CB">
      <w:pPr>
        <w:pStyle w:val="Prrafodelista"/>
        <w:numPr>
          <w:ilvl w:val="0"/>
          <w:numId w:val="35"/>
        </w:numPr>
        <w:ind w:left="426" w:hanging="284"/>
        <w:jc w:val="both"/>
        <w:rPr>
          <w:rFonts w:ascii="Bookman Old Style" w:hAnsi="Bookman Old Style" w:cs="Arial"/>
          <w:bCs/>
        </w:rPr>
      </w:pPr>
      <w:r w:rsidRPr="00712333">
        <w:rPr>
          <w:rFonts w:ascii="Bookman Old Style" w:hAnsi="Bookman Old Style" w:cs="Arial"/>
          <w:bCs/>
          <w:sz w:val="24"/>
        </w:rPr>
        <w:t>Que hay un atraso en el cronograma de construcción superior a un año respecto del IPVO, 1 diciembre de 20</w:t>
      </w:r>
      <w:r w:rsidR="00F85C54">
        <w:rPr>
          <w:rFonts w:ascii="Bookman Old Style" w:hAnsi="Bookman Old Style" w:cs="Arial"/>
          <w:bCs/>
          <w:sz w:val="24"/>
        </w:rPr>
        <w:t>22</w:t>
      </w:r>
      <w:r w:rsidRPr="00712333">
        <w:rPr>
          <w:rFonts w:ascii="Bookman Old Style" w:hAnsi="Bookman Old Style" w:cs="Arial"/>
          <w:bCs/>
          <w:sz w:val="24"/>
        </w:rPr>
        <w:t>;</w:t>
      </w:r>
      <w:r w:rsidR="00973DB9">
        <w:rPr>
          <w:rFonts w:ascii="Bookman Old Style" w:hAnsi="Bookman Old Style" w:cs="Arial"/>
          <w:bCs/>
          <w:sz w:val="24"/>
        </w:rPr>
        <w:t xml:space="preserve"> </w:t>
      </w:r>
      <w:r w:rsidR="00782B1B" w:rsidRPr="00712333">
        <w:rPr>
          <w:rFonts w:ascii="Bookman Old Style" w:hAnsi="Bookman Old Style" w:cs="Arial"/>
          <w:bCs/>
          <w:sz w:val="24"/>
        </w:rPr>
        <w:t>y</w:t>
      </w:r>
    </w:p>
    <w:p w14:paraId="4CBFD41F" w14:textId="2E79BB25" w:rsidR="00F85C54" w:rsidRPr="00712333" w:rsidRDefault="008E10C2" w:rsidP="003F76CB">
      <w:pPr>
        <w:pStyle w:val="Prrafodelista"/>
        <w:numPr>
          <w:ilvl w:val="0"/>
          <w:numId w:val="35"/>
        </w:numPr>
        <w:ind w:left="426" w:hanging="284"/>
        <w:jc w:val="both"/>
        <w:rPr>
          <w:rFonts w:ascii="Bookman Old Style" w:hAnsi="Bookman Old Style" w:cs="Arial"/>
          <w:bCs/>
        </w:rPr>
      </w:pPr>
      <w:r w:rsidRPr="00712333">
        <w:rPr>
          <w:rFonts w:ascii="Bookman Old Style" w:hAnsi="Bookman Old Style" w:cs="Arial"/>
          <w:bCs/>
          <w:sz w:val="24"/>
        </w:rPr>
        <w:t>Que la planta no entr</w:t>
      </w:r>
      <w:r w:rsidR="00F85C54" w:rsidRPr="00F85C54">
        <w:rPr>
          <w:rFonts w:ascii="Bookman Old Style" w:hAnsi="Bookman Old Style" w:cs="Arial"/>
          <w:bCs/>
          <w:sz w:val="24"/>
        </w:rPr>
        <w:t>ará</w:t>
      </w:r>
      <w:r w:rsidRPr="00712333">
        <w:rPr>
          <w:rFonts w:ascii="Bookman Old Style" w:hAnsi="Bookman Old Style" w:cs="Arial"/>
          <w:bCs/>
          <w:sz w:val="24"/>
        </w:rPr>
        <w:t xml:space="preserve"> en operación en la IPVO: 1 diciembre de 20</w:t>
      </w:r>
      <w:r w:rsidR="00F85C54">
        <w:rPr>
          <w:rFonts w:ascii="Bookman Old Style" w:hAnsi="Bookman Old Style" w:cs="Arial"/>
          <w:bCs/>
          <w:sz w:val="24"/>
        </w:rPr>
        <w:t>22.</w:t>
      </w:r>
    </w:p>
    <w:p w14:paraId="67E51DFF" w14:textId="39946824" w:rsidR="008E10C2" w:rsidRPr="00F85C54" w:rsidRDefault="008E10C2" w:rsidP="00712333">
      <w:pPr>
        <w:pStyle w:val="Prrafodelista"/>
        <w:ind w:left="1080"/>
        <w:jc w:val="both"/>
        <w:rPr>
          <w:rFonts w:ascii="Bookman Old Style" w:hAnsi="Bookman Old Style" w:cs="Arial"/>
          <w:bCs/>
        </w:rPr>
      </w:pPr>
      <w:r w:rsidRPr="00712333">
        <w:rPr>
          <w:rFonts w:ascii="Bookman Old Style" w:hAnsi="Bookman Old Style" w:cs="Arial"/>
          <w:bCs/>
          <w:sz w:val="24"/>
        </w:rPr>
        <w:t xml:space="preserve"> </w:t>
      </w:r>
    </w:p>
    <w:p w14:paraId="5BBCB68C" w14:textId="77777777" w:rsidR="008E10C2" w:rsidRPr="001266BC" w:rsidRDefault="008E10C2" w:rsidP="003F76CB">
      <w:pPr>
        <w:ind w:left="142"/>
        <w:jc w:val="both"/>
        <w:rPr>
          <w:rFonts w:ascii="Bookman Old Style" w:hAnsi="Bookman Old Style" w:cs="Arial"/>
          <w:i/>
        </w:rPr>
      </w:pPr>
      <w:r w:rsidRPr="001266BC">
        <w:rPr>
          <w:rFonts w:ascii="Bookman Old Style" w:hAnsi="Bookman Old Style" w:cs="Arial"/>
          <w:i/>
        </w:rPr>
        <w:t>“</w:t>
      </w:r>
      <w:r w:rsidRPr="001266BC">
        <w:rPr>
          <w:rFonts w:ascii="Bookman Old Style" w:hAnsi="Bookman Old Style" w:cs="Arial"/>
          <w:b/>
          <w:i/>
        </w:rPr>
        <w:t>Artículo 9. Efectos del incumplimiento del cronograma de construcción o de repotenciación, o de la puesta en operación de la planta</w:t>
      </w:r>
      <w:r w:rsidRPr="005D57BB">
        <w:rPr>
          <w:rFonts w:ascii="Bookman Old Style" w:hAnsi="Bookman Old Style" w:cs="Arial"/>
          <w:i/>
          <w:u w:val="single"/>
        </w:rPr>
        <w:t>. El incumplimiento de las obligaciones relacionadas con el cronograma de construcción o con la puesta en operación de la planta o unidad de generación producirá los siguientes efectos</w:t>
      </w:r>
      <w:r w:rsidRPr="001266BC">
        <w:rPr>
          <w:rFonts w:ascii="Bookman Old Style" w:hAnsi="Bookman Old Style" w:cs="Arial"/>
          <w:i/>
        </w:rPr>
        <w:t>:</w:t>
      </w:r>
    </w:p>
    <w:p w14:paraId="71B3FCD0" w14:textId="77777777" w:rsidR="008E10C2" w:rsidRPr="001266BC" w:rsidRDefault="008E10C2" w:rsidP="003F76CB">
      <w:pPr>
        <w:ind w:left="142"/>
        <w:jc w:val="both"/>
        <w:rPr>
          <w:rFonts w:ascii="Bookman Old Style" w:hAnsi="Bookman Old Style" w:cs="Arial"/>
          <w:i/>
        </w:rPr>
      </w:pPr>
      <w:r w:rsidRPr="001266BC">
        <w:rPr>
          <w:rFonts w:ascii="Bookman Old Style" w:hAnsi="Bookman Old Style" w:cs="Arial"/>
          <w:i/>
        </w:rPr>
        <w:t>1.</w:t>
      </w:r>
      <w:r w:rsidRPr="001266BC">
        <w:rPr>
          <w:rFonts w:ascii="Bookman Old Style" w:hAnsi="Bookman Old Style" w:cs="Arial"/>
          <w:i/>
        </w:rPr>
        <w:tab/>
        <w:t xml:space="preserve">La no presentación del cronograma de construcción (…). </w:t>
      </w:r>
    </w:p>
    <w:p w14:paraId="20F69D3E" w14:textId="77777777" w:rsidR="008E10C2" w:rsidRPr="001266BC" w:rsidRDefault="008E10C2" w:rsidP="003F76CB">
      <w:pPr>
        <w:ind w:left="142"/>
        <w:jc w:val="both"/>
        <w:rPr>
          <w:rFonts w:ascii="Bookman Old Style" w:hAnsi="Bookman Old Style" w:cs="Arial"/>
          <w:i/>
        </w:rPr>
      </w:pPr>
      <w:r w:rsidRPr="001266BC">
        <w:rPr>
          <w:rFonts w:ascii="Bookman Old Style" w:hAnsi="Bookman Old Style" w:cs="Arial"/>
          <w:i/>
        </w:rPr>
        <w:t>2.</w:t>
      </w:r>
      <w:r w:rsidRPr="001266BC">
        <w:rPr>
          <w:rFonts w:ascii="Bookman Old Style" w:hAnsi="Bookman Old Style" w:cs="Arial"/>
          <w:i/>
        </w:rPr>
        <w:tab/>
      </w:r>
      <w:r w:rsidRPr="001266BC">
        <w:rPr>
          <w:rFonts w:ascii="Bookman Old Style" w:hAnsi="Bookman Old Style" w:cs="Arial"/>
          <w:i/>
          <w:u w:val="single"/>
        </w:rPr>
        <w:t>El retraso en el cronograma de construcción</w:t>
      </w:r>
      <w:r w:rsidRPr="001266BC">
        <w:rPr>
          <w:rFonts w:ascii="Bookman Old Style" w:hAnsi="Bookman Old Style" w:cs="Arial"/>
          <w:i/>
        </w:rPr>
        <w:t xml:space="preserve"> o repotenciación de la planta o unidad de generación </w:t>
      </w:r>
      <w:r w:rsidRPr="001266BC">
        <w:rPr>
          <w:rFonts w:ascii="Bookman Old Style" w:hAnsi="Bookman Old Style" w:cs="Arial"/>
          <w:i/>
          <w:u w:val="single"/>
        </w:rPr>
        <w:t>frente a la Curva S que no constituya incumplimiento grave e insalvable, dará lugar al ajuste de la garantía</w:t>
      </w:r>
      <w:r w:rsidRPr="001266BC">
        <w:rPr>
          <w:rFonts w:ascii="Bookman Old Style" w:hAnsi="Bookman Old Style" w:cs="Arial"/>
          <w:i/>
        </w:rPr>
        <w:t xml:space="preserve"> de conformidad con los procedimientos que se definan en el Reglamento de Garantías para el Cargo por Confiabilidad de que trata el Artículo 78 de esta resolución.</w:t>
      </w:r>
    </w:p>
    <w:p w14:paraId="2FFB19BC" w14:textId="77777777" w:rsidR="008E10C2" w:rsidRPr="001266BC" w:rsidRDefault="008E10C2" w:rsidP="003F76CB">
      <w:pPr>
        <w:ind w:left="142"/>
        <w:jc w:val="both"/>
        <w:rPr>
          <w:rFonts w:ascii="Bookman Old Style" w:hAnsi="Bookman Old Style" w:cs="Arial"/>
          <w:i/>
        </w:rPr>
      </w:pPr>
      <w:r w:rsidRPr="001266BC">
        <w:rPr>
          <w:rFonts w:ascii="Bookman Old Style" w:hAnsi="Bookman Old Style" w:cs="Arial"/>
          <w:i/>
        </w:rPr>
        <w:t>3.</w:t>
      </w:r>
      <w:r w:rsidRPr="001266BC">
        <w:rPr>
          <w:rFonts w:ascii="Bookman Old Style" w:hAnsi="Bookman Old Style" w:cs="Arial"/>
          <w:i/>
        </w:rPr>
        <w:tab/>
        <w:t>El incumplimiento grave e insalvable de la puesta en operación de la planta o unidad de generación, dará lugar a:</w:t>
      </w:r>
    </w:p>
    <w:p w14:paraId="4F16FC57" w14:textId="77777777" w:rsidR="008E10C2" w:rsidRPr="001266BC" w:rsidRDefault="008E10C2" w:rsidP="003F76CB">
      <w:pPr>
        <w:ind w:left="142"/>
        <w:jc w:val="both"/>
        <w:rPr>
          <w:rFonts w:ascii="Bookman Old Style" w:hAnsi="Bookman Old Style" w:cs="Arial"/>
          <w:i/>
        </w:rPr>
      </w:pPr>
      <w:r w:rsidRPr="001266BC">
        <w:rPr>
          <w:rFonts w:ascii="Bookman Old Style" w:hAnsi="Bookman Old Style" w:cs="Arial"/>
          <w:i/>
        </w:rPr>
        <w:t>a)</w:t>
      </w:r>
      <w:r w:rsidRPr="001266BC">
        <w:rPr>
          <w:rFonts w:ascii="Bookman Old Style" w:hAnsi="Bookman Old Style" w:cs="Arial"/>
          <w:i/>
        </w:rPr>
        <w:tab/>
        <w:t xml:space="preserve">La ejecución de la garantía. </w:t>
      </w:r>
    </w:p>
    <w:p w14:paraId="3FDB748A" w14:textId="77777777" w:rsidR="008E10C2" w:rsidRPr="001266BC" w:rsidRDefault="008E10C2" w:rsidP="003F76CB">
      <w:pPr>
        <w:ind w:left="142"/>
        <w:jc w:val="both"/>
        <w:rPr>
          <w:rFonts w:ascii="Bookman Old Style" w:hAnsi="Bookman Old Style" w:cs="Arial"/>
          <w:i/>
        </w:rPr>
      </w:pPr>
      <w:r w:rsidRPr="001266BC">
        <w:rPr>
          <w:rFonts w:ascii="Bookman Old Style" w:hAnsi="Bookman Old Style" w:cs="Arial"/>
          <w:i/>
        </w:rPr>
        <w:t>b)</w:t>
      </w:r>
      <w:r w:rsidRPr="001266BC">
        <w:rPr>
          <w:rFonts w:ascii="Bookman Old Style" w:hAnsi="Bookman Old Style" w:cs="Arial"/>
          <w:i/>
        </w:rPr>
        <w:tab/>
        <w:t>La pérdida para el generador de la asignación de la Obligación de Energía Firme y la remuneración asociada a ella.</w:t>
      </w:r>
    </w:p>
    <w:p w14:paraId="6112B14A" w14:textId="01D56FD9" w:rsidR="008E10C2" w:rsidRDefault="008E10C2" w:rsidP="003F76CB">
      <w:pPr>
        <w:ind w:left="142"/>
        <w:jc w:val="both"/>
        <w:rPr>
          <w:rFonts w:ascii="Bookman Old Style" w:hAnsi="Bookman Old Style" w:cs="Arial"/>
          <w:i/>
        </w:rPr>
      </w:pPr>
      <w:r w:rsidRPr="001266BC">
        <w:rPr>
          <w:rFonts w:ascii="Bookman Old Style" w:hAnsi="Bookman Old Style" w:cs="Arial"/>
          <w:i/>
        </w:rPr>
        <w:t xml:space="preserve">4. </w:t>
      </w:r>
      <w:r w:rsidRPr="001266BC">
        <w:rPr>
          <w:rFonts w:ascii="Bookman Old Style" w:hAnsi="Bookman Old Style" w:cs="Arial"/>
          <w:i/>
          <w:u w:val="single"/>
        </w:rPr>
        <w:t>Cuando la fecha de puesta en operación de la planta</w:t>
      </w:r>
      <w:r w:rsidRPr="001266BC">
        <w:rPr>
          <w:rFonts w:ascii="Bookman Old Style" w:hAnsi="Bookman Old Style" w:cs="Arial"/>
          <w:i/>
        </w:rPr>
        <w:t xml:space="preserve">, determinada por el auditor, </w:t>
      </w:r>
      <w:r w:rsidRPr="001266BC">
        <w:rPr>
          <w:rFonts w:ascii="Bookman Old Style" w:hAnsi="Bookman Old Style" w:cs="Arial"/>
          <w:i/>
          <w:u w:val="single"/>
        </w:rPr>
        <w:t>sea posterior a la fecha de inicio del Período de Vigencia de la Obligación y no constituya incumplimiento grave e insalvable, el agente deberá garantizar el cumplimiento de su Obligación de Energía Firme a través de un contrato con uno o algunos de los anillos de seguridad</w:t>
      </w:r>
      <w:r w:rsidRPr="001266BC">
        <w:rPr>
          <w:rFonts w:ascii="Bookman Old Style" w:hAnsi="Bookman Old Style" w:cs="Arial"/>
          <w:i/>
        </w:rPr>
        <w:t>, vigente desde la fecha de inicio del Período de Vigencia de la Obligación y hasta la nueva fecha de puesta en operación de la planta. La omisión en la obligación de garantizar la Obligación de Energía Firme a través de un contrato con uno o algunos de los anillos de seguridad dará lugar a que el incumplimiento se considere grave e insalvable con las consecuencias previstas en el numeral 3 de este artículo.</w:t>
      </w:r>
    </w:p>
    <w:p w14:paraId="74308828" w14:textId="77777777" w:rsidR="00590FD6" w:rsidRPr="001266BC" w:rsidRDefault="00590FD6" w:rsidP="003F76CB">
      <w:pPr>
        <w:ind w:left="142"/>
        <w:jc w:val="both"/>
        <w:rPr>
          <w:rFonts w:ascii="Bookman Old Style" w:hAnsi="Bookman Old Style" w:cs="Arial"/>
          <w:i/>
        </w:rPr>
      </w:pPr>
    </w:p>
    <w:p w14:paraId="252857F3" w14:textId="38ABE21C" w:rsidR="008E10C2" w:rsidRPr="001266BC" w:rsidRDefault="008E10C2" w:rsidP="003F76CB">
      <w:pPr>
        <w:ind w:left="142"/>
        <w:jc w:val="both"/>
        <w:rPr>
          <w:rFonts w:ascii="Bookman Old Style" w:hAnsi="Bookman Old Style" w:cs="Arial"/>
          <w:i/>
        </w:rPr>
      </w:pPr>
      <w:r w:rsidRPr="001266BC">
        <w:rPr>
          <w:rFonts w:ascii="Bookman Old Style" w:hAnsi="Bookman Old Style" w:cs="Arial"/>
          <w:b/>
          <w:i/>
        </w:rPr>
        <w:t>Parágrafo</w:t>
      </w:r>
      <w:r w:rsidRPr="001266BC">
        <w:rPr>
          <w:rFonts w:ascii="Bookman Old Style" w:hAnsi="Bookman Old Style" w:cs="Arial"/>
          <w:i/>
        </w:rPr>
        <w:t xml:space="preserve">. En el caso del </w:t>
      </w:r>
      <w:r w:rsidRPr="001266BC">
        <w:rPr>
          <w:rFonts w:ascii="Bookman Old Style" w:hAnsi="Bookman Old Style" w:cs="Arial"/>
          <w:i/>
          <w:u w:val="single"/>
        </w:rPr>
        <w:t>incumplimiento grave e insalvable que se determina cuando el informe del auditor indica que la puesta en operación de la planta o unidad de generación tendrá un atraso mayor a un año, contado a partir de la fecha de inicio del P</w:t>
      </w:r>
      <w:r w:rsidR="00321FD1">
        <w:rPr>
          <w:rFonts w:ascii="Bookman Old Style" w:hAnsi="Bookman Old Style" w:cs="Arial"/>
          <w:i/>
          <w:u w:val="single"/>
        </w:rPr>
        <w:t>eríodo</w:t>
      </w:r>
      <w:r w:rsidRPr="001266BC">
        <w:rPr>
          <w:rFonts w:ascii="Bookman Old Style" w:hAnsi="Bookman Old Style" w:cs="Arial"/>
          <w:i/>
          <w:u w:val="single"/>
        </w:rPr>
        <w:t xml:space="preserve"> de Vigencia de la Obligación</w:t>
      </w:r>
      <w:r w:rsidRPr="001266BC">
        <w:rPr>
          <w:rFonts w:ascii="Bookman Old Style" w:hAnsi="Bookman Old Style" w:cs="Arial"/>
          <w:i/>
        </w:rPr>
        <w:t xml:space="preserve">, la CREG, con el propósito de </w:t>
      </w:r>
      <w:r w:rsidRPr="001266BC">
        <w:rPr>
          <w:rFonts w:ascii="Bookman Old Style" w:hAnsi="Bookman Old Style" w:cs="Arial"/>
          <w:i/>
          <w:u w:val="single"/>
        </w:rPr>
        <w:t xml:space="preserve">establecer plenamente la existencia del incumplimiento, determinar sus consecuencias </w:t>
      </w:r>
      <w:r w:rsidRPr="001266BC">
        <w:rPr>
          <w:rFonts w:ascii="Bookman Old Style" w:hAnsi="Bookman Old Style" w:cs="Arial"/>
          <w:i/>
        </w:rPr>
        <w:t>y garantizar el derecho de defensa de los afectados, agotará el trámite previsto en los Artículos 106 y ss. de la Ley 142 de 1994 y, en lo no previsto en ellos, aplicará las normas de la parte primera del Código Contencioso Administrativo que sean compatibles. En firme la decisión definitiva sobre la actuación y determinada la existencia del incumplimiento, se comunicará la decisión al ASIC y éste adoptará las medidas correspondientes de acuerdo con la Resolución CREG 071 de 2006 y las nomas que la modifiquen, adicionen o sustituyan.”</w:t>
      </w:r>
      <w:r>
        <w:rPr>
          <w:rFonts w:ascii="Bookman Old Style" w:hAnsi="Bookman Old Style" w:cs="Arial"/>
          <w:i/>
        </w:rPr>
        <w:t xml:space="preserve"> (Resaltado fuera de texto)</w:t>
      </w:r>
    </w:p>
    <w:p w14:paraId="264A5DDD" w14:textId="77777777" w:rsidR="008E10C2" w:rsidRPr="001266BC" w:rsidRDefault="008E10C2" w:rsidP="003F76CB">
      <w:pPr>
        <w:ind w:left="142"/>
        <w:jc w:val="both"/>
        <w:rPr>
          <w:rFonts w:ascii="Bookman Old Style" w:hAnsi="Bookman Old Style" w:cs="Arial"/>
          <w:i/>
        </w:rPr>
      </w:pPr>
    </w:p>
    <w:p w14:paraId="0DFF9F2F" w14:textId="77777777" w:rsidR="008E10C2" w:rsidRPr="001266BC" w:rsidRDefault="008E10C2" w:rsidP="003F76CB">
      <w:pPr>
        <w:ind w:left="142"/>
        <w:jc w:val="both"/>
        <w:rPr>
          <w:rFonts w:ascii="Bookman Old Style" w:hAnsi="Bookman Old Style" w:cs="Arial"/>
          <w:i/>
          <w:u w:val="single"/>
        </w:rPr>
      </w:pPr>
      <w:r w:rsidRPr="001266BC">
        <w:rPr>
          <w:rFonts w:ascii="Bookman Old Style" w:hAnsi="Bookman Old Style" w:cs="Arial"/>
          <w:b/>
          <w:i/>
        </w:rPr>
        <w:t>“Artículo 13. Eventos de incumplimiento.</w:t>
      </w:r>
      <w:r w:rsidRPr="001266BC">
        <w:rPr>
          <w:rFonts w:ascii="Bookman Old Style" w:hAnsi="Bookman Old Style" w:cs="Arial"/>
          <w:i/>
        </w:rPr>
        <w:t xml:space="preserve"> </w:t>
      </w:r>
      <w:r w:rsidRPr="001266BC">
        <w:rPr>
          <w:rFonts w:ascii="Bookman Old Style" w:hAnsi="Bookman Old Style" w:cs="Arial"/>
          <w:i/>
          <w:u w:val="single"/>
        </w:rPr>
        <w:t>Constituyen eventos de incumplimiento grave e insalvable los siguientes:</w:t>
      </w:r>
    </w:p>
    <w:p w14:paraId="228A94E2" w14:textId="71AEE11D" w:rsidR="008E10C2" w:rsidRPr="001266BC" w:rsidRDefault="008E10C2" w:rsidP="003F76CB">
      <w:pPr>
        <w:ind w:left="142"/>
        <w:jc w:val="both"/>
        <w:rPr>
          <w:rFonts w:ascii="Bookman Old Style" w:hAnsi="Bookman Old Style" w:cs="Arial"/>
          <w:i/>
        </w:rPr>
      </w:pPr>
      <w:r w:rsidRPr="001266BC">
        <w:rPr>
          <w:rFonts w:ascii="Bookman Old Style" w:hAnsi="Bookman Old Style" w:cs="Arial"/>
          <w:i/>
        </w:rPr>
        <w:t>1.</w:t>
      </w:r>
      <w:r w:rsidRPr="001266BC">
        <w:rPr>
          <w:rFonts w:ascii="Bookman Old Style" w:hAnsi="Bookman Old Style" w:cs="Arial"/>
          <w:i/>
        </w:rPr>
        <w:tab/>
      </w:r>
      <w:r w:rsidRPr="001266BC">
        <w:rPr>
          <w:rFonts w:ascii="Bookman Old Style" w:hAnsi="Bookman Old Style" w:cs="Arial"/>
          <w:i/>
          <w:u w:val="single"/>
        </w:rPr>
        <w:t xml:space="preserve">Incumplimiento Calificado de Cronograma que implique que la puesta en operación de la planta o unidad de </w:t>
      </w:r>
      <w:r w:rsidR="00973DB9" w:rsidRPr="001266BC">
        <w:rPr>
          <w:rFonts w:ascii="Bookman Old Style" w:hAnsi="Bookman Old Style" w:cs="Arial"/>
          <w:i/>
          <w:u w:val="single"/>
        </w:rPr>
        <w:t>generación</w:t>
      </w:r>
      <w:r w:rsidRPr="001266BC">
        <w:rPr>
          <w:rFonts w:ascii="Bookman Old Style" w:hAnsi="Bookman Old Style" w:cs="Arial"/>
          <w:i/>
          <w:u w:val="single"/>
        </w:rPr>
        <w:t xml:space="preserve"> ocurrirá en un plazo superior a un (1) año contado a partir del IPVO</w:t>
      </w:r>
      <w:r w:rsidRPr="001266BC">
        <w:rPr>
          <w:rFonts w:ascii="Bookman Old Style" w:hAnsi="Bookman Old Style" w:cs="Arial"/>
          <w:i/>
        </w:rPr>
        <w:t>.</w:t>
      </w:r>
    </w:p>
    <w:p w14:paraId="397E6E87" w14:textId="77777777" w:rsidR="00A74647" w:rsidRPr="00A74647" w:rsidRDefault="00A74647" w:rsidP="003F76CB">
      <w:pPr>
        <w:ind w:left="142"/>
        <w:jc w:val="both"/>
        <w:rPr>
          <w:rFonts w:ascii="Bookman Old Style" w:hAnsi="Bookman Old Style" w:cs="Arial"/>
          <w:i/>
        </w:rPr>
      </w:pPr>
      <w:r w:rsidRPr="00A74647">
        <w:rPr>
          <w:rFonts w:ascii="Bookman Old Style" w:hAnsi="Bookman Old Style" w:cs="Arial"/>
          <w:i/>
        </w:rPr>
        <w:t>2.</w:t>
      </w:r>
      <w:r w:rsidRPr="00A74647">
        <w:rPr>
          <w:rFonts w:ascii="Bookman Old Style" w:hAnsi="Bookman Old Style" w:cs="Arial"/>
          <w:i/>
        </w:rPr>
        <w:tab/>
        <w:t>Incumplimiento Calificado de Cronograma, que implique que la puesta en operación de la planta o unidad de generación ocurrirá en un plazo inferior a un (1) año, contado a partir del IPVO, y el Agente Generador o la Persona Jurídica Interesada, una vez esté registrada como Agente Generador ante el ASIC, no garanticen el cumplimiento de la Obligación de Energía Firme con un Contrato o Declaración de Respaldo, de otra planta o unidad de generación. Este Contrato o Declaración de Respaldo debe estar registrado ante el ASIC a más tardar dentro de los quince (15) días calendario siguientes a la fecha en que el CND reciba el correspondiente informe del auditor y debe estar vigente desde el IPVO hasta la nueva fecha de puesta en operación de la planta o unidad de generación, certificada por el Auditor.</w:t>
      </w:r>
    </w:p>
    <w:p w14:paraId="4263155F" w14:textId="77777777" w:rsidR="00A74647" w:rsidRPr="00A74647" w:rsidRDefault="00A74647" w:rsidP="003F76CB">
      <w:pPr>
        <w:ind w:left="142"/>
        <w:jc w:val="both"/>
        <w:rPr>
          <w:rFonts w:ascii="Bookman Old Style" w:hAnsi="Bookman Old Style" w:cs="Arial"/>
          <w:i/>
        </w:rPr>
      </w:pPr>
      <w:r w:rsidRPr="00A74647">
        <w:rPr>
          <w:rFonts w:ascii="Bookman Old Style" w:hAnsi="Bookman Old Style" w:cs="Arial"/>
          <w:i/>
        </w:rPr>
        <w:t>3.</w:t>
      </w:r>
      <w:r w:rsidRPr="00A74647">
        <w:rPr>
          <w:rFonts w:ascii="Bookman Old Style" w:hAnsi="Bookman Old Style" w:cs="Arial"/>
          <w:i/>
        </w:rPr>
        <w:tab/>
        <w:t>Puesta en operación de la planta o unidad de generación con una ENFICC inferior a la asociada a la Obligación de Energía Firme asignada, calculada en la forma prevista en el Anexo 3 de la Resolución CREG 071 de 2006 o aquellas que la modifiquen, adicionen o sustituyan.</w:t>
      </w:r>
    </w:p>
    <w:p w14:paraId="6E37BFAA" w14:textId="77777777" w:rsidR="00A74647" w:rsidRPr="00A74647" w:rsidRDefault="00A74647" w:rsidP="003F76CB">
      <w:pPr>
        <w:ind w:left="142"/>
        <w:jc w:val="both"/>
        <w:rPr>
          <w:rFonts w:ascii="Bookman Old Style" w:hAnsi="Bookman Old Style" w:cs="Arial"/>
          <w:i/>
        </w:rPr>
      </w:pPr>
      <w:r w:rsidRPr="00A74647">
        <w:rPr>
          <w:rFonts w:ascii="Bookman Old Style" w:hAnsi="Bookman Old Style" w:cs="Arial"/>
          <w:i/>
        </w:rPr>
        <w:t>4.</w:t>
      </w:r>
      <w:r w:rsidRPr="00A74647">
        <w:rPr>
          <w:rFonts w:ascii="Bookman Old Style" w:hAnsi="Bookman Old Style" w:cs="Arial"/>
          <w:i/>
        </w:rPr>
        <w:tab/>
        <w:t>El Agente Generador o la Persona Jurídica Interesada no acredita ante la CREG el ajuste o reposición de las garantías conforme a lo establecido en el presente Reglamento.</w:t>
      </w:r>
    </w:p>
    <w:p w14:paraId="5CDCE0E5" w14:textId="0A8BF6D7" w:rsidR="008E10C2" w:rsidRPr="001266BC" w:rsidRDefault="00A74647" w:rsidP="003F76CB">
      <w:pPr>
        <w:ind w:left="142"/>
        <w:jc w:val="both"/>
        <w:rPr>
          <w:rFonts w:ascii="Bookman Old Style" w:hAnsi="Bookman Old Style" w:cs="Arial"/>
          <w:i/>
        </w:rPr>
      </w:pPr>
      <w:r w:rsidRPr="00A74647">
        <w:rPr>
          <w:rFonts w:ascii="Bookman Old Style" w:hAnsi="Bookman Old Style" w:cs="Arial"/>
          <w:i/>
        </w:rPr>
        <w:t>5.</w:t>
      </w:r>
      <w:r w:rsidRPr="00A74647">
        <w:rPr>
          <w:rFonts w:ascii="Bookman Old Style" w:hAnsi="Bookman Old Style" w:cs="Arial"/>
          <w:i/>
        </w:rPr>
        <w:tab/>
        <w:t>El Agente Generador o la Persona Jurídica Interesada no acredita ante el ASIC el pago de los honorarios del Auditor designado para verificar el cumplimiento del cronograma de construcción o repotenciación, o de puesta en operación de la planta o unidad de generación, conforme a lo establecido en el presente Capítulo.</w:t>
      </w:r>
      <w:r w:rsidR="008E10C2" w:rsidRPr="001266BC">
        <w:rPr>
          <w:rFonts w:ascii="Bookman Old Style" w:hAnsi="Bookman Old Style" w:cs="Arial"/>
          <w:i/>
        </w:rPr>
        <w:t>”</w:t>
      </w:r>
      <w:r w:rsidR="008E10C2">
        <w:rPr>
          <w:rFonts w:ascii="Bookman Old Style" w:hAnsi="Bookman Old Style" w:cs="Arial"/>
          <w:i/>
        </w:rPr>
        <w:t xml:space="preserve"> (Resaltado fuera de texto)</w:t>
      </w:r>
    </w:p>
    <w:p w14:paraId="20AC8809" w14:textId="77777777" w:rsidR="008E10C2" w:rsidRDefault="008E10C2" w:rsidP="008E10C2">
      <w:pPr>
        <w:ind w:left="0"/>
        <w:jc w:val="both"/>
        <w:rPr>
          <w:rFonts w:ascii="Bookman Old Style" w:eastAsia="Calibri" w:hAnsi="Bookman Old Style" w:cs="Arial"/>
          <w:lang w:val="es-ES_tradnl"/>
        </w:rPr>
      </w:pPr>
    </w:p>
    <w:p w14:paraId="44B4A8D5" w14:textId="7BA1DCC6" w:rsidR="00271AB9" w:rsidRDefault="00271AB9" w:rsidP="00271AB9">
      <w:pPr>
        <w:ind w:left="0"/>
        <w:jc w:val="both"/>
        <w:rPr>
          <w:rFonts w:ascii="Bookman Old Style" w:eastAsia="Calibri" w:hAnsi="Bookman Old Style" w:cs="Arial"/>
          <w:lang w:val="es-ES_tradnl"/>
        </w:rPr>
      </w:pPr>
      <w:r w:rsidRPr="0022342E">
        <w:rPr>
          <w:rFonts w:ascii="Bookman Old Style" w:eastAsia="Calibri" w:hAnsi="Bookman Old Style" w:cs="Arial"/>
          <w:lang w:val="es-ES_tradnl"/>
        </w:rPr>
        <w:t xml:space="preserve">Las conclusiones </w:t>
      </w:r>
      <w:r w:rsidR="006651DE">
        <w:rPr>
          <w:rFonts w:ascii="Bookman Old Style" w:eastAsia="Calibri" w:hAnsi="Bookman Old Style" w:cs="Arial"/>
          <w:lang w:val="es-ES_tradnl"/>
        </w:rPr>
        <w:t>d</w:t>
      </w:r>
      <w:r w:rsidRPr="0022342E">
        <w:rPr>
          <w:rFonts w:ascii="Bookman Old Style" w:eastAsia="Calibri" w:hAnsi="Bookman Old Style" w:cs="Arial"/>
          <w:lang w:val="es-ES_tradnl"/>
        </w:rPr>
        <w:t>el informe de auditoría, que como ya se dijo no fueron desvirtuad</w:t>
      </w:r>
      <w:r w:rsidR="006651DE">
        <w:rPr>
          <w:rFonts w:ascii="Bookman Old Style" w:eastAsia="Calibri" w:hAnsi="Bookman Old Style" w:cs="Arial"/>
          <w:lang w:val="es-ES_tradnl"/>
        </w:rPr>
        <w:t>os</w:t>
      </w:r>
      <w:r w:rsidRPr="0022342E">
        <w:rPr>
          <w:rFonts w:ascii="Bookman Old Style" w:eastAsia="Calibri" w:hAnsi="Bookman Old Style" w:cs="Arial"/>
          <w:lang w:val="es-ES_tradnl"/>
        </w:rPr>
        <w:t xml:space="preserve"> por quien representa el proyecto, le dan a la Comisión elementos </w:t>
      </w:r>
      <w:r w:rsidR="00DA7570" w:rsidRPr="0022342E">
        <w:rPr>
          <w:rFonts w:ascii="Bookman Old Style" w:eastAsia="Calibri" w:hAnsi="Bookman Old Style" w:cs="Arial"/>
          <w:lang w:val="es-ES_tradnl"/>
        </w:rPr>
        <w:t xml:space="preserve">suficientes </w:t>
      </w:r>
      <w:r w:rsidRPr="0022342E">
        <w:rPr>
          <w:rFonts w:ascii="Bookman Old Style" w:eastAsia="Calibri" w:hAnsi="Bookman Old Style" w:cs="Arial"/>
          <w:lang w:val="es-ES_tradnl"/>
        </w:rPr>
        <w:t>a efectos de que esta pueda tomar una decisión dentro de la presente actuación.</w:t>
      </w:r>
    </w:p>
    <w:p w14:paraId="34DBEB21" w14:textId="77777777" w:rsidR="00F40505" w:rsidRDefault="00F40505" w:rsidP="00271AB9">
      <w:pPr>
        <w:ind w:left="0"/>
        <w:jc w:val="both"/>
        <w:rPr>
          <w:rFonts w:ascii="Bookman Old Style" w:eastAsia="Calibri" w:hAnsi="Bookman Old Style" w:cs="Arial"/>
          <w:lang w:val="es-ES_tradnl"/>
        </w:rPr>
      </w:pPr>
    </w:p>
    <w:p w14:paraId="0AA81728" w14:textId="26A28B03" w:rsidR="008E10C2" w:rsidRDefault="008E10C2" w:rsidP="008E10C2">
      <w:pPr>
        <w:ind w:left="0"/>
        <w:jc w:val="both"/>
        <w:rPr>
          <w:rFonts w:ascii="Bookman Old Style" w:hAnsi="Bookman Old Style" w:cs="Arial"/>
          <w:bCs/>
        </w:rPr>
      </w:pPr>
      <w:r>
        <w:rPr>
          <w:rFonts w:ascii="Bookman Old Style" w:hAnsi="Bookman Old Style" w:cs="Arial"/>
          <w:bCs/>
        </w:rPr>
        <w:t>Los eventos de incumplimiento a que se ha hecho referencia se encuentran probados a partir del</w:t>
      </w:r>
      <w:r w:rsidR="00013C65">
        <w:rPr>
          <w:rFonts w:ascii="Bookman Old Style" w:hAnsi="Bookman Old Style" w:cs="Arial"/>
          <w:bCs/>
        </w:rPr>
        <w:t xml:space="preserve"> tercer</w:t>
      </w:r>
      <w:r>
        <w:rPr>
          <w:rFonts w:ascii="Bookman Old Style" w:hAnsi="Bookman Old Style" w:cs="Arial"/>
          <w:bCs/>
        </w:rPr>
        <w:t xml:space="preserve"> informe del auditor del proyecto correspondiente al primer semestre de 20</w:t>
      </w:r>
      <w:r w:rsidR="00F85C54">
        <w:rPr>
          <w:rFonts w:ascii="Bookman Old Style" w:hAnsi="Bookman Old Style" w:cs="Arial"/>
          <w:bCs/>
        </w:rPr>
        <w:t>2</w:t>
      </w:r>
      <w:r w:rsidR="0022342E">
        <w:rPr>
          <w:rFonts w:ascii="Bookman Old Style" w:hAnsi="Bookman Old Style" w:cs="Arial"/>
          <w:bCs/>
        </w:rPr>
        <w:t>0</w:t>
      </w:r>
      <w:r>
        <w:rPr>
          <w:rFonts w:ascii="Bookman Old Style" w:hAnsi="Bookman Old Style" w:cs="Arial"/>
          <w:bCs/>
        </w:rPr>
        <w:t xml:space="preserve">, entregado en </w:t>
      </w:r>
      <w:r w:rsidR="00013C65">
        <w:rPr>
          <w:rFonts w:ascii="Bookman Old Style" w:hAnsi="Bookman Old Style" w:cs="Arial"/>
          <w:bCs/>
        </w:rPr>
        <w:t>agosto</w:t>
      </w:r>
      <w:r>
        <w:rPr>
          <w:rFonts w:ascii="Bookman Old Style" w:hAnsi="Bookman Old Style" w:cs="Arial"/>
          <w:bCs/>
        </w:rPr>
        <w:t xml:space="preserve"> del mismo año, denominado</w:t>
      </w:r>
      <w:r w:rsidRPr="000D632E">
        <w:rPr>
          <w:rFonts w:ascii="Bookman Old Style" w:hAnsi="Bookman Old Style" w:cs="Arial"/>
          <w:bCs/>
        </w:rPr>
        <w:t xml:space="preserve"> </w:t>
      </w:r>
      <w:r w:rsidRPr="009B05DD">
        <w:rPr>
          <w:rFonts w:ascii="Bookman Old Style" w:hAnsi="Bookman Old Style" w:cs="Arial"/>
          <w:bCs/>
          <w:i/>
        </w:rPr>
        <w:t xml:space="preserve">Informe de auditoría </w:t>
      </w:r>
      <w:r w:rsidR="00013C65">
        <w:rPr>
          <w:rFonts w:ascii="Bookman Old Style" w:hAnsi="Bookman Old Style" w:cs="Arial"/>
          <w:bCs/>
          <w:i/>
        </w:rPr>
        <w:t>No. 3</w:t>
      </w:r>
      <w:r>
        <w:rPr>
          <w:rFonts w:ascii="Bookman Old Style" w:hAnsi="Bookman Old Style" w:cs="Arial"/>
          <w:bCs/>
        </w:rPr>
        <w:t>, en el cual se expuso</w:t>
      </w:r>
      <w:r w:rsidRPr="000D632E">
        <w:rPr>
          <w:rFonts w:ascii="Bookman Old Style" w:hAnsi="Bookman Old Style" w:cs="Arial"/>
          <w:bCs/>
        </w:rPr>
        <w:t>:</w:t>
      </w:r>
    </w:p>
    <w:p w14:paraId="6D8D15D9" w14:textId="77777777" w:rsidR="008E10C2" w:rsidRDefault="008E10C2" w:rsidP="008E10C2">
      <w:pPr>
        <w:ind w:left="0"/>
        <w:jc w:val="both"/>
        <w:rPr>
          <w:rFonts w:ascii="Bookman Old Style" w:hAnsi="Bookman Old Style" w:cs="Arial"/>
          <w:bCs/>
        </w:rPr>
      </w:pPr>
    </w:p>
    <w:p w14:paraId="588C0823" w14:textId="2F157691" w:rsidR="008E10C2" w:rsidRPr="009B05DD" w:rsidRDefault="008E10C2" w:rsidP="003F76CB">
      <w:pPr>
        <w:ind w:left="284"/>
        <w:jc w:val="both"/>
        <w:rPr>
          <w:rFonts w:ascii="Bookman Old Style" w:hAnsi="Bookman Old Style" w:cs="Arial"/>
          <w:bCs/>
          <w:i/>
        </w:rPr>
      </w:pPr>
      <w:r>
        <w:rPr>
          <w:rFonts w:ascii="Bookman Old Style" w:hAnsi="Bookman Old Style" w:cs="Arial"/>
          <w:bCs/>
          <w:i/>
        </w:rPr>
        <w:t>“…</w:t>
      </w:r>
      <w:r w:rsidR="00F85C54">
        <w:rPr>
          <w:rFonts w:ascii="Bookman Old Style" w:hAnsi="Bookman Old Style" w:cs="Arial"/>
          <w:bCs/>
          <w:i/>
        </w:rPr>
        <w:t xml:space="preserve">A la fecha de entrega del informe no se ha iniciado ninguna actividad de construcción. Con base en el programa presentado por el agente generador de entrar </w:t>
      </w:r>
      <w:r w:rsidR="00E36894">
        <w:rPr>
          <w:rFonts w:ascii="Bookman Old Style" w:hAnsi="Bookman Old Style" w:cs="Arial"/>
          <w:bCs/>
          <w:i/>
        </w:rPr>
        <w:t>en operación en diciembre de 2024</w:t>
      </w:r>
      <w:r w:rsidR="006B05E1">
        <w:rPr>
          <w:rFonts w:ascii="Bookman Old Style" w:hAnsi="Bookman Old Style" w:cs="Arial"/>
          <w:bCs/>
          <w:i/>
        </w:rPr>
        <w:t>, programa que es razonablemente ajustado al proyecto</w:t>
      </w:r>
      <w:r w:rsidR="00E36EA7">
        <w:rPr>
          <w:rFonts w:ascii="Bookman Old Style" w:hAnsi="Bookman Old Style" w:cs="Arial"/>
          <w:bCs/>
          <w:i/>
        </w:rPr>
        <w:t xml:space="preserve"> de tal envergadura, la auditoría manifiesta que dicho atraso es de 731 días</w:t>
      </w:r>
      <w:r>
        <w:rPr>
          <w:rFonts w:ascii="Bookman Old Style" w:hAnsi="Bookman Old Style" w:cs="Arial"/>
          <w:bCs/>
          <w:i/>
        </w:rPr>
        <w:t>.”</w:t>
      </w:r>
    </w:p>
    <w:p w14:paraId="0F210C8C" w14:textId="77777777" w:rsidR="008E10C2" w:rsidRDefault="008E10C2" w:rsidP="008E10C2">
      <w:pPr>
        <w:ind w:left="0"/>
        <w:jc w:val="both"/>
        <w:rPr>
          <w:rFonts w:ascii="Bookman Old Style" w:hAnsi="Bookman Old Style" w:cs="Arial"/>
          <w:bCs/>
        </w:rPr>
      </w:pPr>
    </w:p>
    <w:p w14:paraId="01EB0492" w14:textId="77777777" w:rsidR="008E10C2" w:rsidRDefault="008E10C2" w:rsidP="008E10C2">
      <w:pPr>
        <w:ind w:left="0"/>
        <w:jc w:val="both"/>
        <w:rPr>
          <w:rFonts w:ascii="Bookman Old Style" w:hAnsi="Bookman Old Style" w:cs="Arial"/>
          <w:bCs/>
        </w:rPr>
      </w:pPr>
      <w:r>
        <w:rPr>
          <w:rFonts w:ascii="Bookman Old Style" w:hAnsi="Bookman Old Style" w:cs="Arial"/>
          <w:bCs/>
        </w:rPr>
        <w:t>Y finalmente concluye:</w:t>
      </w:r>
    </w:p>
    <w:p w14:paraId="301B00E0" w14:textId="77777777" w:rsidR="008E10C2" w:rsidRPr="000D632E" w:rsidRDefault="008E10C2" w:rsidP="008E10C2">
      <w:pPr>
        <w:jc w:val="both"/>
        <w:rPr>
          <w:rFonts w:ascii="Bookman Old Style" w:hAnsi="Bookman Old Style" w:cs="Arial"/>
          <w:bCs/>
        </w:rPr>
      </w:pPr>
      <w:r w:rsidRPr="000D632E">
        <w:rPr>
          <w:rFonts w:ascii="Bookman Old Style" w:hAnsi="Bookman Old Style" w:cs="Arial"/>
          <w:bCs/>
        </w:rPr>
        <w:t xml:space="preserve"> </w:t>
      </w:r>
    </w:p>
    <w:p w14:paraId="16FD4ED2" w14:textId="491D0E2A" w:rsidR="008E10C2" w:rsidRPr="000D632E" w:rsidRDefault="008E10C2" w:rsidP="003F76CB">
      <w:pPr>
        <w:ind w:left="284"/>
        <w:jc w:val="both"/>
        <w:rPr>
          <w:rFonts w:ascii="Bookman Old Style" w:hAnsi="Bookman Old Style" w:cs="Arial"/>
          <w:i/>
        </w:rPr>
      </w:pPr>
      <w:r w:rsidRPr="000D632E">
        <w:rPr>
          <w:rFonts w:ascii="Bookman Old Style" w:hAnsi="Bookman Old Style" w:cs="Arial"/>
          <w:i/>
        </w:rPr>
        <w:t>“</w:t>
      </w:r>
      <w:r w:rsidR="00E36EA7">
        <w:rPr>
          <w:rFonts w:ascii="Bookman Old Style" w:hAnsi="Bookman Old Style" w:cs="Arial"/>
          <w:i/>
        </w:rPr>
        <w:t xml:space="preserve">Teniendo en consideración la fecha del presente informe, el cronograma y curva S presentado y aprobado en la subasta y la comunicación entregada por el agende generador, esta auditoría se permite concluir que el proyecto Miel II está ante un </w:t>
      </w:r>
      <w:r w:rsidR="00E36EA7" w:rsidRPr="00712333">
        <w:rPr>
          <w:rFonts w:ascii="Bookman Old Style" w:hAnsi="Bookman Old Style" w:cs="Arial"/>
          <w:b/>
          <w:bCs/>
          <w:i/>
        </w:rPr>
        <w:t>incumplimiento GRAVE E INSABLAVLE</w:t>
      </w:r>
      <w:r w:rsidR="00E36EA7">
        <w:rPr>
          <w:rFonts w:ascii="Bookman Old Style" w:hAnsi="Bookman Old Style" w:cs="Arial"/>
          <w:i/>
        </w:rPr>
        <w:t xml:space="preserve">, para la puesta en operación 1 de diciembre de 2022” </w:t>
      </w:r>
      <w:r w:rsidR="00DA7570">
        <w:rPr>
          <w:rFonts w:ascii="Bookman Old Style" w:hAnsi="Bookman Old Style" w:cs="Arial"/>
          <w:i/>
        </w:rPr>
        <w:t>(</w:t>
      </w:r>
      <w:r w:rsidR="00E36EA7" w:rsidRPr="00574073">
        <w:rPr>
          <w:rFonts w:ascii="Bookman Old Style" w:hAnsi="Bookman Old Style" w:cs="Arial"/>
          <w:iCs/>
        </w:rPr>
        <w:t>negrilla fuera del texto original</w:t>
      </w:r>
      <w:r w:rsidR="00DA7570">
        <w:rPr>
          <w:rFonts w:ascii="Bookman Old Style" w:hAnsi="Bookman Old Style" w:cs="Arial"/>
          <w:iCs/>
        </w:rPr>
        <w:t>)</w:t>
      </w:r>
    </w:p>
    <w:p w14:paraId="0EC596AC" w14:textId="77777777" w:rsidR="008E10C2" w:rsidRDefault="008E10C2" w:rsidP="008E10C2">
      <w:pPr>
        <w:ind w:left="0"/>
        <w:jc w:val="both"/>
        <w:rPr>
          <w:rFonts w:ascii="Bookman Old Style" w:hAnsi="Bookman Old Style" w:cs="Arial"/>
          <w:bCs/>
        </w:rPr>
      </w:pPr>
    </w:p>
    <w:p w14:paraId="2387D8E5" w14:textId="733FAA64" w:rsidR="00E36EA7" w:rsidRDefault="008E10C2" w:rsidP="00E36EA7">
      <w:pPr>
        <w:ind w:left="0"/>
        <w:jc w:val="both"/>
        <w:rPr>
          <w:rFonts w:ascii="Bookman Old Style" w:hAnsi="Bookman Old Style" w:cs="Arial"/>
          <w:bCs/>
        </w:rPr>
      </w:pPr>
      <w:r>
        <w:rPr>
          <w:rFonts w:ascii="Bookman Old Style" w:hAnsi="Bookman Old Style" w:cs="Arial"/>
          <w:bCs/>
        </w:rPr>
        <w:t xml:space="preserve">Esta calificación exigida por la regulación </w:t>
      </w:r>
      <w:r w:rsidR="00E36EA7">
        <w:rPr>
          <w:rFonts w:ascii="Bookman Old Style" w:hAnsi="Bookman Old Style" w:cs="Arial"/>
          <w:bCs/>
        </w:rPr>
        <w:t xml:space="preserve">no </w:t>
      </w:r>
      <w:r>
        <w:rPr>
          <w:rFonts w:ascii="Bookman Old Style" w:hAnsi="Bookman Old Style" w:cs="Arial"/>
          <w:bCs/>
        </w:rPr>
        <w:t xml:space="preserve">fue </w:t>
      </w:r>
      <w:r w:rsidR="00E36EA7">
        <w:rPr>
          <w:rFonts w:ascii="Bookman Old Style" w:hAnsi="Bookman Old Style" w:cs="Arial"/>
          <w:bCs/>
        </w:rPr>
        <w:t>desvirtuada por el agente Promotora Energética de Centro S</w:t>
      </w:r>
      <w:r w:rsidR="003F76CB">
        <w:rPr>
          <w:rFonts w:ascii="Bookman Old Style" w:hAnsi="Bookman Old Style" w:cs="Arial"/>
          <w:bCs/>
        </w:rPr>
        <w:t>.</w:t>
      </w:r>
      <w:r w:rsidR="00E36EA7">
        <w:rPr>
          <w:rFonts w:ascii="Bookman Old Style" w:hAnsi="Bookman Old Style" w:cs="Arial"/>
          <w:bCs/>
        </w:rPr>
        <w:t>A</w:t>
      </w:r>
      <w:r w:rsidR="003F76CB">
        <w:rPr>
          <w:rFonts w:ascii="Bookman Old Style" w:hAnsi="Bookman Old Style" w:cs="Arial"/>
          <w:bCs/>
        </w:rPr>
        <w:t>.</w:t>
      </w:r>
      <w:r w:rsidR="00E36EA7">
        <w:rPr>
          <w:rFonts w:ascii="Bookman Old Style" w:hAnsi="Bookman Old Style" w:cs="Arial"/>
          <w:bCs/>
        </w:rPr>
        <w:t>S</w:t>
      </w:r>
      <w:r w:rsidR="003F76CB">
        <w:rPr>
          <w:rFonts w:ascii="Bookman Old Style" w:hAnsi="Bookman Old Style" w:cs="Arial"/>
          <w:bCs/>
        </w:rPr>
        <w:t>.</w:t>
      </w:r>
      <w:r w:rsidR="00E36EA7">
        <w:rPr>
          <w:rFonts w:ascii="Bookman Old Style" w:hAnsi="Bookman Old Style" w:cs="Arial"/>
          <w:bCs/>
        </w:rPr>
        <w:t xml:space="preserve"> E</w:t>
      </w:r>
      <w:r w:rsidR="003F76CB">
        <w:rPr>
          <w:rFonts w:ascii="Bookman Old Style" w:hAnsi="Bookman Old Style" w:cs="Arial"/>
          <w:bCs/>
        </w:rPr>
        <w:t>.</w:t>
      </w:r>
      <w:r w:rsidR="00E36EA7">
        <w:rPr>
          <w:rFonts w:ascii="Bookman Old Style" w:hAnsi="Bookman Old Style" w:cs="Arial"/>
          <w:bCs/>
        </w:rPr>
        <w:t>S</w:t>
      </w:r>
      <w:r w:rsidR="003F76CB">
        <w:rPr>
          <w:rFonts w:ascii="Bookman Old Style" w:hAnsi="Bookman Old Style" w:cs="Arial"/>
          <w:bCs/>
        </w:rPr>
        <w:t>.</w:t>
      </w:r>
      <w:r w:rsidR="00E36EA7">
        <w:rPr>
          <w:rFonts w:ascii="Bookman Old Style" w:hAnsi="Bookman Old Style" w:cs="Arial"/>
          <w:bCs/>
        </w:rPr>
        <w:t>P.</w:t>
      </w:r>
    </w:p>
    <w:p w14:paraId="4E8EB6CF" w14:textId="77777777" w:rsidR="00E36EA7" w:rsidRDefault="00E36EA7" w:rsidP="00E36EA7">
      <w:pPr>
        <w:ind w:left="0"/>
        <w:jc w:val="both"/>
        <w:rPr>
          <w:rFonts w:ascii="Bookman Old Style" w:hAnsi="Bookman Old Style" w:cs="Arial"/>
          <w:bCs/>
        </w:rPr>
      </w:pPr>
    </w:p>
    <w:p w14:paraId="325F7F61" w14:textId="12A56D4E" w:rsidR="00582D35" w:rsidRDefault="00582D35" w:rsidP="00582D35">
      <w:pPr>
        <w:ind w:left="0"/>
        <w:jc w:val="both"/>
        <w:rPr>
          <w:rFonts w:ascii="Bookman Old Style" w:hAnsi="Bookman Old Style" w:cs="Arial"/>
          <w:bCs/>
          <w:i/>
        </w:rPr>
      </w:pPr>
      <w:r>
        <w:rPr>
          <w:rFonts w:ascii="Bookman Old Style" w:hAnsi="Bookman Old Style" w:cs="Arial"/>
          <w:bCs/>
        </w:rPr>
        <w:t xml:space="preserve">Es por esto que la Comisión cuenta con elementos de juicio suficientes que le permiten establecer </w:t>
      </w:r>
      <w:r w:rsidR="000A04F5">
        <w:rPr>
          <w:rFonts w:ascii="Bookman Old Style" w:hAnsi="Bookman Old Style" w:cs="Arial"/>
          <w:bCs/>
        </w:rPr>
        <w:t xml:space="preserve">plenamente </w:t>
      </w:r>
      <w:r>
        <w:rPr>
          <w:rFonts w:ascii="Bookman Old Style" w:hAnsi="Bookman Old Style" w:cs="Arial"/>
          <w:bCs/>
        </w:rPr>
        <w:t>la existencia de dicho evento de incumplimiento grave e insalvable dentro del trámite de la presente actuación administrativa</w:t>
      </w:r>
      <w:r w:rsidR="006651DE">
        <w:rPr>
          <w:rFonts w:ascii="Bookman Old Style" w:hAnsi="Bookman Old Style" w:cs="Arial"/>
          <w:bCs/>
        </w:rPr>
        <w:t>,</w:t>
      </w:r>
      <w:r>
        <w:rPr>
          <w:rFonts w:ascii="Bookman Old Style" w:hAnsi="Bookman Old Style" w:cs="Arial"/>
          <w:bCs/>
        </w:rPr>
        <w:t xml:space="preserve"> para la obligación de energía en firme asignada en la subasta</w:t>
      </w:r>
      <w:r w:rsidRPr="00F40F01">
        <w:rPr>
          <w:rFonts w:ascii="Bookman Old Style" w:hAnsi="Bookman Old Style" w:cs="Arial"/>
        </w:rPr>
        <w:t xml:space="preserve"> </w:t>
      </w:r>
      <w:r w:rsidR="00E36EA7">
        <w:rPr>
          <w:rFonts w:ascii="Bookman Old Style" w:hAnsi="Bookman Old Style" w:cs="Arial"/>
        </w:rPr>
        <w:t xml:space="preserve">de Cargo por </w:t>
      </w:r>
      <w:r w:rsidR="00556CEC">
        <w:rPr>
          <w:rFonts w:ascii="Bookman Old Style" w:hAnsi="Bookman Old Style" w:cs="Arial"/>
        </w:rPr>
        <w:t>Confiabilidad</w:t>
      </w:r>
      <w:r>
        <w:rPr>
          <w:rFonts w:ascii="Bookman Old Style" w:hAnsi="Bookman Old Style" w:cs="Arial"/>
          <w:bCs/>
        </w:rPr>
        <w:t xml:space="preserve"> del año 20</w:t>
      </w:r>
      <w:r w:rsidR="00E36EA7">
        <w:rPr>
          <w:rFonts w:ascii="Bookman Old Style" w:hAnsi="Bookman Old Style" w:cs="Arial"/>
          <w:bCs/>
        </w:rPr>
        <w:t>19</w:t>
      </w:r>
      <w:r>
        <w:rPr>
          <w:rFonts w:ascii="Bookman Old Style" w:hAnsi="Bookman Old Style" w:cs="Arial"/>
          <w:bCs/>
        </w:rPr>
        <w:t xml:space="preserve"> y fecha de inicio de período de vigencia de la obligación del 1 de diciembre de 20</w:t>
      </w:r>
      <w:r w:rsidR="00E36EA7">
        <w:rPr>
          <w:rFonts w:ascii="Bookman Old Style" w:hAnsi="Bookman Old Style" w:cs="Arial"/>
          <w:bCs/>
        </w:rPr>
        <w:t>22</w:t>
      </w:r>
      <w:r>
        <w:rPr>
          <w:rFonts w:ascii="Bookman Old Style" w:hAnsi="Bookman Old Style" w:cs="Arial"/>
          <w:bCs/>
        </w:rPr>
        <w:t xml:space="preserve">. </w:t>
      </w:r>
    </w:p>
    <w:p w14:paraId="00885C26" w14:textId="77777777" w:rsidR="00582D35" w:rsidRDefault="00582D35" w:rsidP="00582D35">
      <w:pPr>
        <w:ind w:left="0"/>
        <w:jc w:val="both"/>
        <w:rPr>
          <w:rFonts w:ascii="Bookman Old Style" w:eastAsia="Calibri" w:hAnsi="Bookman Old Style" w:cs="Arial"/>
          <w:lang w:val="es-ES_tradnl"/>
        </w:rPr>
      </w:pPr>
    </w:p>
    <w:p w14:paraId="0A43D1E2" w14:textId="77777777" w:rsidR="00582D35" w:rsidRPr="009B05DD" w:rsidRDefault="00582D35" w:rsidP="00582D35">
      <w:pPr>
        <w:ind w:left="0"/>
        <w:jc w:val="both"/>
        <w:rPr>
          <w:rFonts w:ascii="Bookman Old Style" w:hAnsi="Bookman Old Style" w:cs="Arial"/>
          <w:b/>
          <w:bCs/>
        </w:rPr>
      </w:pPr>
      <w:r>
        <w:rPr>
          <w:rFonts w:ascii="Bookman Old Style" w:hAnsi="Bookman Old Style" w:cs="Arial"/>
          <w:b/>
          <w:bCs/>
        </w:rPr>
        <w:t>Consecuencias del incumplimiento</w:t>
      </w:r>
    </w:p>
    <w:p w14:paraId="66D787CB" w14:textId="77777777" w:rsidR="00582D35" w:rsidRDefault="00582D35" w:rsidP="00582D35">
      <w:pPr>
        <w:ind w:left="0"/>
        <w:jc w:val="both"/>
        <w:rPr>
          <w:rFonts w:ascii="Bookman Old Style" w:hAnsi="Bookman Old Style" w:cs="Arial"/>
          <w:bCs/>
        </w:rPr>
      </w:pPr>
    </w:p>
    <w:p w14:paraId="75816107" w14:textId="6C78ABDF" w:rsidR="00582D35" w:rsidRDefault="00582D35" w:rsidP="00582D35">
      <w:pPr>
        <w:ind w:left="0"/>
        <w:jc w:val="both"/>
        <w:rPr>
          <w:rFonts w:ascii="Bookman Old Style" w:hAnsi="Bookman Old Style" w:cs="Arial"/>
          <w:bCs/>
        </w:rPr>
      </w:pPr>
      <w:r>
        <w:rPr>
          <w:rFonts w:ascii="Bookman Old Style" w:hAnsi="Bookman Old Style" w:cs="Arial"/>
          <w:bCs/>
        </w:rPr>
        <w:t>El numeral 3 del artículo 9 de la Resolución CREG 071 de 2006 establece lo siguiente:</w:t>
      </w:r>
    </w:p>
    <w:p w14:paraId="7F744FD0" w14:textId="77777777" w:rsidR="00582D35" w:rsidRDefault="00582D35" w:rsidP="00582D35">
      <w:pPr>
        <w:jc w:val="both"/>
        <w:rPr>
          <w:rFonts w:ascii="Bookman Old Style" w:hAnsi="Bookman Old Style" w:cs="Arial"/>
          <w:bCs/>
        </w:rPr>
      </w:pPr>
    </w:p>
    <w:p w14:paraId="2C26CB96" w14:textId="77777777" w:rsidR="00582D35" w:rsidRPr="005E5CDD" w:rsidRDefault="00582D35" w:rsidP="003F76CB">
      <w:pPr>
        <w:ind w:left="284"/>
        <w:jc w:val="both"/>
        <w:rPr>
          <w:rFonts w:ascii="Bookman Old Style" w:hAnsi="Bookman Old Style" w:cs="Arial"/>
          <w:bCs/>
          <w:i/>
        </w:rPr>
      </w:pPr>
      <w:r>
        <w:rPr>
          <w:rFonts w:ascii="Bookman Old Style" w:hAnsi="Bookman Old Style" w:cs="Arial"/>
          <w:bCs/>
          <w:i/>
        </w:rPr>
        <w:t>“</w:t>
      </w:r>
      <w:r w:rsidRPr="005E5CDD">
        <w:rPr>
          <w:rFonts w:ascii="Bookman Old Style" w:hAnsi="Bookman Old Style" w:cs="Arial"/>
          <w:bCs/>
          <w:i/>
        </w:rPr>
        <w:t>3.</w:t>
      </w:r>
      <w:r w:rsidRPr="005E5CDD">
        <w:rPr>
          <w:rFonts w:ascii="Bookman Old Style" w:hAnsi="Bookman Old Style" w:cs="Arial"/>
          <w:bCs/>
          <w:i/>
        </w:rPr>
        <w:tab/>
        <w:t>El incumplimiento grave e insalvable de la puesta en operación de la planta o unidad de generación, dará lugar a:</w:t>
      </w:r>
    </w:p>
    <w:p w14:paraId="675CF80E" w14:textId="77777777" w:rsidR="00582D35" w:rsidRPr="005E5CDD" w:rsidRDefault="00582D35" w:rsidP="003F76CB">
      <w:pPr>
        <w:ind w:left="284"/>
        <w:jc w:val="both"/>
        <w:rPr>
          <w:rFonts w:ascii="Bookman Old Style" w:hAnsi="Bookman Old Style" w:cs="Arial"/>
          <w:bCs/>
          <w:i/>
        </w:rPr>
      </w:pPr>
      <w:r w:rsidRPr="005E5CDD">
        <w:rPr>
          <w:rFonts w:ascii="Bookman Old Style" w:hAnsi="Bookman Old Style" w:cs="Arial"/>
          <w:bCs/>
          <w:i/>
        </w:rPr>
        <w:t>a)</w:t>
      </w:r>
      <w:r w:rsidRPr="005E5CDD">
        <w:rPr>
          <w:rFonts w:ascii="Bookman Old Style" w:hAnsi="Bookman Old Style" w:cs="Arial"/>
          <w:bCs/>
          <w:i/>
        </w:rPr>
        <w:tab/>
        <w:t xml:space="preserve">La ejecución de la garantía. </w:t>
      </w:r>
    </w:p>
    <w:p w14:paraId="74A5249F" w14:textId="77777777" w:rsidR="00582D35" w:rsidRDefault="00582D35" w:rsidP="003F76CB">
      <w:pPr>
        <w:ind w:left="284"/>
        <w:jc w:val="both"/>
        <w:rPr>
          <w:rFonts w:ascii="Bookman Old Style" w:hAnsi="Bookman Old Style" w:cs="Arial"/>
          <w:bCs/>
          <w:i/>
        </w:rPr>
      </w:pPr>
      <w:r w:rsidRPr="005E5CDD">
        <w:rPr>
          <w:rFonts w:ascii="Bookman Old Style" w:hAnsi="Bookman Old Style" w:cs="Arial"/>
          <w:bCs/>
          <w:i/>
        </w:rPr>
        <w:t>b)</w:t>
      </w:r>
      <w:r w:rsidRPr="005E5CDD">
        <w:rPr>
          <w:rFonts w:ascii="Bookman Old Style" w:hAnsi="Bookman Old Style" w:cs="Arial"/>
          <w:bCs/>
          <w:i/>
        </w:rPr>
        <w:tab/>
        <w:t>La pérdida para el generador de la asignación de la Obligación de Energía Firme y la remuneración a</w:t>
      </w:r>
      <w:r>
        <w:rPr>
          <w:rFonts w:ascii="Bookman Old Style" w:hAnsi="Bookman Old Style" w:cs="Arial"/>
          <w:bCs/>
          <w:i/>
        </w:rPr>
        <w:t>sociada a ella</w:t>
      </w:r>
      <w:r w:rsidRPr="005E5CDD">
        <w:rPr>
          <w:rFonts w:ascii="Bookman Old Style" w:hAnsi="Bookman Old Style" w:cs="Arial"/>
          <w:bCs/>
          <w:i/>
        </w:rPr>
        <w:t>.”</w:t>
      </w:r>
    </w:p>
    <w:p w14:paraId="7E7AEB68" w14:textId="77777777" w:rsidR="00582D35" w:rsidRDefault="00582D35" w:rsidP="00582D35">
      <w:pPr>
        <w:ind w:left="0"/>
        <w:jc w:val="both"/>
        <w:rPr>
          <w:rFonts w:ascii="Bookman Old Style" w:eastAsia="Calibri" w:hAnsi="Bookman Old Style" w:cs="Arial"/>
        </w:rPr>
      </w:pPr>
    </w:p>
    <w:p w14:paraId="4CA5FA87" w14:textId="2A6A1D5A" w:rsidR="00582D35" w:rsidRDefault="00582D35" w:rsidP="00582D35">
      <w:pPr>
        <w:ind w:left="0"/>
        <w:jc w:val="both"/>
        <w:rPr>
          <w:rFonts w:ascii="Bookman Old Style" w:eastAsia="Calibri" w:hAnsi="Bookman Old Style" w:cs="Arial"/>
        </w:rPr>
      </w:pPr>
      <w:r>
        <w:rPr>
          <w:rFonts w:ascii="Bookman Old Style" w:eastAsia="Calibri" w:hAnsi="Bookman Old Style" w:cs="Arial"/>
        </w:rPr>
        <w:t>Así mismo</w:t>
      </w:r>
      <w:r w:rsidR="003F76CB">
        <w:rPr>
          <w:rFonts w:ascii="Bookman Old Style" w:eastAsia="Calibri" w:hAnsi="Bookman Old Style" w:cs="Arial"/>
        </w:rPr>
        <w:t>,</w:t>
      </w:r>
      <w:r>
        <w:rPr>
          <w:rFonts w:ascii="Bookman Old Style" w:eastAsia="Calibri" w:hAnsi="Bookman Old Style" w:cs="Arial"/>
        </w:rPr>
        <w:t xml:space="preserve"> el artículo 14 del Reglamento de Garantías adoptado mediante la Resolución CREG 0961 de 2007 indica:</w:t>
      </w:r>
    </w:p>
    <w:p w14:paraId="1688EFBA" w14:textId="77777777" w:rsidR="00582D35" w:rsidRDefault="00582D35" w:rsidP="00582D35">
      <w:pPr>
        <w:ind w:left="0"/>
        <w:jc w:val="both"/>
        <w:rPr>
          <w:rFonts w:ascii="Bookman Old Style" w:eastAsia="Calibri" w:hAnsi="Bookman Old Style" w:cs="Arial"/>
        </w:rPr>
      </w:pPr>
    </w:p>
    <w:p w14:paraId="1E616E84" w14:textId="77777777" w:rsidR="00582D35" w:rsidRPr="009B05DD" w:rsidRDefault="00582D35" w:rsidP="003F76CB">
      <w:pPr>
        <w:ind w:left="284"/>
        <w:jc w:val="both"/>
        <w:rPr>
          <w:rFonts w:ascii="Bookman Old Style" w:eastAsia="Calibri" w:hAnsi="Bookman Old Style" w:cs="Arial"/>
          <w:i/>
        </w:rPr>
      </w:pPr>
      <w:r>
        <w:rPr>
          <w:rFonts w:ascii="Bookman Old Style" w:eastAsia="Calibri" w:hAnsi="Bookman Old Style" w:cs="Arial"/>
          <w:i/>
        </w:rPr>
        <w:t>“</w:t>
      </w:r>
      <w:r w:rsidRPr="009B05DD">
        <w:rPr>
          <w:rFonts w:ascii="Bookman Old Style" w:eastAsia="Calibri" w:hAnsi="Bookman Old Style" w:cs="Arial"/>
          <w:b/>
          <w:i/>
        </w:rPr>
        <w:t>Artículo 14. Terminación de la Obligación de Energía Firme.</w:t>
      </w:r>
      <w:r w:rsidRPr="009B05DD">
        <w:rPr>
          <w:rFonts w:ascii="Bookman Old Style" w:eastAsia="Calibri" w:hAnsi="Bookman Old Style" w:cs="Arial"/>
          <w:i/>
        </w:rPr>
        <w:t xml:space="preserve"> Conforme lo establece el Numeral 3 del Artículo 9 de la Resolución CREG 071 de 2006, los eventos de incumplimiento descritos en el Artículo anterior, darán lugar a la pérdida de la asignación de la Obligación de Energía Firme objeto de garantía establecida en el presente capítulo y de la remuneración asociada, a partir de la fecha en que se configuró el respectivo evento de incumplimiento grave e insalvable.</w:t>
      </w:r>
      <w:r>
        <w:rPr>
          <w:rFonts w:ascii="Bookman Old Style" w:eastAsia="Calibri" w:hAnsi="Bookman Old Style" w:cs="Arial"/>
          <w:i/>
        </w:rPr>
        <w:t>”</w:t>
      </w:r>
    </w:p>
    <w:p w14:paraId="1AD97D6C" w14:textId="77777777" w:rsidR="00582D35" w:rsidRDefault="00582D35" w:rsidP="00582D35">
      <w:pPr>
        <w:ind w:left="0"/>
        <w:jc w:val="both"/>
        <w:rPr>
          <w:rFonts w:ascii="Bookman Old Style" w:eastAsia="Calibri" w:hAnsi="Bookman Old Style" w:cs="Arial"/>
        </w:rPr>
      </w:pPr>
    </w:p>
    <w:p w14:paraId="266100C0" w14:textId="2F0A4974" w:rsidR="00582D35" w:rsidRDefault="00582D35" w:rsidP="00582D35">
      <w:pPr>
        <w:ind w:left="0"/>
        <w:jc w:val="both"/>
        <w:rPr>
          <w:rFonts w:ascii="Bookman Old Style" w:hAnsi="Bookman Old Style" w:cs="Arial"/>
          <w:bCs/>
        </w:rPr>
      </w:pPr>
      <w:r>
        <w:rPr>
          <w:rFonts w:ascii="Bookman Old Style" w:hAnsi="Bookman Old Style" w:cs="Arial"/>
          <w:bCs/>
        </w:rPr>
        <w:t xml:space="preserve">De acuerdo con </w:t>
      </w:r>
      <w:r w:rsidR="00770EE5">
        <w:rPr>
          <w:rFonts w:ascii="Bookman Old Style" w:hAnsi="Bookman Old Style" w:cs="Arial"/>
          <w:bCs/>
        </w:rPr>
        <w:t>lo anterior</w:t>
      </w:r>
      <w:r>
        <w:rPr>
          <w:rFonts w:ascii="Bookman Old Style" w:hAnsi="Bookman Old Style" w:cs="Arial"/>
          <w:bCs/>
        </w:rPr>
        <w:t xml:space="preserve">, </w:t>
      </w:r>
      <w:r w:rsidR="00770EE5">
        <w:rPr>
          <w:rFonts w:ascii="Bookman Old Style" w:hAnsi="Bookman Old Style" w:cs="Arial"/>
          <w:bCs/>
        </w:rPr>
        <w:t>se establece claramente</w:t>
      </w:r>
      <w:r>
        <w:rPr>
          <w:rFonts w:ascii="Bookman Old Style" w:hAnsi="Bookman Old Style" w:cs="Arial"/>
          <w:bCs/>
        </w:rPr>
        <w:t xml:space="preserve"> en la regulación que</w:t>
      </w:r>
      <w:r w:rsidR="003F76CB">
        <w:rPr>
          <w:rFonts w:ascii="Bookman Old Style" w:hAnsi="Bookman Old Style" w:cs="Arial"/>
          <w:bCs/>
        </w:rPr>
        <w:t>,</w:t>
      </w:r>
      <w:r>
        <w:rPr>
          <w:rFonts w:ascii="Bookman Old Style" w:hAnsi="Bookman Old Style" w:cs="Arial"/>
          <w:bCs/>
        </w:rPr>
        <w:t xml:space="preserve"> de configurarse alguno de los eventos de incumplimiento grave e insalvable, se deben aplicar las consecuencias allí previstas, en este caso, la ejecución de la garantía, así como la pérdida de la Obligación de la Energía Firme y de la remuneración asociada a ella. </w:t>
      </w:r>
    </w:p>
    <w:p w14:paraId="72668330" w14:textId="77777777" w:rsidR="00582D35" w:rsidRPr="00276971" w:rsidRDefault="00582D35" w:rsidP="00582D35">
      <w:pPr>
        <w:ind w:left="0"/>
        <w:jc w:val="both"/>
        <w:rPr>
          <w:rFonts w:ascii="Bookman Old Style" w:hAnsi="Bookman Old Style" w:cs="Arial"/>
          <w:bCs/>
        </w:rPr>
      </w:pPr>
    </w:p>
    <w:p w14:paraId="6B98B861" w14:textId="119958E9" w:rsidR="00045D3D" w:rsidRDefault="00045D3D" w:rsidP="00045D3D">
      <w:pPr>
        <w:ind w:left="0"/>
        <w:jc w:val="both"/>
        <w:rPr>
          <w:rFonts w:ascii="Bookman Old Style" w:hAnsi="Bookman Old Style"/>
        </w:rPr>
      </w:pPr>
      <w:r>
        <w:rPr>
          <w:rFonts w:ascii="Bookman Old Style" w:hAnsi="Bookman Old Style"/>
        </w:rPr>
        <w:t>La Comisión de Regulación de Energía y Gas, en su Sesión</w:t>
      </w:r>
      <w:r w:rsidR="00962FBE">
        <w:rPr>
          <w:rFonts w:ascii="Bookman Old Style" w:hAnsi="Bookman Old Style"/>
        </w:rPr>
        <w:t xml:space="preserve"> </w:t>
      </w:r>
      <w:r w:rsidR="002C3B7E">
        <w:rPr>
          <w:rFonts w:ascii="Bookman Old Style" w:hAnsi="Bookman Old Style"/>
        </w:rPr>
        <w:t>1081</w:t>
      </w:r>
      <w:r w:rsidR="00E36EA7">
        <w:rPr>
          <w:rFonts w:ascii="Bookman Old Style" w:hAnsi="Bookman Old Style"/>
        </w:rPr>
        <w:t xml:space="preserve"> </w:t>
      </w:r>
      <w:r w:rsidR="00DF3CA2">
        <w:rPr>
          <w:rFonts w:ascii="Bookman Old Style" w:hAnsi="Bookman Old Style"/>
        </w:rPr>
        <w:t>d</w:t>
      </w:r>
      <w:r w:rsidR="00E36EA7">
        <w:rPr>
          <w:rFonts w:ascii="Bookman Old Style" w:hAnsi="Bookman Old Style"/>
        </w:rPr>
        <w:t xml:space="preserve">e </w:t>
      </w:r>
      <w:r w:rsidR="002C3B7E">
        <w:rPr>
          <w:rFonts w:ascii="Bookman Old Style" w:hAnsi="Bookman Old Style"/>
        </w:rPr>
        <w:t>10</w:t>
      </w:r>
      <w:r>
        <w:rPr>
          <w:rFonts w:ascii="Bookman Old Style" w:hAnsi="Bookman Old Style"/>
        </w:rPr>
        <w:t xml:space="preserve"> de</w:t>
      </w:r>
      <w:r w:rsidR="00E36EA7">
        <w:rPr>
          <w:rFonts w:ascii="Bookman Old Style" w:hAnsi="Bookman Old Style"/>
        </w:rPr>
        <w:t xml:space="preserve"> febrero</w:t>
      </w:r>
      <w:r w:rsidR="005A7D6F">
        <w:rPr>
          <w:rFonts w:ascii="Bookman Old Style" w:hAnsi="Bookman Old Style"/>
        </w:rPr>
        <w:t xml:space="preserve"> </w:t>
      </w:r>
      <w:r>
        <w:rPr>
          <w:rFonts w:ascii="Bookman Old Style" w:hAnsi="Bookman Old Style"/>
        </w:rPr>
        <w:t>de 20</w:t>
      </w:r>
      <w:r w:rsidR="00E36EA7">
        <w:rPr>
          <w:rFonts w:ascii="Bookman Old Style" w:hAnsi="Bookman Old Style"/>
        </w:rPr>
        <w:t>21</w:t>
      </w:r>
      <w:r>
        <w:rPr>
          <w:rFonts w:ascii="Bookman Old Style" w:hAnsi="Bookman Old Style"/>
        </w:rPr>
        <w:t>, acordó expedir esta resolución.</w:t>
      </w:r>
    </w:p>
    <w:p w14:paraId="5CE644BE" w14:textId="77777777" w:rsidR="00045D3D" w:rsidRPr="00C435C3" w:rsidRDefault="00045D3D" w:rsidP="00045D3D">
      <w:pPr>
        <w:ind w:left="0"/>
        <w:rPr>
          <w:rFonts w:ascii="Bookman Old Style" w:hAnsi="Bookman Old Style"/>
        </w:rPr>
      </w:pPr>
    </w:p>
    <w:p w14:paraId="08E80F42" w14:textId="77777777" w:rsidR="00045D3D" w:rsidRDefault="00045D3D" w:rsidP="00045D3D">
      <w:pPr>
        <w:suppressAutoHyphens/>
        <w:jc w:val="center"/>
        <w:rPr>
          <w:rFonts w:ascii="Bookman Old Style" w:hAnsi="Bookman Old Style"/>
          <w:b/>
          <w:spacing w:val="-3"/>
        </w:rPr>
      </w:pPr>
    </w:p>
    <w:p w14:paraId="499E0F79" w14:textId="77777777" w:rsidR="00045D3D" w:rsidRPr="00C435C3" w:rsidRDefault="00045D3D" w:rsidP="00045D3D">
      <w:pPr>
        <w:suppressAutoHyphens/>
        <w:jc w:val="center"/>
        <w:rPr>
          <w:rFonts w:ascii="Bookman Old Style" w:hAnsi="Bookman Old Style"/>
          <w:spacing w:val="-3"/>
        </w:rPr>
      </w:pPr>
      <w:r w:rsidRPr="00C435C3">
        <w:rPr>
          <w:rFonts w:ascii="Bookman Old Style" w:hAnsi="Bookman Old Style"/>
          <w:b/>
          <w:spacing w:val="-3"/>
        </w:rPr>
        <w:t>R E S U E L V E:</w:t>
      </w:r>
    </w:p>
    <w:p w14:paraId="4FC46D26" w14:textId="77777777" w:rsidR="00045D3D" w:rsidRDefault="00045D3D" w:rsidP="00045D3D">
      <w:pPr>
        <w:jc w:val="center"/>
        <w:rPr>
          <w:rFonts w:ascii="Bookman Old Style" w:hAnsi="Bookman Old Style"/>
        </w:rPr>
      </w:pPr>
    </w:p>
    <w:p w14:paraId="29030D74" w14:textId="77777777" w:rsidR="009C6B5C" w:rsidRPr="00CE267F" w:rsidRDefault="009C6B5C" w:rsidP="00712333">
      <w:pPr>
        <w:ind w:left="0"/>
        <w:jc w:val="both"/>
        <w:outlineLvl w:val="0"/>
        <w:rPr>
          <w:rFonts w:ascii="Bookman Old Style" w:hAnsi="Bookman Old Style" w:cs="Arial"/>
        </w:rPr>
      </w:pPr>
    </w:p>
    <w:p w14:paraId="7527E11F" w14:textId="4E0B7285" w:rsidR="009C6B5C" w:rsidRPr="00EF6EE5" w:rsidRDefault="009C6B5C" w:rsidP="009C6B5C">
      <w:pPr>
        <w:numPr>
          <w:ilvl w:val="0"/>
          <w:numId w:val="23"/>
        </w:numPr>
        <w:ind w:left="0" w:firstLine="1276"/>
        <w:jc w:val="both"/>
        <w:outlineLvl w:val="0"/>
        <w:rPr>
          <w:rFonts w:ascii="Bookman Old Style" w:hAnsi="Bookman Old Style" w:cs="Arial"/>
        </w:rPr>
      </w:pPr>
      <w:r w:rsidRPr="000074D5">
        <w:rPr>
          <w:rFonts w:ascii="Bookman Old Style" w:hAnsi="Bookman Old Style"/>
          <w:iCs/>
        </w:rPr>
        <w:t>Declarar que se han configurado los supuestos determinados en el artículo 9 de la Resolución CREG 071 de 2006 (modificado por el artículo 13 de la Resolución CREG 061 de 2007) y</w:t>
      </w:r>
      <w:r>
        <w:rPr>
          <w:rFonts w:ascii="Bookman Old Style" w:hAnsi="Bookman Old Style"/>
          <w:iCs/>
        </w:rPr>
        <w:t>,</w:t>
      </w:r>
      <w:r w:rsidRPr="000074D5">
        <w:rPr>
          <w:rFonts w:ascii="Bookman Old Style" w:hAnsi="Bookman Old Style"/>
          <w:iCs/>
        </w:rPr>
        <w:t xml:space="preserve"> por tanto</w:t>
      </w:r>
      <w:r>
        <w:rPr>
          <w:rFonts w:ascii="Bookman Old Style" w:hAnsi="Bookman Old Style"/>
          <w:iCs/>
        </w:rPr>
        <w:t>,</w:t>
      </w:r>
      <w:r w:rsidRPr="000074D5">
        <w:rPr>
          <w:rFonts w:ascii="Bookman Old Style" w:hAnsi="Bookman Old Style"/>
          <w:iCs/>
        </w:rPr>
        <w:t xml:space="preserve"> se </w:t>
      </w:r>
      <w:r>
        <w:rPr>
          <w:rFonts w:ascii="Bookman Old Style" w:hAnsi="Bookman Old Style"/>
          <w:iCs/>
        </w:rPr>
        <w:t xml:space="preserve">ha establecido plenamente la existencia de </w:t>
      </w:r>
      <w:r w:rsidRPr="000074D5">
        <w:rPr>
          <w:rFonts w:ascii="Bookman Old Style" w:hAnsi="Bookman Old Style"/>
          <w:iCs/>
        </w:rPr>
        <w:t xml:space="preserve">un incumplimiento grave e insalvable </w:t>
      </w:r>
      <w:r>
        <w:rPr>
          <w:rFonts w:ascii="Bookman Old Style" w:hAnsi="Bookman Old Style"/>
          <w:iCs/>
        </w:rPr>
        <w:t xml:space="preserve">de las obligaciones asignadas </w:t>
      </w:r>
      <w:r w:rsidR="0096153D">
        <w:rPr>
          <w:rFonts w:ascii="Bookman Old Style" w:hAnsi="Bookman Old Style"/>
          <w:iCs/>
        </w:rPr>
        <w:t xml:space="preserve">a </w:t>
      </w:r>
      <w:r w:rsidR="00543013">
        <w:rPr>
          <w:rFonts w:ascii="Bookman Old Style" w:hAnsi="Bookman Old Style"/>
          <w:iCs/>
        </w:rPr>
        <w:t>Promotora</w:t>
      </w:r>
      <w:r w:rsidR="00802382">
        <w:rPr>
          <w:rFonts w:ascii="Bookman Old Style" w:hAnsi="Bookman Old Style"/>
          <w:iCs/>
        </w:rPr>
        <w:t xml:space="preserve"> Energética del Centro S</w:t>
      </w:r>
      <w:r w:rsidR="003F76CB">
        <w:rPr>
          <w:rFonts w:ascii="Bookman Old Style" w:hAnsi="Bookman Old Style"/>
          <w:iCs/>
        </w:rPr>
        <w:t>.</w:t>
      </w:r>
      <w:r w:rsidR="00802382">
        <w:rPr>
          <w:rFonts w:ascii="Bookman Old Style" w:hAnsi="Bookman Old Style"/>
          <w:iCs/>
        </w:rPr>
        <w:t>A</w:t>
      </w:r>
      <w:r w:rsidR="003F76CB">
        <w:rPr>
          <w:rFonts w:ascii="Bookman Old Style" w:hAnsi="Bookman Old Style"/>
          <w:iCs/>
        </w:rPr>
        <w:t>.</w:t>
      </w:r>
      <w:r w:rsidR="00802382">
        <w:rPr>
          <w:rFonts w:ascii="Bookman Old Style" w:hAnsi="Bookman Old Style"/>
          <w:iCs/>
        </w:rPr>
        <w:t>S</w:t>
      </w:r>
      <w:r w:rsidR="003F76CB">
        <w:rPr>
          <w:rFonts w:ascii="Bookman Old Style" w:hAnsi="Bookman Old Style"/>
          <w:iCs/>
        </w:rPr>
        <w:t>.</w:t>
      </w:r>
      <w:r w:rsidR="00802382">
        <w:rPr>
          <w:rFonts w:ascii="Bookman Old Style" w:hAnsi="Bookman Old Style"/>
          <w:iCs/>
        </w:rPr>
        <w:t xml:space="preserve"> E</w:t>
      </w:r>
      <w:r w:rsidR="003F76CB">
        <w:rPr>
          <w:rFonts w:ascii="Bookman Old Style" w:hAnsi="Bookman Old Style"/>
          <w:iCs/>
        </w:rPr>
        <w:t>.</w:t>
      </w:r>
      <w:r w:rsidR="00802382">
        <w:rPr>
          <w:rFonts w:ascii="Bookman Old Style" w:hAnsi="Bookman Old Style"/>
          <w:iCs/>
        </w:rPr>
        <w:t>S</w:t>
      </w:r>
      <w:r w:rsidR="003F76CB">
        <w:rPr>
          <w:rFonts w:ascii="Bookman Old Style" w:hAnsi="Bookman Old Style"/>
          <w:iCs/>
        </w:rPr>
        <w:t>.</w:t>
      </w:r>
      <w:r w:rsidR="00802382">
        <w:rPr>
          <w:rFonts w:ascii="Bookman Old Style" w:hAnsi="Bookman Old Style"/>
          <w:iCs/>
        </w:rPr>
        <w:t>P</w:t>
      </w:r>
      <w:r w:rsidR="003F76CB">
        <w:rPr>
          <w:rFonts w:ascii="Bookman Old Style" w:hAnsi="Bookman Old Style"/>
          <w:iCs/>
        </w:rPr>
        <w:t>.</w:t>
      </w:r>
      <w:r w:rsidR="00802382">
        <w:rPr>
          <w:rFonts w:ascii="Bookman Old Style" w:hAnsi="Bookman Old Style"/>
          <w:iCs/>
        </w:rPr>
        <w:t xml:space="preserve"> en representación del proyecto </w:t>
      </w:r>
      <w:r w:rsidR="0096153D">
        <w:rPr>
          <w:rFonts w:ascii="Bookman Old Style" w:hAnsi="Bookman Old Style"/>
          <w:iCs/>
        </w:rPr>
        <w:t xml:space="preserve">de generación hidroeléctrico </w:t>
      </w:r>
      <w:r w:rsidR="00802382">
        <w:rPr>
          <w:rFonts w:ascii="Bookman Old Style" w:hAnsi="Bookman Old Style"/>
          <w:iCs/>
        </w:rPr>
        <w:t>Miel II</w:t>
      </w:r>
      <w:r w:rsidR="0096153D">
        <w:rPr>
          <w:rFonts w:ascii="Bookman Old Style" w:hAnsi="Bookman Old Style"/>
          <w:iCs/>
        </w:rPr>
        <w:t>,</w:t>
      </w:r>
      <w:r>
        <w:rPr>
          <w:rFonts w:ascii="Bookman Old Style" w:hAnsi="Bookman Old Style"/>
          <w:iCs/>
        </w:rPr>
        <w:t xml:space="preserve"> </w:t>
      </w:r>
      <w:r w:rsidR="00802382">
        <w:rPr>
          <w:rFonts w:ascii="Bookman Old Style" w:hAnsi="Bookman Old Style"/>
          <w:iCs/>
        </w:rPr>
        <w:t>en la subasta del Cargo por Confiabilidad realizada</w:t>
      </w:r>
      <w:r w:rsidR="00543013">
        <w:rPr>
          <w:rFonts w:ascii="Bookman Old Style" w:hAnsi="Bookman Old Style"/>
          <w:iCs/>
        </w:rPr>
        <w:t xml:space="preserve"> el 28 de febrero</w:t>
      </w:r>
      <w:r w:rsidR="0090389D">
        <w:rPr>
          <w:rFonts w:ascii="Bookman Old Style" w:hAnsi="Bookman Old Style"/>
          <w:iCs/>
        </w:rPr>
        <w:t xml:space="preserve"> </w:t>
      </w:r>
      <w:r w:rsidR="00543013">
        <w:rPr>
          <w:rFonts w:ascii="Bookman Old Style" w:hAnsi="Bookman Old Style"/>
          <w:iCs/>
        </w:rPr>
        <w:t>de</w:t>
      </w:r>
      <w:r w:rsidR="00802382">
        <w:rPr>
          <w:rFonts w:ascii="Bookman Old Style" w:hAnsi="Bookman Old Style"/>
          <w:iCs/>
        </w:rPr>
        <w:t xml:space="preserve"> 2019</w:t>
      </w:r>
      <w:r>
        <w:rPr>
          <w:rFonts w:ascii="Bookman Old Style" w:hAnsi="Bookman Old Style"/>
          <w:iCs/>
        </w:rPr>
        <w:t xml:space="preserve">, </w:t>
      </w:r>
      <w:r w:rsidRPr="000074D5">
        <w:rPr>
          <w:rFonts w:ascii="Bookman Old Style" w:hAnsi="Bookman Old Style"/>
          <w:iCs/>
        </w:rPr>
        <w:t>toda vez</w:t>
      </w:r>
      <w:r>
        <w:rPr>
          <w:rFonts w:ascii="Bookman Old Style" w:hAnsi="Bookman Old Style"/>
          <w:iCs/>
        </w:rPr>
        <w:t xml:space="preserve"> que se encuentra plenamente probado que</w:t>
      </w:r>
      <w:r w:rsidR="003F76CB">
        <w:rPr>
          <w:rFonts w:ascii="Bookman Old Style" w:hAnsi="Bookman Old Style"/>
          <w:iCs/>
        </w:rPr>
        <w:t>,</w:t>
      </w:r>
      <w:r>
        <w:rPr>
          <w:rFonts w:ascii="Bookman Old Style" w:hAnsi="Bookman Old Style"/>
          <w:iCs/>
        </w:rPr>
        <w:t xml:space="preserve"> </w:t>
      </w:r>
      <w:r w:rsidR="0096153D">
        <w:rPr>
          <w:rFonts w:ascii="Bookman Old Style" w:hAnsi="Bookman Old Style"/>
          <w:iCs/>
        </w:rPr>
        <w:t xml:space="preserve">con respecto a la fecha del </w:t>
      </w:r>
      <w:r>
        <w:rPr>
          <w:rFonts w:ascii="Bookman Old Style" w:hAnsi="Bookman Old Style"/>
          <w:iCs/>
        </w:rPr>
        <w:t>1 de diciembre de 20</w:t>
      </w:r>
      <w:r w:rsidR="00C72199">
        <w:rPr>
          <w:rFonts w:ascii="Bookman Old Style" w:hAnsi="Bookman Old Style"/>
          <w:iCs/>
        </w:rPr>
        <w:t>22</w:t>
      </w:r>
      <w:r>
        <w:rPr>
          <w:rFonts w:ascii="Bookman Old Style" w:hAnsi="Bookman Old Style"/>
          <w:iCs/>
        </w:rPr>
        <w:t>, fecha de inicio de p</w:t>
      </w:r>
      <w:r w:rsidR="00321FD1">
        <w:rPr>
          <w:rFonts w:ascii="Bookman Old Style" w:hAnsi="Bookman Old Style"/>
          <w:iCs/>
        </w:rPr>
        <w:t>eríodo</w:t>
      </w:r>
      <w:r>
        <w:rPr>
          <w:rFonts w:ascii="Bookman Old Style" w:hAnsi="Bookman Old Style"/>
          <w:iCs/>
        </w:rPr>
        <w:t xml:space="preserve"> de vigencia de la obligación, </w:t>
      </w:r>
      <w:r w:rsidR="0096153D">
        <w:rPr>
          <w:rFonts w:ascii="Bookman Old Style" w:hAnsi="Bookman Old Style"/>
          <w:iCs/>
        </w:rPr>
        <w:t xml:space="preserve">el retraso en la entrada en operación comercial del </w:t>
      </w:r>
      <w:r w:rsidR="0096153D" w:rsidRPr="000074D5">
        <w:rPr>
          <w:rFonts w:ascii="Bookman Old Style" w:hAnsi="Bookman Old Style"/>
          <w:iCs/>
        </w:rPr>
        <w:t xml:space="preserve">proyecto de generación </w:t>
      </w:r>
      <w:r w:rsidR="0096153D">
        <w:rPr>
          <w:rFonts w:ascii="Bookman Old Style" w:hAnsi="Bookman Old Style"/>
          <w:iCs/>
        </w:rPr>
        <w:t xml:space="preserve">Hidroeléctrico Miel II </w:t>
      </w:r>
      <w:r>
        <w:rPr>
          <w:rFonts w:ascii="Bookman Old Style" w:hAnsi="Bookman Old Style"/>
          <w:iCs/>
        </w:rPr>
        <w:t>es superior a un año</w:t>
      </w:r>
      <w:r w:rsidRPr="000074D5">
        <w:rPr>
          <w:rFonts w:ascii="Bookman Old Style" w:hAnsi="Bookman Old Style"/>
          <w:iCs/>
        </w:rPr>
        <w:t>.</w:t>
      </w:r>
    </w:p>
    <w:p w14:paraId="1C3DF6A4" w14:textId="77777777" w:rsidR="009C6B5C" w:rsidRPr="000074D5" w:rsidRDefault="009C6B5C" w:rsidP="00712333">
      <w:pPr>
        <w:ind w:left="0"/>
        <w:jc w:val="both"/>
        <w:outlineLvl w:val="0"/>
        <w:rPr>
          <w:rFonts w:ascii="Bookman Old Style" w:hAnsi="Bookman Old Style" w:cs="Arial"/>
        </w:rPr>
      </w:pPr>
    </w:p>
    <w:p w14:paraId="102BC5BA" w14:textId="4B5B9223" w:rsidR="009C6B5C" w:rsidRPr="00A257C9" w:rsidRDefault="009C6B5C" w:rsidP="009C6B5C">
      <w:pPr>
        <w:numPr>
          <w:ilvl w:val="0"/>
          <w:numId w:val="23"/>
        </w:numPr>
        <w:ind w:left="0" w:firstLine="1276"/>
        <w:jc w:val="both"/>
        <w:outlineLvl w:val="0"/>
        <w:rPr>
          <w:rFonts w:ascii="Bookman Old Style" w:hAnsi="Bookman Old Style"/>
        </w:rPr>
      </w:pPr>
      <w:r w:rsidRPr="00A257C9">
        <w:rPr>
          <w:rFonts w:ascii="Bookman Old Style" w:hAnsi="Bookman Old Style"/>
        </w:rPr>
        <w:t xml:space="preserve"> Como consecuencia del incumplimiento grave e insalvable</w:t>
      </w:r>
      <w:r w:rsidR="003F76CB">
        <w:rPr>
          <w:rFonts w:ascii="Bookman Old Style" w:hAnsi="Bookman Old Style"/>
        </w:rPr>
        <w:t>,</w:t>
      </w:r>
      <w:r w:rsidRPr="00A257C9">
        <w:rPr>
          <w:rFonts w:ascii="Bookman Old Style" w:hAnsi="Bookman Old Style"/>
        </w:rPr>
        <w:t xml:space="preserve"> y conforme a lo dispuesto en el artículo 9 de la Resolución CREG 071 de 2006 y el artículo14 del Reglamento de Garantías, adoptado mediante la Resolución CREG 61 de 2007</w:t>
      </w:r>
      <w:r w:rsidR="00123A07">
        <w:rPr>
          <w:rFonts w:ascii="Bookman Old Style" w:hAnsi="Bookman Old Style"/>
        </w:rPr>
        <w:t>,</w:t>
      </w:r>
      <w:r w:rsidRPr="00A257C9">
        <w:rPr>
          <w:rFonts w:ascii="Bookman Old Style" w:hAnsi="Bookman Old Style"/>
        </w:rPr>
        <w:t xml:space="preserve"> declarar la pérdida</w:t>
      </w:r>
      <w:r w:rsidR="00A74647">
        <w:rPr>
          <w:rFonts w:ascii="Bookman Old Style" w:hAnsi="Bookman Old Style"/>
        </w:rPr>
        <w:t xml:space="preserve"> de las </w:t>
      </w:r>
      <w:r w:rsidRPr="00A257C9">
        <w:rPr>
          <w:rFonts w:ascii="Bookman Old Style" w:hAnsi="Bookman Old Style"/>
        </w:rPr>
        <w:t xml:space="preserve">OEF con IPVO </w:t>
      </w:r>
      <w:r w:rsidR="00A74647">
        <w:rPr>
          <w:rFonts w:ascii="Bookman Old Style" w:hAnsi="Bookman Old Style"/>
        </w:rPr>
        <w:t xml:space="preserve">1 de diciembre de </w:t>
      </w:r>
      <w:r w:rsidRPr="00A257C9">
        <w:rPr>
          <w:rFonts w:ascii="Bookman Old Style" w:hAnsi="Bookman Old Style"/>
        </w:rPr>
        <w:t>20</w:t>
      </w:r>
      <w:r w:rsidR="00C72199">
        <w:rPr>
          <w:rFonts w:ascii="Bookman Old Style" w:hAnsi="Bookman Old Style"/>
        </w:rPr>
        <w:t>22</w:t>
      </w:r>
      <w:r w:rsidRPr="00A257C9">
        <w:rPr>
          <w:rFonts w:ascii="Bookman Old Style" w:hAnsi="Bookman Old Style"/>
        </w:rPr>
        <w:t xml:space="preserve"> asignadas al Proyecto Hidroeléctrico</w:t>
      </w:r>
      <w:r w:rsidR="00C72199">
        <w:rPr>
          <w:rFonts w:ascii="Bookman Old Style" w:hAnsi="Bookman Old Style"/>
        </w:rPr>
        <w:t xml:space="preserve"> Miel II</w:t>
      </w:r>
      <w:r w:rsidRPr="00A257C9">
        <w:rPr>
          <w:rFonts w:ascii="Bookman Old Style" w:hAnsi="Bookman Old Style"/>
        </w:rPr>
        <w:t xml:space="preserve"> en la subasta </w:t>
      </w:r>
      <w:r w:rsidR="00FA7D73">
        <w:rPr>
          <w:rFonts w:ascii="Bookman Old Style" w:hAnsi="Bookman Old Style"/>
        </w:rPr>
        <w:t xml:space="preserve">del Cargo por Confiabilidad </w:t>
      </w:r>
      <w:r w:rsidRPr="00A257C9">
        <w:rPr>
          <w:rFonts w:ascii="Bookman Old Style" w:hAnsi="Bookman Old Style"/>
        </w:rPr>
        <w:t xml:space="preserve">de </w:t>
      </w:r>
      <w:r w:rsidR="00D11367">
        <w:rPr>
          <w:rFonts w:ascii="Bookman Old Style" w:hAnsi="Bookman Old Style"/>
        </w:rPr>
        <w:t xml:space="preserve">28 de febrero </w:t>
      </w:r>
      <w:r w:rsidRPr="00A257C9">
        <w:rPr>
          <w:rFonts w:ascii="Bookman Old Style" w:hAnsi="Bookman Old Style"/>
        </w:rPr>
        <w:t>20</w:t>
      </w:r>
      <w:r w:rsidR="00C72199">
        <w:rPr>
          <w:rFonts w:ascii="Bookman Old Style" w:hAnsi="Bookman Old Style"/>
        </w:rPr>
        <w:t>19</w:t>
      </w:r>
      <w:r w:rsidRPr="00A257C9">
        <w:rPr>
          <w:rFonts w:ascii="Bookman Old Style" w:hAnsi="Bookman Old Style"/>
        </w:rPr>
        <w:t>, así como de la remuneración asociada a la misma</w:t>
      </w:r>
      <w:r w:rsidR="003F76CB">
        <w:rPr>
          <w:rFonts w:ascii="Bookman Old Style" w:hAnsi="Bookman Old Style"/>
        </w:rPr>
        <w:t>,</w:t>
      </w:r>
      <w:r w:rsidRPr="00A257C9">
        <w:rPr>
          <w:rFonts w:ascii="Bookman Old Style" w:hAnsi="Bookman Old Style"/>
        </w:rPr>
        <w:t xml:space="preserve"> y ordenar a XM S</w:t>
      </w:r>
      <w:r w:rsidR="003F76CB">
        <w:rPr>
          <w:rFonts w:ascii="Bookman Old Style" w:hAnsi="Bookman Old Style"/>
        </w:rPr>
        <w:t>.</w:t>
      </w:r>
      <w:r w:rsidRPr="00A257C9">
        <w:rPr>
          <w:rFonts w:ascii="Bookman Old Style" w:hAnsi="Bookman Old Style"/>
        </w:rPr>
        <w:t>A</w:t>
      </w:r>
      <w:r w:rsidR="003F76CB">
        <w:rPr>
          <w:rFonts w:ascii="Bookman Old Style" w:hAnsi="Bookman Old Style"/>
        </w:rPr>
        <w:t>.</w:t>
      </w:r>
      <w:r w:rsidRPr="00A257C9">
        <w:rPr>
          <w:rFonts w:ascii="Bookman Old Style" w:hAnsi="Bookman Old Style"/>
        </w:rPr>
        <w:t xml:space="preserve"> E</w:t>
      </w:r>
      <w:r w:rsidR="003F76CB">
        <w:rPr>
          <w:rFonts w:ascii="Bookman Old Style" w:hAnsi="Bookman Old Style"/>
        </w:rPr>
        <w:t>.</w:t>
      </w:r>
      <w:r w:rsidRPr="00A257C9">
        <w:rPr>
          <w:rFonts w:ascii="Bookman Old Style" w:hAnsi="Bookman Old Style"/>
        </w:rPr>
        <w:t>S</w:t>
      </w:r>
      <w:r w:rsidR="003F76CB">
        <w:rPr>
          <w:rFonts w:ascii="Bookman Old Style" w:hAnsi="Bookman Old Style"/>
        </w:rPr>
        <w:t>.</w:t>
      </w:r>
      <w:r w:rsidRPr="00A257C9">
        <w:rPr>
          <w:rFonts w:ascii="Bookman Old Style" w:hAnsi="Bookman Old Style"/>
        </w:rPr>
        <w:t>P</w:t>
      </w:r>
      <w:r w:rsidR="003F76CB">
        <w:rPr>
          <w:rFonts w:ascii="Bookman Old Style" w:hAnsi="Bookman Old Style"/>
        </w:rPr>
        <w:t>.</w:t>
      </w:r>
      <w:r w:rsidRPr="00A257C9">
        <w:rPr>
          <w:rFonts w:ascii="Bookman Old Style" w:hAnsi="Bookman Old Style"/>
        </w:rPr>
        <w:t xml:space="preserve"> la ejecución de la garantía que ampara la construcción y puesta en operación del proyecto a primero de diciembre de 20</w:t>
      </w:r>
      <w:r w:rsidR="00C72199">
        <w:rPr>
          <w:rFonts w:ascii="Bookman Old Style" w:hAnsi="Bookman Old Style"/>
        </w:rPr>
        <w:t>22</w:t>
      </w:r>
      <w:r w:rsidRPr="00A257C9">
        <w:rPr>
          <w:rFonts w:ascii="Bookman Old Style" w:hAnsi="Bookman Old Style"/>
        </w:rPr>
        <w:t>.</w:t>
      </w:r>
    </w:p>
    <w:p w14:paraId="3D3CE96D" w14:textId="77777777" w:rsidR="009C6B5C" w:rsidRDefault="009C6B5C" w:rsidP="00FB7A9D">
      <w:pPr>
        <w:ind w:left="0"/>
        <w:jc w:val="both"/>
        <w:outlineLvl w:val="0"/>
        <w:rPr>
          <w:rFonts w:ascii="Bookman Old Style" w:hAnsi="Bookman Old Style"/>
        </w:rPr>
      </w:pPr>
    </w:p>
    <w:p w14:paraId="64D3C3A7" w14:textId="40714C03" w:rsidR="009C6B5C" w:rsidRPr="00AE23FF" w:rsidRDefault="009C6B5C" w:rsidP="009C6B5C">
      <w:pPr>
        <w:numPr>
          <w:ilvl w:val="0"/>
          <w:numId w:val="23"/>
        </w:numPr>
        <w:ind w:left="0" w:firstLine="1276"/>
        <w:jc w:val="both"/>
        <w:outlineLvl w:val="0"/>
        <w:rPr>
          <w:rFonts w:ascii="Bookman Old Style" w:hAnsi="Bookman Old Style"/>
        </w:rPr>
      </w:pPr>
      <w:r w:rsidRPr="00AE23FF">
        <w:rPr>
          <w:rFonts w:ascii="Bookman Old Style" w:hAnsi="Bookman Old Style"/>
        </w:rPr>
        <w:t>En firme la presente decisión, ésta deberá ser comunicada a</w:t>
      </w:r>
      <w:r w:rsidR="0090389D">
        <w:rPr>
          <w:rFonts w:ascii="Bookman Old Style" w:hAnsi="Bookman Old Style"/>
        </w:rPr>
        <w:t xml:space="preserve"> XM S.A</w:t>
      </w:r>
      <w:r w:rsidR="003F76CB">
        <w:rPr>
          <w:rFonts w:ascii="Bookman Old Style" w:hAnsi="Bookman Old Style"/>
        </w:rPr>
        <w:t>.</w:t>
      </w:r>
      <w:r w:rsidR="0090389D">
        <w:rPr>
          <w:rFonts w:ascii="Bookman Old Style" w:hAnsi="Bookman Old Style"/>
        </w:rPr>
        <w:t xml:space="preserve"> E</w:t>
      </w:r>
      <w:r w:rsidR="003F76CB">
        <w:rPr>
          <w:rFonts w:ascii="Bookman Old Style" w:hAnsi="Bookman Old Style"/>
        </w:rPr>
        <w:t>.</w:t>
      </w:r>
      <w:r w:rsidR="0090389D">
        <w:rPr>
          <w:rFonts w:ascii="Bookman Old Style" w:hAnsi="Bookman Old Style"/>
        </w:rPr>
        <w:t>S</w:t>
      </w:r>
      <w:r w:rsidR="003F76CB">
        <w:rPr>
          <w:rFonts w:ascii="Bookman Old Style" w:hAnsi="Bookman Old Style"/>
        </w:rPr>
        <w:t>.</w:t>
      </w:r>
      <w:r w:rsidR="0090389D">
        <w:rPr>
          <w:rFonts w:ascii="Bookman Old Style" w:hAnsi="Bookman Old Style"/>
        </w:rPr>
        <w:t>P</w:t>
      </w:r>
      <w:r w:rsidR="003F76CB">
        <w:rPr>
          <w:rFonts w:ascii="Bookman Old Style" w:hAnsi="Bookman Old Style"/>
        </w:rPr>
        <w:t>.</w:t>
      </w:r>
      <w:r w:rsidR="0090389D">
        <w:rPr>
          <w:rFonts w:ascii="Bookman Old Style" w:hAnsi="Bookman Old Style"/>
        </w:rPr>
        <w:t xml:space="preserve"> en su función de Administrador de Intercambios Comerciales</w:t>
      </w:r>
      <w:r w:rsidR="003F76CB">
        <w:rPr>
          <w:rFonts w:ascii="Bookman Old Style" w:hAnsi="Bookman Old Style"/>
        </w:rPr>
        <w:t xml:space="preserve">, </w:t>
      </w:r>
      <w:r w:rsidRPr="00AE23FF">
        <w:rPr>
          <w:rFonts w:ascii="Bookman Old Style" w:hAnsi="Bookman Old Style"/>
        </w:rPr>
        <w:t xml:space="preserve">ASIC, </w:t>
      </w:r>
      <w:r>
        <w:rPr>
          <w:rFonts w:ascii="Bookman Old Style" w:hAnsi="Bookman Old Style"/>
        </w:rPr>
        <w:t>para que ejecute</w:t>
      </w:r>
      <w:r w:rsidRPr="00AE23FF">
        <w:rPr>
          <w:rFonts w:ascii="Bookman Old Style" w:hAnsi="Bookman Old Style"/>
        </w:rPr>
        <w:t xml:space="preserve"> las medidas correspondientes</w:t>
      </w:r>
      <w:r>
        <w:rPr>
          <w:rFonts w:ascii="Bookman Old Style" w:hAnsi="Bookman Old Style"/>
        </w:rPr>
        <w:t>,</w:t>
      </w:r>
      <w:r w:rsidRPr="00AE23FF">
        <w:rPr>
          <w:rFonts w:ascii="Bookman Old Style" w:hAnsi="Bookman Old Style"/>
        </w:rPr>
        <w:t xml:space="preserve"> de acuerdo con lo </w:t>
      </w:r>
      <w:r>
        <w:rPr>
          <w:rFonts w:ascii="Bookman Old Style" w:hAnsi="Bookman Old Style"/>
        </w:rPr>
        <w:t xml:space="preserve">que </w:t>
      </w:r>
      <w:r w:rsidRPr="00AE23FF">
        <w:rPr>
          <w:rFonts w:ascii="Bookman Old Style" w:hAnsi="Bookman Old Style"/>
        </w:rPr>
        <w:t xml:space="preserve">determina la Resolución </w:t>
      </w:r>
      <w:r>
        <w:rPr>
          <w:rFonts w:ascii="Bookman Old Style" w:hAnsi="Bookman Old Style"/>
        </w:rPr>
        <w:t xml:space="preserve">CREG </w:t>
      </w:r>
      <w:r w:rsidRPr="00AE23FF">
        <w:rPr>
          <w:rFonts w:ascii="Bookman Old Style" w:hAnsi="Bookman Old Style"/>
        </w:rPr>
        <w:t>071 de 2006.</w:t>
      </w:r>
    </w:p>
    <w:p w14:paraId="2B05BB54" w14:textId="77777777" w:rsidR="009C6B5C" w:rsidRPr="000074D5" w:rsidRDefault="009C6B5C" w:rsidP="009C6B5C">
      <w:pPr>
        <w:ind w:left="708"/>
        <w:rPr>
          <w:rFonts w:ascii="Bookman Old Style" w:hAnsi="Bookman Old Style"/>
          <w:lang w:val="es-CO"/>
        </w:rPr>
      </w:pPr>
    </w:p>
    <w:p w14:paraId="41D1B45E" w14:textId="412E19DB" w:rsidR="00045D3D" w:rsidRPr="00C72199" w:rsidRDefault="009C6B5C" w:rsidP="00712333">
      <w:pPr>
        <w:numPr>
          <w:ilvl w:val="0"/>
          <w:numId w:val="23"/>
        </w:numPr>
        <w:ind w:left="0" w:firstLine="1276"/>
        <w:jc w:val="both"/>
        <w:outlineLvl w:val="0"/>
        <w:rPr>
          <w:rFonts w:ascii="Bookman Old Style" w:hAnsi="Bookman Old Style"/>
          <w:i/>
          <w:sz w:val="22"/>
        </w:rPr>
      </w:pPr>
      <w:r w:rsidRPr="00C72199">
        <w:rPr>
          <w:rFonts w:ascii="Bookman Old Style" w:hAnsi="Bookman Old Style" w:cs="Arial"/>
        </w:rPr>
        <w:t xml:space="preserve"> Notificar personalmente la presente Resolución al representante legal de</w:t>
      </w:r>
      <w:r w:rsidRPr="00712333">
        <w:rPr>
          <w:rFonts w:ascii="Bookman Old Style" w:hAnsi="Bookman Old Style" w:cs="Arial"/>
        </w:rPr>
        <w:t xml:space="preserve"> </w:t>
      </w:r>
      <w:r w:rsidR="00C72199" w:rsidRPr="00712333">
        <w:rPr>
          <w:rFonts w:ascii="Bookman Old Style" w:hAnsi="Bookman Old Style" w:cs="Arial"/>
        </w:rPr>
        <w:t>Promotora Energética de Centro</w:t>
      </w:r>
      <w:r w:rsidR="00BB48D0">
        <w:rPr>
          <w:rFonts w:ascii="Bookman Old Style" w:hAnsi="Bookman Old Style" w:cs="Arial"/>
        </w:rPr>
        <w:t xml:space="preserve"> S.A</w:t>
      </w:r>
      <w:r w:rsidR="003F76CB">
        <w:rPr>
          <w:rFonts w:ascii="Bookman Old Style" w:hAnsi="Bookman Old Style" w:cs="Arial"/>
        </w:rPr>
        <w:t>.</w:t>
      </w:r>
      <w:r w:rsidR="00BB48D0">
        <w:rPr>
          <w:rFonts w:ascii="Bookman Old Style" w:hAnsi="Bookman Old Style" w:cs="Arial"/>
        </w:rPr>
        <w:t>S</w:t>
      </w:r>
      <w:r w:rsidR="003F76CB">
        <w:rPr>
          <w:rFonts w:ascii="Bookman Old Style" w:hAnsi="Bookman Old Style" w:cs="Arial"/>
        </w:rPr>
        <w:t>.</w:t>
      </w:r>
      <w:r w:rsidR="00BB48D0">
        <w:rPr>
          <w:rFonts w:ascii="Bookman Old Style" w:hAnsi="Bookman Old Style" w:cs="Arial"/>
        </w:rPr>
        <w:t xml:space="preserve"> E</w:t>
      </w:r>
      <w:r w:rsidR="003F76CB">
        <w:rPr>
          <w:rFonts w:ascii="Bookman Old Style" w:hAnsi="Bookman Old Style" w:cs="Arial"/>
        </w:rPr>
        <w:t>.</w:t>
      </w:r>
      <w:r w:rsidR="00BB48D0">
        <w:rPr>
          <w:rFonts w:ascii="Bookman Old Style" w:hAnsi="Bookman Old Style" w:cs="Arial"/>
        </w:rPr>
        <w:t>S</w:t>
      </w:r>
      <w:r w:rsidR="003F76CB">
        <w:rPr>
          <w:rFonts w:ascii="Bookman Old Style" w:hAnsi="Bookman Old Style" w:cs="Arial"/>
        </w:rPr>
        <w:t>.</w:t>
      </w:r>
      <w:r w:rsidR="00BB48D0">
        <w:rPr>
          <w:rFonts w:ascii="Bookman Old Style" w:hAnsi="Bookman Old Style" w:cs="Arial"/>
        </w:rPr>
        <w:t>P</w:t>
      </w:r>
      <w:r w:rsidR="003F76CB">
        <w:rPr>
          <w:rFonts w:ascii="Bookman Old Style" w:hAnsi="Bookman Old Style" w:cs="Arial"/>
        </w:rPr>
        <w:t>.</w:t>
      </w:r>
      <w:r w:rsidRPr="00712333">
        <w:rPr>
          <w:rFonts w:ascii="Bookman Old Style" w:hAnsi="Bookman Old Style"/>
          <w:iCs/>
        </w:rPr>
        <w:t>, advirtiéndole que contra</w:t>
      </w:r>
      <w:r w:rsidR="00D51A18" w:rsidRPr="00712333">
        <w:rPr>
          <w:rFonts w:ascii="Bookman Old Style" w:hAnsi="Bookman Old Style"/>
          <w:iCs/>
        </w:rPr>
        <w:t xml:space="preserve"> </w:t>
      </w:r>
      <w:r w:rsidR="00C72199" w:rsidRPr="00712333">
        <w:rPr>
          <w:rFonts w:ascii="Bookman Old Style" w:hAnsi="Bookman Old Style"/>
          <w:iCs/>
        </w:rPr>
        <w:t xml:space="preserve">la misma </w:t>
      </w:r>
      <w:r w:rsidRPr="00712333">
        <w:rPr>
          <w:rFonts w:ascii="Bookman Old Style" w:hAnsi="Bookman Old Style" w:cs="Arial"/>
        </w:rPr>
        <w:t>procede el recurso de reposición, el cual podrá interponerse ante la Dirección Ejecutiva de la CREG dentro de los cinco (5) días hábiles siguientes a la fecha de su notificación.</w:t>
      </w:r>
      <w:r w:rsidR="00D51A18" w:rsidRPr="00712333">
        <w:rPr>
          <w:rFonts w:ascii="Bookman Old Style" w:hAnsi="Bookman Old Style" w:cs="Arial"/>
        </w:rPr>
        <w:t xml:space="preserve"> </w:t>
      </w:r>
    </w:p>
    <w:p w14:paraId="25015B7B" w14:textId="35CBBE20" w:rsidR="00045D3D" w:rsidRDefault="00045D3D" w:rsidP="00045D3D">
      <w:pPr>
        <w:ind w:left="0"/>
        <w:rPr>
          <w:rFonts w:ascii="Bookman Old Style" w:hAnsi="Bookman Old Style"/>
        </w:rPr>
      </w:pPr>
    </w:p>
    <w:p w14:paraId="401F55A6" w14:textId="77777777" w:rsidR="00045D3D" w:rsidRPr="00C435C3" w:rsidRDefault="002903C0" w:rsidP="00045D3D">
      <w:pPr>
        <w:jc w:val="center"/>
        <w:rPr>
          <w:rFonts w:ascii="Bookman Old Style" w:hAnsi="Bookman Old Style"/>
          <w:b/>
        </w:rPr>
      </w:pPr>
      <w:r>
        <w:rPr>
          <w:rFonts w:ascii="Bookman Old Style" w:hAnsi="Bookman Old Style"/>
          <w:b/>
        </w:rPr>
        <w:t xml:space="preserve">NOTIFÍQUESE, </w:t>
      </w:r>
      <w:r w:rsidR="00045D3D" w:rsidRPr="00C435C3">
        <w:rPr>
          <w:rFonts w:ascii="Bookman Old Style" w:hAnsi="Bookman Old Style"/>
          <w:b/>
        </w:rPr>
        <w:t>PU</w:t>
      </w:r>
      <w:r w:rsidR="00CA03C8">
        <w:rPr>
          <w:rFonts w:ascii="Bookman Old Style" w:hAnsi="Bookman Old Style"/>
          <w:b/>
        </w:rPr>
        <w:t>B</w:t>
      </w:r>
      <w:r w:rsidR="00045D3D" w:rsidRPr="00C435C3">
        <w:rPr>
          <w:rFonts w:ascii="Bookman Old Style" w:hAnsi="Bookman Old Style"/>
          <w:b/>
        </w:rPr>
        <w:t>LÍQUESE Y CÚMPLASE</w:t>
      </w:r>
    </w:p>
    <w:p w14:paraId="2CC5869B" w14:textId="77777777" w:rsidR="00FA7D73" w:rsidRPr="00C435C3" w:rsidRDefault="00FA7D73" w:rsidP="00045D3D">
      <w:pPr>
        <w:rPr>
          <w:rFonts w:ascii="Bookman Old Style" w:hAnsi="Bookman Old Style"/>
        </w:rPr>
      </w:pPr>
    </w:p>
    <w:p w14:paraId="2C28CC26" w14:textId="0D540CA9" w:rsidR="00045D3D" w:rsidRDefault="00045D3D" w:rsidP="00045D3D">
      <w:pPr>
        <w:ind w:left="0"/>
        <w:rPr>
          <w:rFonts w:ascii="Bookman Old Style" w:hAnsi="Bookman Old Style"/>
        </w:rPr>
      </w:pPr>
      <w:r>
        <w:rPr>
          <w:rFonts w:ascii="Bookman Old Style" w:hAnsi="Bookman Old Style"/>
        </w:rPr>
        <w:t>Dada en Bogotá, D.C.</w:t>
      </w:r>
      <w:r w:rsidR="00CA3AA6">
        <w:rPr>
          <w:rFonts w:ascii="Bookman Old Style" w:hAnsi="Bookman Old Style"/>
        </w:rPr>
        <w:t xml:space="preserve"> a</w:t>
      </w:r>
      <w:r w:rsidR="00746D53">
        <w:rPr>
          <w:rFonts w:ascii="Bookman Old Style" w:hAnsi="Bookman Old Style"/>
        </w:rPr>
        <w:t xml:space="preserve"> </w:t>
      </w:r>
      <w:r w:rsidR="00746D53" w:rsidRPr="00746D53">
        <w:rPr>
          <w:rFonts w:ascii="Bookman Old Style" w:hAnsi="Bookman Old Style"/>
          <w:b/>
          <w:bCs/>
        </w:rPr>
        <w:t>10 FEB. 2021</w:t>
      </w:r>
    </w:p>
    <w:p w14:paraId="29A3C73F" w14:textId="20A2C798" w:rsidR="00FA7D73" w:rsidRDefault="00FA7D73" w:rsidP="00045D3D">
      <w:pPr>
        <w:ind w:left="0"/>
        <w:rPr>
          <w:rFonts w:ascii="Bookman Old Style" w:hAnsi="Bookman Old Style"/>
        </w:rPr>
      </w:pPr>
    </w:p>
    <w:p w14:paraId="1FCFCE50" w14:textId="188B43C5" w:rsidR="003F76CB" w:rsidRPr="00746D53" w:rsidRDefault="003F76CB" w:rsidP="00045D3D">
      <w:pPr>
        <w:ind w:left="0"/>
        <w:rPr>
          <w:rFonts w:ascii="Bookman Old Style" w:hAnsi="Bookman Old Style"/>
          <w:sz w:val="16"/>
          <w:szCs w:val="16"/>
        </w:rPr>
      </w:pPr>
    </w:p>
    <w:p w14:paraId="31B38A93" w14:textId="77777777" w:rsidR="00746D53" w:rsidRDefault="00746D53" w:rsidP="00045D3D">
      <w:pPr>
        <w:ind w:left="0"/>
        <w:rPr>
          <w:rFonts w:ascii="Bookman Old Style" w:hAnsi="Bookman Old Style"/>
        </w:rPr>
      </w:pPr>
    </w:p>
    <w:p w14:paraId="5D908611" w14:textId="77777777" w:rsidR="00FA7D73" w:rsidRDefault="00FA7D73" w:rsidP="00045D3D">
      <w:pPr>
        <w:ind w:left="0"/>
        <w:rPr>
          <w:rFonts w:ascii="Bookman Old Style" w:hAnsi="Bookman Old Style"/>
        </w:rPr>
      </w:pPr>
    </w:p>
    <w:tbl>
      <w:tblPr>
        <w:tblW w:w="9923" w:type="dxa"/>
        <w:jc w:val="center"/>
        <w:tblLayout w:type="fixed"/>
        <w:tblCellMar>
          <w:left w:w="70" w:type="dxa"/>
          <w:right w:w="70" w:type="dxa"/>
        </w:tblCellMar>
        <w:tblLook w:val="0000" w:firstRow="0" w:lastRow="0" w:firstColumn="0" w:lastColumn="0" w:noHBand="0" w:noVBand="0"/>
      </w:tblPr>
      <w:tblGrid>
        <w:gridCol w:w="5103"/>
        <w:gridCol w:w="4820"/>
      </w:tblGrid>
      <w:tr w:rsidR="00F77D2D" w:rsidRPr="00666660" w14:paraId="6C9B7568" w14:textId="77777777" w:rsidTr="00746D53">
        <w:trPr>
          <w:jc w:val="center"/>
        </w:trPr>
        <w:tc>
          <w:tcPr>
            <w:tcW w:w="5103" w:type="dxa"/>
          </w:tcPr>
          <w:p w14:paraId="00BE4620" w14:textId="750FBC66" w:rsidR="00F77D2D" w:rsidRDefault="00E0124E" w:rsidP="00C44E5F">
            <w:pPr>
              <w:tabs>
                <w:tab w:val="left" w:pos="-720"/>
              </w:tabs>
              <w:suppressAutoHyphens/>
              <w:ind w:left="0"/>
              <w:jc w:val="center"/>
              <w:rPr>
                <w:rFonts w:ascii="Bookman Old Style" w:hAnsi="Bookman Old Style" w:cs="Arial"/>
                <w:b/>
                <w:spacing w:val="-3"/>
              </w:rPr>
            </w:pPr>
            <w:r>
              <w:rPr>
                <w:rFonts w:ascii="Bookman Old Style" w:hAnsi="Bookman Old Style" w:cs="Arial"/>
                <w:b/>
                <w:spacing w:val="-3"/>
              </w:rPr>
              <w:t>MIGUEL LOTERO ROBLEDO</w:t>
            </w:r>
          </w:p>
          <w:p w14:paraId="77BB7A6E" w14:textId="1C9FA98F" w:rsidR="00E0124E" w:rsidRPr="00E0124E" w:rsidRDefault="00E0124E" w:rsidP="00C44E5F">
            <w:pPr>
              <w:tabs>
                <w:tab w:val="left" w:pos="-720"/>
              </w:tabs>
              <w:suppressAutoHyphens/>
              <w:ind w:left="0"/>
              <w:jc w:val="center"/>
              <w:rPr>
                <w:rFonts w:ascii="Bookman Old Style" w:hAnsi="Bookman Old Style" w:cs="Arial"/>
                <w:bCs/>
                <w:spacing w:val="-3"/>
              </w:rPr>
            </w:pPr>
            <w:r>
              <w:rPr>
                <w:rFonts w:ascii="Bookman Old Style" w:hAnsi="Bookman Old Style" w:cs="Arial"/>
                <w:bCs/>
                <w:spacing w:val="-3"/>
              </w:rPr>
              <w:t>Viceministro de Energía</w:t>
            </w:r>
          </w:p>
          <w:p w14:paraId="1E94EC21" w14:textId="290F0FA6" w:rsidR="00BE2A30" w:rsidRDefault="00E0124E" w:rsidP="00746D53">
            <w:pPr>
              <w:tabs>
                <w:tab w:val="left" w:pos="-720"/>
              </w:tabs>
              <w:suppressAutoHyphens/>
              <w:ind w:left="0"/>
            </w:pPr>
            <w:r>
              <w:rPr>
                <w:rFonts w:ascii="Bookman Old Style" w:hAnsi="Bookman Old Style"/>
              </w:rPr>
              <w:t xml:space="preserve">Delegado del </w:t>
            </w:r>
            <w:r w:rsidR="00F77D2D">
              <w:rPr>
                <w:rFonts w:ascii="Bookman Old Style" w:hAnsi="Bookman Old Style"/>
              </w:rPr>
              <w:t>Minist</w:t>
            </w:r>
            <w:r w:rsidR="00BE2A30">
              <w:rPr>
                <w:rFonts w:ascii="Bookman Old Style" w:hAnsi="Bookman Old Style"/>
              </w:rPr>
              <w:t>r</w:t>
            </w:r>
            <w:r w:rsidR="003B6E72">
              <w:rPr>
                <w:rFonts w:ascii="Bookman Old Style" w:hAnsi="Bookman Old Style"/>
              </w:rPr>
              <w:t>o</w:t>
            </w:r>
            <w:r w:rsidR="00F77D2D">
              <w:rPr>
                <w:rFonts w:ascii="Bookman Old Style" w:hAnsi="Bookman Old Style"/>
              </w:rPr>
              <w:t xml:space="preserve"> de </w:t>
            </w:r>
            <w:r w:rsidR="00F77D2D" w:rsidRPr="00EF4ACC">
              <w:rPr>
                <w:rFonts w:ascii="Bookman Old Style" w:hAnsi="Bookman Old Style"/>
              </w:rPr>
              <w:t>Minas y</w:t>
            </w:r>
            <w:r w:rsidR="00746D53">
              <w:rPr>
                <w:rFonts w:ascii="Bookman Old Style" w:hAnsi="Bookman Old Style"/>
              </w:rPr>
              <w:t xml:space="preserve"> </w:t>
            </w:r>
            <w:r w:rsidR="00F77D2D" w:rsidRPr="00EF4ACC">
              <w:rPr>
                <w:rFonts w:ascii="Bookman Old Style" w:hAnsi="Bookman Old Style"/>
              </w:rPr>
              <w:t>Energía</w:t>
            </w:r>
            <w:r w:rsidR="00F77D2D">
              <w:t xml:space="preserve"> </w:t>
            </w:r>
          </w:p>
          <w:p w14:paraId="523371CC" w14:textId="77777777" w:rsidR="00F77D2D" w:rsidRPr="00BD0865" w:rsidRDefault="00F77D2D" w:rsidP="00C44E5F">
            <w:pPr>
              <w:tabs>
                <w:tab w:val="left" w:pos="-720"/>
              </w:tabs>
              <w:suppressAutoHyphens/>
              <w:ind w:left="0"/>
              <w:jc w:val="center"/>
              <w:rPr>
                <w:rFonts w:ascii="Bookman Old Style" w:hAnsi="Bookman Old Style" w:cs="Arial"/>
                <w:b/>
                <w:strike/>
                <w:spacing w:val="-3"/>
              </w:rPr>
            </w:pPr>
            <w:r w:rsidRPr="00EF4ACC">
              <w:rPr>
                <w:rFonts w:ascii="Bookman Old Style" w:hAnsi="Bookman Old Style"/>
              </w:rPr>
              <w:t>Presidente</w:t>
            </w:r>
          </w:p>
        </w:tc>
        <w:tc>
          <w:tcPr>
            <w:tcW w:w="4820" w:type="dxa"/>
          </w:tcPr>
          <w:p w14:paraId="1AA19337" w14:textId="7BB6ED22" w:rsidR="00BE2A30" w:rsidRDefault="003B6E72" w:rsidP="00C44E5F">
            <w:pPr>
              <w:tabs>
                <w:tab w:val="left" w:pos="-720"/>
              </w:tabs>
              <w:suppressAutoHyphens/>
              <w:ind w:left="0"/>
              <w:jc w:val="center"/>
              <w:rPr>
                <w:rFonts w:ascii="Bookman Old Style" w:hAnsi="Bookman Old Style" w:cs="Arial"/>
                <w:b/>
              </w:rPr>
            </w:pPr>
            <w:r>
              <w:rPr>
                <w:rFonts w:ascii="Bookman Old Style" w:hAnsi="Bookman Old Style" w:cs="Arial"/>
                <w:b/>
              </w:rPr>
              <w:t>JORGE ALBERTO VALENCIA MARIN</w:t>
            </w:r>
          </w:p>
          <w:p w14:paraId="43995695" w14:textId="77777777" w:rsidR="00F77D2D" w:rsidRPr="00666660" w:rsidRDefault="00F77D2D" w:rsidP="00C44E5F">
            <w:pPr>
              <w:tabs>
                <w:tab w:val="left" w:pos="-720"/>
              </w:tabs>
              <w:suppressAutoHyphens/>
              <w:ind w:left="0"/>
              <w:jc w:val="center"/>
              <w:rPr>
                <w:rFonts w:ascii="Bookman Old Style" w:hAnsi="Bookman Old Style" w:cs="Arial"/>
                <w:b/>
                <w:spacing w:val="-3"/>
              </w:rPr>
            </w:pPr>
            <w:r w:rsidRPr="00666660">
              <w:rPr>
                <w:rFonts w:ascii="Bookman Old Style" w:hAnsi="Bookman Old Style" w:cs="Arial"/>
                <w:spacing w:val="-3"/>
              </w:rPr>
              <w:t>Director Ejecutivo</w:t>
            </w:r>
          </w:p>
        </w:tc>
      </w:tr>
    </w:tbl>
    <w:p w14:paraId="2A49927E" w14:textId="77777777" w:rsidR="00746D53" w:rsidRPr="00E060BE" w:rsidRDefault="00746D53" w:rsidP="00BE2A30">
      <w:pPr>
        <w:ind w:left="0"/>
        <w:rPr>
          <w:rFonts w:ascii="Bookman Old Style" w:hAnsi="Bookman Old Style" w:cs="Arial"/>
        </w:rPr>
      </w:pPr>
    </w:p>
    <w:sectPr w:rsidR="00746D53" w:rsidRPr="00E060BE" w:rsidSect="006651DE">
      <w:headerReference w:type="default" r:id="rId10"/>
      <w:headerReference w:type="first" r:id="rId11"/>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097881" w14:textId="77777777" w:rsidR="002178AE" w:rsidRDefault="002178AE">
      <w:r>
        <w:separator/>
      </w:r>
    </w:p>
  </w:endnote>
  <w:endnote w:type="continuationSeparator" w:id="0">
    <w:p w14:paraId="2BE1E281" w14:textId="77777777" w:rsidR="002178AE" w:rsidRDefault="00217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274367" w14:textId="77777777" w:rsidR="002178AE" w:rsidRDefault="002178AE">
      <w:r>
        <w:separator/>
      </w:r>
    </w:p>
  </w:footnote>
  <w:footnote w:type="continuationSeparator" w:id="0">
    <w:p w14:paraId="14791AF9" w14:textId="77777777" w:rsidR="002178AE" w:rsidRDefault="002178AE">
      <w:r>
        <w:continuationSeparator/>
      </w:r>
    </w:p>
  </w:footnote>
  <w:footnote w:id="1">
    <w:p w14:paraId="26EE834E" w14:textId="77777777" w:rsidR="00E675E9" w:rsidRPr="003B7771" w:rsidRDefault="00E675E9" w:rsidP="008E10C2">
      <w:pPr>
        <w:pStyle w:val="Textonotapie"/>
        <w:jc w:val="both"/>
        <w:rPr>
          <w:rFonts w:ascii="Bookman Old Style" w:hAnsi="Bookman Old Style" w:cs="Arial"/>
          <w:sz w:val="16"/>
          <w:szCs w:val="16"/>
        </w:rPr>
      </w:pPr>
      <w:r w:rsidRPr="003B7771">
        <w:rPr>
          <w:rStyle w:val="Refdenotaalpie"/>
          <w:rFonts w:ascii="Bookman Old Style" w:hAnsi="Bookman Old Style" w:cs="Arial"/>
        </w:rPr>
        <w:footnoteRef/>
      </w:r>
      <w:r w:rsidRPr="003B7771">
        <w:rPr>
          <w:rFonts w:ascii="Bookman Old Style" w:hAnsi="Bookman Old Style" w:cs="Arial"/>
          <w:sz w:val="16"/>
          <w:szCs w:val="16"/>
        </w:rPr>
        <w:t xml:space="preserve"> Es la máxima energía eléctrica que es capaz de entregar una planta de generación continuamente, en condiciones de baja hidrología, en un período de un año.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1179D" w14:textId="77777777" w:rsidR="00E675E9" w:rsidRDefault="00E675E9" w:rsidP="00951F79">
    <w:pPr>
      <w:pStyle w:val="Ttulo1"/>
      <w:ind w:right="6"/>
      <w:jc w:val="left"/>
      <w:rPr>
        <w:rFonts w:ascii="Bookman Old Style" w:hAnsi="Bookman Old Style" w:cs="Arial"/>
        <w:b w:val="0"/>
        <w:sz w:val="22"/>
        <w:szCs w:val="22"/>
      </w:rPr>
    </w:pPr>
  </w:p>
  <w:p w14:paraId="74D3A53E" w14:textId="5BB453DA" w:rsidR="00E675E9" w:rsidRPr="00951F79" w:rsidRDefault="00E675E9"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sidRPr="00746D53">
      <w:rPr>
        <w:rFonts w:ascii="Bookman Old Style" w:hAnsi="Bookman Old Style" w:cs="Arial"/>
        <w:bCs/>
        <w:szCs w:val="24"/>
        <w:u w:val="single"/>
      </w:rPr>
      <w:t xml:space="preserve">.  </w:t>
    </w:r>
    <w:r w:rsidR="00746D53" w:rsidRPr="00746D53">
      <w:rPr>
        <w:rFonts w:ascii="Bookman Old Style" w:hAnsi="Bookman Old Style" w:cs="Arial"/>
        <w:bCs/>
        <w:szCs w:val="24"/>
        <w:u w:val="single"/>
      </w:rPr>
      <w:t>013</w:t>
    </w:r>
    <w:r w:rsidRPr="00746D53">
      <w:rPr>
        <w:rFonts w:ascii="Bookman Old Style" w:hAnsi="Bookman Old Style" w:cs="Arial"/>
        <w:b w:val="0"/>
        <w:sz w:val="22"/>
        <w:szCs w:val="22"/>
        <w:u w:val="single"/>
      </w:rPr>
      <w:tab/>
    </w:r>
    <w:r w:rsidR="00746D53">
      <w:rPr>
        <w:rFonts w:ascii="Bookman Old Style" w:hAnsi="Bookman Old Style" w:cs="Arial"/>
        <w:b w:val="0"/>
        <w:sz w:val="22"/>
        <w:szCs w:val="22"/>
      </w:rPr>
      <w:t xml:space="preserve">   </w:t>
    </w:r>
    <w:r>
      <w:rPr>
        <w:rFonts w:ascii="Bookman Old Style" w:hAnsi="Bookman Old Style" w:cs="Arial"/>
        <w:b w:val="0"/>
        <w:sz w:val="22"/>
        <w:szCs w:val="22"/>
      </w:rPr>
      <w:t xml:space="preserve">DE </w:t>
    </w:r>
    <w:r w:rsidR="00746D53" w:rsidRPr="00746D53">
      <w:rPr>
        <w:rFonts w:ascii="Bookman Old Style" w:hAnsi="Bookman Old Style" w:cs="Arial"/>
        <w:bCs/>
        <w:szCs w:val="24"/>
        <w:u w:val="single"/>
      </w:rPr>
      <w:t>10 FEB. 2021</w:t>
    </w:r>
    <w:r w:rsidR="00746D53" w:rsidRPr="00746D53">
      <w:rPr>
        <w:rFonts w:ascii="Bookman Old Style" w:hAnsi="Bookman Old Style" w:cs="Arial"/>
        <w:b w:val="0"/>
        <w:sz w:val="22"/>
        <w:szCs w:val="22"/>
        <w:u w:val="single"/>
      </w:rPr>
      <w:t xml:space="preserve"> </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2E1D21">
      <w:rPr>
        <w:rFonts w:ascii="Bookman Old Style" w:hAnsi="Bookman Old Style" w:cs="Arial"/>
        <w:b w:val="0"/>
        <w:noProof/>
        <w:sz w:val="22"/>
        <w:szCs w:val="22"/>
      </w:rPr>
      <w:t>16</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204CC0">
      <w:fldChar w:fldCharType="begin"/>
    </w:r>
    <w:r w:rsidR="00204CC0">
      <w:instrText xml:space="preserve"> NUMPAGES  \* MERGEFORMAT </w:instrText>
    </w:r>
    <w:r w:rsidR="00204CC0">
      <w:fldChar w:fldCharType="separate"/>
    </w:r>
    <w:r w:rsidR="002E1D21" w:rsidRPr="002E1D21">
      <w:rPr>
        <w:rFonts w:ascii="Bookman Old Style" w:hAnsi="Bookman Old Style" w:cs="Arial"/>
        <w:b w:val="0"/>
        <w:noProof/>
        <w:sz w:val="22"/>
        <w:szCs w:val="22"/>
      </w:rPr>
      <w:t>16</w:t>
    </w:r>
    <w:r w:rsidR="00204CC0">
      <w:rPr>
        <w:rFonts w:ascii="Bookman Old Style" w:hAnsi="Bookman Old Style" w:cs="Arial"/>
        <w:b w:val="0"/>
        <w:noProof/>
        <w:sz w:val="22"/>
        <w:szCs w:val="22"/>
      </w:rPr>
      <w:fldChar w:fldCharType="end"/>
    </w:r>
  </w:p>
  <w:p w14:paraId="51BF0F0D" w14:textId="2259A0E8" w:rsidR="00712333" w:rsidRDefault="00746D53" w:rsidP="00D2178E">
    <w:pPr>
      <w:ind w:left="142" w:right="51"/>
      <w:jc w:val="both"/>
      <w:rPr>
        <w:rFonts w:ascii="Bookman Old Style" w:hAnsi="Bookman Old Style"/>
      </w:rPr>
    </w:pPr>
    <w:r w:rsidRPr="0042068C">
      <w:rPr>
        <w:noProof/>
        <w:lang w:val="es-CO" w:eastAsia="es-CO"/>
      </w:rPr>
      <mc:AlternateContent>
        <mc:Choice Requires="wps">
          <w:drawing>
            <wp:anchor distT="0" distB="0" distL="114300" distR="114300" simplePos="0" relativeHeight="251657216" behindDoc="0" locked="0" layoutInCell="1" allowOverlap="1" wp14:anchorId="06B94860" wp14:editId="65C65541">
              <wp:simplePos x="0" y="0"/>
              <wp:positionH relativeFrom="margin">
                <wp:align>center</wp:align>
              </wp:positionH>
              <wp:positionV relativeFrom="paragraph">
                <wp:posOffset>149860</wp:posOffset>
              </wp:positionV>
              <wp:extent cx="6267450" cy="9886950"/>
              <wp:effectExtent l="0" t="0" r="19050" b="1905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88695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52A0EB" id="Rectangle 1" o:spid="_x0000_s1026" style="position:absolute;margin-left:0;margin-top:11.8pt;width:493.5pt;height:778.5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" filled="f" strokeweight="1.5pt">
              <w10:wrap anchorx="margin"/>
            </v:rect>
          </w:pict>
        </mc:Fallback>
      </mc:AlternateContent>
    </w:r>
  </w:p>
  <w:p w14:paraId="25752609" w14:textId="1A9BA219" w:rsidR="00E675E9" w:rsidRDefault="00E675E9" w:rsidP="00D2178E">
    <w:pPr>
      <w:ind w:left="142" w:right="51"/>
      <w:jc w:val="both"/>
      <w:rPr>
        <w:rFonts w:ascii="Bookman Old Style" w:hAnsi="Bookman Old Style"/>
        <w:i/>
      </w:rPr>
    </w:pPr>
    <w:r w:rsidRPr="008120F5">
      <w:rPr>
        <w:rFonts w:ascii="Bookman Old Style" w:hAnsi="Bookman Old Style"/>
        <w:i/>
      </w:rPr>
      <w:t>Por la cual se decide la actuación administrativa adelantada para determinar el incumplimiento grave e insalvable en la puesta en operación del Proyecto Hidroeléctrico Miel II, proyecto desarrollado por Promotora Energética de Centro SAS ESP</w:t>
    </w:r>
    <w:r w:rsidR="00746D53">
      <w:rPr>
        <w:rFonts w:ascii="Bookman Old Style" w:hAnsi="Bookman Old Style"/>
        <w:i/>
      </w:rPr>
      <w:t>.</w:t>
    </w:r>
  </w:p>
  <w:p w14:paraId="5FA66462" w14:textId="0BBA7CF3" w:rsidR="00746D53" w:rsidRPr="008120F5" w:rsidRDefault="00746D53" w:rsidP="00D2178E">
    <w:pPr>
      <w:ind w:left="142" w:right="51"/>
      <w:jc w:val="both"/>
      <w:rPr>
        <w:rFonts w:ascii="Bookman Old Style" w:hAnsi="Bookman Old Style"/>
        <w:i/>
      </w:rPr>
    </w:pPr>
    <w:r>
      <w:rPr>
        <w:rFonts w:ascii="Bookman Old Style" w:hAnsi="Bookman Old Style"/>
        <w:i/>
      </w:rPr>
      <w:t>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C9F02" w14:textId="77777777" w:rsidR="00E675E9" w:rsidRDefault="00E675E9" w:rsidP="00025383">
    <w:pPr>
      <w:pStyle w:val="Encabezado"/>
      <w:jc w:val="both"/>
      <w:rPr>
        <w:rFonts w:ascii="Arial" w:hAnsi="Arial" w:cs="Arial"/>
        <w:spacing w:val="20"/>
        <w:sz w:val="20"/>
      </w:rPr>
    </w:pPr>
    <w:r>
      <w:rPr>
        <w:rFonts w:ascii="Arial" w:hAnsi="Arial" w:cs="Arial"/>
        <w:spacing w:val="20"/>
        <w:sz w:val="20"/>
      </w:rPr>
      <w:t xml:space="preserve">                                   República de Colombia</w:t>
    </w:r>
  </w:p>
  <w:p w14:paraId="1B3CDFAD" w14:textId="77777777" w:rsidR="00E675E9" w:rsidRDefault="00E675E9">
    <w:pPr>
      <w:pStyle w:val="Encabezado"/>
      <w:jc w:val="center"/>
      <w:rPr>
        <w:rFonts w:ascii="Arial" w:hAnsi="Arial" w:cs="Arial"/>
        <w:spacing w:val="20"/>
        <w:sz w:val="20"/>
      </w:rPr>
    </w:pPr>
  </w:p>
  <w:p w14:paraId="095DC26C" w14:textId="77777777" w:rsidR="00E675E9" w:rsidRDefault="00E675E9"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402D9305" wp14:editId="2F6DEB74">
              <wp:simplePos x="0" y="0"/>
              <wp:positionH relativeFrom="column">
                <wp:posOffset>-213360</wp:posOffset>
              </wp:positionH>
              <wp:positionV relativeFrom="paragraph">
                <wp:posOffset>377190</wp:posOffset>
              </wp:positionV>
              <wp:extent cx="6343650" cy="9839325"/>
              <wp:effectExtent l="9525" t="12065" r="9525" b="1651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71CB1252"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1"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15:restartNumberingAfterBreak="0">
    <w:nsid w:val="01E67325"/>
    <w:multiLevelType w:val="hybridMultilevel"/>
    <w:tmpl w:val="66568F00"/>
    <w:lvl w:ilvl="0" w:tplc="DB8C2DD0">
      <w:start w:val="1"/>
      <w:numFmt w:val="decimal"/>
      <w:lvlText w:val="Artículo %1. "/>
      <w:lvlJc w:val="left"/>
      <w:pPr>
        <w:ind w:left="578" w:hanging="360"/>
      </w:pPr>
      <w:rPr>
        <w:rFonts w:hint="default"/>
        <w:b/>
        <w:i w:val="0"/>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3" w15:restartNumberingAfterBreak="0">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5" w15:restartNumberingAfterBreak="0">
    <w:nsid w:val="08EB4EC1"/>
    <w:multiLevelType w:val="hybridMultilevel"/>
    <w:tmpl w:val="766ECC94"/>
    <w:lvl w:ilvl="0" w:tplc="E3BE90B2">
      <w:start w:val="1"/>
      <w:numFmt w:val="bullet"/>
      <w:lvlText w:val="-"/>
      <w:lvlJc w:val="left"/>
      <w:pPr>
        <w:ind w:left="720" w:hanging="360"/>
      </w:pPr>
      <w:rPr>
        <w:rFonts w:ascii="Calibri" w:eastAsia="Calibri" w:hAnsi="Calibri" w:cs="Calibri"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6" w15:restartNumberingAfterBreak="0">
    <w:nsid w:val="0DD8419B"/>
    <w:multiLevelType w:val="multilevel"/>
    <w:tmpl w:val="F42CDCEA"/>
    <w:lvl w:ilvl="0">
      <w:start w:val="1"/>
      <w:numFmt w:val="decimal"/>
      <w:lvlText w:val="Artículo %1."/>
      <w:lvlJc w:val="right"/>
      <w:pPr>
        <w:tabs>
          <w:tab w:val="num" w:pos="247"/>
        </w:tabs>
        <w:ind w:left="-1474" w:firstLine="1474"/>
      </w:pPr>
      <w:rPr>
        <w:rFonts w:ascii="Bookman Old Style" w:hAnsi="Bookman Old Style" w:cs="Arial" w:hint="default"/>
        <w:b/>
        <w:i w:val="0"/>
        <w:color w:val="auto"/>
        <w:sz w:val="24"/>
        <w:szCs w:val="24"/>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7" w15:restartNumberingAfterBreak="0">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CF5254A"/>
    <w:multiLevelType w:val="hybridMultilevel"/>
    <w:tmpl w:val="E1DEBA0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0005AD3"/>
    <w:multiLevelType w:val="hybridMultilevel"/>
    <w:tmpl w:val="665EBEB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2803169"/>
    <w:multiLevelType w:val="hybridMultilevel"/>
    <w:tmpl w:val="665EBEB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6205D51"/>
    <w:multiLevelType w:val="hybridMultilevel"/>
    <w:tmpl w:val="80327FD8"/>
    <w:lvl w:ilvl="0" w:tplc="240A0019">
      <w:start w:val="1"/>
      <w:numFmt w:val="lowerLetter"/>
      <w:lvlText w:val="%1."/>
      <w:lvlJc w:val="left"/>
      <w:pPr>
        <w:ind w:left="720" w:hanging="360"/>
      </w:pPr>
    </w:lvl>
    <w:lvl w:ilvl="1" w:tplc="240A001B">
      <w:start w:val="1"/>
      <w:numFmt w:val="lowerRoman"/>
      <w:lvlText w:val="%2."/>
      <w:lvlJc w:val="righ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A6515AD"/>
    <w:multiLevelType w:val="hybridMultilevel"/>
    <w:tmpl w:val="9D541E80"/>
    <w:lvl w:ilvl="0" w:tplc="240A0003">
      <w:start w:val="1"/>
      <w:numFmt w:val="bullet"/>
      <w:lvlText w:val="o"/>
      <w:lvlJc w:val="left"/>
      <w:pPr>
        <w:ind w:left="1428" w:hanging="360"/>
      </w:pPr>
      <w:rPr>
        <w:rFonts w:ascii="Courier New" w:hAnsi="Courier New" w:cs="Courier New"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14" w15:restartNumberingAfterBreak="0">
    <w:nsid w:val="2C323142"/>
    <w:multiLevelType w:val="hybridMultilevel"/>
    <w:tmpl w:val="556225CE"/>
    <w:lvl w:ilvl="0" w:tplc="240A001B">
      <w:start w:val="1"/>
      <w:numFmt w:val="lowerRoman"/>
      <w:lvlText w:val="%1."/>
      <w:lvlJc w:val="right"/>
      <w:pPr>
        <w:ind w:left="927" w:hanging="360"/>
      </w:p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5" w15:restartNumberingAfterBreak="0">
    <w:nsid w:val="338D670D"/>
    <w:multiLevelType w:val="hybridMultilevel"/>
    <w:tmpl w:val="619AD000"/>
    <w:lvl w:ilvl="0" w:tplc="2C8EB58C">
      <w:start w:val="1"/>
      <w:numFmt w:val="lowerLetter"/>
      <w:lvlText w:val="%1."/>
      <w:lvlJc w:val="left"/>
      <w:pPr>
        <w:ind w:left="1068"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785AB0"/>
    <w:multiLevelType w:val="hybridMultilevel"/>
    <w:tmpl w:val="CAF6B90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43501993"/>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7BD5F45"/>
    <w:multiLevelType w:val="hybridMultilevel"/>
    <w:tmpl w:val="4E103A3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21" w15:restartNumberingAfterBreak="0">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49DB0D2F"/>
    <w:multiLevelType w:val="multilevel"/>
    <w:tmpl w:val="F0CC82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23" w15:restartNumberingAfterBreak="0">
    <w:nsid w:val="4D6B3A91"/>
    <w:multiLevelType w:val="hybridMultilevel"/>
    <w:tmpl w:val="FB06AF54"/>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524B4D29"/>
    <w:multiLevelType w:val="hybridMultilevel"/>
    <w:tmpl w:val="556225CE"/>
    <w:lvl w:ilvl="0" w:tplc="240A001B">
      <w:start w:val="1"/>
      <w:numFmt w:val="lowerRoman"/>
      <w:lvlText w:val="%1."/>
      <w:lvlJc w:val="right"/>
      <w:pPr>
        <w:ind w:left="927" w:hanging="360"/>
      </w:p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25" w15:restartNumberingAfterBreak="0">
    <w:nsid w:val="53F52FDC"/>
    <w:multiLevelType w:val="hybridMultilevel"/>
    <w:tmpl w:val="B4E2CE26"/>
    <w:lvl w:ilvl="0" w:tplc="32F41B58">
      <w:start w:val="1"/>
      <w:numFmt w:val="decimal"/>
      <w:lvlText w:val="%1."/>
      <w:lvlJc w:val="left"/>
      <w:pPr>
        <w:ind w:left="720" w:hanging="360"/>
      </w:pPr>
      <w:rPr>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578C6BDF"/>
    <w:multiLevelType w:val="hybridMultilevel"/>
    <w:tmpl w:val="420407EC"/>
    <w:lvl w:ilvl="0" w:tplc="D34CCC68">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9" w15:restartNumberingAfterBreak="0">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0" w15:restartNumberingAfterBreak="0">
    <w:nsid w:val="6512242C"/>
    <w:multiLevelType w:val="hybridMultilevel"/>
    <w:tmpl w:val="AD46C4E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68D92CEC"/>
    <w:multiLevelType w:val="hybridMultilevel"/>
    <w:tmpl w:val="2C20241E"/>
    <w:lvl w:ilvl="0" w:tplc="137491D6">
      <w:start w:val="1"/>
      <w:numFmt w:val="lowerRoman"/>
      <w:lvlText w:val="%1)"/>
      <w:lvlJc w:val="left"/>
      <w:pPr>
        <w:ind w:left="1287" w:hanging="72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32" w15:restartNumberingAfterBreak="0">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77374770"/>
    <w:multiLevelType w:val="hybridMultilevel"/>
    <w:tmpl w:val="21E6BF7E"/>
    <w:lvl w:ilvl="0" w:tplc="EB18A9C2">
      <w:start w:val="1"/>
      <w:numFmt w:val="decimal"/>
      <w:lvlText w:val="%1."/>
      <w:lvlJc w:val="left"/>
      <w:pPr>
        <w:ind w:left="1065" w:hanging="360"/>
      </w:pPr>
      <w:rPr>
        <w:rFonts w:hint="default"/>
      </w:rPr>
    </w:lvl>
    <w:lvl w:ilvl="1" w:tplc="240A0019" w:tentative="1">
      <w:start w:val="1"/>
      <w:numFmt w:val="lowerLetter"/>
      <w:lvlText w:val="%2."/>
      <w:lvlJc w:val="left"/>
      <w:pPr>
        <w:ind w:left="1785" w:hanging="360"/>
      </w:pPr>
    </w:lvl>
    <w:lvl w:ilvl="2" w:tplc="240A001B" w:tentative="1">
      <w:start w:val="1"/>
      <w:numFmt w:val="lowerRoman"/>
      <w:lvlText w:val="%3."/>
      <w:lvlJc w:val="right"/>
      <w:pPr>
        <w:ind w:left="2505" w:hanging="180"/>
      </w:pPr>
    </w:lvl>
    <w:lvl w:ilvl="3" w:tplc="240A000F" w:tentative="1">
      <w:start w:val="1"/>
      <w:numFmt w:val="decimal"/>
      <w:lvlText w:val="%4."/>
      <w:lvlJc w:val="left"/>
      <w:pPr>
        <w:ind w:left="3225" w:hanging="360"/>
      </w:pPr>
    </w:lvl>
    <w:lvl w:ilvl="4" w:tplc="240A0019" w:tentative="1">
      <w:start w:val="1"/>
      <w:numFmt w:val="lowerLetter"/>
      <w:lvlText w:val="%5."/>
      <w:lvlJc w:val="left"/>
      <w:pPr>
        <w:ind w:left="3945" w:hanging="360"/>
      </w:pPr>
    </w:lvl>
    <w:lvl w:ilvl="5" w:tplc="240A001B" w:tentative="1">
      <w:start w:val="1"/>
      <w:numFmt w:val="lowerRoman"/>
      <w:lvlText w:val="%6."/>
      <w:lvlJc w:val="right"/>
      <w:pPr>
        <w:ind w:left="4665" w:hanging="180"/>
      </w:pPr>
    </w:lvl>
    <w:lvl w:ilvl="6" w:tplc="240A000F" w:tentative="1">
      <w:start w:val="1"/>
      <w:numFmt w:val="decimal"/>
      <w:lvlText w:val="%7."/>
      <w:lvlJc w:val="left"/>
      <w:pPr>
        <w:ind w:left="5385" w:hanging="360"/>
      </w:pPr>
    </w:lvl>
    <w:lvl w:ilvl="7" w:tplc="240A0019" w:tentative="1">
      <w:start w:val="1"/>
      <w:numFmt w:val="lowerLetter"/>
      <w:lvlText w:val="%8."/>
      <w:lvlJc w:val="left"/>
      <w:pPr>
        <w:ind w:left="6105" w:hanging="360"/>
      </w:pPr>
    </w:lvl>
    <w:lvl w:ilvl="8" w:tplc="240A001B" w:tentative="1">
      <w:start w:val="1"/>
      <w:numFmt w:val="lowerRoman"/>
      <w:lvlText w:val="%9."/>
      <w:lvlJc w:val="right"/>
      <w:pPr>
        <w:ind w:left="6825" w:hanging="180"/>
      </w:pPr>
    </w:lvl>
  </w:abstractNum>
  <w:abstractNum w:abstractNumId="34" w15:restartNumberingAfterBreak="0">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5" w15:restartNumberingAfterBreak="0">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0"/>
  </w:num>
  <w:num w:numId="2">
    <w:abstractNumId w:val="7"/>
  </w:num>
  <w:num w:numId="3">
    <w:abstractNumId w:val="34"/>
  </w:num>
  <w:num w:numId="4">
    <w:abstractNumId w:val="11"/>
  </w:num>
  <w:num w:numId="5">
    <w:abstractNumId w:val="27"/>
  </w:num>
  <w:num w:numId="6">
    <w:abstractNumId w:val="4"/>
  </w:num>
  <w:num w:numId="7">
    <w:abstractNumId w:val="3"/>
  </w:num>
  <w:num w:numId="8">
    <w:abstractNumId w:val="29"/>
  </w:num>
  <w:num w:numId="9">
    <w:abstractNumId w:val="28"/>
  </w:num>
  <w:num w:numId="10">
    <w:abstractNumId w:val="21"/>
  </w:num>
  <w:num w:numId="11">
    <w:abstractNumId w:val="35"/>
  </w:num>
  <w:num w:numId="12">
    <w:abstractNumId w:val="32"/>
  </w:num>
  <w:num w:numId="13">
    <w:abstractNumId w:val="16"/>
  </w:num>
  <w:num w:numId="14">
    <w:abstractNumId w:val="2"/>
  </w:num>
  <w:num w:numId="15">
    <w:abstractNumId w:val="22"/>
  </w:num>
  <w:num w:numId="16">
    <w:abstractNumId w:val="1"/>
  </w:num>
  <w:num w:numId="17">
    <w:abstractNumId w:val="15"/>
  </w:num>
  <w:num w:numId="18">
    <w:abstractNumId w:val="0"/>
  </w:num>
  <w:num w:numId="19">
    <w:abstractNumId w:val="31"/>
  </w:num>
  <w:num w:numId="20">
    <w:abstractNumId w:val="24"/>
  </w:num>
  <w:num w:numId="21">
    <w:abstractNumId w:val="12"/>
  </w:num>
  <w:num w:numId="22">
    <w:abstractNumId w:val="14"/>
  </w:num>
  <w:num w:numId="23">
    <w:abstractNumId w:val="6"/>
  </w:num>
  <w:num w:numId="24">
    <w:abstractNumId w:val="23"/>
  </w:num>
  <w:num w:numId="25">
    <w:abstractNumId w:val="13"/>
  </w:num>
  <w:num w:numId="26">
    <w:abstractNumId w:val="33"/>
  </w:num>
  <w:num w:numId="27">
    <w:abstractNumId w:val="8"/>
  </w:num>
  <w:num w:numId="28">
    <w:abstractNumId w:val="9"/>
  </w:num>
  <w:num w:numId="29">
    <w:abstractNumId w:val="18"/>
  </w:num>
  <w:num w:numId="30">
    <w:abstractNumId w:val="5"/>
  </w:num>
  <w:num w:numId="31">
    <w:abstractNumId w:val="19"/>
  </w:num>
  <w:num w:numId="32">
    <w:abstractNumId w:val="25"/>
  </w:num>
  <w:num w:numId="33">
    <w:abstractNumId w:val="17"/>
  </w:num>
  <w:num w:numId="34">
    <w:abstractNumId w:val="30"/>
  </w:num>
  <w:num w:numId="35">
    <w:abstractNumId w:val="26"/>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08"/>
  <w:hyphenationZone w:val="425"/>
  <w:drawingGridHorizontalSpacing w:val="120"/>
  <w:displayHorizontalDrawingGridEvery w:val="2"/>
  <w:noPunctuationKerning/>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127F"/>
    <w:rsid w:val="00001A29"/>
    <w:rsid w:val="00006AE2"/>
    <w:rsid w:val="000076A1"/>
    <w:rsid w:val="000101A4"/>
    <w:rsid w:val="00012259"/>
    <w:rsid w:val="00013AFD"/>
    <w:rsid w:val="00013C65"/>
    <w:rsid w:val="00015D1C"/>
    <w:rsid w:val="00025383"/>
    <w:rsid w:val="0002734B"/>
    <w:rsid w:val="00034613"/>
    <w:rsid w:val="000348A1"/>
    <w:rsid w:val="00035569"/>
    <w:rsid w:val="00045D3D"/>
    <w:rsid w:val="0005559D"/>
    <w:rsid w:val="00060035"/>
    <w:rsid w:val="000612E6"/>
    <w:rsid w:val="00063657"/>
    <w:rsid w:val="0007583D"/>
    <w:rsid w:val="00076680"/>
    <w:rsid w:val="00076A1D"/>
    <w:rsid w:val="00077C89"/>
    <w:rsid w:val="0008073E"/>
    <w:rsid w:val="00091CDB"/>
    <w:rsid w:val="00097D53"/>
    <w:rsid w:val="000A04F5"/>
    <w:rsid w:val="000A19AC"/>
    <w:rsid w:val="000B2EC9"/>
    <w:rsid w:val="000D26F8"/>
    <w:rsid w:val="000D4808"/>
    <w:rsid w:val="000F3E1D"/>
    <w:rsid w:val="001002B6"/>
    <w:rsid w:val="00100637"/>
    <w:rsid w:val="00106654"/>
    <w:rsid w:val="001120B4"/>
    <w:rsid w:val="0011670D"/>
    <w:rsid w:val="00123A07"/>
    <w:rsid w:val="001307B2"/>
    <w:rsid w:val="0013526C"/>
    <w:rsid w:val="001405C6"/>
    <w:rsid w:val="00141013"/>
    <w:rsid w:val="0014120F"/>
    <w:rsid w:val="00192CBF"/>
    <w:rsid w:val="00192FF1"/>
    <w:rsid w:val="00194BD7"/>
    <w:rsid w:val="00195645"/>
    <w:rsid w:val="001A51F0"/>
    <w:rsid w:val="001A5513"/>
    <w:rsid w:val="001A5F1B"/>
    <w:rsid w:val="001B105B"/>
    <w:rsid w:val="001B1C22"/>
    <w:rsid w:val="001B34C6"/>
    <w:rsid w:val="001B7438"/>
    <w:rsid w:val="001D749B"/>
    <w:rsid w:val="001D7832"/>
    <w:rsid w:val="001E28DB"/>
    <w:rsid w:val="00204CC0"/>
    <w:rsid w:val="00206B4A"/>
    <w:rsid w:val="00210DC1"/>
    <w:rsid w:val="00211D34"/>
    <w:rsid w:val="00214F04"/>
    <w:rsid w:val="002178AE"/>
    <w:rsid w:val="0022342E"/>
    <w:rsid w:val="002352B9"/>
    <w:rsid w:val="00237E17"/>
    <w:rsid w:val="00243445"/>
    <w:rsid w:val="0024692B"/>
    <w:rsid w:val="00252214"/>
    <w:rsid w:val="0026047E"/>
    <w:rsid w:val="00266CD6"/>
    <w:rsid w:val="002673AC"/>
    <w:rsid w:val="00271AB9"/>
    <w:rsid w:val="00275DAB"/>
    <w:rsid w:val="002903C0"/>
    <w:rsid w:val="002A782A"/>
    <w:rsid w:val="002B0464"/>
    <w:rsid w:val="002B11E2"/>
    <w:rsid w:val="002B24B8"/>
    <w:rsid w:val="002C168F"/>
    <w:rsid w:val="002C3B7E"/>
    <w:rsid w:val="002D3AE9"/>
    <w:rsid w:val="002D4510"/>
    <w:rsid w:val="002E1D21"/>
    <w:rsid w:val="002E7C70"/>
    <w:rsid w:val="002F0734"/>
    <w:rsid w:val="002F24FB"/>
    <w:rsid w:val="002F46E7"/>
    <w:rsid w:val="002F785B"/>
    <w:rsid w:val="00300F79"/>
    <w:rsid w:val="0030591F"/>
    <w:rsid w:val="003101DA"/>
    <w:rsid w:val="003111C3"/>
    <w:rsid w:val="003114CC"/>
    <w:rsid w:val="00314757"/>
    <w:rsid w:val="003163BC"/>
    <w:rsid w:val="003211CE"/>
    <w:rsid w:val="00321FD1"/>
    <w:rsid w:val="00342B11"/>
    <w:rsid w:val="0034560F"/>
    <w:rsid w:val="00346694"/>
    <w:rsid w:val="0035403A"/>
    <w:rsid w:val="00361249"/>
    <w:rsid w:val="0036394B"/>
    <w:rsid w:val="00366DB6"/>
    <w:rsid w:val="003709B5"/>
    <w:rsid w:val="003759C2"/>
    <w:rsid w:val="003837CD"/>
    <w:rsid w:val="00387318"/>
    <w:rsid w:val="003930B0"/>
    <w:rsid w:val="00397365"/>
    <w:rsid w:val="003A31F6"/>
    <w:rsid w:val="003B6E72"/>
    <w:rsid w:val="003C3447"/>
    <w:rsid w:val="003D076C"/>
    <w:rsid w:val="003D17B5"/>
    <w:rsid w:val="003E78B5"/>
    <w:rsid w:val="003F04F4"/>
    <w:rsid w:val="003F0972"/>
    <w:rsid w:val="003F5454"/>
    <w:rsid w:val="003F76CB"/>
    <w:rsid w:val="00402400"/>
    <w:rsid w:val="00403611"/>
    <w:rsid w:val="00415BAB"/>
    <w:rsid w:val="00415ED2"/>
    <w:rsid w:val="0042068C"/>
    <w:rsid w:val="00426D4C"/>
    <w:rsid w:val="00432DFA"/>
    <w:rsid w:val="00440069"/>
    <w:rsid w:val="0044318E"/>
    <w:rsid w:val="00443B35"/>
    <w:rsid w:val="00463FC5"/>
    <w:rsid w:val="004645B5"/>
    <w:rsid w:val="00467B08"/>
    <w:rsid w:val="0047122B"/>
    <w:rsid w:val="00473B7A"/>
    <w:rsid w:val="004743F1"/>
    <w:rsid w:val="0048359C"/>
    <w:rsid w:val="004960E9"/>
    <w:rsid w:val="004A2E88"/>
    <w:rsid w:val="004A5305"/>
    <w:rsid w:val="004A73D7"/>
    <w:rsid w:val="004C1414"/>
    <w:rsid w:val="004D015A"/>
    <w:rsid w:val="004D7634"/>
    <w:rsid w:val="004E06DC"/>
    <w:rsid w:val="004E611A"/>
    <w:rsid w:val="004E7266"/>
    <w:rsid w:val="004F21EA"/>
    <w:rsid w:val="004F396D"/>
    <w:rsid w:val="004F6460"/>
    <w:rsid w:val="00517868"/>
    <w:rsid w:val="00517C6C"/>
    <w:rsid w:val="00520B77"/>
    <w:rsid w:val="0052505F"/>
    <w:rsid w:val="005300D3"/>
    <w:rsid w:val="00531220"/>
    <w:rsid w:val="00542A10"/>
    <w:rsid w:val="00543013"/>
    <w:rsid w:val="00544F82"/>
    <w:rsid w:val="005509D2"/>
    <w:rsid w:val="00556CEC"/>
    <w:rsid w:val="00574073"/>
    <w:rsid w:val="005805CE"/>
    <w:rsid w:val="00582D35"/>
    <w:rsid w:val="00584904"/>
    <w:rsid w:val="00590FD6"/>
    <w:rsid w:val="00593C4F"/>
    <w:rsid w:val="005946A8"/>
    <w:rsid w:val="005A4407"/>
    <w:rsid w:val="005A59EF"/>
    <w:rsid w:val="005A7D6F"/>
    <w:rsid w:val="005B1C7E"/>
    <w:rsid w:val="005B280E"/>
    <w:rsid w:val="005B3CCC"/>
    <w:rsid w:val="005C6976"/>
    <w:rsid w:val="005C77D3"/>
    <w:rsid w:val="005F6594"/>
    <w:rsid w:val="005F6F41"/>
    <w:rsid w:val="00606156"/>
    <w:rsid w:val="00606A76"/>
    <w:rsid w:val="00625DC6"/>
    <w:rsid w:val="00631225"/>
    <w:rsid w:val="0064391D"/>
    <w:rsid w:val="00651821"/>
    <w:rsid w:val="00654384"/>
    <w:rsid w:val="00656AD8"/>
    <w:rsid w:val="00664DC2"/>
    <w:rsid w:val="006651DE"/>
    <w:rsid w:val="006653B3"/>
    <w:rsid w:val="00665E18"/>
    <w:rsid w:val="006675CD"/>
    <w:rsid w:val="006736FE"/>
    <w:rsid w:val="00684D9B"/>
    <w:rsid w:val="0068510A"/>
    <w:rsid w:val="006852B3"/>
    <w:rsid w:val="00690F4B"/>
    <w:rsid w:val="006943F6"/>
    <w:rsid w:val="00697048"/>
    <w:rsid w:val="00697556"/>
    <w:rsid w:val="006A1329"/>
    <w:rsid w:val="006A18FA"/>
    <w:rsid w:val="006B05E1"/>
    <w:rsid w:val="006B4647"/>
    <w:rsid w:val="006B4C2B"/>
    <w:rsid w:val="006B52B9"/>
    <w:rsid w:val="006B6194"/>
    <w:rsid w:val="006B6D47"/>
    <w:rsid w:val="006C5AFE"/>
    <w:rsid w:val="006D57B4"/>
    <w:rsid w:val="006E0111"/>
    <w:rsid w:val="006F2EC8"/>
    <w:rsid w:val="006F3DF4"/>
    <w:rsid w:val="006F501F"/>
    <w:rsid w:val="006F6D95"/>
    <w:rsid w:val="006F744F"/>
    <w:rsid w:val="00706F13"/>
    <w:rsid w:val="007072E8"/>
    <w:rsid w:val="00712333"/>
    <w:rsid w:val="0071618D"/>
    <w:rsid w:val="00723E2E"/>
    <w:rsid w:val="00725FA4"/>
    <w:rsid w:val="00726D02"/>
    <w:rsid w:val="00740446"/>
    <w:rsid w:val="007438A9"/>
    <w:rsid w:val="00744593"/>
    <w:rsid w:val="0074491E"/>
    <w:rsid w:val="00746D53"/>
    <w:rsid w:val="00751567"/>
    <w:rsid w:val="00762209"/>
    <w:rsid w:val="0076247A"/>
    <w:rsid w:val="00770EE5"/>
    <w:rsid w:val="00774074"/>
    <w:rsid w:val="00775964"/>
    <w:rsid w:val="007765FE"/>
    <w:rsid w:val="00782B1B"/>
    <w:rsid w:val="00785AA6"/>
    <w:rsid w:val="00793130"/>
    <w:rsid w:val="00794E2E"/>
    <w:rsid w:val="00795BFB"/>
    <w:rsid w:val="00797D67"/>
    <w:rsid w:val="007A3A09"/>
    <w:rsid w:val="007B2760"/>
    <w:rsid w:val="007B2EF1"/>
    <w:rsid w:val="007E4C61"/>
    <w:rsid w:val="007F6BF5"/>
    <w:rsid w:val="00802382"/>
    <w:rsid w:val="00804D4A"/>
    <w:rsid w:val="00806C01"/>
    <w:rsid w:val="00810071"/>
    <w:rsid w:val="008104DD"/>
    <w:rsid w:val="00811A33"/>
    <w:rsid w:val="008120F5"/>
    <w:rsid w:val="008148CC"/>
    <w:rsid w:val="008211A4"/>
    <w:rsid w:val="00821B90"/>
    <w:rsid w:val="00835A71"/>
    <w:rsid w:val="0084693A"/>
    <w:rsid w:val="00867499"/>
    <w:rsid w:val="00873150"/>
    <w:rsid w:val="0087657D"/>
    <w:rsid w:val="00880189"/>
    <w:rsid w:val="008807D5"/>
    <w:rsid w:val="0088081D"/>
    <w:rsid w:val="00880832"/>
    <w:rsid w:val="00885744"/>
    <w:rsid w:val="00885C9D"/>
    <w:rsid w:val="00886EE1"/>
    <w:rsid w:val="0088727D"/>
    <w:rsid w:val="00892575"/>
    <w:rsid w:val="00897488"/>
    <w:rsid w:val="00897C75"/>
    <w:rsid w:val="008B04A9"/>
    <w:rsid w:val="008C1130"/>
    <w:rsid w:val="008C32F5"/>
    <w:rsid w:val="008C44D7"/>
    <w:rsid w:val="008D18E6"/>
    <w:rsid w:val="008D7A9B"/>
    <w:rsid w:val="008D7CD9"/>
    <w:rsid w:val="008E0060"/>
    <w:rsid w:val="008E10C2"/>
    <w:rsid w:val="008E7091"/>
    <w:rsid w:val="008E76AC"/>
    <w:rsid w:val="008F21F6"/>
    <w:rsid w:val="008F5225"/>
    <w:rsid w:val="0090389D"/>
    <w:rsid w:val="009040EB"/>
    <w:rsid w:val="00910A87"/>
    <w:rsid w:val="00924826"/>
    <w:rsid w:val="009269C5"/>
    <w:rsid w:val="00951F79"/>
    <w:rsid w:val="00960007"/>
    <w:rsid w:val="0096153D"/>
    <w:rsid w:val="00962FBE"/>
    <w:rsid w:val="0096317D"/>
    <w:rsid w:val="00967860"/>
    <w:rsid w:val="00973DB9"/>
    <w:rsid w:val="00974AB5"/>
    <w:rsid w:val="00976C3A"/>
    <w:rsid w:val="00983BBC"/>
    <w:rsid w:val="0098706D"/>
    <w:rsid w:val="009935FB"/>
    <w:rsid w:val="009A0B99"/>
    <w:rsid w:val="009C6B5C"/>
    <w:rsid w:val="009C6D74"/>
    <w:rsid w:val="009F22A4"/>
    <w:rsid w:val="009F436C"/>
    <w:rsid w:val="009F4A54"/>
    <w:rsid w:val="009F4BEC"/>
    <w:rsid w:val="009F5874"/>
    <w:rsid w:val="00A222F7"/>
    <w:rsid w:val="00A25FD7"/>
    <w:rsid w:val="00A3033E"/>
    <w:rsid w:val="00A43AFF"/>
    <w:rsid w:val="00A46E21"/>
    <w:rsid w:val="00A57FC2"/>
    <w:rsid w:val="00A60448"/>
    <w:rsid w:val="00A64AAA"/>
    <w:rsid w:val="00A74647"/>
    <w:rsid w:val="00A7793A"/>
    <w:rsid w:val="00A873EC"/>
    <w:rsid w:val="00A94F04"/>
    <w:rsid w:val="00AA4CC7"/>
    <w:rsid w:val="00AA5E8E"/>
    <w:rsid w:val="00AA67CB"/>
    <w:rsid w:val="00AB2BAD"/>
    <w:rsid w:val="00AB6CA7"/>
    <w:rsid w:val="00AC1896"/>
    <w:rsid w:val="00AD01E4"/>
    <w:rsid w:val="00AD0858"/>
    <w:rsid w:val="00AE02E3"/>
    <w:rsid w:val="00AE3816"/>
    <w:rsid w:val="00AE7340"/>
    <w:rsid w:val="00AF1BBD"/>
    <w:rsid w:val="00B10207"/>
    <w:rsid w:val="00B141E7"/>
    <w:rsid w:val="00B21588"/>
    <w:rsid w:val="00B23087"/>
    <w:rsid w:val="00B351B4"/>
    <w:rsid w:val="00B46BCA"/>
    <w:rsid w:val="00B478AA"/>
    <w:rsid w:val="00B807C6"/>
    <w:rsid w:val="00B81285"/>
    <w:rsid w:val="00B832D3"/>
    <w:rsid w:val="00B83974"/>
    <w:rsid w:val="00B87806"/>
    <w:rsid w:val="00B87EC9"/>
    <w:rsid w:val="00B94FEC"/>
    <w:rsid w:val="00BA6A1B"/>
    <w:rsid w:val="00BB1092"/>
    <w:rsid w:val="00BB245E"/>
    <w:rsid w:val="00BB48D0"/>
    <w:rsid w:val="00BC1F61"/>
    <w:rsid w:val="00BC38FD"/>
    <w:rsid w:val="00BE0C69"/>
    <w:rsid w:val="00BE2A30"/>
    <w:rsid w:val="00C034CB"/>
    <w:rsid w:val="00C051A8"/>
    <w:rsid w:val="00C054BC"/>
    <w:rsid w:val="00C076E6"/>
    <w:rsid w:val="00C077F0"/>
    <w:rsid w:val="00C11E40"/>
    <w:rsid w:val="00C17897"/>
    <w:rsid w:val="00C2396E"/>
    <w:rsid w:val="00C23C3A"/>
    <w:rsid w:val="00C307CA"/>
    <w:rsid w:val="00C32359"/>
    <w:rsid w:val="00C409D5"/>
    <w:rsid w:val="00C435C3"/>
    <w:rsid w:val="00C442AE"/>
    <w:rsid w:val="00C44E5F"/>
    <w:rsid w:val="00C44FA7"/>
    <w:rsid w:val="00C45C94"/>
    <w:rsid w:val="00C46303"/>
    <w:rsid w:val="00C51B7C"/>
    <w:rsid w:val="00C53CE1"/>
    <w:rsid w:val="00C6018C"/>
    <w:rsid w:val="00C6234B"/>
    <w:rsid w:val="00C63EAE"/>
    <w:rsid w:val="00C676D7"/>
    <w:rsid w:val="00C72199"/>
    <w:rsid w:val="00C73260"/>
    <w:rsid w:val="00C7629F"/>
    <w:rsid w:val="00C81FA7"/>
    <w:rsid w:val="00C8661B"/>
    <w:rsid w:val="00C91C0C"/>
    <w:rsid w:val="00C96513"/>
    <w:rsid w:val="00CA03C8"/>
    <w:rsid w:val="00CA139A"/>
    <w:rsid w:val="00CA274A"/>
    <w:rsid w:val="00CA2899"/>
    <w:rsid w:val="00CA3A3D"/>
    <w:rsid w:val="00CA3A64"/>
    <w:rsid w:val="00CA3AA6"/>
    <w:rsid w:val="00CA77FB"/>
    <w:rsid w:val="00CB379B"/>
    <w:rsid w:val="00CB52E7"/>
    <w:rsid w:val="00CB5DD0"/>
    <w:rsid w:val="00CC272D"/>
    <w:rsid w:val="00CC3DDE"/>
    <w:rsid w:val="00CC51D4"/>
    <w:rsid w:val="00CC65DA"/>
    <w:rsid w:val="00CE1567"/>
    <w:rsid w:val="00CF21B9"/>
    <w:rsid w:val="00CF6457"/>
    <w:rsid w:val="00CF6BF9"/>
    <w:rsid w:val="00D03800"/>
    <w:rsid w:val="00D06207"/>
    <w:rsid w:val="00D065D3"/>
    <w:rsid w:val="00D11367"/>
    <w:rsid w:val="00D113B6"/>
    <w:rsid w:val="00D14C94"/>
    <w:rsid w:val="00D21294"/>
    <w:rsid w:val="00D2178E"/>
    <w:rsid w:val="00D342A6"/>
    <w:rsid w:val="00D37C5A"/>
    <w:rsid w:val="00D40ACD"/>
    <w:rsid w:val="00D45CA6"/>
    <w:rsid w:val="00D464BF"/>
    <w:rsid w:val="00D51A18"/>
    <w:rsid w:val="00D51F3A"/>
    <w:rsid w:val="00D53E26"/>
    <w:rsid w:val="00D62AEF"/>
    <w:rsid w:val="00D800FB"/>
    <w:rsid w:val="00DA7570"/>
    <w:rsid w:val="00DB182C"/>
    <w:rsid w:val="00DB2512"/>
    <w:rsid w:val="00DB2F38"/>
    <w:rsid w:val="00DB3506"/>
    <w:rsid w:val="00DB7DD1"/>
    <w:rsid w:val="00DC625C"/>
    <w:rsid w:val="00DD4F0E"/>
    <w:rsid w:val="00DD5F90"/>
    <w:rsid w:val="00DE313E"/>
    <w:rsid w:val="00DE5C6C"/>
    <w:rsid w:val="00DF0427"/>
    <w:rsid w:val="00DF0BF0"/>
    <w:rsid w:val="00DF3CA2"/>
    <w:rsid w:val="00E0124E"/>
    <w:rsid w:val="00E01463"/>
    <w:rsid w:val="00E05E0A"/>
    <w:rsid w:val="00E060BE"/>
    <w:rsid w:val="00E07610"/>
    <w:rsid w:val="00E10DC8"/>
    <w:rsid w:val="00E118F5"/>
    <w:rsid w:val="00E1475D"/>
    <w:rsid w:val="00E16E1C"/>
    <w:rsid w:val="00E25998"/>
    <w:rsid w:val="00E36894"/>
    <w:rsid w:val="00E36EA7"/>
    <w:rsid w:val="00E42629"/>
    <w:rsid w:val="00E45130"/>
    <w:rsid w:val="00E534CF"/>
    <w:rsid w:val="00E675E9"/>
    <w:rsid w:val="00E700B6"/>
    <w:rsid w:val="00E73B4A"/>
    <w:rsid w:val="00E76C09"/>
    <w:rsid w:val="00E81CB4"/>
    <w:rsid w:val="00E834EE"/>
    <w:rsid w:val="00E8585B"/>
    <w:rsid w:val="00E87F41"/>
    <w:rsid w:val="00EA2B80"/>
    <w:rsid w:val="00EA3F15"/>
    <w:rsid w:val="00EA7847"/>
    <w:rsid w:val="00EB2AD4"/>
    <w:rsid w:val="00EB4C2F"/>
    <w:rsid w:val="00EC13D5"/>
    <w:rsid w:val="00EC7ABD"/>
    <w:rsid w:val="00EE2E6E"/>
    <w:rsid w:val="00EE66CA"/>
    <w:rsid w:val="00EE72F6"/>
    <w:rsid w:val="00EF3D55"/>
    <w:rsid w:val="00F03690"/>
    <w:rsid w:val="00F0759E"/>
    <w:rsid w:val="00F076B1"/>
    <w:rsid w:val="00F16A43"/>
    <w:rsid w:val="00F204CD"/>
    <w:rsid w:val="00F24168"/>
    <w:rsid w:val="00F271B1"/>
    <w:rsid w:val="00F37643"/>
    <w:rsid w:val="00F40505"/>
    <w:rsid w:val="00F4365A"/>
    <w:rsid w:val="00F46780"/>
    <w:rsid w:val="00F46F1E"/>
    <w:rsid w:val="00F7322A"/>
    <w:rsid w:val="00F75756"/>
    <w:rsid w:val="00F77D2D"/>
    <w:rsid w:val="00F80657"/>
    <w:rsid w:val="00F8096E"/>
    <w:rsid w:val="00F8112F"/>
    <w:rsid w:val="00F81CD3"/>
    <w:rsid w:val="00F821A3"/>
    <w:rsid w:val="00F85C54"/>
    <w:rsid w:val="00F9314A"/>
    <w:rsid w:val="00F940B2"/>
    <w:rsid w:val="00FA7D73"/>
    <w:rsid w:val="00FB3AA3"/>
    <w:rsid w:val="00FB51E2"/>
    <w:rsid w:val="00FB7A9D"/>
    <w:rsid w:val="00FC3387"/>
    <w:rsid w:val="00FC58EF"/>
    <w:rsid w:val="00FD33DF"/>
    <w:rsid w:val="00FE39D7"/>
    <w:rsid w:val="00FE452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4CD8D98"/>
  <w15:chartTrackingRefBased/>
  <w15:docId w15:val="{70314FAE-EB64-4976-B826-935860019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Sangradetextonormal">
    <w:name w:val="Body Text Indent"/>
    <w:basedOn w:val="Normal"/>
    <w:link w:val="SangradetextonormalCar"/>
    <w:uiPriority w:val="99"/>
    <w:semiHidden/>
    <w:unhideWhenUsed/>
    <w:rsid w:val="00E01463"/>
    <w:pPr>
      <w:spacing w:after="120"/>
      <w:ind w:left="283"/>
    </w:pPr>
  </w:style>
  <w:style w:type="character" w:customStyle="1" w:styleId="SangradetextonormalCar">
    <w:name w:val="Sangría de texto normal Car"/>
    <w:link w:val="Sangradetextonormal"/>
    <w:uiPriority w:val="99"/>
    <w:semiHidden/>
    <w:rsid w:val="00E01463"/>
    <w:rPr>
      <w:sz w:val="24"/>
      <w:szCs w:val="24"/>
      <w:lang w:val="es-ES" w:eastAsia="es-ES"/>
    </w:rPr>
  </w:style>
  <w:style w:type="paragraph" w:customStyle="1" w:styleId="Vietaletra">
    <w:name w:val="Viñeta letra"/>
    <w:basedOn w:val="Normal"/>
    <w:next w:val="Normal"/>
    <w:rsid w:val="00E01463"/>
    <w:pPr>
      <w:numPr>
        <w:numId w:val="16"/>
      </w:numPr>
      <w:suppressAutoHyphens/>
      <w:overflowPunct w:val="0"/>
      <w:autoSpaceDE w:val="0"/>
      <w:ind w:left="0"/>
      <w:jc w:val="both"/>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ind w:left="0"/>
      <w:jc w:val="center"/>
    </w:pPr>
    <w:rPr>
      <w:rFonts w:ascii="Arial" w:hAnsi="Arial"/>
      <w:b/>
      <w:bCs/>
      <w:sz w:val="22"/>
      <w:lang w:eastAsia="ar-SA"/>
    </w:rPr>
  </w:style>
  <w:style w:type="paragraph" w:styleId="Sangra2detindependiente">
    <w:name w:val="Body Text Indent 2"/>
    <w:basedOn w:val="Normal"/>
    <w:link w:val="Sangra2detindependienteCar"/>
    <w:uiPriority w:val="99"/>
    <w:semiHidden/>
    <w:unhideWhenUsed/>
    <w:rsid w:val="00E060BE"/>
    <w:pPr>
      <w:spacing w:after="120" w:line="480" w:lineRule="auto"/>
      <w:ind w:left="283"/>
    </w:pPr>
  </w:style>
  <w:style w:type="character" w:customStyle="1" w:styleId="Sangra2detindependienteCar">
    <w:name w:val="Sangría 2 de t. independiente Car"/>
    <w:link w:val="Sangra2detindependiente"/>
    <w:uiPriority w:val="99"/>
    <w:semiHidden/>
    <w:rsid w:val="00E060BE"/>
    <w:rPr>
      <w:sz w:val="24"/>
      <w:szCs w:val="24"/>
      <w:lang w:val="es-ES" w:eastAsia="es-ES"/>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iPriority w:val="99"/>
    <w:rsid w:val="008E10C2"/>
    <w:pPr>
      <w:ind w:left="0"/>
    </w:pPr>
    <w:rPr>
      <w:rFonts w:eastAsia="SimSun"/>
      <w:sz w:val="20"/>
      <w:szCs w:val="20"/>
      <w:lang w:val="es-CO" w:eastAsia="zh-CN"/>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basedOn w:val="Fuentedeprrafopredeter"/>
    <w:link w:val="Textonotapie"/>
    <w:uiPriority w:val="99"/>
    <w:rsid w:val="008E10C2"/>
    <w:rPr>
      <w:rFonts w:eastAsia="SimSun"/>
      <w:lang w:eastAsia="zh-CN"/>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rsid w:val="008E10C2"/>
    <w:rPr>
      <w:vertAlign w:val="superscript"/>
    </w:rPr>
  </w:style>
  <w:style w:type="character" w:styleId="Refdecomentario">
    <w:name w:val="annotation reference"/>
    <w:basedOn w:val="Fuentedeprrafopredeter"/>
    <w:uiPriority w:val="99"/>
    <w:semiHidden/>
    <w:unhideWhenUsed/>
    <w:rsid w:val="00C44FA7"/>
    <w:rPr>
      <w:sz w:val="16"/>
      <w:szCs w:val="16"/>
    </w:rPr>
  </w:style>
  <w:style w:type="paragraph" w:styleId="Textocomentario">
    <w:name w:val="annotation text"/>
    <w:basedOn w:val="Normal"/>
    <w:link w:val="TextocomentarioCar"/>
    <w:uiPriority w:val="99"/>
    <w:semiHidden/>
    <w:unhideWhenUsed/>
    <w:rsid w:val="00C44FA7"/>
    <w:rPr>
      <w:sz w:val="20"/>
      <w:szCs w:val="20"/>
    </w:rPr>
  </w:style>
  <w:style w:type="character" w:customStyle="1" w:styleId="TextocomentarioCar">
    <w:name w:val="Texto comentario Car"/>
    <w:basedOn w:val="Fuentedeprrafopredeter"/>
    <w:link w:val="Textocomentario"/>
    <w:uiPriority w:val="99"/>
    <w:semiHidden/>
    <w:rsid w:val="00C44FA7"/>
    <w:rPr>
      <w:lang w:val="es-ES" w:eastAsia="es-ES"/>
    </w:rPr>
  </w:style>
  <w:style w:type="paragraph" w:styleId="Asuntodelcomentario">
    <w:name w:val="annotation subject"/>
    <w:basedOn w:val="Textocomentario"/>
    <w:next w:val="Textocomentario"/>
    <w:link w:val="AsuntodelcomentarioCar"/>
    <w:uiPriority w:val="99"/>
    <w:semiHidden/>
    <w:unhideWhenUsed/>
    <w:rsid w:val="00C44FA7"/>
    <w:rPr>
      <w:b/>
      <w:bCs/>
    </w:rPr>
  </w:style>
  <w:style w:type="character" w:customStyle="1" w:styleId="AsuntodelcomentarioCar">
    <w:name w:val="Asunto del comentario Car"/>
    <w:basedOn w:val="TextocomentarioCar"/>
    <w:link w:val="Asuntodelcomentario"/>
    <w:uiPriority w:val="99"/>
    <w:semiHidden/>
    <w:rsid w:val="00C44FA7"/>
    <w:rPr>
      <w:b/>
      <w:bCs/>
      <w:lang w:val="es-ES" w:eastAsia="es-ES"/>
    </w:rPr>
  </w:style>
  <w:style w:type="paragraph" w:styleId="Revisin">
    <w:name w:val="Revision"/>
    <w:hidden/>
    <w:uiPriority w:val="99"/>
    <w:semiHidden/>
    <w:rsid w:val="00123A07"/>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8251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3F864C-5B8A-42F8-BE30-6C4FBBDF8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PLANTILLA1.dotx</Template>
  <TotalTime>0</TotalTime>
  <Pages>15</Pages>
  <Words>6837</Words>
  <Characters>35022</Characters>
  <Application>Microsoft Office Word</Application>
  <DocSecurity>0</DocSecurity>
  <Lines>291</Lines>
  <Paragraphs>83</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41776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cp:lastModifiedBy>Luz Stella Rojas Macias</cp:lastModifiedBy>
  <cp:revision>2</cp:revision>
  <cp:lastPrinted>2021-02-11T20:34:00Z</cp:lastPrinted>
  <dcterms:created xsi:type="dcterms:W3CDTF">2021-02-22T14:55:00Z</dcterms:created>
  <dcterms:modified xsi:type="dcterms:W3CDTF">2021-02-22T14:55:00Z</dcterms:modified>
</cp:coreProperties>
</file>