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AB7E" w14:textId="77777777" w:rsidR="00CE6B11" w:rsidRPr="008A0808" w:rsidRDefault="00784C5A" w:rsidP="00CE6B11">
      <w:pPr>
        <w:widowControl w:val="0"/>
        <w:jc w:val="center"/>
        <w:rPr>
          <w:color w:val="000000" w:themeColor="text1"/>
          <w:lang w:val="es-CO"/>
        </w:rPr>
      </w:pPr>
      <w:r>
        <w:rPr>
          <w:noProof/>
          <w:color w:val="000000" w:themeColor="text1"/>
          <w:lang w:val="es-CO"/>
        </w:rPr>
        <w:object w:dxaOrig="1440" w:dyaOrig="1440" w14:anchorId="61B4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1.35pt;margin-top:-8.55pt;width:46.15pt;height:48.75pt;z-index:251659264" fillcolor="#0c9">
            <v:imagedata r:id="rId8" o:title="" cropright="7927f"/>
          </v:shape>
          <o:OLEObject Type="Embed" ProgID="PBrush" ShapeID="_x0000_s2051" DrawAspect="Content" ObjectID="_1697548797" r:id="rId9"/>
        </w:object>
      </w:r>
    </w:p>
    <w:p w14:paraId="49ECB500" w14:textId="017ED9B1" w:rsidR="00CE6B11" w:rsidRDefault="00CE6B11" w:rsidP="00244BE4">
      <w:pPr>
        <w:widowControl w:val="0"/>
        <w:spacing w:before="0" w:after="0"/>
        <w:jc w:val="center"/>
        <w:rPr>
          <w:color w:val="000000" w:themeColor="text1"/>
          <w:lang w:val="es-CO"/>
        </w:rPr>
      </w:pPr>
    </w:p>
    <w:p w14:paraId="2C417608" w14:textId="7AB40043" w:rsidR="00CE6B11" w:rsidRPr="008A0808" w:rsidRDefault="00CE6B11" w:rsidP="00244BE4">
      <w:pPr>
        <w:widowControl w:val="0"/>
        <w:spacing w:before="0" w:after="0"/>
        <w:jc w:val="center"/>
        <w:rPr>
          <w:b/>
          <w:noProof/>
          <w:color w:val="000000" w:themeColor="text1"/>
          <w:spacing w:val="20"/>
          <w:lang w:val="es-CO"/>
        </w:rPr>
      </w:pPr>
      <w:r w:rsidRPr="008A0808">
        <w:rPr>
          <w:bCs/>
          <w:color w:val="000000" w:themeColor="text1"/>
          <w:spacing w:val="20"/>
          <w:lang w:val="es-CO"/>
        </w:rPr>
        <w:t>Ministerio de Minas y Energía</w:t>
      </w:r>
    </w:p>
    <w:p w14:paraId="6659E2E0" w14:textId="77777777" w:rsidR="00CE6B11" w:rsidRPr="008A0808" w:rsidRDefault="00CE6B11" w:rsidP="009567A5">
      <w:pPr>
        <w:widowControl w:val="0"/>
        <w:spacing w:before="0" w:after="0"/>
        <w:jc w:val="center"/>
        <w:rPr>
          <w:color w:val="000000" w:themeColor="text1"/>
          <w:lang w:val="es-CO"/>
        </w:rPr>
      </w:pPr>
    </w:p>
    <w:p w14:paraId="395C7152" w14:textId="77777777" w:rsidR="00CE6B11" w:rsidRPr="008A0808" w:rsidRDefault="00CE6B11" w:rsidP="009567A5">
      <w:pPr>
        <w:widowControl w:val="0"/>
        <w:spacing w:before="0" w:after="0"/>
        <w:jc w:val="center"/>
        <w:rPr>
          <w:b/>
          <w:bCs/>
          <w:color w:val="000000" w:themeColor="text1"/>
          <w:spacing w:val="20"/>
          <w:lang w:val="es-CO"/>
        </w:rPr>
      </w:pPr>
      <w:r w:rsidRPr="008A0808">
        <w:rPr>
          <w:b/>
          <w:bCs/>
          <w:color w:val="000000" w:themeColor="text1"/>
          <w:spacing w:val="20"/>
          <w:lang w:val="es-CO"/>
        </w:rPr>
        <w:t>COMISIÓN DE REGULACIÓN DE ENERGÍA Y GAS</w:t>
      </w:r>
    </w:p>
    <w:p w14:paraId="2A74240B" w14:textId="77777777" w:rsidR="00CE6B11" w:rsidRPr="008A0808" w:rsidRDefault="00CE6B11" w:rsidP="009567A5">
      <w:pPr>
        <w:widowControl w:val="0"/>
        <w:spacing w:before="0" w:after="0"/>
        <w:jc w:val="center"/>
        <w:rPr>
          <w:color w:val="000000" w:themeColor="text1"/>
          <w:lang w:val="es-CO"/>
        </w:rPr>
      </w:pPr>
    </w:p>
    <w:p w14:paraId="01DF1AA8" w14:textId="56AC7F54" w:rsidR="00CE6B11" w:rsidRPr="008A0808" w:rsidRDefault="00FA0EA8" w:rsidP="009567A5">
      <w:pPr>
        <w:widowControl w:val="0"/>
        <w:spacing w:before="0" w:after="0"/>
        <w:jc w:val="center"/>
        <w:rPr>
          <w:b/>
          <w:color w:val="000000" w:themeColor="text1"/>
          <w:spacing w:val="20"/>
          <w:lang w:val="es-CO"/>
        </w:rPr>
      </w:pPr>
      <w:r w:rsidRPr="008A0808">
        <w:rPr>
          <w:b/>
          <w:color w:val="000000" w:themeColor="text1"/>
          <w:spacing w:val="20"/>
          <w:lang w:val="es-CO"/>
        </w:rPr>
        <w:t>RESOLUCIÓN No.</w:t>
      </w:r>
      <w:r w:rsidR="00853F19">
        <w:rPr>
          <w:b/>
          <w:color w:val="000000" w:themeColor="text1"/>
          <w:spacing w:val="20"/>
          <w:lang w:val="es-CO"/>
        </w:rPr>
        <w:t xml:space="preserve"> </w:t>
      </w:r>
      <w:r w:rsidR="00C1452A" w:rsidRPr="00C1452A">
        <w:rPr>
          <w:b/>
          <w:color w:val="000000" w:themeColor="text1"/>
          <w:spacing w:val="20"/>
          <w:sz w:val="32"/>
          <w:szCs w:val="32"/>
          <w:lang w:val="es-CO"/>
        </w:rPr>
        <w:t>169</w:t>
      </w:r>
      <w:r w:rsidR="00853F19">
        <w:rPr>
          <w:b/>
          <w:color w:val="000000" w:themeColor="text1"/>
          <w:spacing w:val="20"/>
          <w:lang w:val="es-CO"/>
        </w:rPr>
        <w:t xml:space="preserve">    </w:t>
      </w:r>
      <w:r w:rsidR="002F7A73" w:rsidRPr="008A0808">
        <w:rPr>
          <w:b/>
          <w:color w:val="000000" w:themeColor="text1"/>
          <w:spacing w:val="20"/>
          <w:lang w:val="es-CO"/>
        </w:rPr>
        <w:t>DE 20</w:t>
      </w:r>
      <w:r w:rsidR="006310BE">
        <w:rPr>
          <w:b/>
          <w:color w:val="000000" w:themeColor="text1"/>
          <w:spacing w:val="20"/>
          <w:lang w:val="es-CO"/>
        </w:rPr>
        <w:t>2</w:t>
      </w:r>
      <w:r w:rsidR="00C74F7A">
        <w:rPr>
          <w:b/>
          <w:color w:val="000000" w:themeColor="text1"/>
          <w:spacing w:val="20"/>
          <w:lang w:val="es-CO"/>
        </w:rPr>
        <w:t>1</w:t>
      </w:r>
    </w:p>
    <w:p w14:paraId="670E54AE" w14:textId="77777777" w:rsidR="00CE6B11" w:rsidRPr="008A0808" w:rsidRDefault="00CE6B11" w:rsidP="009567A5">
      <w:pPr>
        <w:widowControl w:val="0"/>
        <w:tabs>
          <w:tab w:val="left" w:pos="0"/>
          <w:tab w:val="right" w:pos="9356"/>
        </w:tabs>
        <w:spacing w:before="0" w:after="0"/>
        <w:jc w:val="center"/>
        <w:rPr>
          <w:rFonts w:cs="Arial"/>
          <w:b/>
          <w:snapToGrid w:val="0"/>
          <w:color w:val="000000" w:themeColor="text1"/>
          <w:lang w:val="es-CO"/>
        </w:rPr>
      </w:pPr>
    </w:p>
    <w:p w14:paraId="69F564C6" w14:textId="1E6647D4" w:rsidR="00CE6B11" w:rsidRPr="008A0808" w:rsidRDefault="00CE6B11" w:rsidP="009567A5">
      <w:pPr>
        <w:widowControl w:val="0"/>
        <w:spacing w:before="0" w:after="0"/>
        <w:ind w:left="708" w:hanging="708"/>
        <w:jc w:val="center"/>
        <w:rPr>
          <w:color w:val="000000" w:themeColor="text1"/>
          <w:lang w:val="es-CO"/>
        </w:rPr>
      </w:pPr>
      <w:proofErr w:type="gramStart"/>
      <w:r w:rsidRPr="008A0808">
        <w:rPr>
          <w:color w:val="000000" w:themeColor="text1"/>
          <w:lang w:val="es-CO"/>
        </w:rPr>
        <w:t>(</w:t>
      </w:r>
      <w:r w:rsidR="00853F19">
        <w:rPr>
          <w:color w:val="000000" w:themeColor="text1"/>
          <w:lang w:val="es-CO"/>
        </w:rPr>
        <w:t xml:space="preserve">  </w:t>
      </w:r>
      <w:proofErr w:type="gramEnd"/>
      <w:r w:rsidR="00853F19">
        <w:rPr>
          <w:color w:val="000000" w:themeColor="text1"/>
          <w:lang w:val="es-CO"/>
        </w:rPr>
        <w:t xml:space="preserve"> </w:t>
      </w:r>
      <w:r w:rsidR="00C1452A" w:rsidRPr="00C1452A">
        <w:rPr>
          <w:b/>
          <w:bCs/>
          <w:color w:val="000000" w:themeColor="text1"/>
          <w:sz w:val="32"/>
          <w:szCs w:val="32"/>
          <w:lang w:val="es-CO"/>
        </w:rPr>
        <w:t>06 OCT. 2021</w:t>
      </w:r>
      <w:r w:rsidR="00853F19">
        <w:rPr>
          <w:color w:val="000000" w:themeColor="text1"/>
          <w:lang w:val="es-CO"/>
        </w:rPr>
        <w:t xml:space="preserve">  </w:t>
      </w:r>
      <w:r w:rsidRPr="008A0808">
        <w:rPr>
          <w:color w:val="000000" w:themeColor="text1"/>
          <w:lang w:val="es-CO"/>
        </w:rPr>
        <w:t>)</w:t>
      </w:r>
    </w:p>
    <w:p w14:paraId="0627F652" w14:textId="77777777" w:rsidR="00C47956" w:rsidRDefault="00C47956" w:rsidP="009567A5">
      <w:pPr>
        <w:pStyle w:val="Textoindependiente2"/>
        <w:widowControl w:val="0"/>
        <w:spacing w:before="0" w:after="0" w:line="240" w:lineRule="auto"/>
        <w:rPr>
          <w:color w:val="000000" w:themeColor="text1"/>
          <w:lang w:val="es-CO"/>
        </w:rPr>
      </w:pPr>
    </w:p>
    <w:p w14:paraId="564812FA" w14:textId="77777777" w:rsidR="007322C3" w:rsidRPr="008A0808" w:rsidRDefault="007322C3" w:rsidP="006C438D">
      <w:pPr>
        <w:pStyle w:val="Textoindependiente2"/>
        <w:widowControl w:val="0"/>
        <w:spacing w:before="0" w:after="0" w:line="240" w:lineRule="auto"/>
        <w:rPr>
          <w:color w:val="000000" w:themeColor="text1"/>
          <w:lang w:val="es-CO"/>
        </w:rPr>
      </w:pPr>
    </w:p>
    <w:p w14:paraId="46215AF7" w14:textId="5CB9EE5D" w:rsidR="00DC226B" w:rsidRPr="008A0808" w:rsidRDefault="00DC226B" w:rsidP="002E2193">
      <w:pPr>
        <w:pStyle w:val="Textoindependiente2"/>
        <w:widowControl w:val="0"/>
        <w:spacing w:before="0" w:after="0" w:line="240" w:lineRule="auto"/>
        <w:jc w:val="center"/>
        <w:rPr>
          <w:color w:val="000000" w:themeColor="text1"/>
          <w:lang w:val="es-CO"/>
        </w:rPr>
      </w:pPr>
      <w:bookmarkStart w:id="0" w:name="_Hlk52890052"/>
      <w:r w:rsidRPr="008A0808">
        <w:rPr>
          <w:color w:val="000000" w:themeColor="text1"/>
          <w:lang w:val="es-CO"/>
        </w:rPr>
        <w:t xml:space="preserve">Por la cual </w:t>
      </w:r>
      <w:r w:rsidR="00A113E6" w:rsidRPr="008A0808">
        <w:rPr>
          <w:color w:val="000000" w:themeColor="text1"/>
          <w:lang w:val="es-CO"/>
        </w:rPr>
        <w:t>se resuelve</w:t>
      </w:r>
      <w:r w:rsidR="00F50B15">
        <w:rPr>
          <w:color w:val="000000" w:themeColor="text1"/>
          <w:lang w:val="es-CO"/>
        </w:rPr>
        <w:t xml:space="preserve"> recurso de reposición interpuesto por Promigas S</w:t>
      </w:r>
      <w:r w:rsidR="00900978">
        <w:rPr>
          <w:color w:val="000000" w:themeColor="text1"/>
          <w:lang w:val="es-CO"/>
        </w:rPr>
        <w:t>.</w:t>
      </w:r>
      <w:r w:rsidR="00F50B15">
        <w:rPr>
          <w:color w:val="000000" w:themeColor="text1"/>
          <w:lang w:val="es-CO"/>
        </w:rPr>
        <w:t>A</w:t>
      </w:r>
      <w:r w:rsidR="00900978">
        <w:rPr>
          <w:color w:val="000000" w:themeColor="text1"/>
          <w:lang w:val="es-CO"/>
        </w:rPr>
        <w:t>.</w:t>
      </w:r>
      <w:r w:rsidR="00F50B15">
        <w:rPr>
          <w:color w:val="000000" w:themeColor="text1"/>
          <w:lang w:val="es-CO"/>
        </w:rPr>
        <w:t xml:space="preserve"> E</w:t>
      </w:r>
      <w:r w:rsidR="00900978">
        <w:rPr>
          <w:color w:val="000000" w:themeColor="text1"/>
          <w:lang w:val="es-CO"/>
        </w:rPr>
        <w:t>.</w:t>
      </w:r>
      <w:r w:rsidR="00F50B15">
        <w:rPr>
          <w:color w:val="000000" w:themeColor="text1"/>
          <w:lang w:val="es-CO"/>
        </w:rPr>
        <w:t>S</w:t>
      </w:r>
      <w:r w:rsidR="00900978">
        <w:rPr>
          <w:color w:val="000000" w:themeColor="text1"/>
          <w:lang w:val="es-CO"/>
        </w:rPr>
        <w:t>.</w:t>
      </w:r>
      <w:r w:rsidR="00F50B15">
        <w:rPr>
          <w:color w:val="000000" w:themeColor="text1"/>
          <w:lang w:val="es-CO"/>
        </w:rPr>
        <w:t>P</w:t>
      </w:r>
      <w:r w:rsidR="00900978">
        <w:rPr>
          <w:color w:val="000000" w:themeColor="text1"/>
          <w:lang w:val="es-CO"/>
        </w:rPr>
        <w:t>.</w:t>
      </w:r>
      <w:r w:rsidR="00F50B15">
        <w:rPr>
          <w:color w:val="000000" w:themeColor="text1"/>
          <w:lang w:val="es-CO"/>
        </w:rPr>
        <w:t xml:space="preserve"> contra la Resolución CREG 210 de 2020</w:t>
      </w:r>
      <w:r w:rsidR="00C70F9C">
        <w:rPr>
          <w:color w:val="000000" w:themeColor="text1"/>
          <w:lang w:val="es-CO"/>
        </w:rPr>
        <w:t xml:space="preserve">, </w:t>
      </w:r>
      <w:r w:rsidR="001A487C">
        <w:rPr>
          <w:color w:val="000000" w:themeColor="text1"/>
          <w:lang w:val="es-CO"/>
        </w:rPr>
        <w:t>p</w:t>
      </w:r>
      <w:r w:rsidR="00C70F9C">
        <w:rPr>
          <w:color w:val="000000" w:themeColor="text1"/>
          <w:lang w:val="es-CO"/>
        </w:rPr>
        <w:t xml:space="preserve">or la cual se </w:t>
      </w:r>
      <w:r w:rsidR="001A487C">
        <w:rPr>
          <w:color w:val="000000" w:themeColor="text1"/>
          <w:lang w:val="es-CO"/>
        </w:rPr>
        <w:t>decide</w:t>
      </w:r>
      <w:r w:rsidR="00C70F9C">
        <w:rPr>
          <w:color w:val="000000" w:themeColor="text1"/>
          <w:lang w:val="es-CO"/>
        </w:rPr>
        <w:t xml:space="preserve"> </w:t>
      </w:r>
      <w:r w:rsidR="00F50B15">
        <w:rPr>
          <w:color w:val="000000" w:themeColor="text1"/>
          <w:lang w:val="es-CO"/>
        </w:rPr>
        <w:t xml:space="preserve">la </w:t>
      </w:r>
      <w:r w:rsidR="00E256F7" w:rsidRPr="008A0808">
        <w:rPr>
          <w:color w:val="000000" w:themeColor="text1"/>
          <w:lang w:val="es-CO"/>
        </w:rPr>
        <w:t>actuaci</w:t>
      </w:r>
      <w:r w:rsidR="005000EA">
        <w:rPr>
          <w:color w:val="000000" w:themeColor="text1"/>
          <w:lang w:val="es-CO"/>
        </w:rPr>
        <w:t xml:space="preserve">ón </w:t>
      </w:r>
      <w:r w:rsidR="00A113E6" w:rsidRPr="008A0808">
        <w:rPr>
          <w:color w:val="000000" w:themeColor="text1"/>
          <w:lang w:val="es-CO"/>
        </w:rPr>
        <w:t xml:space="preserve">administrativa iniciada en virtud de lo establecido en el </w:t>
      </w:r>
      <w:r w:rsidR="008B5790">
        <w:rPr>
          <w:color w:val="000000" w:themeColor="text1"/>
          <w:lang w:val="es-CO"/>
        </w:rPr>
        <w:t>A</w:t>
      </w:r>
      <w:r w:rsidR="00A113E6" w:rsidRPr="008A0808">
        <w:rPr>
          <w:color w:val="000000" w:themeColor="text1"/>
          <w:lang w:val="es-CO"/>
        </w:rPr>
        <w:t>rtículo 126 de la Ley 142 de 1994</w:t>
      </w:r>
      <w:r w:rsidR="00E256F7" w:rsidRPr="008A0808">
        <w:rPr>
          <w:color w:val="000000" w:themeColor="text1"/>
          <w:lang w:val="es-CO"/>
        </w:rPr>
        <w:t xml:space="preserve"> para</w:t>
      </w:r>
      <w:r w:rsidRPr="008A0808">
        <w:rPr>
          <w:color w:val="000000" w:themeColor="text1"/>
          <w:lang w:val="es-CO"/>
        </w:rPr>
        <w:t xml:space="preserve"> los cargos regulados </w:t>
      </w:r>
      <w:r w:rsidR="00E256F7" w:rsidRPr="008A0808">
        <w:rPr>
          <w:color w:val="000000" w:themeColor="text1"/>
          <w:lang w:val="es-CO"/>
        </w:rPr>
        <w:t>establecidos</w:t>
      </w:r>
      <w:r w:rsidR="00D609FF" w:rsidRPr="008A0808">
        <w:rPr>
          <w:color w:val="000000" w:themeColor="text1"/>
          <w:lang w:val="es-CO"/>
        </w:rPr>
        <w:t xml:space="preserve"> mediante la Resolución CREG </w:t>
      </w:r>
      <w:r w:rsidR="005000EA">
        <w:rPr>
          <w:color w:val="000000" w:themeColor="text1"/>
          <w:lang w:val="es-CO"/>
        </w:rPr>
        <w:t>198 de 2017</w:t>
      </w:r>
      <w:r w:rsidR="00744D22">
        <w:rPr>
          <w:color w:val="000000" w:themeColor="text1"/>
          <w:lang w:val="es-CO"/>
        </w:rPr>
        <w:t>, modificada por las Resoluciones CREG 018 de 2018 y CREG 127 de 2019</w:t>
      </w:r>
    </w:p>
    <w:bookmarkEnd w:id="0"/>
    <w:p w14:paraId="08AB91E5" w14:textId="77777777" w:rsidR="00CE6B11" w:rsidRPr="008A0808" w:rsidRDefault="00CE6B11" w:rsidP="002E2193">
      <w:pPr>
        <w:pStyle w:val="Textoindependiente2"/>
        <w:widowControl w:val="0"/>
        <w:spacing w:before="0" w:after="0" w:line="240" w:lineRule="auto"/>
        <w:jc w:val="center"/>
        <w:rPr>
          <w:color w:val="000000" w:themeColor="text1"/>
          <w:lang w:val="es-CO"/>
        </w:rPr>
      </w:pPr>
    </w:p>
    <w:p w14:paraId="3908C1B4" w14:textId="77777777" w:rsidR="00CE6B11" w:rsidRPr="008A0808" w:rsidRDefault="00CE6B11" w:rsidP="007B6AB8">
      <w:pPr>
        <w:widowControl w:val="0"/>
        <w:spacing w:before="0" w:after="0"/>
        <w:jc w:val="center"/>
        <w:rPr>
          <w:rFonts w:cs="Arial"/>
          <w:color w:val="000000" w:themeColor="text1"/>
          <w:lang w:val="es-CO"/>
        </w:rPr>
      </w:pPr>
    </w:p>
    <w:p w14:paraId="1FFBE31F" w14:textId="77777777" w:rsidR="00CE6B11" w:rsidRPr="008A0808" w:rsidRDefault="00CE6B11" w:rsidP="007B6AB8">
      <w:pPr>
        <w:widowControl w:val="0"/>
        <w:spacing w:before="0" w:after="0"/>
        <w:jc w:val="center"/>
        <w:rPr>
          <w:b/>
          <w:color w:val="000000" w:themeColor="text1"/>
          <w:lang w:val="es-CO"/>
        </w:rPr>
      </w:pPr>
      <w:r w:rsidRPr="008A0808">
        <w:rPr>
          <w:b/>
          <w:color w:val="000000" w:themeColor="text1"/>
          <w:lang w:val="es-CO"/>
        </w:rPr>
        <w:t>LA COMISIÓN DE REGULACIÓN DE ENERGÍA Y GAS</w:t>
      </w:r>
    </w:p>
    <w:p w14:paraId="1D44CFBD" w14:textId="77777777" w:rsidR="00CE6B11" w:rsidRPr="008A0808" w:rsidRDefault="00CE6B11" w:rsidP="002E2193">
      <w:pPr>
        <w:widowControl w:val="0"/>
        <w:tabs>
          <w:tab w:val="left" w:pos="8640"/>
        </w:tabs>
        <w:spacing w:before="0" w:after="0"/>
        <w:jc w:val="center"/>
        <w:rPr>
          <w:rFonts w:cs="Arial"/>
          <w:bCs/>
          <w:color w:val="000000" w:themeColor="text1"/>
          <w:lang w:val="es-CO"/>
        </w:rPr>
      </w:pPr>
    </w:p>
    <w:p w14:paraId="73E25754" w14:textId="77777777" w:rsidR="00856377" w:rsidRPr="008A0808" w:rsidRDefault="00856377" w:rsidP="002E2193">
      <w:pPr>
        <w:widowControl w:val="0"/>
        <w:tabs>
          <w:tab w:val="left" w:pos="8640"/>
        </w:tabs>
        <w:spacing w:before="0" w:after="0"/>
        <w:jc w:val="center"/>
        <w:rPr>
          <w:rFonts w:cs="Arial"/>
          <w:bCs/>
          <w:color w:val="000000" w:themeColor="text1"/>
          <w:lang w:val="es-CO"/>
        </w:rPr>
      </w:pPr>
    </w:p>
    <w:p w14:paraId="4D3D3145" w14:textId="77777777" w:rsidR="00CE6B11" w:rsidRPr="008A0808" w:rsidRDefault="00CE6B11" w:rsidP="002E2193">
      <w:pPr>
        <w:spacing w:before="0" w:after="0"/>
        <w:jc w:val="center"/>
        <w:rPr>
          <w:lang w:val="es-CO"/>
        </w:rPr>
      </w:pPr>
      <w:r w:rsidRPr="008A0808">
        <w:rPr>
          <w:lang w:val="es-CO"/>
        </w:rPr>
        <w:t>En ejercicio de sus atribuciones legales, en especial de las confe</w:t>
      </w:r>
      <w:r w:rsidR="00FA0EA8" w:rsidRPr="008A0808">
        <w:rPr>
          <w:lang w:val="es-CO"/>
        </w:rPr>
        <w:t>ridas por la Ley 142 de 1994, y los Decretos 1523 y 2253 de 1994 y 1260 de 2013 y,</w:t>
      </w:r>
    </w:p>
    <w:p w14:paraId="4339D2DF" w14:textId="189244E9" w:rsidR="00CE6B11" w:rsidRDefault="00CE6B11" w:rsidP="00B557CB">
      <w:pPr>
        <w:widowControl w:val="0"/>
        <w:spacing w:before="0" w:after="0"/>
        <w:jc w:val="center"/>
        <w:rPr>
          <w:color w:val="000000" w:themeColor="text1"/>
          <w:lang w:val="es-CO"/>
        </w:rPr>
      </w:pPr>
    </w:p>
    <w:p w14:paraId="3E6A6514" w14:textId="77777777" w:rsidR="00185A3F" w:rsidRPr="008A0808" w:rsidRDefault="00185A3F" w:rsidP="002E2193">
      <w:pPr>
        <w:widowControl w:val="0"/>
        <w:spacing w:before="0" w:after="0"/>
        <w:jc w:val="center"/>
        <w:rPr>
          <w:color w:val="000000" w:themeColor="text1"/>
          <w:lang w:val="es-CO"/>
        </w:rPr>
      </w:pPr>
    </w:p>
    <w:p w14:paraId="1C5B7CDF" w14:textId="77777777" w:rsidR="00CE6B11" w:rsidRPr="008A0808" w:rsidRDefault="00CE6B11">
      <w:pPr>
        <w:pStyle w:val="Ttulo6"/>
        <w:widowControl w:val="0"/>
        <w:numPr>
          <w:ilvl w:val="0"/>
          <w:numId w:val="0"/>
        </w:numPr>
        <w:spacing w:before="0" w:after="0"/>
        <w:jc w:val="center"/>
        <w:rPr>
          <w:rFonts w:ascii="Bookman Old Style" w:hAnsi="Bookman Old Style"/>
          <w:color w:val="000000" w:themeColor="text1"/>
          <w:spacing w:val="60"/>
          <w:sz w:val="24"/>
          <w:szCs w:val="24"/>
          <w:lang w:val="es-CO"/>
        </w:rPr>
      </w:pPr>
      <w:r w:rsidRPr="008A0808">
        <w:rPr>
          <w:rFonts w:ascii="Bookman Old Style" w:hAnsi="Bookman Old Style"/>
          <w:color w:val="000000" w:themeColor="text1"/>
          <w:spacing w:val="60"/>
          <w:sz w:val="24"/>
          <w:szCs w:val="24"/>
          <w:lang w:val="es-CO"/>
        </w:rPr>
        <w:t>CONSIDERANDO QUE:</w:t>
      </w:r>
    </w:p>
    <w:p w14:paraId="26D16248" w14:textId="10D6FCFD" w:rsidR="00161DA3" w:rsidRPr="003D13AC" w:rsidRDefault="00161DA3" w:rsidP="002E2193">
      <w:pPr>
        <w:pStyle w:val="Ttulo"/>
      </w:pPr>
      <w:r w:rsidRPr="003D13AC">
        <w:t>A</w:t>
      </w:r>
      <w:r w:rsidR="00554B0B" w:rsidRPr="003D13AC">
        <w:t>NTECEDENTES</w:t>
      </w:r>
    </w:p>
    <w:p w14:paraId="2C24ACAD" w14:textId="6C158CDE" w:rsidR="005000EA" w:rsidRPr="00FD4202" w:rsidRDefault="005000EA" w:rsidP="00453404">
      <w:pPr>
        <w:shd w:val="clear" w:color="auto" w:fill="FFFFFF"/>
        <w:rPr>
          <w:rFonts w:cs="Arial"/>
          <w:bCs/>
        </w:rPr>
      </w:pPr>
      <w:r w:rsidRPr="00453404">
        <w:rPr>
          <w:rFonts w:cs="Arial"/>
          <w:bCs/>
        </w:rPr>
        <w:t>Mediante la Resolución CREG 198 de 2017, la Comisión aprobó el cargo transitorio por uso del sistema de distribución de gas combustible por redes de tubería para el mercado relevante conformado por municipios de los departamentos de Atlántico, Magdalena, Cesar y Bolívar</w:t>
      </w:r>
      <w:r w:rsidRPr="003E1172">
        <w:rPr>
          <w:rFonts w:cs="Arial"/>
          <w:bCs/>
          <w:vertAlign w:val="superscript"/>
        </w:rPr>
        <w:footnoteReference w:id="1"/>
      </w:r>
      <w:r w:rsidRPr="00453404">
        <w:rPr>
          <w:rFonts w:cs="Arial"/>
          <w:bCs/>
        </w:rPr>
        <w:t>, según solicitud tarifaria presentada por GASES DEL CARIBE S.A. E.S.P. y PROMIGAS S.A. E.S.P., con base en lo establecido en la Circular CREG 034 de 2017.</w:t>
      </w:r>
    </w:p>
    <w:p w14:paraId="23E91EFD" w14:textId="023A0C74" w:rsidR="00F76A67" w:rsidRPr="002B14FB" w:rsidRDefault="005000EA" w:rsidP="002B14FB">
      <w:pPr>
        <w:adjustRightInd w:val="0"/>
        <w:rPr>
          <w:rFonts w:cs="Arial"/>
          <w:bCs/>
        </w:rPr>
      </w:pPr>
      <w:r w:rsidRPr="00453404">
        <w:rPr>
          <w:rFonts w:cs="Arial"/>
          <w:bCs/>
        </w:rPr>
        <w:t>Surtido el trámite de notificación de la referida decisión</w:t>
      </w:r>
      <w:r w:rsidR="007B2BF9">
        <w:rPr>
          <w:rFonts w:cs="Arial"/>
          <w:bCs/>
        </w:rPr>
        <w:t>,</w:t>
      </w:r>
      <w:r w:rsidRPr="00453404">
        <w:rPr>
          <w:rFonts w:cs="Arial"/>
          <w:bCs/>
        </w:rPr>
        <w:t xml:space="preserve"> y estando dentro del término legal para el efecto, el representante legal de GASES DEL CARIBE S.A. E.S.P. interpuso recurso de reposición contra la mencionada resolución, el cual se resolvió mediante la Resolución CREG 018 de 2018.</w:t>
      </w:r>
      <w:r w:rsidR="007B2BF9">
        <w:rPr>
          <w:rFonts w:cs="Arial"/>
          <w:bCs/>
        </w:rPr>
        <w:t xml:space="preserve"> </w:t>
      </w:r>
      <w:r w:rsidR="00F76A67">
        <w:rPr>
          <w:rFonts w:cs="Arial"/>
          <w:bCs/>
        </w:rPr>
        <w:t xml:space="preserve">Mediante la Resolución CREG 127 de 2019 </w:t>
      </w:r>
      <w:r w:rsidR="00AC778C">
        <w:rPr>
          <w:rFonts w:cs="Arial"/>
          <w:bCs/>
        </w:rPr>
        <w:t xml:space="preserve">se corrigió </w:t>
      </w:r>
      <w:r w:rsidR="00F76A67" w:rsidRPr="002B14FB">
        <w:rPr>
          <w:rFonts w:cs="Arial"/>
          <w:bCs/>
        </w:rPr>
        <w:t xml:space="preserve">un error formal en relación con el porcentaje </w:t>
      </w:r>
      <w:r w:rsidR="00F76A67" w:rsidRPr="00FC64AC">
        <w:rPr>
          <w:rFonts w:cs="Arial"/>
          <w:bCs/>
        </w:rPr>
        <w:t xml:space="preserve">eficiente de AOM establecido para el </w:t>
      </w:r>
      <w:r w:rsidR="00F76A67" w:rsidRPr="007A684D">
        <w:rPr>
          <w:rFonts w:cs="Arial"/>
          <w:bCs/>
        </w:rPr>
        <w:t xml:space="preserve">mercado existente de distribución aprobado </w:t>
      </w:r>
      <w:r w:rsidR="00F76A67" w:rsidRPr="007A684D">
        <w:rPr>
          <w:rFonts w:cs="Arial"/>
          <w:bCs/>
        </w:rPr>
        <w:lastRenderedPageBreak/>
        <w:t xml:space="preserve">mediante el Artículo 1 de la Resolución CREG </w:t>
      </w:r>
      <w:r w:rsidR="00F76A67" w:rsidRPr="00B476F0">
        <w:rPr>
          <w:rFonts w:cs="Arial"/>
          <w:bCs/>
        </w:rPr>
        <w:t>198 de 2017</w:t>
      </w:r>
      <w:r w:rsidR="007B2BF9">
        <w:rPr>
          <w:rFonts w:cs="Arial"/>
          <w:bCs/>
        </w:rPr>
        <w:t>,</w:t>
      </w:r>
      <w:r w:rsidR="00F76A67" w:rsidRPr="002B14FB">
        <w:rPr>
          <w:rFonts w:cs="Arial"/>
          <w:bCs/>
        </w:rPr>
        <w:t xml:space="preserve"> en los términos del Artículo 45 de la Ley 1437 de 2011.</w:t>
      </w:r>
    </w:p>
    <w:p w14:paraId="55964AED" w14:textId="509E3314" w:rsidR="005000EA" w:rsidRPr="00453404" w:rsidRDefault="00087DB0" w:rsidP="00F50B15">
      <w:pPr>
        <w:adjustRightInd w:val="0"/>
        <w:rPr>
          <w:rFonts w:cs="Arial"/>
          <w:i/>
          <w:iCs/>
          <w:sz w:val="20"/>
          <w:szCs w:val="20"/>
        </w:rPr>
      </w:pPr>
      <w:r>
        <w:rPr>
          <w:rFonts w:cs="Arial"/>
          <w:bCs/>
        </w:rPr>
        <w:t>A</w:t>
      </w:r>
      <w:r w:rsidR="004F5148">
        <w:rPr>
          <w:rFonts w:cs="Arial"/>
          <w:bCs/>
        </w:rPr>
        <w:t xml:space="preserve"> través de </w:t>
      </w:r>
      <w:r w:rsidR="005000EA" w:rsidRPr="00453404">
        <w:rPr>
          <w:rFonts w:cs="Arial"/>
          <w:bCs/>
        </w:rPr>
        <w:t xml:space="preserve">comunicación radicada en la CREG bajo el número E-2019-013409 del 10 de diciembre de 2019, el Representante Legal de la empresa PROMIGAS S.A. E.S.P. </w:t>
      </w:r>
      <w:r w:rsidR="00F50B15">
        <w:rPr>
          <w:rFonts w:cs="Arial"/>
          <w:bCs/>
        </w:rPr>
        <w:t>presentó</w:t>
      </w:r>
      <w:r w:rsidR="00D17B38">
        <w:rPr>
          <w:rFonts w:cs="Arial"/>
          <w:bCs/>
        </w:rPr>
        <w:t xml:space="preserve"> una </w:t>
      </w:r>
      <w:r w:rsidR="00F50B15">
        <w:rPr>
          <w:rFonts w:cs="Arial"/>
          <w:bCs/>
        </w:rPr>
        <w:t xml:space="preserve">solicitud </w:t>
      </w:r>
      <w:r w:rsidR="006B7362" w:rsidRPr="002E2193">
        <w:rPr>
          <w:rFonts w:cs="Arial"/>
          <w:bCs/>
          <w:i/>
          <w:iCs/>
        </w:rPr>
        <w:t>“</w:t>
      </w:r>
      <w:r w:rsidR="005000EA" w:rsidRPr="002E2193">
        <w:rPr>
          <w:rFonts w:cs="Arial"/>
          <w:bCs/>
          <w:i/>
          <w:iCs/>
        </w:rPr>
        <w:t>con el fin de que la Comisión de Regulación de Energía y Gas (CREG) ajuste la base tarifaria, en el componente de inversiones atribuible exclusivamente a Promigas, establecido en el cargo transitorio por uso del sistema de distribución de gas combustible por redes de tubería, aprobado a través de la Resolución CREG 198 de 2017 (modificada por la Resolución CREG 018 de 2018) para el mercado relevante conformado por municipios de los departamentos de Atlántico, Magdalena, Cesar y Bolívar, según solicitud tarifaria presentada por GASES DEL CARIBE S.A. E.S.P. y PROMIGAS S.A. E.S.P.</w:t>
      </w:r>
      <w:r w:rsidR="00233088" w:rsidRPr="002E2193">
        <w:rPr>
          <w:rFonts w:cs="Arial"/>
          <w:bCs/>
          <w:i/>
          <w:iCs/>
        </w:rPr>
        <w:t>”</w:t>
      </w:r>
      <w:r w:rsidR="00233088">
        <w:rPr>
          <w:rFonts w:cs="Arial"/>
          <w:bCs/>
        </w:rPr>
        <w:t>.</w:t>
      </w:r>
    </w:p>
    <w:p w14:paraId="1694826E" w14:textId="6874FCA1" w:rsidR="00554B0B" w:rsidRDefault="00554B0B" w:rsidP="00554B0B">
      <w:pPr>
        <w:adjustRightInd w:val="0"/>
        <w:rPr>
          <w:rFonts w:cs="Arial"/>
          <w:bCs/>
        </w:rPr>
      </w:pPr>
      <w:r w:rsidRPr="009503F7">
        <w:rPr>
          <w:rFonts w:cs="Arial"/>
          <w:bCs/>
        </w:rPr>
        <w:t xml:space="preserve">Mediante auto del 27 de mayo de 2020, la Comisión </w:t>
      </w:r>
      <w:r w:rsidR="004935FA" w:rsidRPr="009503F7">
        <w:rPr>
          <w:rFonts w:cs="Arial"/>
          <w:bCs/>
        </w:rPr>
        <w:t>inició</w:t>
      </w:r>
      <w:r w:rsidRPr="009503F7">
        <w:rPr>
          <w:rFonts w:cs="Arial"/>
          <w:bCs/>
        </w:rPr>
        <w:t xml:space="preserve"> una Actuación Administrativa con el objeto de decidir la procedencia de la aplicación del Artículo 126 de la Ley 142 de 1994, respecto de la solicitud presentada por PROMIGAS S.A. E.S.P. mediante radicado CREG E</w:t>
      </w:r>
      <w:r w:rsidRPr="009503F7">
        <w:rPr>
          <w:rFonts w:cs="Arial"/>
          <w:bCs/>
        </w:rPr>
        <w:noBreakHyphen/>
        <w:t>2019-013409 del 10 de diciembre de 2019.</w:t>
      </w:r>
    </w:p>
    <w:p w14:paraId="61904727" w14:textId="2D30DC07" w:rsidR="00323B16" w:rsidRPr="002E2193" w:rsidRDefault="00F50B15" w:rsidP="003E4464">
      <w:pPr>
        <w:rPr>
          <w:color w:val="000000" w:themeColor="text1"/>
          <w:lang w:val="es-CO"/>
        </w:rPr>
      </w:pPr>
      <w:r w:rsidRPr="00323B16">
        <w:rPr>
          <w:rFonts w:cs="Arial"/>
          <w:bCs/>
        </w:rPr>
        <w:t>Como conclusión del desarrollo de la actuación administrativa antes mencionada</w:t>
      </w:r>
      <w:r w:rsidR="007A2965" w:rsidRPr="00323B16">
        <w:rPr>
          <w:rFonts w:cs="Arial"/>
          <w:bCs/>
        </w:rPr>
        <w:t>,</w:t>
      </w:r>
      <w:r w:rsidRPr="00323B16">
        <w:rPr>
          <w:rFonts w:cs="Arial"/>
          <w:bCs/>
        </w:rPr>
        <w:t xml:space="preserve"> se profirió la Resolución CREG 210 de 2020, </w:t>
      </w:r>
      <w:r w:rsidR="00323B16">
        <w:rPr>
          <w:rFonts w:cs="Arial"/>
          <w:bCs/>
        </w:rPr>
        <w:t>“</w:t>
      </w:r>
      <w:r w:rsidRPr="002E2193">
        <w:rPr>
          <w:i/>
          <w:iCs/>
          <w:color w:val="000000" w:themeColor="text1"/>
          <w:lang w:val="es-CO"/>
        </w:rPr>
        <w:t>Por la cual se resuelve la actuación administrativa iniciada en virtud de lo establecido en el Artículo 126 de la Ley 142 de 1994 para los cargos regulados establecidos mediante la Resolución CREG 198 de 2017, modificada por las Resoluciones CREG 018 de 2018 y CREG 127 de 2019</w:t>
      </w:r>
      <w:r w:rsidR="00323B16">
        <w:rPr>
          <w:i/>
          <w:iCs/>
          <w:color w:val="000000" w:themeColor="text1"/>
          <w:lang w:val="es-CO"/>
        </w:rPr>
        <w:t>”</w:t>
      </w:r>
      <w:r w:rsidR="00323B16" w:rsidRPr="002E2193">
        <w:rPr>
          <w:i/>
          <w:iCs/>
          <w:color w:val="000000" w:themeColor="text1"/>
          <w:lang w:val="es-CO"/>
        </w:rPr>
        <w:t>.</w:t>
      </w:r>
    </w:p>
    <w:p w14:paraId="42250DF8" w14:textId="74DAEC6D" w:rsidR="003E4464" w:rsidRPr="00673AD7" w:rsidRDefault="00151FAB" w:rsidP="003E4464">
      <w:pPr>
        <w:rPr>
          <w:rFonts w:cs="Arial"/>
          <w:bCs/>
        </w:rPr>
      </w:pPr>
      <w:r w:rsidRPr="002E2193">
        <w:rPr>
          <w:color w:val="000000" w:themeColor="text1"/>
          <w:lang w:val="es-CO"/>
        </w:rPr>
        <w:t>En dicha resolución</w:t>
      </w:r>
      <w:r w:rsidR="003E4464" w:rsidRPr="002E2193">
        <w:rPr>
          <w:color w:val="000000" w:themeColor="text1"/>
          <w:lang w:val="es-CO"/>
        </w:rPr>
        <w:t xml:space="preserve"> se decidió </w:t>
      </w:r>
      <w:r w:rsidR="003E4464" w:rsidRPr="00673AD7">
        <w:rPr>
          <w:rFonts w:cs="Arial"/>
          <w:bCs/>
        </w:rPr>
        <w:t>no acceder a la aplicación del Artículo 126 de la Ley 142 de 1994, ya sea por la causal de mutuo acuerdo o de grave error de cálculo, respecto de lo dispuesto en la Resolución CREG 198 de 2017, modificada por las Resoluciones CREG 018 de 2018 y CREG 127 de 2019, conforme a la solicitud presentada por PROMIGAS S.A. E.S.P.</w:t>
      </w:r>
    </w:p>
    <w:p w14:paraId="5CD99254" w14:textId="434ED2DE" w:rsidR="00166ACB" w:rsidRDefault="00166ACB" w:rsidP="00166ACB">
      <w:pPr>
        <w:adjustRightInd w:val="0"/>
        <w:ind w:right="23"/>
      </w:pPr>
      <w:r>
        <w:t>La Resolución CREG 210 de 20</w:t>
      </w:r>
      <w:r w:rsidR="009A4C05">
        <w:t>20</w:t>
      </w:r>
      <w:r>
        <w:t xml:space="preserve"> fue notificada por correo electrónico a</w:t>
      </w:r>
      <w:r w:rsidR="00A57405">
        <w:t>l</w:t>
      </w:r>
      <w:r>
        <w:t xml:space="preserve"> </w:t>
      </w:r>
      <w:r w:rsidR="006E5715">
        <w:t>presidente</w:t>
      </w:r>
      <w:r>
        <w:t xml:space="preserve"> de la empresa </w:t>
      </w:r>
      <w:r w:rsidR="006E5715">
        <w:t>PROMIGAS</w:t>
      </w:r>
      <w:r>
        <w:t xml:space="preserve"> S.A. E.S.P. el día 1 de </w:t>
      </w:r>
      <w:r w:rsidR="006F5A2C">
        <w:t>diciembre</w:t>
      </w:r>
      <w:r>
        <w:t xml:space="preserve"> de 20</w:t>
      </w:r>
      <w:r w:rsidR="006F5A2C">
        <w:t>20,</w:t>
      </w:r>
      <w:r>
        <w:t xml:space="preserve"> tal como consta en el radicado CREG I-20</w:t>
      </w:r>
      <w:r w:rsidR="006F5A2C">
        <w:t>20</w:t>
      </w:r>
      <w:r>
        <w:t>-00</w:t>
      </w:r>
      <w:r w:rsidR="006F5A2C">
        <w:t>4649</w:t>
      </w:r>
      <w:r>
        <w:t>.</w:t>
      </w:r>
      <w:r w:rsidR="00993023">
        <w:t xml:space="preserve"> </w:t>
      </w:r>
      <w:r>
        <w:t>De igual forma, fue notificada por correo electrónico a</w:t>
      </w:r>
      <w:r w:rsidR="00A57405">
        <w:t>l</w:t>
      </w:r>
      <w:r>
        <w:t xml:space="preserve"> representante legal de la empresa </w:t>
      </w:r>
      <w:r w:rsidR="00683DFB">
        <w:t>GASES DEL CARIBE</w:t>
      </w:r>
      <w:r>
        <w:t xml:space="preserve"> S.A. E.S.P. el día 1</w:t>
      </w:r>
      <w:r w:rsidR="00683DFB">
        <w:t xml:space="preserve"> </w:t>
      </w:r>
      <w:r>
        <w:t xml:space="preserve">de </w:t>
      </w:r>
      <w:r w:rsidR="00683DFB">
        <w:t>diciembre</w:t>
      </w:r>
      <w:r>
        <w:t xml:space="preserve"> de 20</w:t>
      </w:r>
      <w:r w:rsidR="00683DFB">
        <w:t>20</w:t>
      </w:r>
      <w:r w:rsidR="00711ABF">
        <w:t>,</w:t>
      </w:r>
      <w:r>
        <w:t xml:space="preserve"> tal como consta en el radicado CREG I-20</w:t>
      </w:r>
      <w:r w:rsidR="00683DFB">
        <w:t>20</w:t>
      </w:r>
      <w:r>
        <w:t>-00</w:t>
      </w:r>
      <w:r w:rsidR="00993023">
        <w:t>4650</w:t>
      </w:r>
      <w:r>
        <w:t>.</w:t>
      </w:r>
      <w:r w:rsidR="00147552">
        <w:t xml:space="preserve"> Sin embargo, </w:t>
      </w:r>
      <w:r w:rsidR="001D3BCE">
        <w:t>no se recibió constancia de la apertura de dichas notificaciones por parte de las empresas.</w:t>
      </w:r>
    </w:p>
    <w:p w14:paraId="4E7E686A" w14:textId="1896CB67" w:rsidR="00993023" w:rsidRDefault="00C86000" w:rsidP="00166ACB">
      <w:pPr>
        <w:adjustRightInd w:val="0"/>
        <w:ind w:right="23"/>
      </w:pPr>
      <w:r>
        <w:t xml:space="preserve">Ante dicha situación, </w:t>
      </w:r>
      <w:r w:rsidR="0002558A">
        <w:t xml:space="preserve">la resolución fue notificada nuevamente a las empresas PROMIGAS S.A. E.S.P. y GASES DEL CARIBE S.A. E.S.P. los días 3 y 4 de diciembre de 2020, respectivamente. </w:t>
      </w:r>
      <w:r w:rsidR="00254C48">
        <w:t>Nuevamente, no se recibió constancia de la apertura de dichas notificaciones por parte de las empresas.</w:t>
      </w:r>
    </w:p>
    <w:p w14:paraId="70EA17C7" w14:textId="41FC76F3" w:rsidR="00B372BD" w:rsidRDefault="00B372BD" w:rsidP="00B372BD">
      <w:pPr>
        <w:adjustRightInd w:val="0"/>
        <w:ind w:right="23"/>
      </w:pPr>
      <w:r>
        <w:t>Mediante comunicaciones S-2020-006941 y S-2020-006942 del 2</w:t>
      </w:r>
      <w:r w:rsidR="00484DCC">
        <w:t>1</w:t>
      </w:r>
      <w:r>
        <w:t xml:space="preserve"> de diciembre de 2020, se le</w:t>
      </w:r>
      <w:r w:rsidR="008C27CD">
        <w:t>s</w:t>
      </w:r>
      <w:r>
        <w:t xml:space="preserve"> informó </w:t>
      </w:r>
      <w:r w:rsidR="008C27CD">
        <w:t xml:space="preserve">al represente legal de GASES DEL CARIBE S.A. E.S.P. y </w:t>
      </w:r>
      <w:r>
        <w:t>al presidente de PROMIGAS S.A. E.S.P.</w:t>
      </w:r>
      <w:r w:rsidR="008C27CD">
        <w:t>, respectivamente,</w:t>
      </w:r>
      <w:r>
        <w:t xml:space="preserve"> sobre los intentos realizados por la Comisión para notificar la Resolución CREG 210 de 2020</w:t>
      </w:r>
      <w:r w:rsidR="00711ABF">
        <w:t>,</w:t>
      </w:r>
      <w:r>
        <w:t xml:space="preserve"> y se </w:t>
      </w:r>
      <w:r>
        <w:lastRenderedPageBreak/>
        <w:t>le</w:t>
      </w:r>
      <w:r w:rsidR="008C27CD">
        <w:t>s</w:t>
      </w:r>
      <w:r>
        <w:t xml:space="preserve"> invit</w:t>
      </w:r>
      <w:r w:rsidR="008C27CD">
        <w:t>ó</w:t>
      </w:r>
      <w:r>
        <w:t xml:space="preserve"> a revisar el contenido de los correos electrónicos remitidos por la Comisión.</w:t>
      </w:r>
    </w:p>
    <w:p w14:paraId="251A2923" w14:textId="3C276A5E" w:rsidR="001860F2" w:rsidRDefault="001860F2">
      <w:pPr>
        <w:adjustRightInd w:val="0"/>
        <w:ind w:right="23"/>
      </w:pPr>
      <w:r w:rsidRPr="002E2193">
        <w:t>Surtido el trámite de notificación de la referida decisión y estando dentro del término legal, el representante legal de PROMIGAS S.</w:t>
      </w:r>
      <w:r w:rsidRPr="002E2193">
        <w:rPr>
          <w:rFonts w:cs="Arial"/>
          <w:lang w:val="es-ES_tradnl"/>
        </w:rPr>
        <w:t>A. E.S.P.</w:t>
      </w:r>
      <w:r w:rsidRPr="002E2193">
        <w:t xml:space="preserve"> interpuso recurso de reposición contra la </w:t>
      </w:r>
      <w:r w:rsidR="00484DCC" w:rsidRPr="002E2193">
        <w:t>Resolución CREG 210 de 2020</w:t>
      </w:r>
      <w:r w:rsidR="0084486F" w:rsidRPr="002E2193">
        <w:t xml:space="preserve"> mediante comunicación radicada en la </w:t>
      </w:r>
      <w:r w:rsidRPr="002E2193">
        <w:t>CREG</w:t>
      </w:r>
      <w:r w:rsidR="0084486F" w:rsidRPr="002E2193">
        <w:t xml:space="preserve"> bajo el número </w:t>
      </w:r>
      <w:r w:rsidRPr="002E2193">
        <w:t>E-2020-015911 del 21 de diciembre de 2020.</w:t>
      </w:r>
    </w:p>
    <w:p w14:paraId="14154163" w14:textId="1E3B34DE" w:rsidR="00892ED6" w:rsidRDefault="00892ED6">
      <w:pPr>
        <w:adjustRightInd w:val="0"/>
        <w:ind w:right="23"/>
      </w:pPr>
      <w:r>
        <w:t>Específicamente, la empresa realiza la siguiente petición:</w:t>
      </w:r>
    </w:p>
    <w:p w14:paraId="6067EAA9" w14:textId="4DFDDC3B" w:rsidR="00892ED6" w:rsidRPr="002E2193" w:rsidRDefault="006810E7"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Respetuosamente solicito se revoque la Resolución CREG 210 de 2020 y, en su lugar, se acceda a las pretensiones de la solicitud de revisión tarifaria presentada por Promigas S.A. E.S.P., teniendo en cuenta que se cumplen las condiciones para que haya lugar a la misma, de acuerdo con lo establecido en artículo 126 de la Ley 142 de 1994.</w:t>
      </w:r>
    </w:p>
    <w:p w14:paraId="2DB324BB" w14:textId="16DF2D6B" w:rsidR="008C081C" w:rsidRDefault="008C081C" w:rsidP="00B372BD">
      <w:pPr>
        <w:adjustRightInd w:val="0"/>
        <w:ind w:right="23"/>
      </w:pPr>
      <w:r>
        <w:t>Mediante comunicación E-2021-000</w:t>
      </w:r>
      <w:r w:rsidR="001860F2">
        <w:t xml:space="preserve">418 del 13 de enero de 2021, la empresa GASES DEL CARIBE S.A. E.S.P. </w:t>
      </w:r>
      <w:r w:rsidR="003325DF">
        <w:t>inform</w:t>
      </w:r>
      <w:r w:rsidR="00E50D5D">
        <w:t>ó</w:t>
      </w:r>
      <w:r w:rsidR="003325DF">
        <w:t xml:space="preserve"> que la Resolución CREG 210 de 2020 no ha sido recibida por su parte, </w:t>
      </w:r>
      <w:r w:rsidR="008C3AF5">
        <w:t>por lo que solicitan el reenvío de la notificación vía correo electrónico.</w:t>
      </w:r>
    </w:p>
    <w:p w14:paraId="70F25641" w14:textId="077FB4EC" w:rsidR="00E65102" w:rsidRDefault="00E65102" w:rsidP="00E65102">
      <w:pPr>
        <w:adjustRightInd w:val="0"/>
        <w:ind w:right="23"/>
      </w:pPr>
      <w:r>
        <w:t xml:space="preserve">Así las cosas, se notificó </w:t>
      </w:r>
      <w:r w:rsidR="00E50D5D">
        <w:t>nuevamente, por</w:t>
      </w:r>
      <w:r>
        <w:t xml:space="preserve"> correo electrónico</w:t>
      </w:r>
      <w:r w:rsidR="00E50D5D">
        <w:t>,</w:t>
      </w:r>
      <w:r>
        <w:t xml:space="preserve"> al </w:t>
      </w:r>
      <w:r w:rsidR="00E50D5D">
        <w:t xml:space="preserve">representante legal </w:t>
      </w:r>
      <w:r>
        <w:t xml:space="preserve">de la empresa GASES DEL CARIBE S.A. E.S.P. el día 1 de </w:t>
      </w:r>
      <w:r w:rsidR="00C03190">
        <w:t xml:space="preserve">febrero </w:t>
      </w:r>
      <w:r>
        <w:t>de 202</w:t>
      </w:r>
      <w:r w:rsidR="00C03190">
        <w:t>1</w:t>
      </w:r>
      <w:r w:rsidR="00711ABF">
        <w:t>,</w:t>
      </w:r>
      <w:r>
        <w:t xml:space="preserve"> tal como consta en el radicado CREG I-202</w:t>
      </w:r>
      <w:r w:rsidR="00C03190">
        <w:t>1</w:t>
      </w:r>
      <w:r>
        <w:t>-00</w:t>
      </w:r>
      <w:r w:rsidR="00C03190">
        <w:t>0156</w:t>
      </w:r>
      <w:r w:rsidR="00711ABF">
        <w:t>,</w:t>
      </w:r>
      <w:r w:rsidR="00C708BE">
        <w:t xml:space="preserve"> y se recib</w:t>
      </w:r>
      <w:r w:rsidR="00C250D6">
        <w:t>ió</w:t>
      </w:r>
      <w:r w:rsidR="00C708BE">
        <w:t xml:space="preserve"> </w:t>
      </w:r>
      <w:r w:rsidR="00D03988">
        <w:t xml:space="preserve">confirmación de </w:t>
      </w:r>
      <w:r w:rsidR="00C708BE">
        <w:t>le</w:t>
      </w:r>
      <w:r w:rsidR="00D03988">
        <w:t>ctura de la notificación</w:t>
      </w:r>
      <w:r w:rsidR="00C708BE">
        <w:t xml:space="preserve"> </w:t>
      </w:r>
      <w:r w:rsidR="00C250D6">
        <w:t xml:space="preserve">por parte del correo certificado de 4-72 </w:t>
      </w:r>
      <w:r w:rsidR="00D03988">
        <w:t>con fecha del 10 de febrero de 2021.</w:t>
      </w:r>
    </w:p>
    <w:p w14:paraId="59C05DAC" w14:textId="4F3EC673" w:rsidR="00792CF7" w:rsidRDefault="00792CF7" w:rsidP="002E2193">
      <w:pPr>
        <w:pStyle w:val="Ttulo"/>
      </w:pPr>
      <w:r w:rsidRPr="0050746A">
        <w:t>FUNDAMENTOS DEL RECURSO DE REPOSICIÓN</w:t>
      </w:r>
    </w:p>
    <w:p w14:paraId="6FB4F848" w14:textId="77777777" w:rsidR="00A43033" w:rsidRDefault="00F27D3F">
      <w:r>
        <w:t xml:space="preserve">A continuación, se señalan los argumentos </w:t>
      </w:r>
      <w:r w:rsidR="00F41724">
        <w:t>del recurso de reposición presentado por PROMIGAS S.A. E.S.P.</w:t>
      </w:r>
    </w:p>
    <w:p w14:paraId="3B0E23C3" w14:textId="30DF2EB8" w:rsidR="00A43033" w:rsidRPr="00206B3F" w:rsidRDefault="00A30A5D" w:rsidP="002E2193">
      <w:pPr>
        <w:pStyle w:val="Ttulo2"/>
      </w:pPr>
      <w:r>
        <w:t>FUNDAMENTO JURÍDICO DEL RECURSO</w:t>
      </w:r>
    </w:p>
    <w:p w14:paraId="51497EEE" w14:textId="1173CFC6" w:rsidR="002D682B" w:rsidRPr="002E2193" w:rsidRDefault="002D682B" w:rsidP="002E2193">
      <w:pPr>
        <w:keepNext/>
        <w:autoSpaceDE w:val="0"/>
        <w:autoSpaceDN w:val="0"/>
        <w:adjustRightInd w:val="0"/>
        <w:ind w:left="284"/>
        <w:rPr>
          <w:rFonts w:cs="Tahoma,Bold"/>
          <w:b/>
          <w:bCs/>
          <w:i/>
          <w:iCs/>
          <w:sz w:val="21"/>
          <w:szCs w:val="21"/>
          <w:lang w:eastAsia="es-CO"/>
        </w:rPr>
      </w:pPr>
      <w:r w:rsidRPr="002E2193">
        <w:rPr>
          <w:rFonts w:cs="Tahoma,Bold"/>
          <w:b/>
          <w:bCs/>
          <w:i/>
          <w:iCs/>
          <w:sz w:val="21"/>
          <w:szCs w:val="21"/>
          <w:lang w:eastAsia="es-CO"/>
        </w:rPr>
        <w:t>CARGO No. 1 - ERROR DE DERECHO POR VIOLACIÓN DIRECTA DE LA LEY - ERROR DE DERECHO POR INCORRECTA INTERPRETACIÓN DEL ORDENAMIENTO POSITIVO – NULIDAD DEL ACTO ADMINISTRATI</w:t>
      </w:r>
      <w:r w:rsidR="002C3F5B" w:rsidRPr="002E2193">
        <w:rPr>
          <w:rFonts w:cs="Tahoma,Bold"/>
          <w:b/>
          <w:bCs/>
          <w:i/>
          <w:iCs/>
          <w:sz w:val="21"/>
          <w:szCs w:val="21"/>
          <w:lang w:eastAsia="es-CO"/>
        </w:rPr>
        <w:t>V</w:t>
      </w:r>
      <w:r w:rsidRPr="002E2193">
        <w:rPr>
          <w:rFonts w:cs="Tahoma,Bold"/>
          <w:b/>
          <w:bCs/>
          <w:i/>
          <w:iCs/>
          <w:sz w:val="21"/>
          <w:szCs w:val="21"/>
          <w:lang w:eastAsia="es-CO"/>
        </w:rPr>
        <w:t>O POR FALSA MOTIVACIÓN</w:t>
      </w:r>
    </w:p>
    <w:p w14:paraId="2EE422A0" w14:textId="7322C5A4"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Dentro de las causales que dan lugar a la nulidad de los actos administrativos, el </w:t>
      </w:r>
      <w:r w:rsidR="00C26EA3" w:rsidRPr="002E2193">
        <w:rPr>
          <w:rFonts w:cs="Tahoma"/>
          <w:i/>
          <w:iCs/>
          <w:sz w:val="21"/>
          <w:szCs w:val="21"/>
          <w:lang w:val="es-CO" w:eastAsia="es-CO"/>
        </w:rPr>
        <w:t>a</w:t>
      </w:r>
      <w:r w:rsidRPr="002E2193">
        <w:rPr>
          <w:rFonts w:cs="Tahoma"/>
          <w:i/>
          <w:iCs/>
          <w:sz w:val="21"/>
          <w:szCs w:val="21"/>
          <w:lang w:val="es-CO" w:eastAsia="es-CO"/>
        </w:rPr>
        <w:t>rtículo 137 de</w:t>
      </w:r>
      <w:r w:rsidR="00C26EA3" w:rsidRPr="002E2193">
        <w:rPr>
          <w:rFonts w:cs="Tahoma"/>
          <w:i/>
          <w:iCs/>
          <w:sz w:val="21"/>
          <w:szCs w:val="21"/>
          <w:lang w:val="es-CO" w:eastAsia="es-CO"/>
        </w:rPr>
        <w:t xml:space="preserve"> </w:t>
      </w:r>
      <w:r w:rsidRPr="002E2193">
        <w:rPr>
          <w:rFonts w:cs="Tahoma"/>
          <w:i/>
          <w:iCs/>
          <w:sz w:val="21"/>
          <w:szCs w:val="21"/>
          <w:lang w:val="es-CO" w:eastAsia="es-CO"/>
        </w:rPr>
        <w:t>l</w:t>
      </w:r>
      <w:r w:rsidR="00C26EA3" w:rsidRPr="002E2193">
        <w:rPr>
          <w:rFonts w:cs="Tahoma"/>
          <w:i/>
          <w:iCs/>
          <w:sz w:val="21"/>
          <w:szCs w:val="21"/>
          <w:lang w:val="es-CO" w:eastAsia="es-CO"/>
        </w:rPr>
        <w:t xml:space="preserve">a </w:t>
      </w:r>
      <w:r w:rsidR="00914B91" w:rsidRPr="002E2193">
        <w:rPr>
          <w:rFonts w:cs="Tahoma"/>
          <w:i/>
          <w:iCs/>
          <w:sz w:val="21"/>
          <w:szCs w:val="21"/>
          <w:lang w:val="es-CO" w:eastAsia="es-CO"/>
        </w:rPr>
        <w:t xml:space="preserve">Ley 1437 de 2011 </w:t>
      </w:r>
      <w:r w:rsidRPr="002E2193">
        <w:rPr>
          <w:rFonts w:cs="Tahoma"/>
          <w:i/>
          <w:iCs/>
          <w:sz w:val="21"/>
          <w:szCs w:val="21"/>
          <w:lang w:val="es-CO" w:eastAsia="es-CO"/>
        </w:rPr>
        <w:t>(en adelante “CPACA”)</w:t>
      </w:r>
      <w:r w:rsidR="00C26EA3" w:rsidRPr="002E2193">
        <w:rPr>
          <w:rFonts w:cs="Tahoma"/>
          <w:i/>
          <w:iCs/>
          <w:sz w:val="21"/>
          <w:szCs w:val="21"/>
          <w:lang w:val="es-CO" w:eastAsia="es-CO"/>
        </w:rPr>
        <w:t>,</w:t>
      </w:r>
      <w:r w:rsidRPr="002E2193">
        <w:rPr>
          <w:rFonts w:cs="Tahoma"/>
          <w:i/>
          <w:iCs/>
          <w:sz w:val="21"/>
          <w:szCs w:val="21"/>
          <w:lang w:val="es-CO" w:eastAsia="es-CO"/>
        </w:rPr>
        <w:t xml:space="preserve"> establece tanto el que hayan sido </w:t>
      </w:r>
      <w:r w:rsidR="00C26EA3" w:rsidRPr="002E2193">
        <w:rPr>
          <w:rFonts w:cs="Tahoma"/>
          <w:i/>
          <w:iCs/>
          <w:sz w:val="21"/>
          <w:szCs w:val="21"/>
          <w:lang w:val="es-CO" w:eastAsia="es-CO"/>
        </w:rPr>
        <w:t>‘</w:t>
      </w:r>
      <w:r w:rsidRPr="002E2193">
        <w:rPr>
          <w:rFonts w:cs="Tahoma"/>
          <w:i/>
          <w:iCs/>
          <w:sz w:val="21"/>
          <w:szCs w:val="21"/>
          <w:lang w:val="es-CO" w:eastAsia="es-CO"/>
        </w:rPr>
        <w:t>expedidos con infracción de las normas en que deberían fundarse</w:t>
      </w:r>
      <w:r w:rsidR="00C26EA3" w:rsidRPr="002E2193">
        <w:rPr>
          <w:rFonts w:cs="Tahoma"/>
          <w:i/>
          <w:iCs/>
          <w:sz w:val="21"/>
          <w:szCs w:val="21"/>
          <w:lang w:val="es-CO" w:eastAsia="es-CO"/>
        </w:rPr>
        <w:t>’</w:t>
      </w:r>
      <w:r w:rsidRPr="002E2193">
        <w:rPr>
          <w:rFonts w:cs="Tahoma"/>
          <w:i/>
          <w:iCs/>
          <w:sz w:val="21"/>
          <w:szCs w:val="21"/>
          <w:lang w:val="es-CO" w:eastAsia="es-CO"/>
        </w:rPr>
        <w:t xml:space="preserve">, como el que hayan sido expedidos </w:t>
      </w:r>
      <w:r w:rsidR="00C26EA3" w:rsidRPr="002E2193">
        <w:rPr>
          <w:rFonts w:cs="Tahoma"/>
          <w:i/>
          <w:iCs/>
          <w:sz w:val="21"/>
          <w:szCs w:val="21"/>
          <w:lang w:val="es-CO" w:eastAsia="es-CO"/>
        </w:rPr>
        <w:t>‘</w:t>
      </w:r>
      <w:r w:rsidRPr="002E2193">
        <w:rPr>
          <w:rFonts w:cs="Tahoma"/>
          <w:i/>
          <w:iCs/>
          <w:sz w:val="21"/>
          <w:szCs w:val="21"/>
          <w:lang w:val="es-CO" w:eastAsia="es-CO"/>
        </w:rPr>
        <w:t>mediante</w:t>
      </w:r>
      <w:r w:rsidR="001B1783" w:rsidRPr="002E2193">
        <w:rPr>
          <w:rFonts w:cs="Tahoma"/>
          <w:i/>
          <w:iCs/>
          <w:sz w:val="21"/>
          <w:szCs w:val="21"/>
          <w:lang w:val="es-CO" w:eastAsia="es-CO"/>
        </w:rPr>
        <w:t xml:space="preserve"> </w:t>
      </w:r>
      <w:r w:rsidRPr="002E2193">
        <w:rPr>
          <w:rFonts w:cs="Tahoma"/>
          <w:i/>
          <w:iCs/>
          <w:sz w:val="21"/>
          <w:szCs w:val="21"/>
          <w:lang w:val="es-CO" w:eastAsia="es-CO"/>
        </w:rPr>
        <w:t>falsa motivación</w:t>
      </w:r>
      <w:r w:rsidR="00C26EA3" w:rsidRPr="002E2193">
        <w:rPr>
          <w:rFonts w:cs="Tahoma"/>
          <w:i/>
          <w:iCs/>
          <w:sz w:val="21"/>
          <w:szCs w:val="21"/>
          <w:lang w:val="es-CO" w:eastAsia="es-CO"/>
        </w:rPr>
        <w:t>’</w:t>
      </w:r>
      <w:r w:rsidRPr="002E2193">
        <w:rPr>
          <w:rFonts w:cs="Tahoma"/>
          <w:i/>
          <w:iCs/>
          <w:sz w:val="21"/>
          <w:szCs w:val="21"/>
          <w:lang w:val="es-CO" w:eastAsia="es-CO"/>
        </w:rPr>
        <w:t>.</w:t>
      </w:r>
    </w:p>
    <w:p w14:paraId="27FA698B" w14:textId="65BE96F9"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w:t>
      </w:r>
    </w:p>
    <w:p w14:paraId="282B6353" w14:textId="0FA43FA6"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Pues bien, en el caso concreto, la CREG viola de forma directa -por su inaplicación- los artículos 365 y 367 de la Constitución, y los artículos 2, 3, 87 y 126 la Ley 142 de 1994, e incurre en varios errores de derecho por su incorrecta interpretación. Estos errores de derecho conllevan que el acto administrativo se encuentre a su vez viciado de nulidad por falsa motivación.</w:t>
      </w:r>
    </w:p>
    <w:p w14:paraId="5AE7834A" w14:textId="39231163"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De acuerdo con la Doctrina, el </w:t>
      </w:r>
      <w:r w:rsidRPr="002E2193">
        <w:rPr>
          <w:rFonts w:cs="Tahoma,Bold"/>
          <w:b/>
          <w:bCs/>
          <w:i/>
          <w:iCs/>
          <w:sz w:val="21"/>
          <w:szCs w:val="21"/>
          <w:lang w:val="es-CO" w:eastAsia="es-CO"/>
        </w:rPr>
        <w:t xml:space="preserve">error de derecho </w:t>
      </w:r>
      <w:r w:rsidR="00F87A14" w:rsidRPr="002E2193">
        <w:rPr>
          <w:rFonts w:cs="Tahoma"/>
          <w:i/>
          <w:iCs/>
          <w:sz w:val="21"/>
          <w:szCs w:val="21"/>
          <w:lang w:val="es-CO" w:eastAsia="es-CO"/>
        </w:rPr>
        <w:t>“</w:t>
      </w:r>
      <w:r w:rsidRPr="002E2193">
        <w:rPr>
          <w:rFonts w:cs="Tahoma"/>
          <w:i/>
          <w:iCs/>
          <w:sz w:val="21"/>
          <w:szCs w:val="21"/>
          <w:lang w:val="es-CO" w:eastAsia="es-CO"/>
        </w:rPr>
        <w:t xml:space="preserve">[s]e caracteriza porque determina una errónea formación de la voluntad, </w:t>
      </w:r>
      <w:proofErr w:type="gramStart"/>
      <w:r w:rsidRPr="002E2193">
        <w:rPr>
          <w:rFonts w:cs="Tahoma"/>
          <w:i/>
          <w:iCs/>
          <w:sz w:val="21"/>
          <w:szCs w:val="21"/>
          <w:lang w:val="es-CO" w:eastAsia="es-CO"/>
        </w:rPr>
        <w:t>en razón de</w:t>
      </w:r>
      <w:proofErr w:type="gramEnd"/>
      <w:r w:rsidRPr="002E2193">
        <w:rPr>
          <w:rFonts w:cs="Tahoma"/>
          <w:i/>
          <w:iCs/>
          <w:sz w:val="21"/>
          <w:szCs w:val="21"/>
          <w:lang w:val="es-CO" w:eastAsia="es-CO"/>
        </w:rPr>
        <w:t xml:space="preserve"> que la información legal del sujeto se </w:t>
      </w:r>
      <w:r w:rsidRPr="002E2193">
        <w:rPr>
          <w:rFonts w:cs="Tahoma"/>
          <w:i/>
          <w:iCs/>
          <w:sz w:val="21"/>
          <w:szCs w:val="21"/>
          <w:lang w:val="es-CO" w:eastAsia="es-CO"/>
        </w:rPr>
        <w:lastRenderedPageBreak/>
        <w:t>encontraba falseada en cuanto su existencia o interpretación.</w:t>
      </w:r>
      <w:r w:rsidR="00F87A14" w:rsidRPr="002E2193">
        <w:rPr>
          <w:rFonts w:cs="Tahoma"/>
          <w:i/>
          <w:iCs/>
          <w:sz w:val="21"/>
          <w:szCs w:val="21"/>
          <w:lang w:val="es-CO" w:eastAsia="es-CO"/>
        </w:rPr>
        <w:t>”</w:t>
      </w:r>
      <w:r w:rsidRPr="002E2193">
        <w:rPr>
          <w:rFonts w:cs="Tahoma"/>
          <w:i/>
          <w:iCs/>
          <w:sz w:val="21"/>
          <w:szCs w:val="21"/>
          <w:lang w:val="es-CO" w:eastAsia="es-CO"/>
        </w:rPr>
        <w:t xml:space="preserve"> Consecuentemente, se establece que </w:t>
      </w:r>
      <w:r w:rsidR="00F87A14" w:rsidRPr="002E2193">
        <w:rPr>
          <w:rFonts w:cs="Tahoma"/>
          <w:i/>
          <w:iCs/>
          <w:sz w:val="21"/>
          <w:szCs w:val="21"/>
          <w:lang w:val="es-CO" w:eastAsia="es-CO"/>
        </w:rPr>
        <w:t>“</w:t>
      </w:r>
      <w:r w:rsidRPr="002E2193">
        <w:rPr>
          <w:rFonts w:cs="Tahoma"/>
          <w:i/>
          <w:iCs/>
          <w:sz w:val="21"/>
          <w:szCs w:val="21"/>
          <w:lang w:val="es-CO" w:eastAsia="es-CO"/>
        </w:rPr>
        <w:t>[n]o es excusable para la administración el desconocimiento del ordenamiento legal al que debe someter sus decisiones</w:t>
      </w:r>
      <w:r w:rsidR="00F87A14" w:rsidRPr="002E2193">
        <w:rPr>
          <w:rFonts w:cs="Tahoma"/>
          <w:i/>
          <w:iCs/>
          <w:sz w:val="21"/>
          <w:szCs w:val="21"/>
          <w:lang w:val="es-CO" w:eastAsia="es-CO"/>
        </w:rPr>
        <w:t>”</w:t>
      </w:r>
      <w:r w:rsidRPr="002E2193">
        <w:rPr>
          <w:rFonts w:cs="Tahoma"/>
          <w:i/>
          <w:iCs/>
          <w:sz w:val="21"/>
          <w:szCs w:val="21"/>
          <w:lang w:val="es-CO" w:eastAsia="es-CO"/>
        </w:rPr>
        <w:t xml:space="preserve">, pues debido a su misma naturaleza normativa, </w:t>
      </w:r>
      <w:r w:rsidR="00F87A14" w:rsidRPr="002E2193">
        <w:rPr>
          <w:rFonts w:cs="Tahoma"/>
          <w:i/>
          <w:iCs/>
          <w:sz w:val="21"/>
          <w:szCs w:val="21"/>
          <w:lang w:val="es-CO" w:eastAsia="es-CO"/>
        </w:rPr>
        <w:t>“</w:t>
      </w:r>
      <w:r w:rsidRPr="002E2193">
        <w:rPr>
          <w:rFonts w:cs="Tahoma"/>
          <w:i/>
          <w:iCs/>
          <w:sz w:val="21"/>
          <w:szCs w:val="21"/>
          <w:lang w:val="es-CO" w:eastAsia="es-CO"/>
        </w:rPr>
        <w:t>la administración pública debe conocer y manejar el ordenamiento positivo</w:t>
      </w:r>
      <w:r w:rsidR="00F87A14" w:rsidRPr="002E2193">
        <w:rPr>
          <w:rFonts w:cs="Tahoma"/>
          <w:i/>
          <w:iCs/>
          <w:sz w:val="21"/>
          <w:szCs w:val="21"/>
          <w:lang w:val="es-CO" w:eastAsia="es-CO"/>
        </w:rPr>
        <w:t>”</w:t>
      </w:r>
      <w:r w:rsidRPr="002E2193">
        <w:rPr>
          <w:rFonts w:cs="Tahoma"/>
          <w:i/>
          <w:iCs/>
          <w:sz w:val="21"/>
          <w:szCs w:val="21"/>
          <w:lang w:val="es-CO" w:eastAsia="es-CO"/>
        </w:rPr>
        <w:t>.</w:t>
      </w:r>
    </w:p>
    <w:p w14:paraId="6B31D5BB" w14:textId="59AF27AE"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Tratándose de actos administrativos, la doctrina ha establecido que el </w:t>
      </w:r>
      <w:r w:rsidRPr="002E2193">
        <w:rPr>
          <w:rFonts w:cs="Tahoma,Bold"/>
          <w:b/>
          <w:bCs/>
          <w:i/>
          <w:iCs/>
          <w:sz w:val="21"/>
          <w:szCs w:val="21"/>
          <w:lang w:val="es-CO" w:eastAsia="es-CO"/>
        </w:rPr>
        <w:t xml:space="preserve">error de derecho </w:t>
      </w:r>
      <w:r w:rsidRPr="002E2193">
        <w:rPr>
          <w:rFonts w:cs="Tahoma"/>
          <w:i/>
          <w:iCs/>
          <w:sz w:val="21"/>
          <w:szCs w:val="21"/>
          <w:lang w:val="es-CO" w:eastAsia="es-CO"/>
        </w:rPr>
        <w:t>puede</w:t>
      </w:r>
      <w:r w:rsidR="006A31C5" w:rsidRPr="002E2193">
        <w:rPr>
          <w:rFonts w:cs="Tahoma"/>
          <w:i/>
          <w:iCs/>
          <w:sz w:val="21"/>
          <w:szCs w:val="21"/>
          <w:lang w:val="es-CO" w:eastAsia="es-CO"/>
        </w:rPr>
        <w:t xml:space="preserve"> </w:t>
      </w:r>
      <w:r w:rsidRPr="002E2193">
        <w:rPr>
          <w:rFonts w:cs="Tahoma"/>
          <w:i/>
          <w:iCs/>
          <w:sz w:val="21"/>
          <w:szCs w:val="21"/>
          <w:lang w:val="es-CO" w:eastAsia="es-CO"/>
        </w:rPr>
        <w:t xml:space="preserve">traducirse en cuatro modalidades específicas: i) violación directa del orden positivo; </w:t>
      </w:r>
      <w:proofErr w:type="spellStart"/>
      <w:r w:rsidRPr="002E2193">
        <w:rPr>
          <w:rFonts w:cs="Tahoma"/>
          <w:i/>
          <w:iCs/>
          <w:sz w:val="21"/>
          <w:szCs w:val="21"/>
          <w:lang w:val="es-CO" w:eastAsia="es-CO"/>
        </w:rPr>
        <w:t>ii</w:t>
      </w:r>
      <w:proofErr w:type="spellEnd"/>
      <w:r w:rsidRPr="002E2193">
        <w:rPr>
          <w:rFonts w:cs="Tahoma"/>
          <w:i/>
          <w:iCs/>
          <w:sz w:val="21"/>
          <w:szCs w:val="21"/>
          <w:lang w:val="es-CO" w:eastAsia="es-CO"/>
        </w:rPr>
        <w:t xml:space="preserve">) falsa interpretación del orden positivo; </w:t>
      </w:r>
      <w:proofErr w:type="spellStart"/>
      <w:r w:rsidRPr="002E2193">
        <w:rPr>
          <w:rFonts w:cs="Tahoma"/>
          <w:i/>
          <w:iCs/>
          <w:sz w:val="21"/>
          <w:szCs w:val="21"/>
          <w:lang w:val="es-CO" w:eastAsia="es-CO"/>
        </w:rPr>
        <w:t>iii</w:t>
      </w:r>
      <w:proofErr w:type="spellEnd"/>
      <w:r w:rsidRPr="002E2193">
        <w:rPr>
          <w:rFonts w:cs="Tahoma"/>
          <w:i/>
          <w:iCs/>
          <w:sz w:val="21"/>
          <w:szCs w:val="21"/>
          <w:lang w:val="es-CO" w:eastAsia="es-CO"/>
        </w:rPr>
        <w:t xml:space="preserve">) error de interpretación del orden positivo; y </w:t>
      </w:r>
      <w:proofErr w:type="spellStart"/>
      <w:r w:rsidRPr="002E2193">
        <w:rPr>
          <w:rFonts w:cs="Tahoma"/>
          <w:i/>
          <w:iCs/>
          <w:sz w:val="21"/>
          <w:szCs w:val="21"/>
          <w:lang w:val="es-CO" w:eastAsia="es-CO"/>
        </w:rPr>
        <w:t>iv</w:t>
      </w:r>
      <w:proofErr w:type="spellEnd"/>
      <w:r w:rsidRPr="002E2193">
        <w:rPr>
          <w:rFonts w:cs="Tahoma"/>
          <w:i/>
          <w:iCs/>
          <w:sz w:val="21"/>
          <w:szCs w:val="21"/>
          <w:lang w:val="es-CO" w:eastAsia="es-CO"/>
        </w:rPr>
        <w:t>) violación por aplicación indebida del orden positivo</w:t>
      </w:r>
      <w:r w:rsidR="006A31C5" w:rsidRPr="002E2193">
        <w:rPr>
          <w:rFonts w:cs="Tahoma"/>
          <w:i/>
          <w:iCs/>
          <w:sz w:val="21"/>
          <w:szCs w:val="21"/>
          <w:lang w:val="es-CO" w:eastAsia="es-CO"/>
        </w:rPr>
        <w:t>.</w:t>
      </w:r>
    </w:p>
    <w:p w14:paraId="0324F2E8" w14:textId="58B22429"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En lo que respecta a la </w:t>
      </w:r>
      <w:r w:rsidRPr="002E2193">
        <w:rPr>
          <w:rFonts w:cs="Tahoma,Bold"/>
          <w:b/>
          <w:bCs/>
          <w:i/>
          <w:iCs/>
          <w:sz w:val="21"/>
          <w:szCs w:val="21"/>
          <w:lang w:val="es-CO" w:eastAsia="es-CO"/>
        </w:rPr>
        <w:t>violación directa del ordenamiento positivo</w:t>
      </w:r>
      <w:r w:rsidRPr="002E2193">
        <w:rPr>
          <w:rFonts w:cs="Tahoma"/>
          <w:i/>
          <w:iCs/>
          <w:sz w:val="21"/>
          <w:szCs w:val="21"/>
          <w:lang w:val="es-CO" w:eastAsia="es-CO"/>
        </w:rPr>
        <w:t xml:space="preserve">, la doctrina ha considerado que </w:t>
      </w:r>
      <w:r w:rsidR="00F87A14" w:rsidRPr="002E2193">
        <w:rPr>
          <w:rFonts w:cs="Tahoma"/>
          <w:i/>
          <w:iCs/>
          <w:sz w:val="21"/>
          <w:szCs w:val="21"/>
          <w:lang w:val="es-CO" w:eastAsia="es-CO"/>
        </w:rPr>
        <w:t>“</w:t>
      </w:r>
      <w:r w:rsidRPr="002E2193">
        <w:rPr>
          <w:rFonts w:cs="Tahoma"/>
          <w:i/>
          <w:iCs/>
          <w:sz w:val="21"/>
          <w:szCs w:val="21"/>
          <w:lang w:val="es-CO" w:eastAsia="es-CO"/>
        </w:rPr>
        <w:t>se configura la irregularidad en las eventualidades en que, con conocimiento o sin éste, el órgano administrativo competente para desarrollar la respectiva actividad ejercita la misma como si la norma no existiere. Se produce, en consecuencia, una inaplicación directa de las normas superiores que corresponden, provocando de hecho un vacío que es llenado de manera arbitraria por las autoridades.</w:t>
      </w:r>
      <w:r w:rsidR="00F87A14" w:rsidRPr="002E2193">
        <w:rPr>
          <w:rFonts w:cs="Tahoma"/>
          <w:i/>
          <w:iCs/>
          <w:sz w:val="21"/>
          <w:szCs w:val="21"/>
          <w:lang w:val="es-CO" w:eastAsia="es-CO"/>
        </w:rPr>
        <w:t>”</w:t>
      </w:r>
    </w:p>
    <w:p w14:paraId="27098DDD" w14:textId="48735D5F"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Se presenta error de derecho por </w:t>
      </w:r>
      <w:r w:rsidRPr="002E2193">
        <w:rPr>
          <w:rFonts w:cs="Tahoma,Bold"/>
          <w:b/>
          <w:bCs/>
          <w:i/>
          <w:iCs/>
          <w:sz w:val="21"/>
          <w:szCs w:val="21"/>
          <w:lang w:val="es-CO" w:eastAsia="es-CO"/>
        </w:rPr>
        <w:t xml:space="preserve">falsa interpretación del ordenamiento positivo </w:t>
      </w:r>
      <w:r w:rsidR="00F87A14" w:rsidRPr="002E2193">
        <w:rPr>
          <w:rFonts w:cs="Tahoma,Bold"/>
          <w:i/>
          <w:iCs/>
          <w:sz w:val="21"/>
          <w:szCs w:val="21"/>
          <w:lang w:val="es-CO" w:eastAsia="es-CO"/>
        </w:rPr>
        <w:t>“</w:t>
      </w:r>
      <w:r w:rsidRPr="002E2193">
        <w:rPr>
          <w:rFonts w:cs="Tahoma"/>
          <w:i/>
          <w:iCs/>
          <w:sz w:val="21"/>
          <w:szCs w:val="21"/>
          <w:lang w:val="es-CO" w:eastAsia="es-CO"/>
        </w:rPr>
        <w:t>cuando la administración acude a los preceptos legales aplicables a la situación fáctica correspondiente; pero de manera consciente e interesada, acomodada, amañada o torcida, incursionando abiertamente en los senderos de conductas dolosas, le da a la respectiva norma una interpretación que no corresponde a la realidad</w:t>
      </w:r>
      <w:r w:rsidR="00F87A14" w:rsidRPr="002E2193">
        <w:rPr>
          <w:rFonts w:cs="Tahoma"/>
          <w:i/>
          <w:iCs/>
          <w:sz w:val="21"/>
          <w:szCs w:val="21"/>
          <w:lang w:val="es-CO" w:eastAsia="es-CO"/>
        </w:rPr>
        <w:t>”</w:t>
      </w:r>
      <w:r w:rsidRPr="002E2193">
        <w:rPr>
          <w:rFonts w:cs="Tahoma"/>
          <w:i/>
          <w:iCs/>
          <w:sz w:val="21"/>
          <w:szCs w:val="21"/>
          <w:lang w:val="es-CO" w:eastAsia="es-CO"/>
        </w:rPr>
        <w:t>.</w:t>
      </w:r>
    </w:p>
    <w:p w14:paraId="3E77C14B" w14:textId="0E1227CA" w:rsidR="00792CF7" w:rsidRPr="002E2193" w:rsidRDefault="002D682B" w:rsidP="002E2193">
      <w:pPr>
        <w:autoSpaceDE w:val="0"/>
        <w:autoSpaceDN w:val="0"/>
        <w:adjustRightInd w:val="0"/>
        <w:ind w:left="284"/>
        <w:rPr>
          <w:i/>
          <w:iCs/>
          <w:sz w:val="21"/>
          <w:szCs w:val="21"/>
        </w:rPr>
      </w:pPr>
      <w:r w:rsidRPr="002E2193">
        <w:rPr>
          <w:rFonts w:cs="Tahoma"/>
          <w:i/>
          <w:iCs/>
          <w:sz w:val="21"/>
          <w:szCs w:val="21"/>
          <w:lang w:val="es-CO" w:eastAsia="es-CO"/>
        </w:rPr>
        <w:t xml:space="preserve">En relación con el error de derecho por </w:t>
      </w:r>
      <w:r w:rsidRPr="002E2193">
        <w:rPr>
          <w:rFonts w:cs="Tahoma,Bold"/>
          <w:b/>
          <w:bCs/>
          <w:i/>
          <w:iCs/>
          <w:sz w:val="21"/>
          <w:szCs w:val="21"/>
          <w:lang w:val="es-CO" w:eastAsia="es-CO"/>
        </w:rPr>
        <w:t>errónea interpretación del orden positivo</w:t>
      </w:r>
      <w:r w:rsidRPr="002E2193">
        <w:rPr>
          <w:rFonts w:cs="Tahoma"/>
          <w:i/>
          <w:iCs/>
          <w:sz w:val="21"/>
          <w:szCs w:val="21"/>
          <w:lang w:val="es-CO" w:eastAsia="es-CO"/>
        </w:rPr>
        <w:t xml:space="preserve">, la doctrina establece que </w:t>
      </w:r>
      <w:r w:rsidR="00F87A14" w:rsidRPr="002E2193">
        <w:rPr>
          <w:rFonts w:cs="Tahoma"/>
          <w:i/>
          <w:iCs/>
          <w:sz w:val="21"/>
          <w:szCs w:val="21"/>
          <w:lang w:val="es-CO" w:eastAsia="es-CO"/>
        </w:rPr>
        <w:t>“</w:t>
      </w:r>
      <w:r w:rsidRPr="002E2193">
        <w:rPr>
          <w:rFonts w:cs="Tahoma"/>
          <w:i/>
          <w:iCs/>
          <w:sz w:val="21"/>
          <w:szCs w:val="21"/>
          <w:lang w:val="es-CO" w:eastAsia="es-CO"/>
        </w:rPr>
        <w:t xml:space="preserve">el servidor público modifica el sentido de la normatividad aplicable, </w:t>
      </w:r>
      <w:proofErr w:type="gramStart"/>
      <w:r w:rsidRPr="002E2193">
        <w:rPr>
          <w:rFonts w:cs="Tahoma"/>
          <w:i/>
          <w:iCs/>
          <w:sz w:val="21"/>
          <w:szCs w:val="21"/>
          <w:lang w:val="es-CO" w:eastAsia="es-CO"/>
        </w:rPr>
        <w:t>en razón de</w:t>
      </w:r>
      <w:proofErr w:type="gramEnd"/>
      <w:r w:rsidRPr="002E2193">
        <w:rPr>
          <w:rFonts w:cs="Tahoma"/>
          <w:i/>
          <w:iCs/>
          <w:sz w:val="21"/>
          <w:szCs w:val="21"/>
          <w:lang w:val="es-CO" w:eastAsia="es-CO"/>
        </w:rPr>
        <w:t xml:space="preserve"> diferentes circunstancias, entre las que se podrían destacar la poca claridad o amplitud de las normas aplicables, al igual que la falta de un estudio o análisis sistemático de las mismas, he incluso la ignorancia jurídica del intérprete</w:t>
      </w:r>
      <w:r w:rsidR="00F87A14" w:rsidRPr="002E2193">
        <w:rPr>
          <w:rFonts w:cs="Tahoma"/>
          <w:i/>
          <w:iCs/>
          <w:sz w:val="21"/>
          <w:szCs w:val="21"/>
          <w:lang w:val="es-CO" w:eastAsia="es-CO"/>
        </w:rPr>
        <w:t>”</w:t>
      </w:r>
      <w:r w:rsidRPr="002E2193">
        <w:rPr>
          <w:rFonts w:cs="Tahoma"/>
          <w:i/>
          <w:iCs/>
          <w:sz w:val="21"/>
          <w:szCs w:val="21"/>
          <w:lang w:val="es-CO" w:eastAsia="es-CO"/>
        </w:rPr>
        <w:t xml:space="preserve">. En esos eventos no median intereses particulares, sino que se trata de </w:t>
      </w:r>
      <w:r w:rsidR="006210CE" w:rsidRPr="002E2193">
        <w:rPr>
          <w:rFonts w:cs="Tahoma"/>
          <w:i/>
          <w:iCs/>
          <w:sz w:val="21"/>
          <w:szCs w:val="21"/>
          <w:lang w:val="es-CO" w:eastAsia="es-CO"/>
        </w:rPr>
        <w:t>“</w:t>
      </w:r>
      <w:r w:rsidRPr="002E2193">
        <w:rPr>
          <w:rFonts w:cs="Tahoma"/>
          <w:i/>
          <w:iCs/>
          <w:sz w:val="21"/>
          <w:szCs w:val="21"/>
          <w:lang w:val="es-CO" w:eastAsia="es-CO"/>
        </w:rPr>
        <w:t>un problema en estricto sentido de interpretación jurídica el que origina el error</w:t>
      </w:r>
      <w:r w:rsidR="006210CE" w:rsidRPr="002E2193">
        <w:rPr>
          <w:rFonts w:cs="Tahoma"/>
          <w:i/>
          <w:iCs/>
          <w:sz w:val="21"/>
          <w:szCs w:val="21"/>
          <w:lang w:val="es-CO" w:eastAsia="es-CO"/>
        </w:rPr>
        <w:t>”</w:t>
      </w:r>
      <w:r w:rsidRPr="002E2193">
        <w:rPr>
          <w:rFonts w:cs="Tahoma"/>
          <w:i/>
          <w:iCs/>
          <w:sz w:val="21"/>
          <w:szCs w:val="21"/>
          <w:lang w:val="es-CO" w:eastAsia="es-CO"/>
        </w:rPr>
        <w:t>.</w:t>
      </w:r>
    </w:p>
    <w:p w14:paraId="0418D712" w14:textId="77777777"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Por su parte, en el </w:t>
      </w:r>
      <w:r w:rsidRPr="002E2193">
        <w:rPr>
          <w:rFonts w:cs="Tahoma,Bold"/>
          <w:b/>
          <w:bCs/>
          <w:i/>
          <w:iCs/>
          <w:sz w:val="21"/>
          <w:szCs w:val="21"/>
          <w:lang w:val="es-CO" w:eastAsia="es-CO"/>
        </w:rPr>
        <w:t>error de derecho derivado de una aplicación indebida del ordenamiento positivo</w:t>
      </w:r>
      <w:r w:rsidRPr="002E2193">
        <w:rPr>
          <w:rFonts w:cs="Tahoma"/>
          <w:i/>
          <w:iCs/>
          <w:sz w:val="21"/>
          <w:szCs w:val="21"/>
          <w:lang w:val="es-CO" w:eastAsia="es-CO"/>
        </w:rPr>
        <w:t xml:space="preserve">, puede existir violación en dos ocasiones: por aplicación de normas derogadas y por aplicación de normas que no corresponden al caso concreto. </w:t>
      </w:r>
    </w:p>
    <w:p w14:paraId="645EC79D" w14:textId="3A533404"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Finalmente, en cuanto a la </w:t>
      </w:r>
      <w:r w:rsidRPr="002E2193">
        <w:rPr>
          <w:rFonts w:cs="Tahoma,Bold"/>
          <w:b/>
          <w:bCs/>
          <w:i/>
          <w:iCs/>
          <w:sz w:val="21"/>
          <w:szCs w:val="21"/>
          <w:lang w:val="es-CO" w:eastAsia="es-CO"/>
        </w:rPr>
        <w:t>falsa motivación</w:t>
      </w:r>
      <w:r w:rsidRPr="002E2193">
        <w:rPr>
          <w:rFonts w:cs="Tahoma"/>
          <w:i/>
          <w:iCs/>
          <w:sz w:val="21"/>
          <w:szCs w:val="21"/>
          <w:lang w:val="es-CO" w:eastAsia="es-CO"/>
        </w:rPr>
        <w:t>, el Consejo de Estado ha empleado los siguientes criterios para determinar ante qué situaciones prosperaría esta causal para declarar nulo un acto de la administración:</w:t>
      </w:r>
    </w:p>
    <w:p w14:paraId="7FE362BA" w14:textId="797C9ED9" w:rsidR="002D682B" w:rsidRPr="002E2193" w:rsidRDefault="006210CE" w:rsidP="002E2193">
      <w:pPr>
        <w:autoSpaceDE w:val="0"/>
        <w:autoSpaceDN w:val="0"/>
        <w:adjustRightInd w:val="0"/>
        <w:ind w:left="709"/>
        <w:rPr>
          <w:rFonts w:cs="Tahoma"/>
          <w:i/>
          <w:iCs/>
          <w:sz w:val="21"/>
          <w:szCs w:val="21"/>
          <w:lang w:val="es-CO" w:eastAsia="es-CO"/>
        </w:rPr>
      </w:pPr>
      <w:r w:rsidRPr="002E2193">
        <w:rPr>
          <w:rFonts w:cs="Tahoma"/>
          <w:i/>
          <w:iCs/>
          <w:sz w:val="21"/>
          <w:szCs w:val="21"/>
          <w:lang w:val="es-CO" w:eastAsia="es-CO"/>
        </w:rPr>
        <w:t>“</w:t>
      </w:r>
      <w:r w:rsidR="002D682B" w:rsidRPr="002E2193">
        <w:rPr>
          <w:rFonts w:cs="Tahoma"/>
          <w:i/>
          <w:iCs/>
          <w:sz w:val="21"/>
          <w:szCs w:val="21"/>
          <w:lang w:val="es-CO" w:eastAsia="es-CO"/>
        </w:rPr>
        <w:t xml:space="preserve">Para que prospere la pretensión de nulidad de un acto administrativo con fundamento en la causal denominada </w:t>
      </w:r>
      <w:r w:rsidR="002D682B" w:rsidRPr="002E2193">
        <w:rPr>
          <w:rFonts w:cs="Tahoma,Bold"/>
          <w:b/>
          <w:bCs/>
          <w:i/>
          <w:iCs/>
          <w:sz w:val="21"/>
          <w:szCs w:val="21"/>
          <w:lang w:val="es-CO" w:eastAsia="es-CO"/>
        </w:rPr>
        <w:t>falsa motivación</w:t>
      </w:r>
      <w:r w:rsidR="002D682B" w:rsidRPr="002E2193">
        <w:rPr>
          <w:rFonts w:cs="Tahoma"/>
          <w:i/>
          <w:iCs/>
          <w:sz w:val="21"/>
          <w:szCs w:val="21"/>
          <w:lang w:val="es-CO" w:eastAsia="es-CO"/>
        </w:rPr>
        <w:t xml:space="preserve">, la Sala ha señalado que </w:t>
      </w:r>
      <w:r w:rsidR="00AE1DAA" w:rsidRPr="002E2193">
        <w:rPr>
          <w:rFonts w:cs="Tahoma"/>
          <w:i/>
          <w:iCs/>
          <w:sz w:val="21"/>
          <w:szCs w:val="21"/>
          <w:lang w:val="es-CO" w:eastAsia="es-CO"/>
        </w:rPr>
        <w:t>‘</w:t>
      </w:r>
      <w:r w:rsidR="002D682B" w:rsidRPr="002E2193">
        <w:rPr>
          <w:rFonts w:cs="Tahoma"/>
          <w:i/>
          <w:iCs/>
          <w:sz w:val="21"/>
          <w:szCs w:val="21"/>
          <w:u w:val="single"/>
          <w:lang w:val="es-CO" w:eastAsia="es-CO"/>
        </w:rPr>
        <w:t>es necesario que se demuestre una de dos circunstancias:</w:t>
      </w:r>
      <w:r w:rsidR="002D682B" w:rsidRPr="002E2193">
        <w:rPr>
          <w:rFonts w:cs="Tahoma"/>
          <w:i/>
          <w:iCs/>
          <w:sz w:val="21"/>
          <w:szCs w:val="21"/>
          <w:lang w:val="es-CO" w:eastAsia="es-CO"/>
        </w:rPr>
        <w:t xml:space="preserve"> a) O bien que los hechos que la Administración tuvo en cuenta como motivos determinantes de la decisión no estuvieron debidamente probados dentro de la actuación administrativa; </w:t>
      </w:r>
      <w:r w:rsidR="002D682B" w:rsidRPr="002E2193">
        <w:rPr>
          <w:rFonts w:cs="Tahoma,Bold"/>
          <w:b/>
          <w:bCs/>
          <w:i/>
          <w:iCs/>
          <w:sz w:val="21"/>
          <w:szCs w:val="21"/>
          <w:u w:val="single"/>
          <w:lang w:val="es-CO" w:eastAsia="es-CO"/>
        </w:rPr>
        <w:t>o b) Que la Administración omitió tener en cuenta hechos que sí estaban demostrados y que si hubiesen sido considerados habrían conducido a una decisión sustancialmente diferente</w:t>
      </w:r>
      <w:r w:rsidR="002D682B" w:rsidRPr="002E2193">
        <w:rPr>
          <w:rFonts w:cs="Tahoma"/>
          <w:i/>
          <w:iCs/>
          <w:sz w:val="21"/>
          <w:szCs w:val="21"/>
          <w:u w:val="single"/>
          <w:lang w:val="es-CO" w:eastAsia="es-CO"/>
        </w:rPr>
        <w:t>.</w:t>
      </w:r>
      <w:r w:rsidRPr="002E2193">
        <w:rPr>
          <w:rFonts w:cs="Tahoma"/>
          <w:i/>
          <w:iCs/>
          <w:sz w:val="21"/>
          <w:szCs w:val="21"/>
          <w:u w:val="single"/>
          <w:lang w:val="es-CO" w:eastAsia="es-CO"/>
        </w:rPr>
        <w:t>”</w:t>
      </w:r>
    </w:p>
    <w:p w14:paraId="4F7186B5" w14:textId="5CB49843" w:rsidR="002D682B" w:rsidRPr="002E2193" w:rsidRDefault="002D682B" w:rsidP="00770DED">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De acuerdo con lo anterior, encontramos que en el caso objeto de análisis, los errores de derecho se materializaron como consecuencia de una violación directa del ordenamiento positivo y una errónea interpretación del ordenamiento positivo. Asimismo, el acto administrativo se encuentra viciado de nulidad por falsa motivación derivada no solo de los errores de derecho anunciados, sino debido a que la CREG omitió tener en cuenta hechos que sí estaban demostrados y que si hubiesen sido considerados habrían conducido a una decisión sustancialmente diferente.</w:t>
      </w:r>
    </w:p>
    <w:p w14:paraId="17423C1A" w14:textId="0624706D" w:rsidR="00770DED" w:rsidRPr="002E2193" w:rsidRDefault="00770DED"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lastRenderedPageBreak/>
        <w:t>(…)</w:t>
      </w:r>
    </w:p>
    <w:p w14:paraId="36357A8B" w14:textId="57330E33" w:rsidR="002D682B" w:rsidRPr="002E2193" w:rsidRDefault="002D682B" w:rsidP="002E2193">
      <w:pPr>
        <w:keepNext/>
        <w:autoSpaceDE w:val="0"/>
        <w:autoSpaceDN w:val="0"/>
        <w:adjustRightInd w:val="0"/>
        <w:ind w:left="284"/>
        <w:rPr>
          <w:rFonts w:cs="Tahoma,Bold"/>
          <w:b/>
          <w:bCs/>
          <w:i/>
          <w:iCs/>
          <w:sz w:val="21"/>
          <w:szCs w:val="21"/>
          <w:lang w:eastAsia="es-CO"/>
        </w:rPr>
      </w:pPr>
      <w:r w:rsidRPr="002E2193">
        <w:rPr>
          <w:rFonts w:cs="Tahoma,Bold"/>
          <w:b/>
          <w:bCs/>
          <w:i/>
          <w:iCs/>
          <w:sz w:val="21"/>
          <w:szCs w:val="21"/>
          <w:lang w:eastAsia="es-CO"/>
        </w:rPr>
        <w:t>CARGO No. 2 – VICIOS POR INCONSTITUCIONALIDAD DEL ACTO ADMINISTRATIVO</w:t>
      </w:r>
    </w:p>
    <w:p w14:paraId="7F9B67FC" w14:textId="67423017"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Conforme a lo establecido en el artículo 4 de la Constitución Política de Colombia, la Carta es</w:t>
      </w:r>
      <w:r w:rsidR="0078639B" w:rsidRPr="002E2193">
        <w:rPr>
          <w:rFonts w:cs="Tahoma"/>
          <w:i/>
          <w:iCs/>
          <w:sz w:val="21"/>
          <w:szCs w:val="21"/>
          <w:lang w:val="es-CO" w:eastAsia="es-CO"/>
        </w:rPr>
        <w:t xml:space="preserve"> </w:t>
      </w:r>
      <w:r w:rsidR="006210CE" w:rsidRPr="002E2193">
        <w:rPr>
          <w:rFonts w:cs="Tahoma"/>
          <w:i/>
          <w:iCs/>
          <w:sz w:val="21"/>
          <w:szCs w:val="21"/>
          <w:lang w:val="es-CO" w:eastAsia="es-CO"/>
        </w:rPr>
        <w:t>“</w:t>
      </w:r>
      <w:r w:rsidRPr="002E2193">
        <w:rPr>
          <w:rFonts w:cs="Tahoma"/>
          <w:i/>
          <w:iCs/>
          <w:sz w:val="21"/>
          <w:szCs w:val="21"/>
          <w:lang w:val="es-CO" w:eastAsia="es-CO"/>
        </w:rPr>
        <w:t>norma de normas</w:t>
      </w:r>
      <w:r w:rsidR="006210CE" w:rsidRPr="002E2193">
        <w:rPr>
          <w:rFonts w:cs="Tahoma"/>
          <w:i/>
          <w:iCs/>
          <w:sz w:val="21"/>
          <w:szCs w:val="21"/>
          <w:lang w:val="es-CO" w:eastAsia="es-CO"/>
        </w:rPr>
        <w:t>”</w:t>
      </w:r>
      <w:r w:rsidRPr="002E2193">
        <w:rPr>
          <w:rFonts w:cs="Tahoma"/>
          <w:i/>
          <w:iCs/>
          <w:sz w:val="21"/>
          <w:szCs w:val="21"/>
          <w:lang w:val="es-CO" w:eastAsia="es-CO"/>
        </w:rPr>
        <w:t xml:space="preserve">, es decir, es la </w:t>
      </w:r>
      <w:r w:rsidR="006210CE" w:rsidRPr="002E2193">
        <w:rPr>
          <w:rFonts w:cs="Tahoma"/>
          <w:i/>
          <w:iCs/>
          <w:sz w:val="21"/>
          <w:szCs w:val="21"/>
          <w:lang w:val="es-CO" w:eastAsia="es-CO"/>
        </w:rPr>
        <w:t>“</w:t>
      </w:r>
      <w:r w:rsidRPr="002E2193">
        <w:rPr>
          <w:rFonts w:cs="Tahoma"/>
          <w:i/>
          <w:iCs/>
          <w:sz w:val="21"/>
          <w:szCs w:val="21"/>
          <w:lang w:val="es-CO" w:eastAsia="es-CO"/>
        </w:rPr>
        <w:t>norma fundamental</w:t>
      </w:r>
      <w:r w:rsidR="006210CE" w:rsidRPr="002E2193">
        <w:rPr>
          <w:rFonts w:cs="Tahoma"/>
          <w:i/>
          <w:iCs/>
          <w:sz w:val="21"/>
          <w:szCs w:val="21"/>
          <w:lang w:val="es-CO" w:eastAsia="es-CO"/>
        </w:rPr>
        <w:t>”</w:t>
      </w:r>
      <w:r w:rsidRPr="002E2193">
        <w:rPr>
          <w:rFonts w:cs="Tahoma"/>
          <w:i/>
          <w:iCs/>
          <w:sz w:val="21"/>
          <w:szCs w:val="21"/>
          <w:lang w:val="es-CO" w:eastAsia="es-CO"/>
        </w:rPr>
        <w:t xml:space="preserve">, la </w:t>
      </w:r>
      <w:r w:rsidR="006210CE" w:rsidRPr="002E2193">
        <w:rPr>
          <w:rFonts w:cs="Tahoma"/>
          <w:i/>
          <w:iCs/>
          <w:sz w:val="21"/>
          <w:szCs w:val="21"/>
          <w:lang w:val="es-CO" w:eastAsia="es-CO"/>
        </w:rPr>
        <w:t>“</w:t>
      </w:r>
      <w:r w:rsidRPr="002E2193">
        <w:rPr>
          <w:rFonts w:cs="Tahoma"/>
          <w:i/>
          <w:iCs/>
          <w:sz w:val="21"/>
          <w:szCs w:val="21"/>
          <w:lang w:val="es-CO" w:eastAsia="es-CO"/>
        </w:rPr>
        <w:t>Norma suprema</w:t>
      </w:r>
      <w:r w:rsidR="006210CE" w:rsidRPr="002E2193">
        <w:rPr>
          <w:rFonts w:cs="Tahoma"/>
          <w:i/>
          <w:iCs/>
          <w:sz w:val="21"/>
          <w:szCs w:val="21"/>
          <w:lang w:val="es-CO" w:eastAsia="es-CO"/>
        </w:rPr>
        <w:t>”</w:t>
      </w:r>
      <w:r w:rsidRPr="002E2193">
        <w:rPr>
          <w:rFonts w:cs="Tahoma"/>
          <w:i/>
          <w:iCs/>
          <w:sz w:val="21"/>
          <w:szCs w:val="21"/>
          <w:lang w:val="es-CO" w:eastAsia="es-CO"/>
        </w:rPr>
        <w:t>, a partir de la cual</w:t>
      </w:r>
      <w:r w:rsidR="0078639B" w:rsidRPr="002E2193">
        <w:rPr>
          <w:rFonts w:cs="Tahoma"/>
          <w:i/>
          <w:iCs/>
          <w:sz w:val="21"/>
          <w:szCs w:val="21"/>
          <w:lang w:val="es-CO" w:eastAsia="es-CO"/>
        </w:rPr>
        <w:t xml:space="preserve"> </w:t>
      </w:r>
      <w:r w:rsidRPr="002E2193">
        <w:rPr>
          <w:rFonts w:cs="Tahoma"/>
          <w:i/>
          <w:iCs/>
          <w:sz w:val="21"/>
          <w:szCs w:val="21"/>
          <w:lang w:val="es-CO" w:eastAsia="es-CO"/>
        </w:rPr>
        <w:t>se sustenta todo el ordenamiento jurídico. Como consecuencia de lo anterior, el desconocimiento</w:t>
      </w:r>
      <w:r w:rsidR="0078639B" w:rsidRPr="002E2193">
        <w:rPr>
          <w:rFonts w:cs="Tahoma"/>
          <w:i/>
          <w:iCs/>
          <w:sz w:val="21"/>
          <w:szCs w:val="21"/>
          <w:lang w:val="es-CO" w:eastAsia="es-CO"/>
        </w:rPr>
        <w:t xml:space="preserve"> </w:t>
      </w:r>
      <w:r w:rsidRPr="002E2193">
        <w:rPr>
          <w:rFonts w:cs="Tahoma"/>
          <w:i/>
          <w:iCs/>
          <w:sz w:val="21"/>
          <w:szCs w:val="21"/>
          <w:lang w:val="es-CO" w:eastAsia="es-CO"/>
        </w:rPr>
        <w:t>de la Constitución Nacional sería el vicio más significativo que podría tener un acto administrativo,</w:t>
      </w:r>
      <w:r w:rsidR="0078639B" w:rsidRPr="002E2193">
        <w:rPr>
          <w:rFonts w:cs="Tahoma"/>
          <w:i/>
          <w:iCs/>
          <w:sz w:val="21"/>
          <w:szCs w:val="21"/>
          <w:lang w:val="es-CO" w:eastAsia="es-CO"/>
        </w:rPr>
        <w:t xml:space="preserve"> </w:t>
      </w:r>
      <w:r w:rsidRPr="002E2193">
        <w:rPr>
          <w:rFonts w:cs="Tahoma"/>
          <w:i/>
          <w:iCs/>
          <w:sz w:val="21"/>
          <w:szCs w:val="21"/>
          <w:lang w:val="es-CO" w:eastAsia="es-CO"/>
        </w:rPr>
        <w:t>afectando su validez.</w:t>
      </w:r>
    </w:p>
    <w:p w14:paraId="075830D7" w14:textId="43752B77" w:rsidR="0078639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En efecto, existiendo una norma de naturaleza superior enfrentada a otra del mismo</w:t>
      </w:r>
      <w:r w:rsidR="0078639B" w:rsidRPr="002E2193">
        <w:rPr>
          <w:rFonts w:cs="Tahoma"/>
          <w:i/>
          <w:iCs/>
          <w:sz w:val="21"/>
          <w:szCs w:val="21"/>
          <w:lang w:val="es-CO" w:eastAsia="es-CO"/>
        </w:rPr>
        <w:t xml:space="preserve"> </w:t>
      </w:r>
      <w:r w:rsidRPr="002E2193">
        <w:rPr>
          <w:rFonts w:cs="Tahoma"/>
          <w:i/>
          <w:iCs/>
          <w:sz w:val="21"/>
          <w:szCs w:val="21"/>
          <w:lang w:val="es-CO" w:eastAsia="es-CO"/>
        </w:rPr>
        <w:t>ordenamiento, evidentemente la de inferior jerarquía tendría que estar sometida</w:t>
      </w:r>
      <w:r w:rsidR="0078639B" w:rsidRPr="002E2193">
        <w:rPr>
          <w:rFonts w:cs="Tahoma"/>
          <w:i/>
          <w:iCs/>
          <w:sz w:val="21"/>
          <w:szCs w:val="21"/>
          <w:lang w:val="es-CO" w:eastAsia="es-CO"/>
        </w:rPr>
        <w:t xml:space="preserve"> </w:t>
      </w:r>
      <w:r w:rsidRPr="002E2193">
        <w:rPr>
          <w:rFonts w:cs="Tahoma"/>
          <w:i/>
          <w:iCs/>
          <w:sz w:val="21"/>
          <w:szCs w:val="21"/>
          <w:lang w:val="es-CO" w:eastAsia="es-CO"/>
        </w:rPr>
        <w:t xml:space="preserve">indefectiblemente a los preceptos de la superior. Así, </w:t>
      </w:r>
      <w:r w:rsidR="00500551" w:rsidRPr="002E2193">
        <w:rPr>
          <w:rFonts w:cs="Tahoma"/>
          <w:i/>
          <w:iCs/>
          <w:sz w:val="21"/>
          <w:szCs w:val="21"/>
          <w:lang w:val="es-CO" w:eastAsia="es-CO"/>
        </w:rPr>
        <w:t>“</w:t>
      </w:r>
      <w:r w:rsidRPr="002E2193">
        <w:rPr>
          <w:rFonts w:cs="Tahoma"/>
          <w:i/>
          <w:iCs/>
          <w:sz w:val="21"/>
          <w:szCs w:val="21"/>
          <w:lang w:val="es-CO" w:eastAsia="es-CO"/>
        </w:rPr>
        <w:t>las normas constitucionales -tanto las</w:t>
      </w:r>
      <w:r w:rsidR="0078639B" w:rsidRPr="002E2193">
        <w:rPr>
          <w:rFonts w:cs="Tahoma"/>
          <w:i/>
          <w:iCs/>
          <w:sz w:val="21"/>
          <w:szCs w:val="21"/>
          <w:lang w:val="es-CO" w:eastAsia="es-CO"/>
        </w:rPr>
        <w:t xml:space="preserve"> </w:t>
      </w:r>
      <w:r w:rsidRPr="002E2193">
        <w:rPr>
          <w:rFonts w:cs="Tahoma"/>
          <w:i/>
          <w:iCs/>
          <w:sz w:val="21"/>
          <w:szCs w:val="21"/>
          <w:lang w:val="es-CO" w:eastAsia="es-CO"/>
        </w:rPr>
        <w:t>determinantes de principios y garantías como las estipulantes de competencia- deben ser</w:t>
      </w:r>
      <w:r w:rsidR="0078639B" w:rsidRPr="002E2193">
        <w:rPr>
          <w:rFonts w:cs="Tahoma"/>
          <w:i/>
          <w:iCs/>
          <w:sz w:val="21"/>
          <w:szCs w:val="21"/>
          <w:lang w:val="es-CO" w:eastAsia="es-CO"/>
        </w:rPr>
        <w:t xml:space="preserve"> </w:t>
      </w:r>
      <w:r w:rsidRPr="002E2193">
        <w:rPr>
          <w:rFonts w:cs="Tahoma"/>
          <w:i/>
          <w:iCs/>
          <w:sz w:val="21"/>
          <w:szCs w:val="21"/>
          <w:lang w:val="es-CO" w:eastAsia="es-CO"/>
        </w:rPr>
        <w:t>obedecidas y respetada por las autoridades administrativas en todo instante, procurando que sus</w:t>
      </w:r>
      <w:r w:rsidR="0078639B" w:rsidRPr="002E2193">
        <w:rPr>
          <w:rFonts w:cs="Tahoma"/>
          <w:i/>
          <w:iCs/>
          <w:sz w:val="21"/>
          <w:szCs w:val="21"/>
          <w:lang w:val="es-CO" w:eastAsia="es-CO"/>
        </w:rPr>
        <w:t xml:space="preserve"> </w:t>
      </w:r>
      <w:r w:rsidRPr="002E2193">
        <w:rPr>
          <w:rFonts w:cs="Tahoma"/>
          <w:i/>
          <w:iCs/>
          <w:sz w:val="21"/>
          <w:szCs w:val="21"/>
          <w:lang w:val="es-CO" w:eastAsia="es-CO"/>
        </w:rPr>
        <w:t>actuaciones y manifestaciones se adecuen a los mandatos por ellas determinados</w:t>
      </w:r>
      <w:r w:rsidR="00500551" w:rsidRPr="002E2193">
        <w:rPr>
          <w:rFonts w:cs="Tahoma"/>
          <w:i/>
          <w:iCs/>
          <w:sz w:val="21"/>
          <w:szCs w:val="21"/>
          <w:lang w:val="es-CO" w:eastAsia="es-CO"/>
        </w:rPr>
        <w:t>”</w:t>
      </w:r>
      <w:r w:rsidRPr="002E2193">
        <w:rPr>
          <w:rFonts w:cs="Tahoma"/>
          <w:i/>
          <w:iCs/>
          <w:sz w:val="21"/>
          <w:szCs w:val="21"/>
          <w:lang w:val="es-CO" w:eastAsia="es-CO"/>
        </w:rPr>
        <w:t>.</w:t>
      </w:r>
    </w:p>
    <w:p w14:paraId="239A9B50" w14:textId="25281F04"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De esta manera, </w:t>
      </w:r>
      <w:r w:rsidR="00500551" w:rsidRPr="002E2193">
        <w:rPr>
          <w:rFonts w:cs="Tahoma"/>
          <w:i/>
          <w:iCs/>
          <w:sz w:val="21"/>
          <w:szCs w:val="21"/>
          <w:lang w:val="es-CO" w:eastAsia="es-CO"/>
        </w:rPr>
        <w:t>“</w:t>
      </w:r>
      <w:r w:rsidRPr="002E2193">
        <w:rPr>
          <w:rFonts w:cs="Tahoma"/>
          <w:i/>
          <w:iCs/>
          <w:sz w:val="21"/>
          <w:szCs w:val="21"/>
          <w:lang w:val="es-CO" w:eastAsia="es-CO"/>
        </w:rPr>
        <w:t>[l]a observancia de la Constitución siempre y en todos los casos debe ser</w:t>
      </w:r>
      <w:r w:rsidR="0078639B" w:rsidRPr="002E2193">
        <w:rPr>
          <w:rFonts w:cs="Tahoma"/>
          <w:i/>
          <w:iCs/>
          <w:sz w:val="21"/>
          <w:szCs w:val="21"/>
          <w:lang w:val="es-CO" w:eastAsia="es-CO"/>
        </w:rPr>
        <w:t xml:space="preserve"> </w:t>
      </w:r>
      <w:r w:rsidRPr="002E2193">
        <w:rPr>
          <w:rFonts w:cs="Tahoma"/>
          <w:i/>
          <w:iCs/>
          <w:sz w:val="21"/>
          <w:szCs w:val="21"/>
          <w:lang w:val="es-CO" w:eastAsia="es-CO"/>
        </w:rPr>
        <w:t>directa. No constituye justificación válida, para la Administración Pública, el proferir un Acto</w:t>
      </w:r>
      <w:r w:rsidR="0078639B" w:rsidRPr="002E2193">
        <w:rPr>
          <w:rFonts w:cs="Tahoma"/>
          <w:i/>
          <w:iCs/>
          <w:sz w:val="21"/>
          <w:szCs w:val="21"/>
          <w:lang w:val="es-CO" w:eastAsia="es-CO"/>
        </w:rPr>
        <w:t xml:space="preserve"> </w:t>
      </w:r>
      <w:r w:rsidRPr="002E2193">
        <w:rPr>
          <w:rFonts w:cs="Tahoma"/>
          <w:i/>
          <w:iCs/>
          <w:sz w:val="21"/>
          <w:szCs w:val="21"/>
          <w:lang w:val="es-CO" w:eastAsia="es-CO"/>
        </w:rPr>
        <w:t>Administrativo violatorio de la Constitución política, resguardado en la tesis de respeto a otras</w:t>
      </w:r>
      <w:r w:rsidR="0078639B" w:rsidRPr="002E2193">
        <w:rPr>
          <w:rFonts w:cs="Tahoma"/>
          <w:i/>
          <w:iCs/>
          <w:sz w:val="21"/>
          <w:szCs w:val="21"/>
          <w:lang w:val="es-CO" w:eastAsia="es-CO"/>
        </w:rPr>
        <w:t xml:space="preserve"> </w:t>
      </w:r>
      <w:r w:rsidRPr="002E2193">
        <w:rPr>
          <w:rFonts w:cs="Tahoma"/>
          <w:i/>
          <w:iCs/>
          <w:sz w:val="21"/>
          <w:szCs w:val="21"/>
          <w:lang w:val="es-CO" w:eastAsia="es-CO"/>
        </w:rPr>
        <w:t>normas superiores -legales o incluso administrativas-, por cuanto es imperativo para todo</w:t>
      </w:r>
      <w:r w:rsidR="0078639B" w:rsidRPr="002E2193">
        <w:rPr>
          <w:rFonts w:cs="Tahoma"/>
          <w:i/>
          <w:iCs/>
          <w:sz w:val="21"/>
          <w:szCs w:val="21"/>
          <w:lang w:val="es-CO" w:eastAsia="es-CO"/>
        </w:rPr>
        <w:t xml:space="preserve"> </w:t>
      </w:r>
      <w:r w:rsidRPr="002E2193">
        <w:rPr>
          <w:rFonts w:cs="Tahoma"/>
          <w:i/>
          <w:iCs/>
          <w:sz w:val="21"/>
          <w:szCs w:val="21"/>
          <w:lang w:val="es-CO" w:eastAsia="es-CO"/>
        </w:rPr>
        <w:t>funcionario, de acuerdo con el artículo 4° de la Constitución Nacional, otorgar preferencia a la</w:t>
      </w:r>
      <w:r w:rsidR="0078639B" w:rsidRPr="002E2193">
        <w:rPr>
          <w:rFonts w:cs="Tahoma"/>
          <w:i/>
          <w:iCs/>
          <w:sz w:val="21"/>
          <w:szCs w:val="21"/>
          <w:lang w:val="es-CO" w:eastAsia="es-CO"/>
        </w:rPr>
        <w:t xml:space="preserve"> </w:t>
      </w:r>
      <w:r w:rsidRPr="002E2193">
        <w:rPr>
          <w:rFonts w:cs="Tahoma"/>
          <w:i/>
          <w:iCs/>
          <w:sz w:val="21"/>
          <w:szCs w:val="21"/>
          <w:lang w:val="es-CO" w:eastAsia="es-CO"/>
        </w:rPr>
        <w:t>norma constitucional en todos los casos en que existe incompatibilidad entre ésta y alguna otra</w:t>
      </w:r>
      <w:r w:rsidR="0078639B" w:rsidRPr="002E2193">
        <w:rPr>
          <w:rFonts w:cs="Tahoma"/>
          <w:i/>
          <w:iCs/>
          <w:sz w:val="21"/>
          <w:szCs w:val="21"/>
          <w:lang w:val="es-CO" w:eastAsia="es-CO"/>
        </w:rPr>
        <w:t xml:space="preserve"> </w:t>
      </w:r>
      <w:r w:rsidRPr="002E2193">
        <w:rPr>
          <w:rFonts w:cs="Tahoma"/>
          <w:i/>
          <w:iCs/>
          <w:sz w:val="21"/>
          <w:szCs w:val="21"/>
          <w:lang w:val="es-CO" w:eastAsia="es-CO"/>
        </w:rPr>
        <w:t>norma</w:t>
      </w:r>
      <w:r w:rsidR="00500551" w:rsidRPr="002E2193">
        <w:rPr>
          <w:rFonts w:cs="Tahoma"/>
          <w:i/>
          <w:iCs/>
          <w:sz w:val="21"/>
          <w:szCs w:val="21"/>
          <w:lang w:val="es-CO" w:eastAsia="es-CO"/>
        </w:rPr>
        <w:t>”</w:t>
      </w:r>
      <w:r w:rsidRPr="002E2193">
        <w:rPr>
          <w:rFonts w:cs="Tahoma"/>
          <w:i/>
          <w:iCs/>
          <w:sz w:val="21"/>
          <w:szCs w:val="21"/>
          <w:lang w:val="es-CO" w:eastAsia="es-CO"/>
        </w:rPr>
        <w:t>.</w:t>
      </w:r>
    </w:p>
    <w:p w14:paraId="03F20756" w14:textId="7EE4AFE5" w:rsidR="002D682B" w:rsidRPr="002E2193" w:rsidRDefault="002D682B" w:rsidP="002E2193">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 xml:space="preserve">En este sentido, la doctrina ha señalado claramente que </w:t>
      </w:r>
      <w:r w:rsidR="00500551" w:rsidRPr="002E2193">
        <w:rPr>
          <w:rFonts w:cs="Tahoma"/>
          <w:i/>
          <w:iCs/>
          <w:sz w:val="21"/>
          <w:szCs w:val="21"/>
          <w:lang w:val="es-CO" w:eastAsia="es-CO"/>
        </w:rPr>
        <w:t>“</w:t>
      </w:r>
      <w:r w:rsidRPr="002E2193">
        <w:rPr>
          <w:rFonts w:cs="Tahoma"/>
          <w:i/>
          <w:iCs/>
          <w:sz w:val="21"/>
          <w:szCs w:val="21"/>
          <w:lang w:val="es-CO" w:eastAsia="es-CO"/>
        </w:rPr>
        <w:t>[l]a Constitución Política, por ende,</w:t>
      </w:r>
      <w:r w:rsidR="0078639B" w:rsidRPr="002E2193">
        <w:rPr>
          <w:rFonts w:cs="Tahoma"/>
          <w:i/>
          <w:iCs/>
          <w:sz w:val="21"/>
          <w:szCs w:val="21"/>
          <w:lang w:val="es-CO" w:eastAsia="es-CO"/>
        </w:rPr>
        <w:t xml:space="preserve"> </w:t>
      </w:r>
      <w:r w:rsidRPr="002E2193">
        <w:rPr>
          <w:rFonts w:cs="Tahoma"/>
          <w:i/>
          <w:iCs/>
          <w:sz w:val="21"/>
          <w:szCs w:val="21"/>
          <w:lang w:val="es-CO" w:eastAsia="es-CO"/>
        </w:rPr>
        <w:t>debe ser la primera instancia de observancia por parte de las autoridades al proferir un Acto</w:t>
      </w:r>
      <w:r w:rsidR="0078639B" w:rsidRPr="002E2193">
        <w:rPr>
          <w:rFonts w:cs="Tahoma"/>
          <w:i/>
          <w:iCs/>
          <w:sz w:val="21"/>
          <w:szCs w:val="21"/>
          <w:lang w:val="es-CO" w:eastAsia="es-CO"/>
        </w:rPr>
        <w:t xml:space="preserve"> </w:t>
      </w:r>
      <w:r w:rsidRPr="002E2193">
        <w:rPr>
          <w:rFonts w:cs="Tahoma"/>
          <w:i/>
          <w:iCs/>
          <w:sz w:val="21"/>
          <w:szCs w:val="21"/>
          <w:lang w:val="es-CO" w:eastAsia="es-CO"/>
        </w:rPr>
        <w:t>Administrativo. Cualquier actuación que desconozca su sustento doctrinal, no cumpla sus</w:t>
      </w:r>
      <w:r w:rsidR="0078639B" w:rsidRPr="002E2193">
        <w:rPr>
          <w:rFonts w:cs="Tahoma"/>
          <w:i/>
          <w:iCs/>
          <w:sz w:val="21"/>
          <w:szCs w:val="21"/>
          <w:lang w:val="es-CO" w:eastAsia="es-CO"/>
        </w:rPr>
        <w:t xml:space="preserve"> </w:t>
      </w:r>
      <w:r w:rsidRPr="002E2193">
        <w:rPr>
          <w:rFonts w:cs="Tahoma"/>
          <w:i/>
          <w:iCs/>
          <w:sz w:val="21"/>
          <w:szCs w:val="21"/>
          <w:lang w:val="es-CO" w:eastAsia="es-CO"/>
        </w:rPr>
        <w:t>preceptos o desvíe sus competencias está viciada de inconstitucionalidad y, por consiguiente,</w:t>
      </w:r>
      <w:r w:rsidR="0078639B" w:rsidRPr="002E2193">
        <w:rPr>
          <w:rFonts w:cs="Tahoma"/>
          <w:i/>
          <w:iCs/>
          <w:sz w:val="21"/>
          <w:szCs w:val="21"/>
          <w:lang w:val="es-CO" w:eastAsia="es-CO"/>
        </w:rPr>
        <w:t xml:space="preserve"> </w:t>
      </w:r>
      <w:r w:rsidRPr="002E2193">
        <w:rPr>
          <w:rFonts w:cs="Tahoma"/>
          <w:i/>
          <w:iCs/>
          <w:sz w:val="21"/>
          <w:szCs w:val="21"/>
          <w:lang w:val="es-CO" w:eastAsia="es-CO"/>
        </w:rPr>
        <w:t>debe ser declarada nula</w:t>
      </w:r>
      <w:r w:rsidR="00500551" w:rsidRPr="002E2193">
        <w:rPr>
          <w:rFonts w:cs="Tahoma"/>
          <w:i/>
          <w:iCs/>
          <w:sz w:val="21"/>
          <w:szCs w:val="21"/>
          <w:lang w:val="es-CO" w:eastAsia="es-CO"/>
        </w:rPr>
        <w:t>”</w:t>
      </w:r>
      <w:r w:rsidRPr="002E2193">
        <w:rPr>
          <w:rFonts w:cs="Tahoma"/>
          <w:i/>
          <w:iCs/>
          <w:sz w:val="21"/>
          <w:szCs w:val="21"/>
          <w:lang w:val="es-CO" w:eastAsia="es-CO"/>
        </w:rPr>
        <w:t>.</w:t>
      </w:r>
    </w:p>
    <w:p w14:paraId="09FBBBD9" w14:textId="656FBC0D" w:rsidR="00792CF7" w:rsidRPr="002E2193" w:rsidRDefault="002D682B">
      <w:pPr>
        <w:autoSpaceDE w:val="0"/>
        <w:autoSpaceDN w:val="0"/>
        <w:adjustRightInd w:val="0"/>
        <w:ind w:left="284"/>
        <w:rPr>
          <w:rFonts w:cs="Tahoma"/>
          <w:i/>
          <w:iCs/>
          <w:sz w:val="21"/>
          <w:szCs w:val="21"/>
          <w:lang w:val="es-CO" w:eastAsia="es-CO"/>
        </w:rPr>
      </w:pPr>
      <w:r w:rsidRPr="002E2193">
        <w:rPr>
          <w:rFonts w:cs="Tahoma"/>
          <w:i/>
          <w:iCs/>
          <w:sz w:val="21"/>
          <w:szCs w:val="21"/>
          <w:lang w:val="es-CO" w:eastAsia="es-CO"/>
        </w:rPr>
        <w:t>Conforme a lo anterior, cualquier transgresión del texto y/o de los principios constitucionales</w:t>
      </w:r>
      <w:r w:rsidR="0078639B" w:rsidRPr="002E2193">
        <w:rPr>
          <w:rFonts w:cs="Tahoma"/>
          <w:i/>
          <w:iCs/>
          <w:sz w:val="21"/>
          <w:szCs w:val="21"/>
          <w:lang w:val="es-CO" w:eastAsia="es-CO"/>
        </w:rPr>
        <w:t xml:space="preserve"> </w:t>
      </w:r>
      <w:r w:rsidRPr="002E2193">
        <w:rPr>
          <w:rFonts w:cs="Tahoma"/>
          <w:i/>
          <w:iCs/>
          <w:sz w:val="21"/>
          <w:szCs w:val="21"/>
          <w:lang w:val="es-CO" w:eastAsia="es-CO"/>
        </w:rPr>
        <w:t>implica la generación de vicios en el Acto Administrativo, que deben llevar a su revocatoria. De</w:t>
      </w:r>
      <w:r w:rsidR="0078639B" w:rsidRPr="002E2193">
        <w:rPr>
          <w:rFonts w:cs="Tahoma"/>
          <w:i/>
          <w:iCs/>
          <w:sz w:val="21"/>
          <w:szCs w:val="21"/>
          <w:lang w:val="es-CO" w:eastAsia="es-CO"/>
        </w:rPr>
        <w:t xml:space="preserve"> </w:t>
      </w:r>
      <w:r w:rsidRPr="002E2193">
        <w:rPr>
          <w:rFonts w:cs="Tahoma"/>
          <w:i/>
          <w:iCs/>
          <w:sz w:val="21"/>
          <w:szCs w:val="21"/>
          <w:lang w:val="es-CO" w:eastAsia="es-CO"/>
        </w:rPr>
        <w:t>no ser así, se permitiría que actos o medios ordinarios alteraran el texto de la Constitución</w:t>
      </w:r>
      <w:r w:rsidR="0078639B" w:rsidRPr="002E2193">
        <w:rPr>
          <w:rFonts w:cs="Tahoma"/>
          <w:i/>
          <w:iCs/>
          <w:sz w:val="21"/>
          <w:szCs w:val="21"/>
          <w:lang w:val="es-CO" w:eastAsia="es-CO"/>
        </w:rPr>
        <w:t xml:space="preserve"> </w:t>
      </w:r>
      <w:r w:rsidRPr="002E2193">
        <w:rPr>
          <w:rFonts w:cs="Tahoma"/>
          <w:i/>
          <w:iCs/>
          <w:sz w:val="21"/>
          <w:szCs w:val="21"/>
          <w:lang w:val="es-CO" w:eastAsia="es-CO"/>
        </w:rPr>
        <w:t>convirtiéndolo en una pieza secundaria.</w:t>
      </w:r>
    </w:p>
    <w:p w14:paraId="5C460886" w14:textId="5A748B3C" w:rsidR="00A30A5D" w:rsidRPr="008C7CAC" w:rsidRDefault="003F4405" w:rsidP="0034651C">
      <w:pPr>
        <w:pStyle w:val="Ttulo2"/>
      </w:pPr>
      <w:r>
        <w:t xml:space="preserve">SOLICITUD DE </w:t>
      </w:r>
      <w:r w:rsidR="00A30A5D">
        <w:t>PRUEBAS</w:t>
      </w:r>
    </w:p>
    <w:p w14:paraId="702F2908" w14:textId="1D6CE1D8" w:rsidR="00A30A5D" w:rsidRDefault="006D1171" w:rsidP="00AA510B">
      <w:pPr>
        <w:autoSpaceDE w:val="0"/>
        <w:autoSpaceDN w:val="0"/>
        <w:adjustRightInd w:val="0"/>
        <w:rPr>
          <w:rFonts w:cs="Tahoma"/>
          <w:lang w:val="es-CO" w:eastAsia="es-CO"/>
        </w:rPr>
      </w:pPr>
      <w:r>
        <w:rPr>
          <w:rFonts w:cs="Tahoma"/>
          <w:lang w:val="es-CO" w:eastAsia="es-CO"/>
        </w:rPr>
        <w:t xml:space="preserve">PROMIGAS S.A. E.S.P. solicita que </w:t>
      </w:r>
      <w:r w:rsidRPr="002E2193">
        <w:rPr>
          <w:rFonts w:cs="Tahoma"/>
          <w:i/>
          <w:iCs/>
          <w:lang w:val="es-CO" w:eastAsia="es-CO"/>
        </w:rPr>
        <w:t>“la CREG tenga como pruebas aquellas que obran en el expediente”</w:t>
      </w:r>
      <w:r>
        <w:rPr>
          <w:rFonts w:cs="Tahoma"/>
          <w:lang w:val="es-CO" w:eastAsia="es-CO"/>
        </w:rPr>
        <w:t>, así como las siguientes:</w:t>
      </w:r>
    </w:p>
    <w:p w14:paraId="7520EB44" w14:textId="23E90D45" w:rsidR="006D1171" w:rsidRPr="002E2193" w:rsidRDefault="00026C9C" w:rsidP="002E2193">
      <w:pPr>
        <w:pStyle w:val="Prrafodelista"/>
        <w:numPr>
          <w:ilvl w:val="0"/>
          <w:numId w:val="90"/>
        </w:numPr>
        <w:autoSpaceDE w:val="0"/>
        <w:autoSpaceDN w:val="0"/>
        <w:adjustRightInd w:val="0"/>
        <w:ind w:hanging="436"/>
        <w:rPr>
          <w:rFonts w:cs="Tahoma"/>
          <w:b/>
          <w:bCs/>
          <w:i/>
          <w:iCs/>
          <w:sz w:val="21"/>
          <w:szCs w:val="21"/>
          <w:lang w:eastAsia="es-CO"/>
        </w:rPr>
      </w:pPr>
      <w:r w:rsidRPr="002E2193">
        <w:rPr>
          <w:rFonts w:cs="Tahoma"/>
          <w:b/>
          <w:bCs/>
          <w:i/>
          <w:iCs/>
          <w:sz w:val="21"/>
          <w:szCs w:val="21"/>
          <w:lang w:eastAsia="es-CO"/>
        </w:rPr>
        <w:t>Documentales y complementarias al dictamen pericial</w:t>
      </w:r>
    </w:p>
    <w:p w14:paraId="3EAEE6C2" w14:textId="03ACDEBB" w:rsidR="00026C9C" w:rsidRPr="002E2193" w:rsidRDefault="00026C9C"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Con fundamento en lo establecido en el artículo 40 del</w:t>
      </w:r>
      <w:r w:rsidR="0097369A" w:rsidRPr="002E2193">
        <w:rPr>
          <w:rFonts w:cs="Tahoma"/>
          <w:i/>
          <w:iCs/>
          <w:sz w:val="21"/>
          <w:szCs w:val="21"/>
          <w:lang w:eastAsia="es-CO"/>
        </w:rPr>
        <w:t xml:space="preserve"> CPACA y de acuerdo con lo previsto en los artículos 165, 226 y ss. del CGP, respe</w:t>
      </w:r>
      <w:r w:rsidR="003D68BD" w:rsidRPr="002E2193">
        <w:rPr>
          <w:rFonts w:cs="Tahoma"/>
          <w:i/>
          <w:iCs/>
          <w:sz w:val="21"/>
          <w:szCs w:val="21"/>
          <w:lang w:eastAsia="es-CO"/>
        </w:rPr>
        <w:t xml:space="preserve">tuosamente solicito se tenga como parte de la prueba pericial elaborada por la empresa Consultoría Regulatoria S.A.S., la cual fue aportada por Promigas S.A. E.S.P. como dictamen pericial de parte, y asimismo, decretada, reconocida e incorporada por la CREG dentro de la actuación administrativa, la declaración firmada por el representante legal de dicha compañía (Consultoría Regulatoria S.A.S.) de acuerdo con lo establecido en el artículo 226 del CGP, y por medio de la cual: i) se corrobora </w:t>
      </w:r>
      <w:r w:rsidR="00491084" w:rsidRPr="002E2193">
        <w:rPr>
          <w:rFonts w:cs="Tahoma"/>
          <w:i/>
          <w:iCs/>
          <w:sz w:val="21"/>
          <w:szCs w:val="21"/>
          <w:lang w:eastAsia="es-CO"/>
        </w:rPr>
        <w:t xml:space="preserve">la autoría del dictamen, </w:t>
      </w:r>
      <w:proofErr w:type="spellStart"/>
      <w:r w:rsidR="00491084" w:rsidRPr="002E2193">
        <w:rPr>
          <w:rFonts w:cs="Tahoma"/>
          <w:i/>
          <w:iCs/>
          <w:sz w:val="21"/>
          <w:szCs w:val="21"/>
          <w:lang w:eastAsia="es-CO"/>
        </w:rPr>
        <w:t>ii</w:t>
      </w:r>
      <w:proofErr w:type="spellEnd"/>
      <w:r w:rsidR="00491084" w:rsidRPr="002E2193">
        <w:rPr>
          <w:rFonts w:cs="Tahoma"/>
          <w:i/>
          <w:iCs/>
          <w:sz w:val="21"/>
          <w:szCs w:val="21"/>
          <w:lang w:eastAsia="es-CO"/>
        </w:rPr>
        <w:t xml:space="preserve">) se ratifica el cumplimiento de los requisitos formales previstos en la ley; y </w:t>
      </w:r>
      <w:proofErr w:type="spellStart"/>
      <w:r w:rsidR="00491084" w:rsidRPr="002E2193">
        <w:rPr>
          <w:rFonts w:cs="Tahoma"/>
          <w:i/>
          <w:iCs/>
          <w:sz w:val="21"/>
          <w:szCs w:val="21"/>
          <w:lang w:eastAsia="es-CO"/>
        </w:rPr>
        <w:t>iii</w:t>
      </w:r>
      <w:proofErr w:type="spellEnd"/>
      <w:r w:rsidR="00491084" w:rsidRPr="002E2193">
        <w:rPr>
          <w:rFonts w:cs="Tahoma"/>
          <w:i/>
          <w:iCs/>
          <w:sz w:val="21"/>
          <w:szCs w:val="21"/>
          <w:lang w:eastAsia="es-CO"/>
        </w:rPr>
        <w:t>) se informan los datos de contacto para la comparecencia del perito y los profesionales que participaron en la elaboración del dictamen.</w:t>
      </w:r>
    </w:p>
    <w:p w14:paraId="24CB3CD2" w14:textId="79CC1240" w:rsidR="00026C9C" w:rsidRPr="002E2193" w:rsidRDefault="00744930" w:rsidP="002E2193">
      <w:pPr>
        <w:pStyle w:val="Prrafodelista"/>
        <w:numPr>
          <w:ilvl w:val="0"/>
          <w:numId w:val="90"/>
        </w:numPr>
        <w:autoSpaceDE w:val="0"/>
        <w:autoSpaceDN w:val="0"/>
        <w:adjustRightInd w:val="0"/>
        <w:ind w:hanging="436"/>
        <w:rPr>
          <w:rFonts w:cs="Tahoma"/>
          <w:b/>
          <w:bCs/>
          <w:i/>
          <w:iCs/>
          <w:sz w:val="21"/>
          <w:szCs w:val="21"/>
          <w:lang w:eastAsia="es-CO"/>
        </w:rPr>
      </w:pPr>
      <w:r w:rsidRPr="002E2193">
        <w:rPr>
          <w:rFonts w:cs="Tahoma"/>
          <w:b/>
          <w:bCs/>
          <w:i/>
          <w:iCs/>
          <w:sz w:val="21"/>
          <w:szCs w:val="21"/>
          <w:lang w:eastAsia="es-CO"/>
        </w:rPr>
        <w:lastRenderedPageBreak/>
        <w:t>Declaración de las personas que participaron en la elaboración del dictamen pericial aportado</w:t>
      </w:r>
    </w:p>
    <w:p w14:paraId="24E508E1" w14:textId="36A05169" w:rsidR="00744930" w:rsidRPr="002E2193" w:rsidRDefault="00744930" w:rsidP="002E2193">
      <w:pPr>
        <w:pStyle w:val="Prrafodelista"/>
        <w:numPr>
          <w:ilvl w:val="0"/>
          <w:numId w:val="0"/>
        </w:numPr>
        <w:autoSpaceDE w:val="0"/>
        <w:autoSpaceDN w:val="0"/>
        <w:adjustRightInd w:val="0"/>
        <w:ind w:left="284"/>
        <w:rPr>
          <w:rFonts w:cs="Tahoma"/>
          <w:b/>
          <w:bCs/>
          <w:i/>
          <w:iCs/>
          <w:sz w:val="21"/>
          <w:szCs w:val="21"/>
          <w:lang w:eastAsia="es-CO"/>
        </w:rPr>
      </w:pPr>
      <w:r w:rsidRPr="002E2193">
        <w:rPr>
          <w:rFonts w:cs="Tahoma"/>
          <w:b/>
          <w:bCs/>
          <w:i/>
          <w:iCs/>
          <w:sz w:val="21"/>
          <w:szCs w:val="21"/>
          <w:lang w:eastAsia="es-CO"/>
        </w:rPr>
        <w:t>1. Declaración del señor Mauricio Gómez</w:t>
      </w:r>
    </w:p>
    <w:p w14:paraId="3F5FED2E" w14:textId="2EBB5447" w:rsidR="00744930" w:rsidRPr="002E2193" w:rsidRDefault="00744930"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 xml:space="preserve">Con fundamento en lo establecido en el artículo 40 del CPACA y de acuerdo con lo previsto en los artículos 165, </w:t>
      </w:r>
      <w:r w:rsidR="006F6EF2" w:rsidRPr="002E2193">
        <w:rPr>
          <w:rFonts w:cs="Tahoma"/>
          <w:i/>
          <w:iCs/>
          <w:sz w:val="21"/>
          <w:szCs w:val="21"/>
          <w:lang w:eastAsia="es-CO"/>
        </w:rPr>
        <w:t xml:space="preserve">208 y ss., y </w:t>
      </w:r>
      <w:r w:rsidRPr="002E2193">
        <w:rPr>
          <w:rFonts w:cs="Tahoma"/>
          <w:i/>
          <w:iCs/>
          <w:sz w:val="21"/>
          <w:szCs w:val="21"/>
          <w:lang w:eastAsia="es-CO"/>
        </w:rPr>
        <w:t>226 y ss. del CGP, respetuosamente solicito</w:t>
      </w:r>
      <w:r w:rsidR="006F6EF2" w:rsidRPr="002E2193">
        <w:rPr>
          <w:rFonts w:cs="Tahoma"/>
          <w:i/>
          <w:iCs/>
          <w:sz w:val="21"/>
          <w:szCs w:val="21"/>
          <w:lang w:eastAsia="es-CO"/>
        </w:rPr>
        <w:t xml:space="preserve"> se decrete la comparecencia del señor Mauricio Gómez a una audiencia, en su calidad de representante legal de la empresa Consultoría Regulatoria S.A.S. (Perito) y quien participó en la elaboración del dictamen pericial aportado, con el fin de que presente su declaración sobre su trabajo, así como para que le explique a la Comisión tanto la metodología que empleó, como las conclusiones a las que llegó.</w:t>
      </w:r>
    </w:p>
    <w:p w14:paraId="639CFC63" w14:textId="1721A8C3" w:rsidR="006F6EF2" w:rsidRPr="002E2193" w:rsidRDefault="006F6EF2"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w:t>
      </w:r>
    </w:p>
    <w:p w14:paraId="0153F9B7" w14:textId="12ADD8B4" w:rsidR="006F6EF2" w:rsidRPr="002E2193" w:rsidRDefault="006F6EF2" w:rsidP="002E2193">
      <w:pPr>
        <w:pStyle w:val="Prrafodelista"/>
        <w:numPr>
          <w:ilvl w:val="0"/>
          <w:numId w:val="0"/>
        </w:numPr>
        <w:autoSpaceDE w:val="0"/>
        <w:autoSpaceDN w:val="0"/>
        <w:adjustRightInd w:val="0"/>
        <w:ind w:left="284"/>
        <w:rPr>
          <w:rFonts w:cs="Tahoma"/>
          <w:b/>
          <w:bCs/>
          <w:i/>
          <w:iCs/>
          <w:sz w:val="21"/>
          <w:szCs w:val="21"/>
          <w:lang w:eastAsia="es-CO"/>
        </w:rPr>
      </w:pPr>
      <w:r w:rsidRPr="002E2193">
        <w:rPr>
          <w:rFonts w:cs="Tahoma"/>
          <w:b/>
          <w:bCs/>
          <w:i/>
          <w:iCs/>
          <w:sz w:val="21"/>
          <w:szCs w:val="21"/>
          <w:lang w:eastAsia="es-CO"/>
        </w:rPr>
        <w:t xml:space="preserve">2. Declaración del señor Gustavo </w:t>
      </w:r>
      <w:proofErr w:type="spellStart"/>
      <w:r w:rsidRPr="002E2193">
        <w:rPr>
          <w:rFonts w:cs="Tahoma"/>
          <w:b/>
          <w:bCs/>
          <w:i/>
          <w:iCs/>
          <w:sz w:val="21"/>
          <w:szCs w:val="21"/>
          <w:lang w:eastAsia="es-CO"/>
        </w:rPr>
        <w:t>Delvasto</w:t>
      </w:r>
      <w:proofErr w:type="spellEnd"/>
    </w:p>
    <w:p w14:paraId="5940BA51" w14:textId="51EA2C8C" w:rsidR="00CC79CB" w:rsidRPr="002E2193" w:rsidRDefault="00CC79CB"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 xml:space="preserve">Con fundamento en lo establecido en el artículo 40 del CPACA y de acuerdo con lo previsto en los artículos 165, 208 y ss., y 226 y ss. del CGP, respetuosamente solicito se decrete la comparecencia del señor Gustavo </w:t>
      </w:r>
      <w:proofErr w:type="spellStart"/>
      <w:r w:rsidRPr="002E2193">
        <w:rPr>
          <w:rFonts w:cs="Tahoma"/>
          <w:i/>
          <w:iCs/>
          <w:sz w:val="21"/>
          <w:szCs w:val="21"/>
          <w:lang w:eastAsia="es-CO"/>
        </w:rPr>
        <w:t>Delvasto</w:t>
      </w:r>
      <w:proofErr w:type="spellEnd"/>
      <w:r w:rsidRPr="002E2193">
        <w:rPr>
          <w:rFonts w:cs="Tahoma"/>
          <w:i/>
          <w:iCs/>
          <w:sz w:val="21"/>
          <w:szCs w:val="21"/>
          <w:lang w:eastAsia="es-CO"/>
        </w:rPr>
        <w:t xml:space="preserve"> a una audiencia, quien participó en la elaboración del dictamen pericial aportado, con el fin de que presente su declaración sobre su trabajo, así como para que le explique a la Comisión tanto la metodología que empleó, como las conclusiones a las que llegó.</w:t>
      </w:r>
    </w:p>
    <w:p w14:paraId="325F2A90" w14:textId="60C18B2C" w:rsidR="006F6EF2" w:rsidRPr="002E2193" w:rsidRDefault="00B23E48"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w:t>
      </w:r>
    </w:p>
    <w:p w14:paraId="7BD37212" w14:textId="17BCA5E7" w:rsidR="00744930" w:rsidRPr="002E2193" w:rsidRDefault="00B23E48" w:rsidP="002E2193">
      <w:pPr>
        <w:pStyle w:val="Prrafodelista"/>
        <w:numPr>
          <w:ilvl w:val="0"/>
          <w:numId w:val="90"/>
        </w:numPr>
        <w:autoSpaceDE w:val="0"/>
        <w:autoSpaceDN w:val="0"/>
        <w:adjustRightInd w:val="0"/>
        <w:ind w:left="284" w:firstLine="0"/>
        <w:rPr>
          <w:rFonts w:cs="Tahoma"/>
          <w:b/>
          <w:bCs/>
          <w:i/>
          <w:iCs/>
          <w:sz w:val="21"/>
          <w:szCs w:val="21"/>
          <w:lang w:eastAsia="es-CO"/>
        </w:rPr>
      </w:pPr>
      <w:r w:rsidRPr="002E2193">
        <w:rPr>
          <w:rFonts w:cs="Tahoma"/>
          <w:b/>
          <w:bCs/>
          <w:i/>
          <w:iCs/>
          <w:sz w:val="21"/>
          <w:szCs w:val="21"/>
          <w:lang w:eastAsia="es-CO"/>
        </w:rPr>
        <w:t>Prueba Pericial</w:t>
      </w:r>
    </w:p>
    <w:p w14:paraId="3B3552A7" w14:textId="36006845" w:rsidR="00B23E48" w:rsidRPr="002E2193" w:rsidRDefault="00CA4552"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 xml:space="preserve">Con fundamento en lo establecido en el artículo 40 del CPACA y de acuerdo con lo previsto en los artículos 165, 226 y ss. del CGP, </w:t>
      </w:r>
      <w:r w:rsidR="008D5344" w:rsidRPr="002E2193">
        <w:rPr>
          <w:rFonts w:cs="Tahoma"/>
          <w:i/>
          <w:iCs/>
          <w:sz w:val="21"/>
          <w:szCs w:val="21"/>
          <w:lang w:eastAsia="es-CO"/>
        </w:rPr>
        <w:t>en concordancia con lo establecido en los artículos</w:t>
      </w:r>
      <w:r w:rsidR="00D008FB" w:rsidRPr="002E2193">
        <w:rPr>
          <w:rFonts w:cs="Tahoma"/>
          <w:i/>
          <w:iCs/>
          <w:sz w:val="21"/>
          <w:szCs w:val="21"/>
          <w:lang w:eastAsia="es-CO"/>
        </w:rPr>
        <w:t xml:space="preserve"> 108, 109 y 126 de la Ley 142 de 1994, </w:t>
      </w:r>
      <w:r w:rsidRPr="002E2193">
        <w:rPr>
          <w:rFonts w:cs="Tahoma"/>
          <w:i/>
          <w:iCs/>
          <w:sz w:val="21"/>
          <w:szCs w:val="21"/>
          <w:lang w:eastAsia="es-CO"/>
        </w:rPr>
        <w:t>respetuosamente</w:t>
      </w:r>
      <w:r w:rsidR="00D008FB" w:rsidRPr="002E2193">
        <w:rPr>
          <w:rFonts w:cs="Tahoma"/>
          <w:i/>
          <w:iCs/>
          <w:sz w:val="21"/>
          <w:szCs w:val="21"/>
          <w:lang w:eastAsia="es-CO"/>
        </w:rPr>
        <w:t xml:space="preserve"> solicito se decrete la práctica de un dictamen pericial que sea rendido por un perito nombrado por la CREG y que tenga por objeto:</w:t>
      </w:r>
    </w:p>
    <w:p w14:paraId="48ACF22A" w14:textId="72890B4A" w:rsidR="00D008FB" w:rsidRPr="002E2193" w:rsidRDefault="00D008FB" w:rsidP="002E2193">
      <w:pPr>
        <w:pStyle w:val="Prrafodelista"/>
        <w:numPr>
          <w:ilvl w:val="0"/>
          <w:numId w:val="91"/>
        </w:numPr>
        <w:autoSpaceDE w:val="0"/>
        <w:autoSpaceDN w:val="0"/>
        <w:adjustRightInd w:val="0"/>
        <w:ind w:left="284" w:firstLine="0"/>
        <w:rPr>
          <w:rFonts w:cs="Tahoma"/>
          <w:i/>
          <w:iCs/>
          <w:sz w:val="21"/>
          <w:szCs w:val="21"/>
          <w:lang w:eastAsia="es-CO"/>
        </w:rPr>
      </w:pPr>
      <w:r w:rsidRPr="002E2193">
        <w:rPr>
          <w:rFonts w:cs="Tahoma"/>
          <w:i/>
          <w:iCs/>
          <w:sz w:val="21"/>
          <w:szCs w:val="21"/>
          <w:lang w:eastAsia="es-CO"/>
        </w:rPr>
        <w:t>Resolver las diferencias de información o de apreciación sobre la valoración de los activos y que por tanto constituyen aspectos que requieren conocimientos especializados;</w:t>
      </w:r>
    </w:p>
    <w:p w14:paraId="0E831A22" w14:textId="5BB2EDB3" w:rsidR="00D008FB" w:rsidRPr="002E2193" w:rsidRDefault="00D008FB" w:rsidP="002E2193">
      <w:pPr>
        <w:pStyle w:val="Prrafodelista"/>
        <w:numPr>
          <w:ilvl w:val="0"/>
          <w:numId w:val="91"/>
        </w:numPr>
        <w:autoSpaceDE w:val="0"/>
        <w:autoSpaceDN w:val="0"/>
        <w:adjustRightInd w:val="0"/>
        <w:ind w:left="284" w:firstLine="0"/>
        <w:rPr>
          <w:rFonts w:cs="Tahoma"/>
          <w:i/>
          <w:iCs/>
          <w:sz w:val="21"/>
          <w:szCs w:val="21"/>
          <w:lang w:eastAsia="es-CO"/>
        </w:rPr>
      </w:pPr>
      <w:r w:rsidRPr="002E2193">
        <w:rPr>
          <w:rFonts w:cs="Tahoma"/>
          <w:i/>
          <w:iCs/>
          <w:sz w:val="21"/>
          <w:szCs w:val="21"/>
          <w:lang w:eastAsia="es-CO"/>
        </w:rPr>
        <w:t>Demostrar la existencia del incumplimiento de los criterios tarifarios establecidos en la Ley; y/o</w:t>
      </w:r>
    </w:p>
    <w:p w14:paraId="7A55C8B6" w14:textId="69A43790" w:rsidR="00D008FB" w:rsidRPr="002E2193" w:rsidRDefault="00D008FB" w:rsidP="002E2193">
      <w:pPr>
        <w:pStyle w:val="Prrafodelista"/>
        <w:numPr>
          <w:ilvl w:val="0"/>
          <w:numId w:val="91"/>
        </w:numPr>
        <w:autoSpaceDE w:val="0"/>
        <w:autoSpaceDN w:val="0"/>
        <w:adjustRightInd w:val="0"/>
        <w:ind w:left="284" w:firstLine="0"/>
        <w:rPr>
          <w:rFonts w:cs="Tahoma"/>
          <w:i/>
          <w:iCs/>
          <w:sz w:val="21"/>
          <w:szCs w:val="21"/>
          <w:lang w:eastAsia="es-CO"/>
        </w:rPr>
      </w:pPr>
      <w:r w:rsidRPr="002E2193">
        <w:rPr>
          <w:rFonts w:cs="Tahoma"/>
          <w:i/>
          <w:iCs/>
          <w:sz w:val="21"/>
          <w:szCs w:val="21"/>
          <w:lang w:eastAsia="es-CO"/>
        </w:rPr>
        <w:t>Demostrar la existencia del grave error de cálculo que lesiona injustamente los intereses de la empresa.</w:t>
      </w:r>
    </w:p>
    <w:p w14:paraId="5BF47750" w14:textId="415DCC4D" w:rsidR="00D008FB" w:rsidRPr="002E2193" w:rsidRDefault="00D008FB"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En todo caso, el objeto de la prueba pericial podrá ser definido y/o precisado por la Comisión en ejercicio de sus funciones, para efectos de dar cumplimiento a lo establecido en la Ley 142 de 1994.</w:t>
      </w:r>
    </w:p>
    <w:p w14:paraId="6D7B4DF6" w14:textId="792F43C8" w:rsidR="00B23E48" w:rsidRPr="002E2193" w:rsidRDefault="00D008FB" w:rsidP="002E2193">
      <w:pPr>
        <w:pStyle w:val="Prrafodelista"/>
        <w:numPr>
          <w:ilvl w:val="0"/>
          <w:numId w:val="90"/>
        </w:numPr>
        <w:autoSpaceDE w:val="0"/>
        <w:autoSpaceDN w:val="0"/>
        <w:adjustRightInd w:val="0"/>
        <w:ind w:left="284" w:firstLine="0"/>
        <w:rPr>
          <w:rFonts w:cs="Tahoma"/>
          <w:b/>
          <w:bCs/>
          <w:i/>
          <w:iCs/>
          <w:sz w:val="21"/>
          <w:szCs w:val="21"/>
          <w:lang w:eastAsia="es-CO"/>
        </w:rPr>
      </w:pPr>
      <w:r w:rsidRPr="002E2193">
        <w:rPr>
          <w:rFonts w:cs="Tahoma"/>
          <w:b/>
          <w:bCs/>
          <w:i/>
          <w:iCs/>
          <w:sz w:val="21"/>
          <w:szCs w:val="21"/>
          <w:lang w:eastAsia="es-CO"/>
        </w:rPr>
        <w:t>Audiencia</w:t>
      </w:r>
    </w:p>
    <w:p w14:paraId="25485854" w14:textId="5DAC343A" w:rsidR="00D008FB" w:rsidRPr="002E2193" w:rsidRDefault="00D008FB" w:rsidP="002E2193">
      <w:pPr>
        <w:pStyle w:val="Prrafodelista"/>
        <w:numPr>
          <w:ilvl w:val="0"/>
          <w:numId w:val="0"/>
        </w:numPr>
        <w:autoSpaceDE w:val="0"/>
        <w:autoSpaceDN w:val="0"/>
        <w:adjustRightInd w:val="0"/>
        <w:ind w:left="284"/>
        <w:rPr>
          <w:rFonts w:cs="Tahoma"/>
          <w:i/>
          <w:iCs/>
          <w:sz w:val="21"/>
          <w:szCs w:val="21"/>
          <w:lang w:eastAsia="es-CO"/>
        </w:rPr>
      </w:pPr>
      <w:r w:rsidRPr="002E2193">
        <w:rPr>
          <w:rFonts w:cs="Tahoma"/>
          <w:i/>
          <w:iCs/>
          <w:sz w:val="21"/>
          <w:szCs w:val="21"/>
          <w:lang w:eastAsia="es-CO"/>
        </w:rPr>
        <w:t>Con fundamento en lo establecido en los artículos 35 y 40 del CPACA</w:t>
      </w:r>
      <w:r w:rsidR="00945F27" w:rsidRPr="002E2193">
        <w:rPr>
          <w:rFonts w:cs="Tahoma"/>
          <w:i/>
          <w:iCs/>
          <w:sz w:val="21"/>
          <w:szCs w:val="21"/>
          <w:lang w:eastAsia="es-CO"/>
        </w:rPr>
        <w:t>, en concordancia</w:t>
      </w:r>
      <w:r w:rsidRPr="002E2193">
        <w:rPr>
          <w:rFonts w:cs="Tahoma"/>
          <w:i/>
          <w:iCs/>
          <w:sz w:val="21"/>
          <w:szCs w:val="21"/>
          <w:lang w:eastAsia="es-CO"/>
        </w:rPr>
        <w:t xml:space="preserve"> con lo previsto en </w:t>
      </w:r>
      <w:r w:rsidR="00945F27" w:rsidRPr="002E2193">
        <w:rPr>
          <w:rFonts w:cs="Tahoma"/>
          <w:i/>
          <w:iCs/>
          <w:sz w:val="21"/>
          <w:szCs w:val="21"/>
          <w:lang w:eastAsia="es-CO"/>
        </w:rPr>
        <w:t>e</w:t>
      </w:r>
      <w:r w:rsidRPr="002E2193">
        <w:rPr>
          <w:rFonts w:cs="Tahoma"/>
          <w:i/>
          <w:iCs/>
          <w:sz w:val="21"/>
          <w:szCs w:val="21"/>
          <w:lang w:eastAsia="es-CO"/>
        </w:rPr>
        <w:t>l artículo 165 del CGP,</w:t>
      </w:r>
      <w:r w:rsidR="00945F27" w:rsidRPr="002E2193">
        <w:rPr>
          <w:rFonts w:cs="Tahoma"/>
          <w:i/>
          <w:iCs/>
          <w:sz w:val="21"/>
          <w:szCs w:val="21"/>
          <w:lang w:eastAsia="es-CO"/>
        </w:rPr>
        <w:t xml:space="preserve"> respetuosamente solicito se conceda una audiencia con el propósito de desarrollar y explicar los argumentos que han sido expuestos a lo largos de la presente actuación administrativa, así como la forma en que las pruebas solicitadas fundamentan los mismos.</w:t>
      </w:r>
    </w:p>
    <w:p w14:paraId="325C7E1F" w14:textId="12D245F8" w:rsidR="006638A9" w:rsidRPr="002E2193" w:rsidRDefault="006638A9" w:rsidP="006638A9">
      <w:pPr>
        <w:autoSpaceDE w:val="0"/>
        <w:autoSpaceDN w:val="0"/>
        <w:adjustRightInd w:val="0"/>
        <w:rPr>
          <w:rFonts w:cs="Tahoma"/>
          <w:lang w:eastAsia="es-CO"/>
        </w:rPr>
      </w:pPr>
      <w:r>
        <w:rPr>
          <w:rFonts w:cs="Tahoma"/>
          <w:lang w:eastAsia="es-CO"/>
        </w:rPr>
        <w:lastRenderedPageBreak/>
        <w:t xml:space="preserve">Adicionalmente, mediante comunicación radicada en la CREG bajo el número </w:t>
      </w:r>
      <w:r w:rsidR="00651D35">
        <w:rPr>
          <w:rFonts w:cs="Tahoma"/>
          <w:lang w:eastAsia="es-CO"/>
        </w:rPr>
        <w:t>E</w:t>
      </w:r>
      <w:r w:rsidR="00711ABF">
        <w:rPr>
          <w:rFonts w:cs="Tahoma"/>
          <w:lang w:eastAsia="es-CO"/>
        </w:rPr>
        <w:noBreakHyphen/>
      </w:r>
      <w:r w:rsidR="00651D35">
        <w:rPr>
          <w:rFonts w:cs="Tahoma"/>
          <w:lang w:eastAsia="es-CO"/>
        </w:rPr>
        <w:t>2021-005536 del 11 de mayo de 2021, la empresa PROMIGAS S.A. E.S.P.</w:t>
      </w:r>
      <w:r w:rsidR="009A0AD6">
        <w:rPr>
          <w:rFonts w:cs="Tahoma"/>
          <w:lang w:eastAsia="es-CO"/>
        </w:rPr>
        <w:t xml:space="preserve">, por intermedio de su apoderado, </w:t>
      </w:r>
      <w:r w:rsidR="00242FBD">
        <w:rPr>
          <w:rFonts w:cs="Tahoma"/>
          <w:lang w:eastAsia="es-CO"/>
        </w:rPr>
        <w:t xml:space="preserve">solicita que </w:t>
      </w:r>
      <w:r w:rsidR="00242FBD" w:rsidRPr="002E2193">
        <w:rPr>
          <w:rFonts w:cs="Tahoma"/>
          <w:i/>
          <w:iCs/>
          <w:lang w:eastAsia="es-CO"/>
        </w:rPr>
        <w:t xml:space="preserve">“se tenga en cuenta como prueba pericial el informe denominado ‘AVALÚO RED DE DISTRIBUCIÓN BARRANQUILLA’, elaborado por la firma </w:t>
      </w:r>
      <w:proofErr w:type="spellStart"/>
      <w:r w:rsidR="00242FBD" w:rsidRPr="002E2193">
        <w:rPr>
          <w:rFonts w:cs="Tahoma"/>
          <w:i/>
          <w:iCs/>
          <w:lang w:eastAsia="es-CO"/>
        </w:rPr>
        <w:t>Delvasto</w:t>
      </w:r>
      <w:proofErr w:type="spellEnd"/>
      <w:r w:rsidR="00242FBD" w:rsidRPr="002E2193">
        <w:rPr>
          <w:rFonts w:cs="Tahoma"/>
          <w:i/>
          <w:iCs/>
          <w:lang w:eastAsia="es-CO"/>
        </w:rPr>
        <w:t xml:space="preserve"> &amp; Echeverría, y que se aporta con este memorial”</w:t>
      </w:r>
      <w:r w:rsidR="00242FBD">
        <w:rPr>
          <w:rFonts w:cs="Tahoma"/>
          <w:lang w:eastAsia="es-CO"/>
        </w:rPr>
        <w:t>.</w:t>
      </w:r>
      <w:r w:rsidR="009A0AD6">
        <w:rPr>
          <w:rFonts w:cs="Tahoma"/>
          <w:lang w:eastAsia="es-CO"/>
        </w:rPr>
        <w:t xml:space="preserve"> </w:t>
      </w:r>
    </w:p>
    <w:p w14:paraId="279028EB" w14:textId="5D9CB410" w:rsidR="001B5724" w:rsidRPr="002E2193" w:rsidRDefault="001B5724" w:rsidP="002E2193">
      <w:pPr>
        <w:pStyle w:val="Ttulo1"/>
        <w:numPr>
          <w:ilvl w:val="0"/>
          <w:numId w:val="76"/>
        </w:numPr>
        <w:rPr>
          <w:b w:val="0"/>
          <w:lang w:eastAsia="es-CO"/>
        </w:rPr>
      </w:pPr>
      <w:r w:rsidRPr="002E2193">
        <w:rPr>
          <w:lang w:val="es-CO" w:eastAsia="es-CO"/>
        </w:rPr>
        <w:t>ANÁLISIS DE LA SOLICITUD</w:t>
      </w:r>
    </w:p>
    <w:p w14:paraId="41AC6B7A" w14:textId="7AE3FCBF" w:rsidR="0078639B" w:rsidRPr="002E2193" w:rsidRDefault="0078639B" w:rsidP="002E2193">
      <w:pPr>
        <w:pStyle w:val="Ttulo2"/>
        <w:numPr>
          <w:ilvl w:val="1"/>
          <w:numId w:val="94"/>
        </w:numPr>
        <w:rPr>
          <w:b w:val="0"/>
          <w:bCs w:val="0"/>
        </w:rPr>
      </w:pPr>
      <w:r w:rsidRPr="002E2193">
        <w:t xml:space="preserve">CONSIDERACIONES </w:t>
      </w:r>
      <w:r w:rsidR="001B5724">
        <w:t xml:space="preserve">GENERALES </w:t>
      </w:r>
      <w:r w:rsidRPr="002E2193">
        <w:t>DE LA COMISIÓN</w:t>
      </w:r>
    </w:p>
    <w:p w14:paraId="2EACE801" w14:textId="0A59097D" w:rsidR="0078639B" w:rsidRPr="002E2193" w:rsidRDefault="00BD7FFE" w:rsidP="00244BE4">
      <w:pPr>
        <w:autoSpaceDE w:val="0"/>
        <w:autoSpaceDN w:val="0"/>
        <w:adjustRightInd w:val="0"/>
        <w:rPr>
          <w:rFonts w:cs="Tahoma"/>
          <w:lang w:eastAsia="es-CO"/>
        </w:rPr>
      </w:pPr>
      <w:r w:rsidRPr="002E2193">
        <w:rPr>
          <w:rFonts w:cs="Tahoma"/>
          <w:lang w:eastAsia="es-CO"/>
        </w:rPr>
        <w:t>Previo a dar respuesta al recurso de reposición interpuesto por la empresa PROMIGAS S</w:t>
      </w:r>
      <w:r w:rsidR="00973190">
        <w:rPr>
          <w:rFonts w:cs="Tahoma"/>
          <w:lang w:eastAsia="es-CO"/>
        </w:rPr>
        <w:t>.</w:t>
      </w:r>
      <w:r w:rsidRPr="002E2193">
        <w:rPr>
          <w:rFonts w:cs="Tahoma"/>
          <w:lang w:eastAsia="es-CO"/>
        </w:rPr>
        <w:t>A</w:t>
      </w:r>
      <w:r w:rsidR="00973190">
        <w:rPr>
          <w:rFonts w:cs="Tahoma"/>
          <w:lang w:eastAsia="es-CO"/>
        </w:rPr>
        <w:t>.</w:t>
      </w:r>
      <w:r w:rsidRPr="002E2193">
        <w:rPr>
          <w:rFonts w:cs="Tahoma"/>
          <w:lang w:eastAsia="es-CO"/>
        </w:rPr>
        <w:t xml:space="preserve"> E</w:t>
      </w:r>
      <w:r w:rsidR="00973190">
        <w:rPr>
          <w:rFonts w:cs="Tahoma"/>
          <w:lang w:eastAsia="es-CO"/>
        </w:rPr>
        <w:t>.</w:t>
      </w:r>
      <w:r w:rsidRPr="002E2193">
        <w:rPr>
          <w:rFonts w:cs="Tahoma"/>
          <w:lang w:eastAsia="es-CO"/>
        </w:rPr>
        <w:t>S</w:t>
      </w:r>
      <w:r w:rsidR="00973190">
        <w:rPr>
          <w:rFonts w:cs="Tahoma"/>
          <w:lang w:eastAsia="es-CO"/>
        </w:rPr>
        <w:t>.</w:t>
      </w:r>
      <w:r w:rsidRPr="002E2193">
        <w:rPr>
          <w:rFonts w:cs="Tahoma"/>
          <w:lang w:eastAsia="es-CO"/>
        </w:rPr>
        <w:t>P</w:t>
      </w:r>
      <w:r w:rsidR="00973190">
        <w:rPr>
          <w:rFonts w:cs="Tahoma"/>
          <w:lang w:eastAsia="es-CO"/>
        </w:rPr>
        <w:t>.</w:t>
      </w:r>
      <w:r w:rsidRPr="002E2193">
        <w:rPr>
          <w:rFonts w:cs="Tahoma"/>
          <w:lang w:eastAsia="es-CO"/>
        </w:rPr>
        <w:t xml:space="preserve">, ha de tenerse en cuenta lo dispuesto en el Artículo 19 del </w:t>
      </w:r>
      <w:r w:rsidR="00780763" w:rsidRPr="002E2193">
        <w:rPr>
          <w:rFonts w:cs="Tahoma"/>
          <w:lang w:eastAsia="es-CO"/>
        </w:rPr>
        <w:t>Código de Procedimiento Administrativo y de lo Contencioso Administrativo</w:t>
      </w:r>
      <w:r w:rsidR="004B6E3E" w:rsidRPr="002E2193">
        <w:rPr>
          <w:rFonts w:cs="Tahoma"/>
          <w:lang w:eastAsia="es-CO"/>
        </w:rPr>
        <w:t xml:space="preserve"> -en adelante </w:t>
      </w:r>
      <w:r w:rsidRPr="002E2193">
        <w:rPr>
          <w:rFonts w:cs="Tahoma"/>
          <w:lang w:eastAsia="es-CO"/>
        </w:rPr>
        <w:t>CPACA</w:t>
      </w:r>
      <w:r w:rsidR="004B6E3E">
        <w:rPr>
          <w:rFonts w:cs="Tahoma"/>
          <w:lang w:eastAsia="es-CO"/>
        </w:rPr>
        <w:t>-</w:t>
      </w:r>
      <w:r w:rsidRPr="002E2193">
        <w:rPr>
          <w:rFonts w:cs="Tahoma"/>
          <w:lang w:eastAsia="es-CO"/>
        </w:rPr>
        <w:t xml:space="preserve">, </w:t>
      </w:r>
      <w:r w:rsidR="00F91CE2">
        <w:rPr>
          <w:rFonts w:cs="Tahoma"/>
          <w:lang w:eastAsia="es-CO"/>
        </w:rPr>
        <w:t xml:space="preserve">modificado por el Artículo 1 de la Ley </w:t>
      </w:r>
      <w:r w:rsidR="00FB1540">
        <w:rPr>
          <w:rFonts w:cs="Tahoma"/>
          <w:lang w:eastAsia="es-CO"/>
        </w:rPr>
        <w:t xml:space="preserve">1755 de 2015, </w:t>
      </w:r>
      <w:r w:rsidRPr="002E2193">
        <w:rPr>
          <w:rFonts w:cs="Tahoma"/>
          <w:lang w:eastAsia="es-CO"/>
        </w:rPr>
        <w:t>el cual establece lo siguiente:</w:t>
      </w:r>
    </w:p>
    <w:p w14:paraId="68174CD8" w14:textId="7A6B29AB" w:rsidR="00BD7FFE" w:rsidRPr="002E2193" w:rsidRDefault="00BD7FFE" w:rsidP="002E2193">
      <w:pPr>
        <w:autoSpaceDE w:val="0"/>
        <w:autoSpaceDN w:val="0"/>
        <w:adjustRightInd w:val="0"/>
        <w:ind w:left="284"/>
        <w:rPr>
          <w:rFonts w:cs="Tahoma"/>
          <w:i/>
          <w:iCs/>
          <w:sz w:val="21"/>
          <w:szCs w:val="21"/>
          <w:lang w:eastAsia="es-CO"/>
        </w:rPr>
      </w:pPr>
      <w:r w:rsidRPr="002E2193">
        <w:rPr>
          <w:rFonts w:cs="Tahoma"/>
          <w:i/>
          <w:iCs/>
          <w:sz w:val="21"/>
          <w:szCs w:val="21"/>
          <w:lang w:eastAsia="es-CO"/>
        </w:rPr>
        <w:t>ARTÍCULO 19. Peticiones irrespetuosas, oscuras o reiterativas. Toda petición debe ser respetuosa</w:t>
      </w:r>
      <w:r w:rsidR="00FB1540" w:rsidRPr="002E2193">
        <w:rPr>
          <w:rFonts w:cs="Tahoma"/>
          <w:i/>
          <w:iCs/>
          <w:sz w:val="21"/>
          <w:szCs w:val="21"/>
          <w:lang w:eastAsia="es-CO"/>
        </w:rPr>
        <w:t xml:space="preserve"> so pena</w:t>
      </w:r>
      <w:r w:rsidR="0055451C" w:rsidRPr="002E2193">
        <w:rPr>
          <w:rFonts w:cs="Tahoma"/>
          <w:i/>
          <w:iCs/>
          <w:sz w:val="21"/>
          <w:szCs w:val="21"/>
          <w:lang w:eastAsia="es-CO"/>
        </w:rPr>
        <w:t xml:space="preserve"> de rechazo</w:t>
      </w:r>
      <w:r w:rsidRPr="002E2193">
        <w:rPr>
          <w:rFonts w:cs="Tahoma"/>
          <w:i/>
          <w:iCs/>
          <w:sz w:val="21"/>
          <w:szCs w:val="21"/>
          <w:lang w:eastAsia="es-CO"/>
        </w:rPr>
        <w:t>. S</w:t>
      </w:r>
      <w:r w:rsidR="0055451C" w:rsidRPr="002E2193">
        <w:rPr>
          <w:rFonts w:cs="Tahoma"/>
          <w:i/>
          <w:iCs/>
          <w:sz w:val="21"/>
          <w:szCs w:val="21"/>
          <w:lang w:eastAsia="es-CO"/>
        </w:rPr>
        <w:t>o</w:t>
      </w:r>
      <w:r w:rsidRPr="002E2193">
        <w:rPr>
          <w:rFonts w:cs="Tahoma"/>
          <w:i/>
          <w:iCs/>
          <w:sz w:val="21"/>
          <w:szCs w:val="21"/>
          <w:lang w:eastAsia="es-CO"/>
        </w:rPr>
        <w:t xml:space="preserve">lo cuando no se comprenda </w:t>
      </w:r>
      <w:r w:rsidR="0055451C" w:rsidRPr="002E2193">
        <w:rPr>
          <w:rFonts w:cs="Tahoma"/>
          <w:i/>
          <w:iCs/>
          <w:sz w:val="21"/>
          <w:szCs w:val="21"/>
          <w:lang w:eastAsia="es-CO"/>
        </w:rPr>
        <w:t>la</w:t>
      </w:r>
      <w:r w:rsidRPr="002E2193">
        <w:rPr>
          <w:rFonts w:cs="Tahoma"/>
          <w:i/>
          <w:iCs/>
          <w:sz w:val="21"/>
          <w:szCs w:val="21"/>
          <w:lang w:eastAsia="es-CO"/>
        </w:rPr>
        <w:t xml:space="preserve"> finalidad u objeto</w:t>
      </w:r>
      <w:r w:rsidR="0055451C" w:rsidRPr="002E2193">
        <w:rPr>
          <w:rFonts w:cs="Tahoma"/>
          <w:i/>
          <w:iCs/>
          <w:sz w:val="21"/>
          <w:szCs w:val="21"/>
          <w:lang w:eastAsia="es-CO"/>
        </w:rPr>
        <w:t xml:space="preserve"> de la petición esta</w:t>
      </w:r>
      <w:r w:rsidRPr="002E2193">
        <w:rPr>
          <w:rFonts w:cs="Tahoma"/>
          <w:i/>
          <w:iCs/>
          <w:sz w:val="21"/>
          <w:szCs w:val="21"/>
          <w:lang w:eastAsia="es-CO"/>
        </w:rPr>
        <w:t xml:space="preserve"> se devolverá al interesado para que la corrija o aclare dentro de los diez (10) días siguientes. En caso de no corregirse o aclararse, se archivará la petición.</w:t>
      </w:r>
      <w:r w:rsidR="005040AF" w:rsidRPr="002E2193">
        <w:rPr>
          <w:rFonts w:cs="Tahoma"/>
          <w:i/>
          <w:iCs/>
          <w:sz w:val="21"/>
          <w:szCs w:val="21"/>
          <w:lang w:eastAsia="es-CO"/>
        </w:rPr>
        <w:t xml:space="preserve"> En ningún caso se devolverán peticiones que se consideren inadecuadas o incompletas</w:t>
      </w:r>
      <w:r w:rsidR="00B4685A" w:rsidRPr="002E2193">
        <w:rPr>
          <w:rFonts w:cs="Tahoma"/>
          <w:i/>
          <w:iCs/>
          <w:sz w:val="21"/>
          <w:szCs w:val="21"/>
          <w:lang w:eastAsia="es-CO"/>
        </w:rPr>
        <w:t>.</w:t>
      </w:r>
    </w:p>
    <w:p w14:paraId="5D348F18" w14:textId="02136FDC" w:rsidR="00BD7FFE" w:rsidRPr="002E2193" w:rsidRDefault="00BD7FFE" w:rsidP="002E2193">
      <w:pPr>
        <w:autoSpaceDE w:val="0"/>
        <w:autoSpaceDN w:val="0"/>
        <w:adjustRightInd w:val="0"/>
        <w:ind w:left="284"/>
        <w:rPr>
          <w:rFonts w:cs="Tahoma"/>
          <w:i/>
          <w:iCs/>
          <w:sz w:val="21"/>
          <w:szCs w:val="21"/>
          <w:lang w:eastAsia="es-CO"/>
        </w:rPr>
      </w:pPr>
      <w:r w:rsidRPr="002E2193">
        <w:rPr>
          <w:rFonts w:cs="Tahoma"/>
          <w:i/>
          <w:iCs/>
          <w:sz w:val="21"/>
          <w:szCs w:val="21"/>
          <w:lang w:eastAsia="es-CO"/>
        </w:rPr>
        <w:t>Respecto de peticiones reiterativas ya resueltas, la autoridad podrá remitirse a las respuestas anteriores</w:t>
      </w:r>
      <w:r w:rsidR="00B4685A" w:rsidRPr="002E2193">
        <w:rPr>
          <w:rFonts w:cs="Tahoma"/>
          <w:i/>
          <w:iCs/>
          <w:sz w:val="21"/>
          <w:szCs w:val="21"/>
          <w:lang w:eastAsia="es-CO"/>
        </w:rPr>
        <w:t>, salvo que se trate de derechos imprescriptibles, o de peticiones que se hubieran negado por no acreditar</w:t>
      </w:r>
      <w:r w:rsidR="00687DAF" w:rsidRPr="002E2193">
        <w:rPr>
          <w:rFonts w:cs="Tahoma"/>
          <w:i/>
          <w:iCs/>
          <w:sz w:val="21"/>
          <w:szCs w:val="21"/>
          <w:lang w:eastAsia="es-CO"/>
        </w:rPr>
        <w:t xml:space="preserve"> requisitos, siempre que en la nueva petición se subsane</w:t>
      </w:r>
      <w:r w:rsidRPr="002E2193">
        <w:rPr>
          <w:rFonts w:cs="Tahoma"/>
          <w:i/>
          <w:iCs/>
          <w:sz w:val="21"/>
          <w:szCs w:val="21"/>
          <w:lang w:eastAsia="es-CO"/>
        </w:rPr>
        <w:t>.</w:t>
      </w:r>
    </w:p>
    <w:p w14:paraId="56B6283F" w14:textId="777EF77E" w:rsidR="0058379F" w:rsidRDefault="00BD7FFE" w:rsidP="002353E9">
      <w:pPr>
        <w:autoSpaceDE w:val="0"/>
        <w:autoSpaceDN w:val="0"/>
        <w:adjustRightInd w:val="0"/>
        <w:spacing w:before="0" w:after="0"/>
        <w:rPr>
          <w:rFonts w:cs="Tahoma"/>
          <w:lang w:val="es-CO" w:eastAsia="es-CO"/>
        </w:rPr>
      </w:pPr>
      <w:r w:rsidRPr="002E2193">
        <w:rPr>
          <w:rFonts w:cs="Tahoma"/>
          <w:lang w:val="es-CO" w:eastAsia="es-CO"/>
        </w:rPr>
        <w:t>En este sentido</w:t>
      </w:r>
      <w:r w:rsidR="00F31A43">
        <w:rPr>
          <w:rFonts w:cs="Tahoma"/>
          <w:lang w:val="es-CO" w:eastAsia="es-CO"/>
        </w:rPr>
        <w:t>,</w:t>
      </w:r>
      <w:r w:rsidRPr="002E2193">
        <w:rPr>
          <w:rFonts w:cs="Tahoma"/>
          <w:lang w:val="es-CO" w:eastAsia="es-CO"/>
        </w:rPr>
        <w:t xml:space="preserve"> se le informa al recurrente que</w:t>
      </w:r>
      <w:r w:rsidR="00F31A43">
        <w:rPr>
          <w:rFonts w:cs="Tahoma"/>
          <w:lang w:val="es-CO" w:eastAsia="es-CO"/>
        </w:rPr>
        <w:t>,</w:t>
      </w:r>
      <w:r w:rsidRPr="002E2193">
        <w:rPr>
          <w:rFonts w:cs="Tahoma"/>
          <w:lang w:val="es-CO" w:eastAsia="es-CO"/>
        </w:rPr>
        <w:t xml:space="preserve"> independiente</w:t>
      </w:r>
      <w:r w:rsidR="00A45935">
        <w:rPr>
          <w:rFonts w:cs="Tahoma"/>
          <w:lang w:val="es-CO" w:eastAsia="es-CO"/>
        </w:rPr>
        <w:t>mente</w:t>
      </w:r>
      <w:r w:rsidRPr="002E2193">
        <w:rPr>
          <w:rFonts w:cs="Tahoma"/>
          <w:lang w:val="es-CO" w:eastAsia="es-CO"/>
        </w:rPr>
        <w:t xml:space="preserve"> </w:t>
      </w:r>
      <w:r w:rsidR="00F31A43">
        <w:rPr>
          <w:rFonts w:cs="Tahoma"/>
          <w:lang w:val="es-CO" w:eastAsia="es-CO"/>
        </w:rPr>
        <w:t xml:space="preserve">de </w:t>
      </w:r>
      <w:r w:rsidRPr="002E2193">
        <w:rPr>
          <w:rFonts w:cs="Tahoma"/>
          <w:lang w:val="es-CO" w:eastAsia="es-CO"/>
        </w:rPr>
        <w:t>que no se encuentre de acuerdo con la forma en que la Comisión en principio resolvió la solicitud presentada</w:t>
      </w:r>
      <w:r w:rsidR="00F31A43">
        <w:rPr>
          <w:rFonts w:cs="Tahoma"/>
          <w:lang w:val="es-CO" w:eastAsia="es-CO"/>
        </w:rPr>
        <w:t>,</w:t>
      </w:r>
      <w:r w:rsidRPr="002E2193">
        <w:rPr>
          <w:rFonts w:cs="Tahoma"/>
          <w:lang w:val="es-CO" w:eastAsia="es-CO"/>
        </w:rPr>
        <w:t xml:space="preserve"> </w:t>
      </w:r>
      <w:r w:rsidR="005D504A">
        <w:rPr>
          <w:rFonts w:cs="Tahoma"/>
          <w:lang w:val="es-CO" w:eastAsia="es-CO"/>
        </w:rPr>
        <w:t xml:space="preserve">debe </w:t>
      </w:r>
      <w:r w:rsidR="004E07E5">
        <w:rPr>
          <w:rFonts w:cs="Tahoma"/>
          <w:lang w:val="es-CO" w:eastAsia="es-CO"/>
        </w:rPr>
        <w:t>dirigirse a la entidad</w:t>
      </w:r>
      <w:r w:rsidRPr="002E2193">
        <w:rPr>
          <w:rFonts w:cs="Tahoma"/>
          <w:lang w:val="es-CO" w:eastAsia="es-CO"/>
        </w:rPr>
        <w:t xml:space="preserve"> y las personas que se encuentran en ella de manera respetuosa, </w:t>
      </w:r>
      <w:r w:rsidR="004E07E5">
        <w:rPr>
          <w:rFonts w:cs="Tahoma"/>
          <w:lang w:val="es-CO" w:eastAsia="es-CO"/>
        </w:rPr>
        <w:t xml:space="preserve">evitando comentarios </w:t>
      </w:r>
      <w:r w:rsidR="00B72B94">
        <w:rPr>
          <w:rFonts w:cs="Tahoma"/>
          <w:lang w:val="es-CO" w:eastAsia="es-CO"/>
        </w:rPr>
        <w:t>faltos de consideración</w:t>
      </w:r>
      <w:r w:rsidR="00EE1647">
        <w:rPr>
          <w:rFonts w:cs="Tahoma"/>
          <w:lang w:val="es-CO" w:eastAsia="es-CO"/>
        </w:rPr>
        <w:t xml:space="preserve"> y </w:t>
      </w:r>
      <w:r w:rsidR="00EE1647" w:rsidRPr="002E2193">
        <w:rPr>
          <w:rFonts w:cs="Tahoma"/>
          <w:lang w:val="es-CO" w:eastAsia="es-CO"/>
        </w:rPr>
        <w:t>que cuestionan la actuación de la Comisión</w:t>
      </w:r>
      <w:r w:rsidR="00AE78B8">
        <w:rPr>
          <w:rFonts w:cs="Tahoma"/>
          <w:lang w:val="es-CO" w:eastAsia="es-CO"/>
        </w:rPr>
        <w:t xml:space="preserve"> </w:t>
      </w:r>
      <w:r w:rsidRPr="002E2193">
        <w:rPr>
          <w:rFonts w:cs="Tahoma"/>
          <w:lang w:val="es-CO" w:eastAsia="es-CO"/>
        </w:rPr>
        <w:t xml:space="preserve">como </w:t>
      </w:r>
      <w:r w:rsidR="00EE1647">
        <w:rPr>
          <w:rFonts w:cs="Tahoma"/>
          <w:lang w:val="es-CO" w:eastAsia="es-CO"/>
        </w:rPr>
        <w:t xml:space="preserve">los que </w:t>
      </w:r>
      <w:r w:rsidR="00EE1647" w:rsidRPr="002353E9">
        <w:rPr>
          <w:rFonts w:cs="Tahoma"/>
          <w:lang w:val="es-CO" w:eastAsia="es-CO"/>
        </w:rPr>
        <w:t xml:space="preserve">manifiesta </w:t>
      </w:r>
      <w:r w:rsidRPr="002E2193">
        <w:rPr>
          <w:rFonts w:cs="Tahoma"/>
          <w:lang w:val="es-CO" w:eastAsia="es-CO"/>
        </w:rPr>
        <w:t>a lo largo del escrito presenta</w:t>
      </w:r>
      <w:r w:rsidR="00EE1647" w:rsidRPr="002353E9">
        <w:rPr>
          <w:rFonts w:cs="Tahoma"/>
          <w:lang w:val="es-CO" w:eastAsia="es-CO"/>
        </w:rPr>
        <w:t>do</w:t>
      </w:r>
      <w:r w:rsidR="00AE78B8" w:rsidRPr="00AE78B8">
        <w:rPr>
          <w:rFonts w:cs="Tahoma"/>
          <w:lang w:val="es-CO" w:eastAsia="es-CO"/>
        </w:rPr>
        <w:t xml:space="preserve">, tales como </w:t>
      </w:r>
      <w:r w:rsidR="00D1574C" w:rsidRPr="002E2193">
        <w:rPr>
          <w:rFonts w:cs="Tahoma"/>
          <w:i/>
          <w:iCs/>
          <w:lang w:val="es-CO" w:eastAsia="es-CO"/>
        </w:rPr>
        <w:t>“Sea lo primero manifestar de manera sincera y directa, que el documento a través del cual el regulador se pronuncia respecto de la solicitud de revisión tarifaria (…) pareciera más ideas sueltas, más de tono político que regulatorio (…)</w:t>
      </w:r>
      <w:r w:rsidR="00EE696A" w:rsidRPr="002E2193">
        <w:rPr>
          <w:rFonts w:cs="Tahoma"/>
          <w:i/>
          <w:iCs/>
          <w:lang w:val="es-CO" w:eastAsia="es-CO"/>
        </w:rPr>
        <w:t>”</w:t>
      </w:r>
      <w:r w:rsidR="00EE696A" w:rsidRPr="002353E9">
        <w:rPr>
          <w:rFonts w:cs="Tahoma"/>
          <w:lang w:val="es-CO" w:eastAsia="es-CO"/>
        </w:rPr>
        <w:t>,</w:t>
      </w:r>
      <w:r w:rsidR="00EE696A" w:rsidRPr="00AE78B8">
        <w:rPr>
          <w:rFonts w:cs="Tahoma"/>
          <w:lang w:val="es-CO" w:eastAsia="es-CO"/>
        </w:rPr>
        <w:t xml:space="preserve"> </w:t>
      </w:r>
      <w:r w:rsidR="00AE78B8" w:rsidRPr="00AE78B8">
        <w:rPr>
          <w:rFonts w:cs="Tahoma"/>
          <w:lang w:val="es-CO" w:eastAsia="es-CO"/>
        </w:rPr>
        <w:t>“</w:t>
      </w:r>
      <w:r w:rsidR="0034651C" w:rsidRPr="002E2193">
        <w:rPr>
          <w:rFonts w:cs="Tahoma"/>
          <w:i/>
          <w:iCs/>
          <w:lang w:val="es-CO" w:eastAsia="es-CO"/>
        </w:rPr>
        <w:t>(…) se incurriría entonces ahí sí, en un error de derecho por falsa motivación, pues los errores ya no podrían justificarse en una eventual equivocación del funcionario público, sino que se estaría frente a una interpretación amañada, interesada y acomodada que implicaría la modificación y el desconocimiento de normas concretas”</w:t>
      </w:r>
      <w:r w:rsidR="007334F6" w:rsidRPr="00AE78B8">
        <w:rPr>
          <w:rFonts w:cs="Tahoma"/>
          <w:lang w:val="es-CO" w:eastAsia="es-CO"/>
        </w:rPr>
        <w:t xml:space="preserve">, </w:t>
      </w:r>
      <w:r w:rsidR="009C06EB" w:rsidRPr="00AE78B8">
        <w:rPr>
          <w:rFonts w:cs="Tahoma"/>
          <w:lang w:val="es-CO" w:eastAsia="es-CO"/>
        </w:rPr>
        <w:t>entre otros.</w:t>
      </w:r>
    </w:p>
    <w:p w14:paraId="4BBF5FA3" w14:textId="74DA0CB3" w:rsidR="00B71383" w:rsidRPr="0034651C" w:rsidRDefault="0050746A" w:rsidP="002E2193">
      <w:pPr>
        <w:pStyle w:val="Ttulo2"/>
      </w:pPr>
      <w:r w:rsidRPr="00206B3F">
        <w:t xml:space="preserve">INTERVENCIÓN DEL ESTADO EN LA PRESTACIÓN DE LOS </w:t>
      </w:r>
      <w:r w:rsidRPr="001B5724">
        <w:t>SERVICIOS</w:t>
      </w:r>
    </w:p>
    <w:p w14:paraId="158EE403" w14:textId="4DE202B6" w:rsidR="00BD7FFE" w:rsidRPr="00973190" w:rsidRDefault="000D7692" w:rsidP="00BE6EBF">
      <w:pPr>
        <w:autoSpaceDE w:val="0"/>
        <w:autoSpaceDN w:val="0"/>
        <w:adjustRightInd w:val="0"/>
        <w:rPr>
          <w:rFonts w:cs="Tahoma"/>
          <w:lang w:val="es-CO" w:eastAsia="es-CO"/>
        </w:rPr>
      </w:pPr>
      <w:r w:rsidRPr="00973190">
        <w:rPr>
          <w:rFonts w:cs="Tahoma"/>
          <w:lang w:val="es-CO" w:eastAsia="es-CO"/>
        </w:rPr>
        <w:t xml:space="preserve">Respecto de los planteamientos presentados por el recurrente en relación con la función social que se debe tener en cuenta en la prestación de los servicios públicos domiciliarios en Colombia, conforme al ordenamiento jurídico existente </w:t>
      </w:r>
      <w:r w:rsidR="00C66BB7">
        <w:rPr>
          <w:rFonts w:cs="Tahoma"/>
          <w:lang w:val="es-CO" w:eastAsia="es-CO"/>
        </w:rPr>
        <w:t xml:space="preserve">se </w:t>
      </w:r>
      <w:r w:rsidRPr="00973190">
        <w:rPr>
          <w:rFonts w:cs="Tahoma"/>
          <w:lang w:val="es-CO" w:eastAsia="es-CO"/>
        </w:rPr>
        <w:t>debe tener presente lo dispuesto en este sentido por la Corte Constitucional en su sentencia C-</w:t>
      </w:r>
      <w:r w:rsidR="00F23C30" w:rsidRPr="00973190">
        <w:rPr>
          <w:rFonts w:cs="Tahoma"/>
          <w:lang w:val="es-CO" w:eastAsia="es-CO"/>
        </w:rPr>
        <w:t xml:space="preserve">150 de 2003, donde se manifiesta lo siguiente: </w:t>
      </w:r>
    </w:p>
    <w:p w14:paraId="315CB7DA" w14:textId="68403031" w:rsidR="00F23C30" w:rsidRPr="002E2193" w:rsidRDefault="00F23C30" w:rsidP="002E2193">
      <w:pPr>
        <w:shd w:val="clear" w:color="auto" w:fill="FFFFFF"/>
        <w:ind w:left="284"/>
        <w:rPr>
          <w:rFonts w:cs="Tahoma"/>
          <w:i/>
          <w:iCs/>
          <w:color w:val="2D2D2D"/>
          <w:sz w:val="21"/>
          <w:szCs w:val="21"/>
          <w:lang w:eastAsia="es-CO"/>
        </w:rPr>
      </w:pPr>
      <w:r w:rsidRPr="002E2193">
        <w:rPr>
          <w:rFonts w:cs="Tahoma"/>
          <w:i/>
          <w:iCs/>
          <w:color w:val="2D2D2D"/>
          <w:sz w:val="21"/>
          <w:szCs w:val="21"/>
          <w:lang w:eastAsia="es-CO"/>
        </w:rPr>
        <w:t xml:space="preserve">4.1.1.2. En efecto, en forma gradual y progresiva la función estatal de regulación </w:t>
      </w:r>
      <w:proofErr w:type="gramStart"/>
      <w:r w:rsidRPr="002E2193">
        <w:rPr>
          <w:rFonts w:cs="Tahoma"/>
          <w:i/>
          <w:iCs/>
          <w:color w:val="2D2D2D"/>
          <w:sz w:val="21"/>
          <w:szCs w:val="21"/>
          <w:lang w:eastAsia="es-CO"/>
        </w:rPr>
        <w:t>socio-económica</w:t>
      </w:r>
      <w:proofErr w:type="gramEnd"/>
      <w:r w:rsidRPr="002E2193">
        <w:rPr>
          <w:rFonts w:cs="Tahoma"/>
          <w:i/>
          <w:iCs/>
          <w:color w:val="2D2D2D"/>
          <w:sz w:val="21"/>
          <w:szCs w:val="21"/>
          <w:lang w:eastAsia="es-CO"/>
        </w:rPr>
        <w:t xml:space="preserve"> ha venido adquiriendo un contenido que la diferencia de las demás funciones de intervención estatal en la economía. Así la función estatal de regulación está </w:t>
      </w:r>
      <w:r w:rsidRPr="002E2193">
        <w:rPr>
          <w:rFonts w:cs="Tahoma"/>
          <w:i/>
          <w:iCs/>
          <w:color w:val="2D2D2D"/>
          <w:sz w:val="21"/>
          <w:szCs w:val="21"/>
          <w:lang w:eastAsia="es-CO"/>
        </w:rPr>
        <w:lastRenderedPageBreak/>
        <w:t xml:space="preserve">segmentada por sectores de actividad económica o social, de tal manera que la regulación de un sector pueda responder a las especificidades </w:t>
      </w:r>
      <w:proofErr w:type="gramStart"/>
      <w:r w:rsidRPr="002E2193">
        <w:rPr>
          <w:rFonts w:cs="Tahoma"/>
          <w:i/>
          <w:iCs/>
          <w:color w:val="2D2D2D"/>
          <w:sz w:val="21"/>
          <w:szCs w:val="21"/>
          <w:lang w:eastAsia="es-CO"/>
        </w:rPr>
        <w:t>del mismo</w:t>
      </w:r>
      <w:proofErr w:type="gramEnd"/>
      <w:r w:rsidRPr="002E2193">
        <w:rPr>
          <w:rFonts w:cs="Tahoma"/>
          <w:i/>
          <w:iCs/>
          <w:color w:val="2D2D2D"/>
          <w:sz w:val="21"/>
          <w:szCs w:val="21"/>
          <w:lang w:eastAsia="es-CO"/>
        </w:rPr>
        <w:t>.</w:t>
      </w:r>
    </w:p>
    <w:p w14:paraId="022154C2" w14:textId="4BAFA511" w:rsidR="00F23C30" w:rsidRPr="002E2193" w:rsidRDefault="00F23C30" w:rsidP="002E2193">
      <w:pPr>
        <w:shd w:val="clear" w:color="auto" w:fill="FFFFFF"/>
        <w:ind w:left="284"/>
        <w:rPr>
          <w:rFonts w:cs="Tahoma"/>
          <w:i/>
          <w:iCs/>
          <w:color w:val="2D2D2D"/>
          <w:sz w:val="21"/>
          <w:szCs w:val="21"/>
          <w:lang w:eastAsia="es-CO"/>
        </w:rPr>
      </w:pPr>
      <w:r w:rsidRPr="002E2193">
        <w:rPr>
          <w:rFonts w:cs="Tahoma"/>
          <w:i/>
          <w:iCs/>
          <w:color w:val="2D2D2D"/>
          <w:sz w:val="21"/>
          <w:szCs w:val="21"/>
          <w:lang w:eastAsia="es-CO"/>
        </w:rPr>
        <w:t>Además, el ejercicio de la función de regulación obedece a criterios técnicos relativos a las características del sector y a su dinámica propia, lo cual no significa que las decisiones sobre qué sector regular, para qué fines específicos ha de ser regulado y con qué instrumentos se llevará a cabo dicha regulación, carezcan de una dimensión política cuya definición corresponde generalmente al Congreso de la República.</w:t>
      </w:r>
      <w:r w:rsidR="006851DE" w:rsidRPr="002E2193">
        <w:rPr>
          <w:rFonts w:cs="Tahoma"/>
          <w:i/>
          <w:iCs/>
          <w:color w:val="2D2D2D"/>
          <w:sz w:val="21"/>
          <w:szCs w:val="21"/>
          <w:lang w:eastAsia="es-CO"/>
        </w:rPr>
        <w:t xml:space="preserve"> </w:t>
      </w:r>
      <w:r w:rsidRPr="002E2193">
        <w:rPr>
          <w:rFonts w:cs="Tahoma"/>
          <w:i/>
          <w:iCs/>
          <w:color w:val="2D2D2D"/>
          <w:sz w:val="21"/>
          <w:szCs w:val="21"/>
          <w:lang w:eastAsia="es-CO"/>
        </w:rPr>
        <w:t xml:space="preserve">Adicionalmente, la regulación es una actividad continua que comprende el seguimiento de la evolución del sector correspondiente y que implica la adopción de diversos tipos de decisiones y actos adecuados tanto a orientar la dinámica del sector hacia los fines que la justifican en cada caso como a permitir el flujo de actividad </w:t>
      </w:r>
      <w:proofErr w:type="gramStart"/>
      <w:r w:rsidRPr="002E2193">
        <w:rPr>
          <w:rFonts w:cs="Tahoma"/>
          <w:i/>
          <w:iCs/>
          <w:color w:val="2D2D2D"/>
          <w:sz w:val="21"/>
          <w:szCs w:val="21"/>
          <w:lang w:eastAsia="es-CO"/>
        </w:rPr>
        <w:t>socio-económica</w:t>
      </w:r>
      <w:proofErr w:type="gramEnd"/>
      <w:r w:rsidRPr="002E2193">
        <w:rPr>
          <w:rFonts w:cs="Tahoma"/>
          <w:i/>
          <w:iCs/>
          <w:color w:val="2D2D2D"/>
          <w:sz w:val="21"/>
          <w:szCs w:val="21"/>
          <w:lang w:eastAsia="es-CO"/>
        </w:rPr>
        <w:t xml:space="preserve"> respectivo. La función de regulación usualmente exige de la concurrencia de, a lo menos, dos ramas del poder público y es ejercida de manera continua por un órgano que cumple el régimen de regulación fijado por el legislador, que goza de una especial autonomía constitucional o independencia legal, según el caso, para desarrollar su misión institucional y cuyo ámbito de competencia comprende distintos tipos de facultades.</w:t>
      </w:r>
    </w:p>
    <w:p w14:paraId="1DF09CA8" w14:textId="0185ACA9" w:rsidR="00F23C30" w:rsidRPr="002E2193" w:rsidRDefault="00F23C30" w:rsidP="002E2193">
      <w:pPr>
        <w:shd w:val="clear" w:color="auto" w:fill="FFFFFF"/>
        <w:ind w:left="284"/>
        <w:rPr>
          <w:rFonts w:cs="Tahoma"/>
          <w:i/>
          <w:iCs/>
          <w:color w:val="2D2D2D"/>
          <w:sz w:val="21"/>
          <w:szCs w:val="21"/>
          <w:lang w:eastAsia="es-CO"/>
        </w:rPr>
      </w:pPr>
      <w:r w:rsidRPr="002E2193">
        <w:rPr>
          <w:rFonts w:cs="Tahoma"/>
          <w:i/>
          <w:iCs/>
          <w:color w:val="2D2D2D"/>
          <w:sz w:val="21"/>
          <w:szCs w:val="21"/>
          <w:lang w:eastAsia="es-CO"/>
        </w:rPr>
        <w:t>Dadas las especificidades de la función de regulación y las particularidades de cada sector de actividad socio–económica regulado, dicha función se puede manifestar en facultades de regulación y en instrumentos muy diversos. En un extremo se encuentra la facultad normativa de regulación, consistente en la adopción de normas que concreten reglas de juego dentro de ámbitos precisos predeterminados, en cumplimiento del régimen fijado por el legislador. En otro extremo se ubican facultades que, en principio, carecen de efectos jurídicos como la de divulgar información relativa al sector con el fin de incidir en las expectativas de los agentes económicos y consumidores o usuarios dentro del mismo, lo cual podría llevarlos a modificar su comportamiento. Entre estos extremos se pueden identificar múltiples facultades encaminadas al ejercicio de la función de regulación. Estas comprenden la facultad de conocer información proveniente de los agentes regulados con el fin de que el órgano de regulación cuente con todos los elementos de juicio para adoptar sus decisiones; la facultad de rendir conceptos a petición de un interesado, de oficio o por mandato de la ley; la facultad de emitir recomendaciones; la facultad de adoptar medidas individuales como autorizaciones o permisos; la facultad de efectuar el seguimiento del comportamiento de un agente regulado para advertirle que reoriente sus actividades dentro de los fines señalados por la ley o para dirigirle órdenes de hacer o no hacer después de haber seguido el procedimiento establecido en el régimen vigente; la facultad de presentar denuncias o iniciar acciones judiciales; la facultad de imponer sanciones administrativas respetando el debido proceso y el derecho de defensa; la facultad de definir tarifas dentro del régimen establecido por el legislador, en fin. Corresponde al legislador en ejercicio de su poder de configuración y respetando los límites constitucionales determinar qué facultades son adecuadas para que el órgano de regulación correspondiente cumpla sus funciones en aras de promover el interés general y de alcanzar los fines públicos que justifican su existencia.</w:t>
      </w:r>
    </w:p>
    <w:p w14:paraId="076BC029" w14:textId="27D2EDAC" w:rsidR="0034651C" w:rsidRDefault="00F23C30" w:rsidP="00244BE4">
      <w:pPr>
        <w:autoSpaceDE w:val="0"/>
        <w:autoSpaceDN w:val="0"/>
        <w:adjustRightInd w:val="0"/>
        <w:rPr>
          <w:rFonts w:cs="Tahoma"/>
          <w:lang w:val="es-CO" w:eastAsia="es-CO"/>
        </w:rPr>
      </w:pPr>
      <w:r w:rsidRPr="00924577">
        <w:rPr>
          <w:rFonts w:cs="Tahoma"/>
          <w:lang w:val="es-CO" w:eastAsia="es-CO"/>
        </w:rPr>
        <w:t>De la lectura de lo expresado por la Corte Constitucional</w:t>
      </w:r>
      <w:r w:rsidR="00E458FA">
        <w:rPr>
          <w:rFonts w:cs="Tahoma"/>
          <w:lang w:val="es-CO" w:eastAsia="es-CO"/>
        </w:rPr>
        <w:t>,</w:t>
      </w:r>
      <w:r w:rsidRPr="00924577">
        <w:rPr>
          <w:rFonts w:cs="Tahoma"/>
          <w:lang w:val="es-CO" w:eastAsia="es-CO"/>
        </w:rPr>
        <w:t xml:space="preserve"> la función estatal de la regulación socio económica ha venido tomando diferentes caminos</w:t>
      </w:r>
      <w:r w:rsidR="00711ABF">
        <w:rPr>
          <w:rFonts w:cs="Tahoma"/>
          <w:lang w:val="es-CO" w:eastAsia="es-CO"/>
        </w:rPr>
        <w:t>,</w:t>
      </w:r>
      <w:r w:rsidRPr="00924577">
        <w:rPr>
          <w:rFonts w:cs="Tahoma"/>
          <w:lang w:val="es-CO" w:eastAsia="es-CO"/>
        </w:rPr>
        <w:t xml:space="preserve"> y tiene un contexto diferente a las demás formas de desarrollo de la función de intervención estatal</w:t>
      </w:r>
      <w:r w:rsidR="0034651C">
        <w:rPr>
          <w:rFonts w:cs="Tahoma"/>
          <w:lang w:val="es-CO" w:eastAsia="es-CO"/>
        </w:rPr>
        <w:t>.</w:t>
      </w:r>
    </w:p>
    <w:p w14:paraId="5397ABA8" w14:textId="1A573D3C" w:rsidR="00F23C30" w:rsidRPr="00924577" w:rsidRDefault="0034651C" w:rsidP="00244BE4">
      <w:pPr>
        <w:autoSpaceDE w:val="0"/>
        <w:autoSpaceDN w:val="0"/>
        <w:adjustRightInd w:val="0"/>
        <w:rPr>
          <w:rFonts w:cs="Tahoma"/>
          <w:lang w:val="es-CO" w:eastAsia="es-CO"/>
        </w:rPr>
      </w:pPr>
      <w:r>
        <w:rPr>
          <w:rFonts w:cs="Tahoma"/>
          <w:lang w:val="es-CO" w:eastAsia="es-CO"/>
        </w:rPr>
        <w:t xml:space="preserve">Es así como esa intervención tiene presente la existencia de </w:t>
      </w:r>
      <w:r w:rsidR="00F23C30" w:rsidRPr="00924577">
        <w:rPr>
          <w:rFonts w:cs="Tahoma"/>
          <w:lang w:val="es-CO" w:eastAsia="es-CO"/>
        </w:rPr>
        <w:t xml:space="preserve">aspectos técnicos y criterios </w:t>
      </w:r>
      <w:r>
        <w:rPr>
          <w:rFonts w:cs="Tahoma"/>
          <w:lang w:val="es-CO" w:eastAsia="es-CO"/>
        </w:rPr>
        <w:t xml:space="preserve">que son </w:t>
      </w:r>
      <w:r w:rsidR="00F23C30" w:rsidRPr="00924577">
        <w:rPr>
          <w:rFonts w:cs="Tahoma"/>
          <w:lang w:val="es-CO" w:eastAsia="es-CO"/>
        </w:rPr>
        <w:t>propio</w:t>
      </w:r>
      <w:r w:rsidR="00282BC9">
        <w:rPr>
          <w:rFonts w:cs="Tahoma"/>
          <w:lang w:val="es-CO" w:eastAsia="es-CO"/>
        </w:rPr>
        <w:t>s</w:t>
      </w:r>
      <w:r w:rsidR="00F23C30" w:rsidRPr="00924577">
        <w:rPr>
          <w:rFonts w:cs="Tahoma"/>
          <w:lang w:val="es-CO" w:eastAsia="es-CO"/>
        </w:rPr>
        <w:t xml:space="preserve"> del sector que regula, </w:t>
      </w:r>
      <w:r w:rsidR="003079EF">
        <w:rPr>
          <w:rFonts w:cs="Tahoma"/>
          <w:lang w:val="es-CO" w:eastAsia="es-CO"/>
        </w:rPr>
        <w:t xml:space="preserve">como este caso es el de los servicios públicos domiciliarios, teniendo presente la </w:t>
      </w:r>
      <w:r w:rsidR="00F23C30" w:rsidRPr="00924577">
        <w:rPr>
          <w:rFonts w:cs="Tahoma"/>
          <w:lang w:val="es-CO" w:eastAsia="es-CO"/>
        </w:rPr>
        <w:t>evolución que a cada momento se puede presentar en el mismo</w:t>
      </w:r>
      <w:r w:rsidR="003079EF">
        <w:rPr>
          <w:rFonts w:cs="Tahoma"/>
          <w:lang w:val="es-CO" w:eastAsia="es-CO"/>
        </w:rPr>
        <w:t>.</w:t>
      </w:r>
      <w:r w:rsidR="00F23C30" w:rsidRPr="00924577">
        <w:rPr>
          <w:rFonts w:cs="Tahoma"/>
          <w:lang w:val="es-CO" w:eastAsia="es-CO"/>
        </w:rPr>
        <w:t xml:space="preserve">  </w:t>
      </w:r>
    </w:p>
    <w:p w14:paraId="4DE65C92" w14:textId="61F4AA43" w:rsidR="00F23C30" w:rsidRDefault="00F23C30">
      <w:pPr>
        <w:autoSpaceDE w:val="0"/>
        <w:autoSpaceDN w:val="0"/>
        <w:adjustRightInd w:val="0"/>
        <w:rPr>
          <w:rFonts w:cs="Tahoma"/>
          <w:lang w:val="es-CO" w:eastAsia="es-CO"/>
        </w:rPr>
      </w:pPr>
      <w:r w:rsidRPr="00924577">
        <w:rPr>
          <w:rFonts w:cs="Tahoma"/>
          <w:lang w:val="es-CO" w:eastAsia="es-CO"/>
        </w:rPr>
        <w:lastRenderedPageBreak/>
        <w:t>Es decir que la intervención estatal</w:t>
      </w:r>
      <w:r w:rsidR="00BF7116">
        <w:rPr>
          <w:rFonts w:cs="Tahoma"/>
          <w:lang w:val="es-CO" w:eastAsia="es-CO"/>
        </w:rPr>
        <w:t>,</w:t>
      </w:r>
      <w:r w:rsidRPr="00924577">
        <w:rPr>
          <w:rFonts w:cs="Tahoma"/>
          <w:lang w:val="es-CO" w:eastAsia="es-CO"/>
        </w:rPr>
        <w:t xml:space="preserve"> a través de la regulación de los servicios públicos </w:t>
      </w:r>
      <w:r w:rsidRPr="003F7F7D">
        <w:rPr>
          <w:rFonts w:cs="Tahoma"/>
          <w:lang w:val="es-CO" w:eastAsia="es-CO"/>
        </w:rPr>
        <w:t>domiciliarios</w:t>
      </w:r>
      <w:r w:rsidR="00BF7116" w:rsidRPr="003F7F7D">
        <w:rPr>
          <w:rFonts w:cs="Tahoma"/>
          <w:lang w:val="es-CO" w:eastAsia="es-CO"/>
        </w:rPr>
        <w:t>,</w:t>
      </w:r>
      <w:r w:rsidRPr="003F7F7D">
        <w:rPr>
          <w:rFonts w:cs="Tahoma"/>
          <w:lang w:val="es-CO" w:eastAsia="es-CO"/>
        </w:rPr>
        <w:t xml:space="preserve"> en nada raya con la forma en que los mismos deben remunerarse</w:t>
      </w:r>
      <w:r w:rsidR="003079EF" w:rsidRPr="003F7F7D">
        <w:rPr>
          <w:rFonts w:cs="Tahoma"/>
          <w:lang w:val="es-CO" w:eastAsia="es-CO"/>
        </w:rPr>
        <w:t>, dejando en claro la eficiencia en lo que se reconoce</w:t>
      </w:r>
      <w:r w:rsidR="00711ABF">
        <w:rPr>
          <w:rFonts w:cs="Tahoma"/>
          <w:lang w:val="es-CO" w:eastAsia="es-CO"/>
        </w:rPr>
        <w:t>,</w:t>
      </w:r>
      <w:r w:rsidR="003079EF" w:rsidRPr="003F7F7D">
        <w:rPr>
          <w:rFonts w:cs="Tahoma"/>
          <w:lang w:val="es-CO" w:eastAsia="es-CO"/>
        </w:rPr>
        <w:t xml:space="preserve"> y sin dejar de lado </w:t>
      </w:r>
      <w:r w:rsidRPr="003F7F7D">
        <w:rPr>
          <w:rFonts w:cs="Tahoma"/>
          <w:lang w:val="es-CO" w:eastAsia="es-CO"/>
        </w:rPr>
        <w:t xml:space="preserve">los preceptos constitucionales </w:t>
      </w:r>
      <w:r w:rsidR="003079EF" w:rsidRPr="003F7F7D">
        <w:rPr>
          <w:rFonts w:cs="Tahoma"/>
          <w:lang w:val="es-CO" w:eastAsia="es-CO"/>
        </w:rPr>
        <w:t>como parte fundamental de la función que se encuentra a cargo del Estado</w:t>
      </w:r>
      <w:r w:rsidRPr="003F7F7D">
        <w:rPr>
          <w:rFonts w:cs="Tahoma"/>
          <w:lang w:val="es-CO" w:eastAsia="es-CO"/>
        </w:rPr>
        <w:t>.</w:t>
      </w:r>
    </w:p>
    <w:p w14:paraId="211C4FD5" w14:textId="43445887" w:rsidR="00924577" w:rsidRPr="00924577" w:rsidRDefault="00924577" w:rsidP="002E2193">
      <w:pPr>
        <w:pStyle w:val="Ttulo2"/>
      </w:pPr>
      <w:bookmarkStart w:id="1" w:name="_Ref80880143"/>
      <w:r w:rsidRPr="00206B3F">
        <w:t xml:space="preserve">DERECHO A </w:t>
      </w:r>
      <w:r w:rsidRPr="007B6AB8">
        <w:t>LA PROPIEDAD</w:t>
      </w:r>
      <w:bookmarkEnd w:id="1"/>
    </w:p>
    <w:p w14:paraId="7A26A822" w14:textId="300500D2" w:rsidR="00F21ACD" w:rsidRPr="0050746A" w:rsidRDefault="00F21ACD" w:rsidP="00F21ACD">
      <w:pPr>
        <w:rPr>
          <w:rFonts w:cs="Arial"/>
          <w:bCs/>
        </w:rPr>
      </w:pPr>
      <w:r w:rsidRPr="0050746A">
        <w:rPr>
          <w:rFonts w:cs="Arial"/>
          <w:bCs/>
        </w:rPr>
        <w:t>En relación con la afectación del derecho a la propiedad y acudiendo nuevamente a lo dispuesto por la Sentencia C-150 de 2003, en relación con este derecho se manifiesta lo siguiente:</w:t>
      </w:r>
    </w:p>
    <w:p w14:paraId="718136ED" w14:textId="26336EED" w:rsidR="00F21ACD" w:rsidRPr="002E2193" w:rsidRDefault="00F21ACD" w:rsidP="002E2193">
      <w:pPr>
        <w:shd w:val="clear" w:color="auto" w:fill="FFFFFF"/>
        <w:ind w:left="284"/>
        <w:rPr>
          <w:rFonts w:cs="Tahoma"/>
          <w:i/>
          <w:iCs/>
          <w:color w:val="2D2D2D"/>
          <w:sz w:val="21"/>
          <w:szCs w:val="21"/>
          <w:lang w:eastAsia="es-CO"/>
        </w:rPr>
      </w:pPr>
      <w:r w:rsidRPr="002E2193">
        <w:rPr>
          <w:rFonts w:cs="Tahoma"/>
          <w:i/>
          <w:iCs/>
          <w:color w:val="2D2D2D"/>
          <w:sz w:val="21"/>
          <w:szCs w:val="21"/>
          <w:lang w:eastAsia="es-CO"/>
        </w:rPr>
        <w:t xml:space="preserve">4.1.1.1. En un Estado social de derecho la intervención estatal en el ámbito socio–económico puede obedecer al cumplimiento de diversas funciones generalmente agrupadas en cuatro grandes categorías: una función de redistribución del ingreso y de la propiedad expresamente consagrada en varias disposiciones de la Constitución con miras a alcanzar un </w:t>
      </w:r>
      <w:r w:rsidR="00352A53" w:rsidRPr="002E2193">
        <w:rPr>
          <w:rFonts w:cs="Tahoma"/>
          <w:i/>
          <w:iCs/>
          <w:color w:val="2D2D2D"/>
          <w:sz w:val="21"/>
          <w:szCs w:val="21"/>
          <w:lang w:eastAsia="es-CO"/>
        </w:rPr>
        <w:t>‘</w:t>
      </w:r>
      <w:r w:rsidRPr="002E2193">
        <w:rPr>
          <w:rFonts w:cs="Tahoma"/>
          <w:i/>
          <w:iCs/>
          <w:color w:val="2D2D2D"/>
          <w:sz w:val="21"/>
          <w:szCs w:val="21"/>
          <w:lang w:eastAsia="es-CO"/>
        </w:rPr>
        <w:t>orden político, económico y social justo</w:t>
      </w:r>
      <w:r w:rsidR="00352A53" w:rsidRPr="002E2193">
        <w:rPr>
          <w:rFonts w:cs="Tahoma"/>
          <w:i/>
          <w:iCs/>
          <w:color w:val="2D2D2D"/>
          <w:sz w:val="21"/>
          <w:szCs w:val="21"/>
          <w:lang w:eastAsia="es-CO"/>
        </w:rPr>
        <w:t>’</w:t>
      </w:r>
      <w:r w:rsidRPr="002E2193">
        <w:rPr>
          <w:rFonts w:cs="Tahoma"/>
          <w:i/>
          <w:iCs/>
          <w:color w:val="2D2D2D"/>
          <w:sz w:val="21"/>
          <w:szCs w:val="21"/>
          <w:lang w:eastAsia="es-CO"/>
        </w:rPr>
        <w:t xml:space="preserve"> (Preámbulo); una función de estabilización económica también consagrada en diversas normas superiores (artículos 334 </w:t>
      </w:r>
      <w:proofErr w:type="spellStart"/>
      <w:r w:rsidRPr="002E2193">
        <w:rPr>
          <w:rFonts w:cs="Tahoma"/>
          <w:i/>
          <w:iCs/>
          <w:color w:val="2D2D2D"/>
          <w:sz w:val="21"/>
          <w:szCs w:val="21"/>
          <w:lang w:eastAsia="es-CO"/>
        </w:rPr>
        <w:t>inc</w:t>
      </w:r>
      <w:proofErr w:type="spellEnd"/>
      <w:r w:rsidRPr="002E2193">
        <w:rPr>
          <w:rFonts w:cs="Tahoma"/>
          <w:i/>
          <w:iCs/>
          <w:color w:val="2D2D2D"/>
          <w:sz w:val="21"/>
          <w:szCs w:val="21"/>
          <w:lang w:eastAsia="es-CO"/>
        </w:rPr>
        <w:t xml:space="preserve">, 1°, 339, 347, 371 y 373 de la C.P.); una función de regulación económica y social de múltiples sectores y actividades específicas según los diversos parámetros trazados en la Constitución (artículos 49 y 150, numeral 19, por ejemplo); y, todas las anteriores, dentro de un contexto de intervención general encaminado a definir las condiciones fundamentales del funcionamiento del mercado y de la convivencia social, como el derecho de propiedad privada pero entendido como </w:t>
      </w:r>
      <w:r w:rsidR="00352A53" w:rsidRPr="002E2193">
        <w:rPr>
          <w:rFonts w:cs="Tahoma"/>
          <w:i/>
          <w:iCs/>
          <w:color w:val="2D2D2D"/>
          <w:sz w:val="21"/>
          <w:szCs w:val="21"/>
          <w:lang w:eastAsia="es-CO"/>
        </w:rPr>
        <w:t>‘</w:t>
      </w:r>
      <w:r w:rsidRPr="002E2193">
        <w:rPr>
          <w:rFonts w:cs="Tahoma"/>
          <w:i/>
          <w:iCs/>
          <w:color w:val="2D2D2D"/>
          <w:sz w:val="21"/>
          <w:szCs w:val="21"/>
          <w:lang w:eastAsia="es-CO"/>
        </w:rPr>
        <w:t>función social</w:t>
      </w:r>
      <w:r w:rsidR="00352A53" w:rsidRPr="002E2193">
        <w:rPr>
          <w:rFonts w:cs="Tahoma"/>
          <w:i/>
          <w:iCs/>
          <w:color w:val="2D2D2D"/>
          <w:sz w:val="21"/>
          <w:szCs w:val="21"/>
          <w:lang w:eastAsia="es-CO"/>
        </w:rPr>
        <w:t>’</w:t>
      </w:r>
      <w:r w:rsidRPr="002E2193">
        <w:rPr>
          <w:rFonts w:cs="Tahoma"/>
          <w:i/>
          <w:iCs/>
          <w:color w:val="2D2D2D"/>
          <w:sz w:val="21"/>
          <w:szCs w:val="21"/>
          <w:lang w:eastAsia="es-CO"/>
        </w:rPr>
        <w:t xml:space="preserve"> (artículo 58 C.P.) o la libertad de iniciativa privada y de la actividad económica siempre que se respete también la </w:t>
      </w:r>
      <w:r w:rsidR="00352A53" w:rsidRPr="002E2193">
        <w:rPr>
          <w:rFonts w:cs="Tahoma"/>
          <w:i/>
          <w:iCs/>
          <w:color w:val="2D2D2D"/>
          <w:sz w:val="21"/>
          <w:szCs w:val="21"/>
          <w:lang w:eastAsia="es-CO"/>
        </w:rPr>
        <w:t>‘</w:t>
      </w:r>
      <w:r w:rsidRPr="002E2193">
        <w:rPr>
          <w:rFonts w:cs="Tahoma"/>
          <w:i/>
          <w:iCs/>
          <w:color w:val="2D2D2D"/>
          <w:sz w:val="21"/>
          <w:szCs w:val="21"/>
          <w:lang w:eastAsia="es-CO"/>
        </w:rPr>
        <w:t>función social</w:t>
      </w:r>
      <w:r w:rsidR="00352A53" w:rsidRPr="002E2193">
        <w:rPr>
          <w:rFonts w:cs="Tahoma"/>
          <w:i/>
          <w:iCs/>
          <w:color w:val="2D2D2D"/>
          <w:sz w:val="21"/>
          <w:szCs w:val="21"/>
          <w:lang w:eastAsia="es-CO"/>
        </w:rPr>
        <w:t>’</w:t>
      </w:r>
      <w:r w:rsidRPr="002E2193">
        <w:rPr>
          <w:rFonts w:cs="Tahoma"/>
          <w:i/>
          <w:iCs/>
          <w:color w:val="2D2D2D"/>
          <w:sz w:val="21"/>
          <w:szCs w:val="21"/>
          <w:lang w:eastAsia="es-CO"/>
        </w:rPr>
        <w:t xml:space="preserve"> de la empresa (artículo 333 C.P.) en aras de la </w:t>
      </w:r>
      <w:r w:rsidR="00352A53" w:rsidRPr="002E2193">
        <w:rPr>
          <w:rFonts w:cs="Tahoma"/>
          <w:i/>
          <w:iCs/>
          <w:color w:val="2D2D2D"/>
          <w:sz w:val="21"/>
          <w:szCs w:val="21"/>
          <w:lang w:eastAsia="es-CO"/>
        </w:rPr>
        <w:t>‘</w:t>
      </w:r>
      <w:r w:rsidRPr="002E2193">
        <w:rPr>
          <w:rFonts w:cs="Tahoma"/>
          <w:i/>
          <w:iCs/>
          <w:color w:val="2D2D2D"/>
          <w:sz w:val="21"/>
          <w:szCs w:val="21"/>
          <w:lang w:eastAsia="es-CO"/>
        </w:rPr>
        <w:t>distribución equitativa de las oportunidades y los beneficios del desarrollo</w:t>
      </w:r>
      <w:r w:rsidR="00352A53" w:rsidRPr="002E2193">
        <w:rPr>
          <w:rFonts w:cs="Tahoma"/>
          <w:i/>
          <w:iCs/>
          <w:color w:val="2D2D2D"/>
          <w:sz w:val="21"/>
          <w:szCs w:val="21"/>
          <w:lang w:eastAsia="es-CO"/>
        </w:rPr>
        <w:t>’</w:t>
      </w:r>
      <w:r w:rsidRPr="002E2193">
        <w:rPr>
          <w:rFonts w:cs="Tahoma"/>
          <w:i/>
          <w:iCs/>
          <w:color w:val="2D2D2D"/>
          <w:sz w:val="21"/>
          <w:szCs w:val="21"/>
          <w:lang w:eastAsia="es-CO"/>
        </w:rPr>
        <w:t xml:space="preserve"> (artículo 334 C.P.).</w:t>
      </w:r>
    </w:p>
    <w:p w14:paraId="7A34D1A7" w14:textId="77777777" w:rsidR="00F21ACD" w:rsidRPr="002E2193" w:rsidRDefault="00F21ACD" w:rsidP="002E2193">
      <w:pPr>
        <w:shd w:val="clear" w:color="auto" w:fill="FFFFFF"/>
        <w:ind w:left="284"/>
        <w:rPr>
          <w:rFonts w:cs="Tahoma"/>
          <w:i/>
          <w:iCs/>
          <w:color w:val="2D2D2D"/>
          <w:sz w:val="21"/>
          <w:szCs w:val="21"/>
          <w:lang w:eastAsia="es-CO"/>
        </w:rPr>
      </w:pPr>
      <w:r w:rsidRPr="002E2193">
        <w:rPr>
          <w:rFonts w:cs="Tahoma"/>
          <w:i/>
          <w:iCs/>
          <w:color w:val="2D2D2D"/>
          <w:sz w:val="21"/>
          <w:szCs w:val="21"/>
          <w:lang w:eastAsia="es-CO"/>
        </w:rPr>
        <w:t xml:space="preserve">En un sentido amplio, todas las decisiones del Estado respecto del funcionamiento de la economía y la organización de la sociedad constituyen una forma de regulación económica y social. Así, el mercado económico no es un fenómeno </w:t>
      </w:r>
      <w:proofErr w:type="gramStart"/>
      <w:r w:rsidRPr="002E2193">
        <w:rPr>
          <w:rFonts w:cs="Tahoma"/>
          <w:i/>
          <w:iCs/>
          <w:color w:val="2D2D2D"/>
          <w:sz w:val="21"/>
          <w:szCs w:val="21"/>
          <w:lang w:eastAsia="es-CO"/>
        </w:rPr>
        <w:t>natural</w:t>
      </w:r>
      <w:proofErr w:type="gramEnd"/>
      <w:r w:rsidRPr="002E2193">
        <w:rPr>
          <w:rFonts w:cs="Tahoma"/>
          <w:i/>
          <w:iCs/>
          <w:color w:val="2D2D2D"/>
          <w:sz w:val="21"/>
          <w:szCs w:val="21"/>
          <w:lang w:eastAsia="es-CO"/>
        </w:rPr>
        <w:t xml:space="preserve"> sino que depende de que el Estado establezca una serie de instituciones básicas, como el derecho de propiedad, la libertad contractual y un sistema de responsabilidad contractual y extracontractual cuya efectividad obedece a que exista una administración de justicia y una policía administrativa capaces de hacer respetar tales instituciones. Sin dicha regulación general del Estado, el mercado económico no podría existir ni funcionar. En este orden de ideas, el Código Civil, por ejemplo, constituye una modalidad de regulación tanto de las condiciones básicas del mercado como de la organización social.</w:t>
      </w:r>
    </w:p>
    <w:p w14:paraId="7A0CCD58" w14:textId="2F9908AC" w:rsidR="00F21ACD" w:rsidRPr="002E2193" w:rsidRDefault="00F21ACD" w:rsidP="002E2193">
      <w:pPr>
        <w:shd w:val="clear" w:color="auto" w:fill="FFFFFF"/>
        <w:ind w:left="284"/>
        <w:rPr>
          <w:rFonts w:cs="Tahoma"/>
          <w:i/>
          <w:iCs/>
          <w:color w:val="2D2D2D"/>
          <w:sz w:val="21"/>
          <w:szCs w:val="21"/>
          <w:lang w:eastAsia="es-CO"/>
        </w:rPr>
      </w:pPr>
      <w:r w:rsidRPr="002E2193">
        <w:rPr>
          <w:rFonts w:cs="Tahoma"/>
          <w:i/>
          <w:iCs/>
          <w:color w:val="2D2D2D"/>
          <w:sz w:val="21"/>
          <w:szCs w:val="21"/>
          <w:lang w:eastAsia="es-CO"/>
        </w:rPr>
        <w:t>No obstante, en determinadas circunstancias históricas, esta forma básica de regulación socio–económica ha sido considerada inadecuada para alcanzar ciertos objetivos sociales valorados por una comunidad política, como, por ejemplo, la disminución de la pobreza y de las desigualdades sociales o la protección de un ambiente sano. Además, la dinámica misma del mercado, así regulado, puede llevar a consecuencias indeseables en el plano macroeconómico, como concentración de la propiedad en pocas manos, altas tasas de desempleo, ciclos económicos profundos y prolongados, entre otras. Por ello, desde hace un siglo, el Estado ha intervenido con fines de protección social, de redistribución o de estabilización económica</w:t>
      </w:r>
      <w:bookmarkStart w:id="2" w:name="_ftnref91"/>
      <w:r w:rsidR="00295163" w:rsidRPr="002E2193">
        <w:rPr>
          <w:rFonts w:cs="Tahoma"/>
          <w:i/>
          <w:iCs/>
          <w:color w:val="2D2D2D"/>
          <w:sz w:val="21"/>
          <w:szCs w:val="21"/>
          <w:lang w:eastAsia="es-CO"/>
        </w:rPr>
        <w:t>”</w:t>
      </w:r>
      <w:bookmarkEnd w:id="2"/>
      <w:r w:rsidRPr="002E2193">
        <w:rPr>
          <w:rFonts w:cs="Tahoma"/>
          <w:i/>
          <w:iCs/>
          <w:color w:val="2D2D2D"/>
          <w:sz w:val="21"/>
          <w:szCs w:val="21"/>
          <w:lang w:eastAsia="es-CO"/>
        </w:rPr>
        <w:t>.</w:t>
      </w:r>
    </w:p>
    <w:p w14:paraId="46BB1C01" w14:textId="319598A8" w:rsidR="00F21ACD" w:rsidRPr="00EF0340" w:rsidRDefault="00F21ACD">
      <w:pPr>
        <w:rPr>
          <w:rFonts w:cs="Tahoma"/>
          <w:lang w:eastAsia="es-CO"/>
        </w:rPr>
      </w:pPr>
      <w:r w:rsidRPr="00924577">
        <w:rPr>
          <w:rFonts w:cs="Tahoma"/>
          <w:bCs/>
        </w:rPr>
        <w:t>De lo manifestado por la Corte se desprende que</w:t>
      </w:r>
      <w:r w:rsidR="007444DA">
        <w:rPr>
          <w:rFonts w:cs="Tahoma"/>
          <w:bCs/>
        </w:rPr>
        <w:t>,</w:t>
      </w:r>
      <w:r w:rsidRPr="00924577">
        <w:rPr>
          <w:rFonts w:cs="Tahoma"/>
          <w:bCs/>
        </w:rPr>
        <w:t xml:space="preserve"> en u</w:t>
      </w:r>
      <w:r w:rsidRPr="00EF0340">
        <w:rPr>
          <w:rFonts w:cs="Tahoma"/>
          <w:lang w:eastAsia="es-CO"/>
        </w:rPr>
        <w:t>n Estado social de derecho</w:t>
      </w:r>
      <w:r w:rsidR="007444DA">
        <w:rPr>
          <w:rFonts w:cs="Tahoma"/>
          <w:lang w:eastAsia="es-CO"/>
        </w:rPr>
        <w:t>,</w:t>
      </w:r>
      <w:r w:rsidRPr="00EF0340">
        <w:rPr>
          <w:rFonts w:cs="Tahoma"/>
          <w:lang w:eastAsia="es-CO"/>
        </w:rPr>
        <w:t xml:space="preserve"> la intervención estatal </w:t>
      </w:r>
      <w:r w:rsidRPr="00924577">
        <w:rPr>
          <w:rFonts w:cs="Tahoma"/>
          <w:lang w:eastAsia="es-CO"/>
        </w:rPr>
        <w:t xml:space="preserve">se realiza con el objetivo de buscar un </w:t>
      </w:r>
      <w:r w:rsidRPr="00EF0340">
        <w:rPr>
          <w:rFonts w:cs="Tahoma"/>
          <w:lang w:eastAsia="es-CO"/>
        </w:rPr>
        <w:t>orden político, económico y social justo</w:t>
      </w:r>
      <w:r w:rsidRPr="00924577">
        <w:rPr>
          <w:rFonts w:cs="Tahoma"/>
          <w:lang w:eastAsia="es-CO"/>
        </w:rPr>
        <w:t xml:space="preserve">, </w:t>
      </w:r>
      <w:r w:rsidRPr="00EF0340">
        <w:rPr>
          <w:rFonts w:cs="Tahoma"/>
          <w:lang w:eastAsia="es-CO"/>
        </w:rPr>
        <w:t>una función de estabilización económica</w:t>
      </w:r>
      <w:r w:rsidRPr="00924577">
        <w:rPr>
          <w:rFonts w:cs="Tahoma"/>
          <w:lang w:eastAsia="es-CO"/>
        </w:rPr>
        <w:t>,</w:t>
      </w:r>
      <w:r w:rsidRPr="00EF0340">
        <w:rPr>
          <w:rFonts w:cs="Tahoma"/>
          <w:lang w:eastAsia="es-CO"/>
        </w:rPr>
        <w:t xml:space="preserve"> una función de regulación económica y social de múltiples sectores y actividades específicas, dentro de un contexto de intervención general encaminado a definir las </w:t>
      </w:r>
      <w:r w:rsidRPr="00EF0340">
        <w:rPr>
          <w:rFonts w:cs="Tahoma"/>
          <w:lang w:eastAsia="es-CO"/>
        </w:rPr>
        <w:lastRenderedPageBreak/>
        <w:t>condiciones fundamentales del funcionamiento del mercado y de la convivencia social, como el derecho de propiedad privada</w:t>
      </w:r>
      <w:r w:rsidR="00A436D4">
        <w:rPr>
          <w:rFonts w:cs="Tahoma"/>
          <w:lang w:eastAsia="es-CO"/>
        </w:rPr>
        <w:t>,</w:t>
      </w:r>
      <w:r w:rsidRPr="00EF0340">
        <w:rPr>
          <w:rFonts w:cs="Tahoma"/>
          <w:lang w:eastAsia="es-CO"/>
        </w:rPr>
        <w:t xml:space="preserve"> pero entendido como función social (artículo 58 C.P.) o la libertad de iniciativa privada y de la actividad económica siempre que se respete también la "función social" de la empresa </w:t>
      </w:r>
      <w:r w:rsidRPr="00924577">
        <w:rPr>
          <w:rFonts w:cs="Tahoma"/>
          <w:lang w:eastAsia="es-CO"/>
        </w:rPr>
        <w:t xml:space="preserve">teniendo una igualdad de </w:t>
      </w:r>
      <w:r w:rsidRPr="00EF0340">
        <w:rPr>
          <w:rFonts w:cs="Tahoma"/>
          <w:lang w:eastAsia="es-CO"/>
        </w:rPr>
        <w:t>oportunidades.</w:t>
      </w:r>
    </w:p>
    <w:p w14:paraId="758A7889" w14:textId="003F1E25" w:rsidR="0050746A" w:rsidRPr="00924577" w:rsidRDefault="0050746A" w:rsidP="00BE6EBF">
      <w:pPr>
        <w:shd w:val="clear" w:color="auto" w:fill="FFFFFF"/>
        <w:rPr>
          <w:rFonts w:cs="Tahoma"/>
          <w:lang w:eastAsia="es-CO"/>
        </w:rPr>
      </w:pPr>
      <w:r w:rsidRPr="00924577">
        <w:rPr>
          <w:rFonts w:cs="Tahoma"/>
          <w:lang w:eastAsia="es-CO"/>
        </w:rPr>
        <w:t>E</w:t>
      </w:r>
      <w:r w:rsidR="00F21ACD" w:rsidRPr="00EF0340">
        <w:rPr>
          <w:rFonts w:cs="Tahoma"/>
          <w:lang w:eastAsia="es-CO"/>
        </w:rPr>
        <w:t>l mercado económico no es un fenómeno natural</w:t>
      </w:r>
      <w:r w:rsidRPr="00924577">
        <w:rPr>
          <w:rFonts w:cs="Tahoma"/>
          <w:lang w:eastAsia="es-CO"/>
        </w:rPr>
        <w:t xml:space="preserve">, pues depende de otros aspectos como lo son </w:t>
      </w:r>
      <w:r w:rsidR="00F21ACD" w:rsidRPr="00EF0340">
        <w:rPr>
          <w:rFonts w:cs="Tahoma"/>
          <w:lang w:eastAsia="es-CO"/>
        </w:rPr>
        <w:t>el derecho de propiedad, la libertad contractual y un sistema de responsabilidad contractual y extracontractual</w:t>
      </w:r>
      <w:r w:rsidRPr="00924577">
        <w:rPr>
          <w:rFonts w:cs="Tahoma"/>
          <w:lang w:eastAsia="es-CO"/>
        </w:rPr>
        <w:t xml:space="preserve">. </w:t>
      </w:r>
    </w:p>
    <w:p w14:paraId="70033A4C" w14:textId="530E2851" w:rsidR="00F21ACD" w:rsidRPr="00AF0AC9" w:rsidRDefault="0050746A" w:rsidP="009567A5">
      <w:pPr>
        <w:shd w:val="clear" w:color="auto" w:fill="FFFFFF"/>
        <w:rPr>
          <w:rFonts w:cs="Tahoma"/>
          <w:lang w:eastAsia="es-CO"/>
        </w:rPr>
      </w:pPr>
      <w:r w:rsidRPr="00924577">
        <w:rPr>
          <w:rFonts w:cs="Tahoma"/>
          <w:lang w:eastAsia="es-CO"/>
        </w:rPr>
        <w:t>Es así como dispone qu</w:t>
      </w:r>
      <w:r w:rsidR="00635DE0">
        <w:rPr>
          <w:rFonts w:cs="Tahoma"/>
          <w:lang w:eastAsia="es-CO"/>
        </w:rPr>
        <w:t>e</w:t>
      </w:r>
      <w:r w:rsidR="00A436D4">
        <w:rPr>
          <w:rFonts w:cs="Tahoma"/>
          <w:lang w:eastAsia="es-CO"/>
        </w:rPr>
        <w:t>,</w:t>
      </w:r>
      <w:r w:rsidRPr="00924577">
        <w:rPr>
          <w:rFonts w:cs="Tahoma"/>
          <w:lang w:eastAsia="es-CO"/>
        </w:rPr>
        <w:t xml:space="preserve"> s</w:t>
      </w:r>
      <w:r w:rsidR="00F21ACD" w:rsidRPr="00EF0340">
        <w:rPr>
          <w:rFonts w:cs="Tahoma"/>
          <w:lang w:eastAsia="es-CO"/>
        </w:rPr>
        <w:t xml:space="preserve">in dicha regulación general del Estado, el mercado </w:t>
      </w:r>
      <w:r w:rsidR="00F21ACD" w:rsidRPr="00AF0AC9">
        <w:rPr>
          <w:rFonts w:cs="Tahoma"/>
          <w:lang w:eastAsia="es-CO"/>
        </w:rPr>
        <w:t>económico no podría existir ni funcionar.</w:t>
      </w:r>
    </w:p>
    <w:p w14:paraId="4062B673" w14:textId="7BA560EB" w:rsidR="00F21ACD" w:rsidRPr="00AF0AC9" w:rsidRDefault="0050746A">
      <w:pPr>
        <w:rPr>
          <w:rFonts w:cs="Arial"/>
          <w:bCs/>
        </w:rPr>
      </w:pPr>
      <w:r w:rsidRPr="00AF0AC9">
        <w:rPr>
          <w:rFonts w:cs="Arial"/>
          <w:bCs/>
        </w:rPr>
        <w:t>Con base en lo anterior</w:t>
      </w:r>
      <w:r w:rsidR="00A436D4">
        <w:rPr>
          <w:rFonts w:cs="Arial"/>
          <w:bCs/>
        </w:rPr>
        <w:t>,</w:t>
      </w:r>
      <w:r w:rsidRPr="00AF0AC9">
        <w:rPr>
          <w:rFonts w:cs="Arial"/>
          <w:bCs/>
        </w:rPr>
        <w:t xml:space="preserve"> y reiterando lo manifestado en la resolución objeto del presente recurso, </w:t>
      </w:r>
      <w:r w:rsidR="00F21ACD" w:rsidRPr="00AF0AC9">
        <w:rPr>
          <w:rFonts w:cs="Arial"/>
          <w:bCs/>
        </w:rPr>
        <w:t>no se observa cómo, mediante la aprobación de un cargo que ha surtido todas sus instancias, se vea afectado</w:t>
      </w:r>
      <w:r w:rsidR="003079EF" w:rsidRPr="00AF0AC9">
        <w:rPr>
          <w:rFonts w:cs="Arial"/>
          <w:bCs/>
        </w:rPr>
        <w:t>, más aún cuando en la lectura del recurso no se observa la argumentación debidamente soportada en donde se demuestre la afectación que presuntamente viene siendo objeto la empresa y que incluso</w:t>
      </w:r>
      <w:r w:rsidR="00A436D4">
        <w:rPr>
          <w:rFonts w:cs="Arial"/>
          <w:bCs/>
        </w:rPr>
        <w:t>,</w:t>
      </w:r>
      <w:r w:rsidR="003079EF" w:rsidRPr="00AF0AC9">
        <w:rPr>
          <w:rFonts w:cs="Arial"/>
          <w:bCs/>
        </w:rPr>
        <w:t xml:space="preserve"> como más adelante lo veremos con las pruebas que se solicitan</w:t>
      </w:r>
      <w:r w:rsidR="00A436D4">
        <w:rPr>
          <w:rFonts w:cs="Arial"/>
          <w:bCs/>
        </w:rPr>
        <w:t>,</w:t>
      </w:r>
      <w:r w:rsidR="003079EF" w:rsidRPr="00AF0AC9">
        <w:rPr>
          <w:rFonts w:cs="Arial"/>
          <w:bCs/>
        </w:rPr>
        <w:t xml:space="preserve"> e incluso con las solicitadas por la Comisión, no se logra demostrar ese hecho</w:t>
      </w:r>
      <w:r w:rsidR="00F21ACD" w:rsidRPr="00AF0AC9">
        <w:rPr>
          <w:rFonts w:cs="Arial"/>
          <w:bCs/>
        </w:rPr>
        <w:t xml:space="preserve">. </w:t>
      </w:r>
    </w:p>
    <w:p w14:paraId="307EFA37" w14:textId="05E1A10B" w:rsidR="003079EF" w:rsidRPr="00AF0AC9" w:rsidRDefault="003079EF" w:rsidP="003079EF">
      <w:pPr>
        <w:rPr>
          <w:rFonts w:cs="Arial"/>
          <w:bCs/>
        </w:rPr>
      </w:pPr>
      <w:r w:rsidRPr="00AF0AC9">
        <w:rPr>
          <w:rFonts w:cs="Arial"/>
          <w:bCs/>
        </w:rPr>
        <w:t>Así mismo, se debe dejar en claro que</w:t>
      </w:r>
      <w:r w:rsidR="00531296">
        <w:rPr>
          <w:rFonts w:cs="Arial"/>
          <w:bCs/>
        </w:rPr>
        <w:t>,</w:t>
      </w:r>
      <w:r w:rsidRPr="00AF0AC9">
        <w:rPr>
          <w:rFonts w:cs="Arial"/>
          <w:bCs/>
        </w:rPr>
        <w:t xml:space="preserve"> ni la ley ni la regulación, </w:t>
      </w:r>
      <w:r w:rsidR="0050746A" w:rsidRPr="00AF0AC9">
        <w:rPr>
          <w:rFonts w:cs="Arial"/>
          <w:bCs/>
        </w:rPr>
        <w:t>ha</w:t>
      </w:r>
      <w:r w:rsidRPr="00AF0AC9">
        <w:rPr>
          <w:rFonts w:cs="Arial"/>
          <w:bCs/>
        </w:rPr>
        <w:t>n</w:t>
      </w:r>
      <w:r w:rsidR="0050746A" w:rsidRPr="00AF0AC9">
        <w:rPr>
          <w:rFonts w:cs="Arial"/>
          <w:bCs/>
        </w:rPr>
        <w:t xml:space="preserve"> dispuesto </w:t>
      </w:r>
      <w:r w:rsidR="00F21ACD" w:rsidRPr="00AF0AC9">
        <w:rPr>
          <w:rFonts w:cs="Arial"/>
          <w:bCs/>
        </w:rPr>
        <w:t>que los activos van a ser remunerados a perpetuidad</w:t>
      </w:r>
      <w:r w:rsidRPr="00AF0AC9">
        <w:rPr>
          <w:rFonts w:cs="Arial"/>
          <w:bCs/>
        </w:rPr>
        <w:t>. En este punto es importante hacer referencia a que la regulación en general no es inmutable</w:t>
      </w:r>
      <w:r w:rsidR="006B1EB4" w:rsidRPr="00AF0AC9">
        <w:rPr>
          <w:rFonts w:cs="Arial"/>
          <w:bCs/>
        </w:rPr>
        <w:t>.</w:t>
      </w:r>
      <w:r w:rsidRPr="00AF0AC9">
        <w:rPr>
          <w:rFonts w:cs="Arial"/>
          <w:bCs/>
        </w:rPr>
        <w:t xml:space="preserve"> </w:t>
      </w:r>
      <w:r w:rsidR="006B1EB4" w:rsidRPr="00AF0AC9">
        <w:rPr>
          <w:rFonts w:cs="Arial"/>
          <w:bCs/>
        </w:rPr>
        <w:t>T</w:t>
      </w:r>
      <w:r w:rsidRPr="00AF0AC9">
        <w:rPr>
          <w:rFonts w:cs="Arial"/>
          <w:bCs/>
        </w:rPr>
        <w:t>anto es así que</w:t>
      </w:r>
      <w:r w:rsidR="006B1EB4" w:rsidRPr="00AF0AC9">
        <w:rPr>
          <w:rFonts w:cs="Arial"/>
          <w:bCs/>
        </w:rPr>
        <w:t>,</w:t>
      </w:r>
      <w:r w:rsidRPr="00AF0AC9">
        <w:rPr>
          <w:rFonts w:cs="Arial"/>
          <w:bCs/>
        </w:rPr>
        <w:t xml:space="preserve"> desde el punto de vista legal, las únicas reglas o normas consideradas como inmutables son las llamadas pétreas</w:t>
      </w:r>
      <w:r w:rsidR="00531296">
        <w:rPr>
          <w:rFonts w:cs="Arial"/>
          <w:bCs/>
        </w:rPr>
        <w:t>,</w:t>
      </w:r>
      <w:r w:rsidRPr="00AF0AC9">
        <w:rPr>
          <w:rFonts w:cs="Arial"/>
          <w:bCs/>
        </w:rPr>
        <w:t xml:space="preserve"> y que tienen la característica de estar dentro del ordenamiento constitucional puesto que</w:t>
      </w:r>
      <w:r w:rsidR="00C25AE3" w:rsidRPr="00AF0AC9">
        <w:rPr>
          <w:rFonts w:cs="Arial"/>
          <w:bCs/>
        </w:rPr>
        <w:t>,</w:t>
      </w:r>
      <w:r w:rsidRPr="00AF0AC9">
        <w:rPr>
          <w:rFonts w:cs="Arial"/>
          <w:bCs/>
        </w:rPr>
        <w:t xml:space="preserve"> de acuerdo con su posicionamiento dentro del ordenamiento jurídico</w:t>
      </w:r>
      <w:r w:rsidR="00C25AE3" w:rsidRPr="00AF0AC9">
        <w:rPr>
          <w:rFonts w:cs="Arial"/>
          <w:bCs/>
        </w:rPr>
        <w:t>,</w:t>
      </w:r>
      <w:r w:rsidRPr="00AF0AC9">
        <w:rPr>
          <w:rFonts w:cs="Arial"/>
          <w:bCs/>
        </w:rPr>
        <w:t xml:space="preserve"> su modificación se considera tan sustancial que se asimila a la modificación de todo el ordenamiento jurídico</w:t>
      </w:r>
      <w:r w:rsidR="00C25AE3" w:rsidRPr="00AF0AC9">
        <w:rPr>
          <w:rFonts w:cs="Arial"/>
          <w:bCs/>
        </w:rPr>
        <w:t>.</w:t>
      </w:r>
    </w:p>
    <w:p w14:paraId="6C3EC68D" w14:textId="4BEB963C" w:rsidR="003079EF" w:rsidRPr="00AF0AC9" w:rsidRDefault="003079EF" w:rsidP="003079EF">
      <w:pPr>
        <w:rPr>
          <w:rFonts w:cs="Arial"/>
          <w:bCs/>
        </w:rPr>
      </w:pPr>
      <w:r w:rsidRPr="00AF0AC9">
        <w:rPr>
          <w:rFonts w:cs="Arial"/>
          <w:bCs/>
        </w:rPr>
        <w:t>Ahora bien, desde la perspectiva del régimen de los servicios públicos domiciliarios, el cual se encuentra contemplado dentro de la Ley 142 de 1994</w:t>
      </w:r>
      <w:r w:rsidR="00E22B2B" w:rsidRPr="00AF0AC9">
        <w:rPr>
          <w:rFonts w:cs="Arial"/>
          <w:bCs/>
        </w:rPr>
        <w:t>,</w:t>
      </w:r>
      <w:r w:rsidRPr="00AF0AC9">
        <w:rPr>
          <w:rFonts w:cs="Arial"/>
          <w:bCs/>
        </w:rPr>
        <w:t xml:space="preserve"> y teniendo en cuenta lo manifestado en la primera parte de este documento en relación a las competencias regulatorias sobre la prestación de los servicios públicos domiciliarios, las mismas deben estar enmarcadas dentro de las políticas generales de administración y control de eficiencia de la prestación de los mismos, en todo caso estando siempre sujeto a las disposiciones legales expedidas sobre esta materia</w:t>
      </w:r>
      <w:r w:rsidR="00531296">
        <w:rPr>
          <w:rFonts w:cs="Arial"/>
          <w:bCs/>
        </w:rPr>
        <w:t>. E</w:t>
      </w:r>
      <w:r w:rsidRPr="00AF0AC9">
        <w:rPr>
          <w:rFonts w:cs="Arial"/>
          <w:bCs/>
        </w:rPr>
        <w:t>s necesario poner de presente que</w:t>
      </w:r>
      <w:r w:rsidR="00531296">
        <w:rPr>
          <w:rFonts w:cs="Arial"/>
          <w:bCs/>
        </w:rPr>
        <w:t>,</w:t>
      </w:r>
      <w:r w:rsidRPr="00AF0AC9">
        <w:rPr>
          <w:rFonts w:cs="Arial"/>
          <w:bCs/>
        </w:rPr>
        <w:t xml:space="preserve"> al establecer las condiciones y procedimientos de la metodología tarifaria, se dispuso que esta tendría una vigencia de 5 años (Artículo 126 Ley 142 de 1994)</w:t>
      </w:r>
      <w:r w:rsidR="00531296">
        <w:rPr>
          <w:rFonts w:cs="Arial"/>
          <w:bCs/>
        </w:rPr>
        <w:t>. P</w:t>
      </w:r>
      <w:r w:rsidRPr="00AF0AC9">
        <w:rPr>
          <w:rFonts w:cs="Arial"/>
          <w:bCs/>
        </w:rPr>
        <w:t>or consiguiente</w:t>
      </w:r>
      <w:r w:rsidR="00531296">
        <w:rPr>
          <w:rFonts w:cs="Arial"/>
          <w:bCs/>
        </w:rPr>
        <w:t>,</w:t>
      </w:r>
      <w:r w:rsidRPr="00AF0AC9">
        <w:rPr>
          <w:rFonts w:cs="Arial"/>
          <w:bCs/>
        </w:rPr>
        <w:t xml:space="preserve"> las disposiciones establecidas en estas son susceptibles de ser modificadas conforme a las políticas públicas requeridas. </w:t>
      </w:r>
    </w:p>
    <w:p w14:paraId="16E93A09" w14:textId="64010150" w:rsidR="003079EF" w:rsidRPr="003079EF" w:rsidRDefault="003079EF" w:rsidP="003079EF">
      <w:pPr>
        <w:rPr>
          <w:rFonts w:cs="Arial"/>
          <w:bCs/>
        </w:rPr>
      </w:pPr>
      <w:r w:rsidRPr="00AF0AC9">
        <w:rPr>
          <w:rFonts w:cs="Arial"/>
          <w:bCs/>
        </w:rPr>
        <w:t>Es así como se observa que esta es una regla que está de presente dentro del ordenamiento jurídico de los servicios públicos domiciliarios y</w:t>
      </w:r>
      <w:r w:rsidR="00A61366" w:rsidRPr="00AF0AC9">
        <w:rPr>
          <w:rFonts w:cs="Arial"/>
          <w:bCs/>
        </w:rPr>
        <w:t>,</w:t>
      </w:r>
      <w:r w:rsidRPr="00AF0AC9">
        <w:rPr>
          <w:rFonts w:cs="Arial"/>
          <w:bCs/>
        </w:rPr>
        <w:t xml:space="preserve"> por tanto, al inversionista le asiste el deber de conocer</w:t>
      </w:r>
      <w:r w:rsidR="003D5E9F" w:rsidRPr="00AF0AC9">
        <w:rPr>
          <w:rFonts w:cs="Arial"/>
          <w:bCs/>
        </w:rPr>
        <w:t>,</w:t>
      </w:r>
      <w:r w:rsidRPr="00AF0AC9">
        <w:rPr>
          <w:rFonts w:cs="Arial"/>
          <w:bCs/>
        </w:rPr>
        <w:t xml:space="preserve"> de manera previa a la realización de su inversión, la regulación a la cual la misma va a verse avocada y</w:t>
      </w:r>
      <w:r w:rsidR="00531296">
        <w:rPr>
          <w:rFonts w:cs="Arial"/>
          <w:bCs/>
        </w:rPr>
        <w:t>,</w:t>
      </w:r>
      <w:r w:rsidRPr="00AF0AC9">
        <w:rPr>
          <w:rFonts w:cs="Arial"/>
          <w:bCs/>
        </w:rPr>
        <w:t xml:space="preserve"> por tanto</w:t>
      </w:r>
      <w:r w:rsidR="003D5E9F" w:rsidRPr="00AF0AC9">
        <w:rPr>
          <w:rFonts w:cs="Arial"/>
          <w:bCs/>
        </w:rPr>
        <w:t>,</w:t>
      </w:r>
      <w:r w:rsidRPr="00AF0AC9">
        <w:rPr>
          <w:rFonts w:cs="Arial"/>
          <w:bCs/>
        </w:rPr>
        <w:t xml:space="preserve"> si ésta cambia, no puede alegar que ha sido defraudado en su confianza.</w:t>
      </w:r>
    </w:p>
    <w:p w14:paraId="25FE3484" w14:textId="43722182" w:rsidR="00F21ACD" w:rsidRDefault="003079EF" w:rsidP="003079EF">
      <w:pPr>
        <w:rPr>
          <w:rFonts w:cs="Arial"/>
          <w:bCs/>
        </w:rPr>
      </w:pPr>
      <w:r w:rsidRPr="003079EF">
        <w:rPr>
          <w:rFonts w:cs="Arial"/>
          <w:bCs/>
        </w:rPr>
        <w:lastRenderedPageBreak/>
        <w:t>Así mismo, en el evento en que el regulador disponga</w:t>
      </w:r>
      <w:r w:rsidR="0078219F">
        <w:rPr>
          <w:rFonts w:cs="Arial"/>
          <w:bCs/>
        </w:rPr>
        <w:t>,</w:t>
      </w:r>
      <w:r w:rsidRPr="003079EF">
        <w:rPr>
          <w:rFonts w:cs="Arial"/>
          <w:bCs/>
        </w:rPr>
        <w:t xml:space="preserve"> dentro del plazo estipulado por la ley, hacer los ajustes que considere convenientes, los mismos no son tomados de manera arbitraria e impositiva, sino que primero se sustentan en una serie de estudios y racionamientos que buscan en todo momento respetar los fines primordiales que consagra la mencionada ley, los criterios a ser tenidos en cuenta como son los de eficiencia económica, neutralidad, solidaridad, redistribución, suficiencia financiera, simplicidad y transparencia y</w:t>
      </w:r>
      <w:r w:rsidR="0078219F">
        <w:rPr>
          <w:rFonts w:cs="Arial"/>
          <w:bCs/>
        </w:rPr>
        <w:t>,</w:t>
      </w:r>
      <w:r w:rsidRPr="003079EF">
        <w:rPr>
          <w:rFonts w:cs="Arial"/>
          <w:bCs/>
        </w:rPr>
        <w:t xml:space="preserve"> adicionalmente, se hace respetando el procedimiento que para la adopción de este tipo de medidas consagra la ley, en donde está garantizada la participación de los agentes y personas interesadas en el tema. </w:t>
      </w:r>
    </w:p>
    <w:p w14:paraId="1F743C92" w14:textId="77777777" w:rsidR="00741FA3" w:rsidRDefault="00741FA3" w:rsidP="00741FA3">
      <w:pPr>
        <w:autoSpaceDE w:val="0"/>
        <w:autoSpaceDN w:val="0"/>
        <w:adjustRightInd w:val="0"/>
        <w:rPr>
          <w:rFonts w:cs="Tahoma"/>
          <w:lang w:val="es-CO" w:eastAsia="es-CO"/>
        </w:rPr>
      </w:pPr>
      <w:r>
        <w:rPr>
          <w:rFonts w:cs="Tahoma"/>
          <w:lang w:val="es-CO" w:eastAsia="es-CO"/>
        </w:rPr>
        <w:t xml:space="preserve">Señala el recurrente que </w:t>
      </w:r>
      <w:r w:rsidRPr="008C7CAC">
        <w:rPr>
          <w:rFonts w:cs="Tahoma"/>
          <w:i/>
          <w:iCs/>
          <w:lang w:val="es-CO" w:eastAsia="es-CO"/>
        </w:rPr>
        <w:t>“el modelo incluido dentro de la Constitución (…) parte del supuesto de que la tarifa de los servicios públicos debe ser definida con criterios de carácter técnico, completamente alejados de las consideraciones de carácter político, de tal manera que se incentive la participación de los agentes privados, quienes tendrían la seguridad de que las inversiones y en general los esfuerzos de todo tipo que hicieran para garantizar la prestación del servicio, serían efectivamente reconocidos, siempre y cuando estas inversiones y estos esfuerzos, estuvieran asociados al servicio público, sean razonables, prudentes, eficientes, y en términos generales, que correspondan a la actividad que se presta”</w:t>
      </w:r>
      <w:r>
        <w:rPr>
          <w:rFonts w:cs="Tahoma"/>
          <w:lang w:val="es-CO" w:eastAsia="es-CO"/>
        </w:rPr>
        <w:t>.</w:t>
      </w:r>
    </w:p>
    <w:p w14:paraId="4944702D" w14:textId="0D2925F7" w:rsidR="00741FA3" w:rsidRPr="00453404" w:rsidRDefault="00741FA3" w:rsidP="00741FA3">
      <w:pPr>
        <w:autoSpaceDE w:val="0"/>
        <w:autoSpaceDN w:val="0"/>
        <w:adjustRightInd w:val="0"/>
        <w:rPr>
          <w:rFonts w:cs="Arial"/>
          <w:bCs/>
        </w:rPr>
      </w:pPr>
      <w:r>
        <w:rPr>
          <w:rFonts w:cs="Tahoma"/>
          <w:lang w:val="es-CO" w:eastAsia="es-CO"/>
        </w:rPr>
        <w:t>Al respecto, se reitera</w:t>
      </w:r>
      <w:r>
        <w:rPr>
          <w:rFonts w:cs="Arial"/>
          <w:bCs/>
        </w:rPr>
        <w:t xml:space="preserve"> que l</w:t>
      </w:r>
      <w:r w:rsidRPr="00453404">
        <w:rPr>
          <w:rFonts w:cs="Arial"/>
          <w:bCs/>
        </w:rPr>
        <w:t>os valores reconocidos por la regulación de distribución de gas natural por red son valores eficientes y apropiados para que una empresa ejecute su actividad</w:t>
      </w:r>
      <w:r w:rsidR="00531296">
        <w:rPr>
          <w:rFonts w:cs="Arial"/>
          <w:bCs/>
        </w:rPr>
        <w:t>,</w:t>
      </w:r>
      <w:r w:rsidRPr="00453404">
        <w:rPr>
          <w:rFonts w:cs="Arial"/>
          <w:bCs/>
        </w:rPr>
        <w:t xml:space="preserve"> y que estos valores no corresponden necesariamente a los valores pagados por la empresa en la construcción de sus redes.</w:t>
      </w:r>
      <w:r>
        <w:rPr>
          <w:rFonts w:cs="Arial"/>
          <w:bCs/>
        </w:rPr>
        <w:t xml:space="preserve"> En el caso particular de los activos objeto de la reclamación de la empresa, estos se valoraron utilizando l</w:t>
      </w:r>
      <w:r w:rsidRPr="00453404">
        <w:rPr>
          <w:rFonts w:cs="Arial"/>
          <w:bCs/>
        </w:rPr>
        <w:t>os costos que presentaron varias empresas distribuidoras del país en 1996-1997, empresas cuyas eficiencias en la ejecución de los proyectos varían, por lo que su análisis en conjunto permitió introducir factores de eficiencia del mercado.</w:t>
      </w:r>
    </w:p>
    <w:p w14:paraId="61903E98" w14:textId="1810BC3F" w:rsidR="00741FA3" w:rsidRDefault="00741FA3" w:rsidP="00741FA3">
      <w:pPr>
        <w:autoSpaceDE w:val="0"/>
        <w:autoSpaceDN w:val="0"/>
        <w:adjustRightInd w:val="0"/>
        <w:rPr>
          <w:rFonts w:cs="Tahoma"/>
          <w:lang w:val="es-CO" w:eastAsia="es-CO"/>
        </w:rPr>
      </w:pPr>
      <w:r>
        <w:rPr>
          <w:rFonts w:cs="Tahoma"/>
          <w:lang w:val="es-CO" w:eastAsia="es-CO"/>
        </w:rPr>
        <w:t xml:space="preserve">También señala la empresa que </w:t>
      </w:r>
      <w:r w:rsidRPr="008C7CAC">
        <w:rPr>
          <w:rFonts w:cs="Tahoma"/>
          <w:i/>
          <w:iCs/>
          <w:lang w:val="es-CO" w:eastAsia="es-CO"/>
        </w:rPr>
        <w:t xml:space="preserve">“(…) el Estado, a través del regulador no tiene la facultad de </w:t>
      </w:r>
      <w:r w:rsidR="00EC2F58">
        <w:rPr>
          <w:rFonts w:cs="Tahoma"/>
          <w:i/>
          <w:iCs/>
          <w:lang w:val="es-CO" w:eastAsia="es-CO"/>
        </w:rPr>
        <w:t>‘</w:t>
      </w:r>
      <w:r w:rsidRPr="008C7CAC">
        <w:rPr>
          <w:rFonts w:cs="Tahoma"/>
          <w:i/>
          <w:iCs/>
          <w:lang w:val="es-CO" w:eastAsia="es-CO"/>
        </w:rPr>
        <w:t>expropiar</w:t>
      </w:r>
      <w:r w:rsidR="00EC2F58">
        <w:rPr>
          <w:rFonts w:cs="Tahoma"/>
          <w:i/>
          <w:iCs/>
          <w:lang w:val="es-CO" w:eastAsia="es-CO"/>
        </w:rPr>
        <w:t>’</w:t>
      </w:r>
      <w:r w:rsidRPr="008C7CAC">
        <w:rPr>
          <w:rFonts w:cs="Tahoma"/>
          <w:i/>
          <w:iCs/>
          <w:lang w:val="es-CO" w:eastAsia="es-CO"/>
        </w:rPr>
        <w:t xml:space="preserve"> al particular que presta el servicio mediante el desconocimiento de los costos de prestación </w:t>
      </w:r>
      <w:proofErr w:type="gramStart"/>
      <w:r w:rsidRPr="008C7CAC">
        <w:rPr>
          <w:rFonts w:cs="Tahoma"/>
          <w:i/>
          <w:iCs/>
          <w:lang w:val="es-CO" w:eastAsia="es-CO"/>
        </w:rPr>
        <w:t>del mismo</w:t>
      </w:r>
      <w:proofErr w:type="gramEnd"/>
      <w:r w:rsidRPr="008C7CAC">
        <w:rPr>
          <w:rFonts w:cs="Tahoma"/>
          <w:i/>
          <w:iCs/>
          <w:lang w:val="es-CO" w:eastAsia="es-CO"/>
        </w:rPr>
        <w:t>, o de la exclusión de inversiones que efectivamente contribuyen a la prestación, como en efecto se produjo en el caso que nos ocupa, y como de manera presencial lo pudieron comprobar los expertos que visitaron la ciudad de Barranquilla para verificar la existencia de dichas inversiones”</w:t>
      </w:r>
      <w:r>
        <w:rPr>
          <w:rFonts w:cs="Tahoma"/>
          <w:lang w:val="es-CO" w:eastAsia="es-CO"/>
        </w:rPr>
        <w:t>.</w:t>
      </w:r>
    </w:p>
    <w:p w14:paraId="778678C9" w14:textId="0D80F575" w:rsidR="0036120B" w:rsidRDefault="0036120B" w:rsidP="0036120B">
      <w:pPr>
        <w:adjustRightInd w:val="0"/>
        <w:rPr>
          <w:rFonts w:cs="Arial"/>
        </w:rPr>
      </w:pPr>
      <w:r>
        <w:rPr>
          <w:rFonts w:cs="Arial"/>
        </w:rPr>
        <w:t>Es importante indicar que los activos que son objeto de la solicitud de la empresa PROMIGAS S.A. E.S.P. corresponden a la Inversión Existente (IE), la cual se define en la Resolución CREG 198 de 2017 así:</w:t>
      </w:r>
    </w:p>
    <w:p w14:paraId="7CD4B4E5" w14:textId="3477AF4C" w:rsidR="0036120B" w:rsidRPr="002E2193" w:rsidRDefault="0036120B" w:rsidP="002E2193">
      <w:pPr>
        <w:autoSpaceDE w:val="0"/>
        <w:autoSpaceDN w:val="0"/>
        <w:adjustRightInd w:val="0"/>
        <w:ind w:left="284"/>
        <w:rPr>
          <w:rFonts w:cs="Tahoma"/>
          <w:sz w:val="21"/>
          <w:szCs w:val="21"/>
          <w:lang w:eastAsia="es-CO"/>
        </w:rPr>
      </w:pPr>
      <w:r w:rsidRPr="002E2193">
        <w:rPr>
          <w:rFonts w:cs="Tahoma"/>
          <w:b/>
          <w:bCs/>
          <w:i/>
          <w:iCs/>
          <w:sz w:val="21"/>
          <w:szCs w:val="21"/>
          <w:lang w:eastAsia="es-CO"/>
        </w:rPr>
        <w:t>Inversión Existente (IE):</w:t>
      </w:r>
      <w:r w:rsidRPr="002E2193">
        <w:rPr>
          <w:rFonts w:cs="Tahoma"/>
          <w:i/>
          <w:iCs/>
          <w:sz w:val="21"/>
          <w:szCs w:val="21"/>
          <w:lang w:eastAsia="es-CO"/>
        </w:rPr>
        <w:t xml:space="preserve"> Inversión reconocida como existente en la última revisión tarifaria, </w:t>
      </w:r>
      <w:r w:rsidRPr="002E2193">
        <w:rPr>
          <w:rFonts w:cs="Tahoma"/>
          <w:i/>
          <w:iCs/>
          <w:sz w:val="21"/>
          <w:szCs w:val="21"/>
          <w:u w:val="single"/>
          <w:lang w:eastAsia="es-CO"/>
        </w:rPr>
        <w:t>correspondiente a activos reconocidos antes que iniciara el Período Tarifario que culmina</w:t>
      </w:r>
      <w:r w:rsidRPr="002E2193">
        <w:rPr>
          <w:rFonts w:cs="Tahoma"/>
          <w:i/>
          <w:iCs/>
          <w:sz w:val="21"/>
          <w:szCs w:val="21"/>
          <w:lang w:eastAsia="es-CO"/>
        </w:rPr>
        <w:t>, homologada a las Unidades Constructivas definidas en el Período Tarifario que culmina y valoradas a los costos reconocidos en dicho momento y ajustados conforme se encuentran definidas en el Anexo 4 y Anexo 5 de la Resolución CREG 202 de 2013</w:t>
      </w:r>
      <w:r w:rsidR="00943065" w:rsidRPr="002E2193">
        <w:rPr>
          <w:rFonts w:cs="Tahoma"/>
          <w:i/>
          <w:iCs/>
          <w:sz w:val="21"/>
          <w:szCs w:val="21"/>
          <w:lang w:eastAsia="es-CO"/>
        </w:rPr>
        <w:t xml:space="preserve"> </w:t>
      </w:r>
      <w:r w:rsidR="00943065" w:rsidRPr="002E2193">
        <w:rPr>
          <w:rFonts w:cs="Tahoma"/>
          <w:iCs/>
          <w:sz w:val="21"/>
          <w:szCs w:val="21"/>
          <w:lang w:eastAsia="es-CO"/>
        </w:rPr>
        <w:t>(subraya fuera de texto)</w:t>
      </w:r>
      <w:r w:rsidRPr="002E2193">
        <w:rPr>
          <w:rFonts w:cs="Tahoma"/>
          <w:i/>
          <w:iCs/>
          <w:sz w:val="21"/>
          <w:szCs w:val="21"/>
          <w:lang w:eastAsia="es-CO"/>
        </w:rPr>
        <w:t>.</w:t>
      </w:r>
    </w:p>
    <w:p w14:paraId="45B4C78C" w14:textId="257FF9CC" w:rsidR="00C776FB" w:rsidRPr="002E2193" w:rsidRDefault="000A0894" w:rsidP="002E2193">
      <w:pPr>
        <w:autoSpaceDE w:val="0"/>
        <w:autoSpaceDN w:val="0"/>
        <w:adjustRightInd w:val="0"/>
        <w:rPr>
          <w:rFonts w:cs="Tahoma"/>
          <w:lang w:val="es-CO" w:eastAsia="es-CO"/>
        </w:rPr>
      </w:pPr>
      <w:r w:rsidRPr="002E2193">
        <w:rPr>
          <w:rFonts w:cs="Tahoma"/>
          <w:lang w:val="es-CO" w:eastAsia="es-CO"/>
        </w:rPr>
        <w:lastRenderedPageBreak/>
        <w:t xml:space="preserve">De acuerdo con lo anterior, la inversión </w:t>
      </w:r>
      <w:r w:rsidR="008B5CEF" w:rsidRPr="002E2193">
        <w:rPr>
          <w:rFonts w:cs="Tahoma"/>
          <w:lang w:val="es-CO" w:eastAsia="es-CO"/>
        </w:rPr>
        <w:t xml:space="preserve">de la que trata la solicitud de PROMIGAS S.A. E.S.P. corresponde a aquella que se encontraba construida y operando </w:t>
      </w:r>
      <w:r w:rsidR="00443AB7" w:rsidRPr="002E2193">
        <w:rPr>
          <w:rFonts w:cs="Tahoma"/>
          <w:lang w:val="es-CO" w:eastAsia="es-CO"/>
        </w:rPr>
        <w:t>antes de que se aprobara el cargo para el mercado atendido por la empresa con base en la metodología de la Resolución CREG 011 de 2003</w:t>
      </w:r>
      <w:r w:rsidR="005A221E">
        <w:rPr>
          <w:rStyle w:val="Refdenotaalpie"/>
          <w:rFonts w:cs="Tahoma"/>
          <w:lang w:val="es-CO" w:eastAsia="es-CO"/>
        </w:rPr>
        <w:footnoteReference w:id="2"/>
      </w:r>
      <w:r w:rsidR="00443AB7" w:rsidRPr="002E2193">
        <w:rPr>
          <w:rFonts w:cs="Tahoma"/>
          <w:lang w:val="es-CO" w:eastAsia="es-CO"/>
        </w:rPr>
        <w:t>.</w:t>
      </w:r>
    </w:p>
    <w:p w14:paraId="1EEFBE9A" w14:textId="7EA23CA8" w:rsidR="003E7721" w:rsidRDefault="001757BF" w:rsidP="003E7721">
      <w:pPr>
        <w:autoSpaceDE w:val="0"/>
        <w:autoSpaceDN w:val="0"/>
        <w:adjustRightInd w:val="0"/>
        <w:rPr>
          <w:rFonts w:cs="Tahoma"/>
          <w:lang w:val="es-CO" w:eastAsia="es-CO"/>
        </w:rPr>
      </w:pPr>
      <w:r>
        <w:rPr>
          <w:rFonts w:cs="Tahoma"/>
          <w:lang w:val="es-CO" w:eastAsia="es-CO"/>
        </w:rPr>
        <w:t>E</w:t>
      </w:r>
      <w:r w:rsidR="00443AB7">
        <w:rPr>
          <w:rFonts w:cs="Tahoma"/>
          <w:lang w:val="es-CO" w:eastAsia="es-CO"/>
        </w:rPr>
        <w:t xml:space="preserve">n cumplimiento de lo dispuesto en el literal a) </w:t>
      </w:r>
      <w:r w:rsidR="00575F06">
        <w:rPr>
          <w:rFonts w:cs="Tahoma"/>
          <w:lang w:val="es-CO" w:eastAsia="es-CO"/>
        </w:rPr>
        <w:t xml:space="preserve">del parágrafo del Artículo 19 </w:t>
      </w:r>
      <w:r w:rsidR="00443AB7">
        <w:rPr>
          <w:rFonts w:cs="Tahoma"/>
          <w:lang w:val="es-CO" w:eastAsia="es-CO"/>
        </w:rPr>
        <w:t>de la</w:t>
      </w:r>
      <w:r w:rsidR="001D5C2B">
        <w:rPr>
          <w:rFonts w:cs="Tahoma"/>
          <w:lang w:val="es-CO" w:eastAsia="es-CO"/>
        </w:rPr>
        <w:t xml:space="preserve"> </w:t>
      </w:r>
      <w:r w:rsidR="00DE6830">
        <w:rPr>
          <w:rFonts w:cs="Tahoma"/>
          <w:lang w:val="es-CO" w:eastAsia="es-CO"/>
        </w:rPr>
        <w:t>mencionada r</w:t>
      </w:r>
      <w:r w:rsidR="001D5C2B">
        <w:rPr>
          <w:rFonts w:cs="Tahoma"/>
          <w:lang w:val="es-CO" w:eastAsia="es-CO"/>
        </w:rPr>
        <w:t>esolución</w:t>
      </w:r>
      <w:r w:rsidR="00DF7B3A" w:rsidRPr="00531296">
        <w:rPr>
          <w:vertAlign w:val="superscript"/>
        </w:rPr>
        <w:footnoteReference w:id="3"/>
      </w:r>
      <w:r w:rsidR="00531296">
        <w:rPr>
          <w:rFonts w:cs="Tahoma"/>
          <w:lang w:val="es-CO" w:eastAsia="es-CO"/>
        </w:rPr>
        <w:t>,</w:t>
      </w:r>
      <w:r w:rsidR="002F046F">
        <w:rPr>
          <w:rFonts w:cs="Tahoma"/>
          <w:lang w:val="es-CO" w:eastAsia="es-CO"/>
        </w:rPr>
        <w:t xml:space="preserve"> </w:t>
      </w:r>
      <w:r w:rsidR="003E7721">
        <w:rPr>
          <w:rFonts w:cs="Tahoma"/>
          <w:lang w:val="es-CO" w:eastAsia="es-CO"/>
        </w:rPr>
        <w:t xml:space="preserve">y con el fin de presentar la información necesaria para </w:t>
      </w:r>
      <w:r w:rsidR="002F046F">
        <w:rPr>
          <w:rFonts w:cs="Tahoma"/>
          <w:lang w:val="es-CO" w:eastAsia="es-CO"/>
        </w:rPr>
        <w:t xml:space="preserve">la definición </w:t>
      </w:r>
      <w:r w:rsidR="009A5519">
        <w:rPr>
          <w:rFonts w:cs="Tahoma"/>
          <w:lang w:val="es-CO" w:eastAsia="es-CO"/>
        </w:rPr>
        <w:t>de cargos de distribución</w:t>
      </w:r>
      <w:r w:rsidR="001D5C2B">
        <w:rPr>
          <w:rFonts w:cs="Tahoma"/>
          <w:lang w:val="es-CO" w:eastAsia="es-CO"/>
        </w:rPr>
        <w:t>,</w:t>
      </w:r>
      <w:r w:rsidR="009A5519">
        <w:rPr>
          <w:rFonts w:cs="Tahoma"/>
          <w:lang w:val="es-CO" w:eastAsia="es-CO"/>
        </w:rPr>
        <w:t xml:space="preserve"> PROMIGAS S.A. E.S.P.</w:t>
      </w:r>
      <w:r w:rsidR="001D5C2B">
        <w:rPr>
          <w:rFonts w:cs="Tahoma"/>
          <w:lang w:val="es-CO" w:eastAsia="es-CO"/>
        </w:rPr>
        <w:t xml:space="preserve"> reportó el inventario de las inversiones inherentes a la operación </w:t>
      </w:r>
      <w:r w:rsidR="000420E7">
        <w:rPr>
          <w:rFonts w:cs="Tahoma"/>
          <w:lang w:val="es-CO" w:eastAsia="es-CO"/>
        </w:rPr>
        <w:t xml:space="preserve">que hacen parte del sistema de distribución del mercado relevante </w:t>
      </w:r>
      <w:r>
        <w:rPr>
          <w:rFonts w:cs="Tahoma"/>
          <w:lang w:val="es-CO" w:eastAsia="es-CO"/>
        </w:rPr>
        <w:t>donde opera</w:t>
      </w:r>
      <w:r w:rsidR="00430E07">
        <w:rPr>
          <w:rFonts w:cs="Tahoma"/>
          <w:lang w:val="es-CO" w:eastAsia="es-CO"/>
        </w:rPr>
        <w:t>, a fecha de corte del 31 de diciembre de 2002,</w:t>
      </w:r>
      <w:r w:rsidR="00683685">
        <w:rPr>
          <w:rFonts w:cs="Tahoma"/>
          <w:lang w:val="es-CO" w:eastAsia="es-CO"/>
        </w:rPr>
        <w:t xml:space="preserve"> mediante radicado CREG E-2003-004325 del </w:t>
      </w:r>
      <w:r w:rsidR="00C047C6">
        <w:rPr>
          <w:rFonts w:cs="Tahoma"/>
          <w:lang w:val="es-CO" w:eastAsia="es-CO"/>
        </w:rPr>
        <w:t>30 de abril de 2003</w:t>
      </w:r>
      <w:r>
        <w:rPr>
          <w:rFonts w:cs="Tahoma"/>
          <w:lang w:val="es-CO" w:eastAsia="es-CO"/>
        </w:rPr>
        <w:t>.</w:t>
      </w:r>
      <w:r w:rsidR="00287E85">
        <w:rPr>
          <w:rFonts w:cs="Tahoma"/>
          <w:lang w:val="es-CO" w:eastAsia="es-CO"/>
        </w:rPr>
        <w:t xml:space="preserve"> </w:t>
      </w:r>
      <w:r w:rsidR="00EB19ED">
        <w:rPr>
          <w:rFonts w:cs="Tahoma"/>
          <w:lang w:val="es-CO" w:eastAsia="es-CO"/>
        </w:rPr>
        <w:t xml:space="preserve">Con base en </w:t>
      </w:r>
      <w:r w:rsidR="008471D0">
        <w:rPr>
          <w:rFonts w:cs="Tahoma"/>
          <w:lang w:val="es-CO" w:eastAsia="es-CO"/>
        </w:rPr>
        <w:t>est</w:t>
      </w:r>
      <w:r w:rsidR="00EB19ED">
        <w:rPr>
          <w:rFonts w:cs="Tahoma"/>
          <w:lang w:val="es-CO" w:eastAsia="es-CO"/>
        </w:rPr>
        <w:t xml:space="preserve">a información </w:t>
      </w:r>
      <w:r w:rsidR="008471D0">
        <w:rPr>
          <w:rFonts w:cs="Tahoma"/>
          <w:lang w:val="es-CO" w:eastAsia="es-CO"/>
        </w:rPr>
        <w:t xml:space="preserve">y otra adicional </w:t>
      </w:r>
      <w:r w:rsidR="00EB19ED">
        <w:rPr>
          <w:rFonts w:cs="Tahoma"/>
          <w:lang w:val="es-CO" w:eastAsia="es-CO"/>
        </w:rPr>
        <w:t>presentada por la empresa, la Comisión aprobó</w:t>
      </w:r>
      <w:r w:rsidR="008471D0">
        <w:rPr>
          <w:rFonts w:cs="Tahoma"/>
          <w:lang w:val="es-CO" w:eastAsia="es-CO"/>
        </w:rPr>
        <w:t xml:space="preserve"> el cargo de distribución para el mercado en el que </w:t>
      </w:r>
      <w:r w:rsidR="00287E85">
        <w:rPr>
          <w:rFonts w:cs="Tahoma"/>
          <w:lang w:val="es-CO" w:eastAsia="es-CO"/>
        </w:rPr>
        <w:t>PROMIGAS S.A. E.S.P.</w:t>
      </w:r>
      <w:r w:rsidR="008471D0">
        <w:rPr>
          <w:rFonts w:cs="Tahoma"/>
          <w:lang w:val="es-CO" w:eastAsia="es-CO"/>
        </w:rPr>
        <w:t xml:space="preserve"> opera mediante la Resolución CREG 086 de 2004.</w:t>
      </w:r>
    </w:p>
    <w:p w14:paraId="77A96DCB" w14:textId="3CDEC501" w:rsidR="003B7A92" w:rsidRDefault="000048EA" w:rsidP="003B7A92">
      <w:pPr>
        <w:autoSpaceDE w:val="0"/>
        <w:autoSpaceDN w:val="0"/>
        <w:adjustRightInd w:val="0"/>
        <w:rPr>
          <w:rFonts w:cs="Arial"/>
          <w:bCs/>
        </w:rPr>
      </w:pPr>
      <w:r>
        <w:rPr>
          <w:rFonts w:cs="Tahoma"/>
          <w:lang w:val="es-CO" w:eastAsia="es-CO"/>
        </w:rPr>
        <w:t xml:space="preserve">Ahora bien, es relevante y pertinente indicar que </w:t>
      </w:r>
      <w:r w:rsidRPr="00AD3D5D">
        <w:rPr>
          <w:rFonts w:cs="Arial"/>
          <w:bCs/>
        </w:rPr>
        <w:t>l</w:t>
      </w:r>
      <w:r>
        <w:rPr>
          <w:rFonts w:cs="Arial"/>
          <w:bCs/>
        </w:rPr>
        <w:t>a cantidad de</w:t>
      </w:r>
      <w:r w:rsidRPr="00AD3D5D">
        <w:rPr>
          <w:rFonts w:cs="Arial"/>
          <w:bCs/>
        </w:rPr>
        <w:t xml:space="preserve"> activos reconocidos</w:t>
      </w:r>
      <w:r>
        <w:rPr>
          <w:rFonts w:cs="Arial"/>
          <w:bCs/>
        </w:rPr>
        <w:t xml:space="preserve"> </w:t>
      </w:r>
      <w:r w:rsidR="00683685">
        <w:rPr>
          <w:rFonts w:cs="Arial"/>
          <w:bCs/>
        </w:rPr>
        <w:t xml:space="preserve">en </w:t>
      </w:r>
      <w:r w:rsidR="00287E85">
        <w:rPr>
          <w:rFonts w:cs="Arial"/>
          <w:bCs/>
        </w:rPr>
        <w:t>est</w:t>
      </w:r>
      <w:r w:rsidR="00683685">
        <w:rPr>
          <w:rFonts w:cs="Arial"/>
          <w:bCs/>
        </w:rPr>
        <w:t>a última revisión tarifaria</w:t>
      </w:r>
      <w:r>
        <w:rPr>
          <w:rFonts w:cs="Arial"/>
          <w:bCs/>
        </w:rPr>
        <w:t xml:space="preserve"> </w:t>
      </w:r>
      <w:r w:rsidRPr="00AD3D5D">
        <w:rPr>
          <w:rFonts w:cs="Arial"/>
          <w:bCs/>
        </w:rPr>
        <w:t xml:space="preserve">son el resultado de </w:t>
      </w:r>
      <w:r w:rsidR="0025681C">
        <w:rPr>
          <w:rFonts w:cs="Arial"/>
          <w:bCs/>
        </w:rPr>
        <w:t>l</w:t>
      </w:r>
      <w:r w:rsidRPr="00AD3D5D">
        <w:rPr>
          <w:rFonts w:cs="Arial"/>
          <w:bCs/>
        </w:rPr>
        <w:t>a solicitud presentad</w:t>
      </w:r>
      <w:r w:rsidR="0025681C">
        <w:rPr>
          <w:rFonts w:cs="Arial"/>
          <w:bCs/>
        </w:rPr>
        <w:t>a</w:t>
      </w:r>
      <w:r w:rsidRPr="00AD3D5D">
        <w:rPr>
          <w:rFonts w:cs="Arial"/>
          <w:bCs/>
        </w:rPr>
        <w:t xml:space="preserve"> por PROMIGAS S.A.</w:t>
      </w:r>
      <w:r w:rsidR="00531296">
        <w:rPr>
          <w:rFonts w:cs="Arial"/>
          <w:bCs/>
        </w:rPr>
        <w:t xml:space="preserve"> E.S.P. </w:t>
      </w:r>
      <w:r w:rsidR="0025681C">
        <w:rPr>
          <w:rFonts w:cs="Arial"/>
          <w:bCs/>
        </w:rPr>
        <w:t>L</w:t>
      </w:r>
      <w:r w:rsidRPr="00453404">
        <w:rPr>
          <w:rFonts w:cs="Arial"/>
          <w:bCs/>
        </w:rPr>
        <w:t>a CREG aceptó la cantidad de activos reportados por PROMIGAS S.A. E.S.P. y los incluyó, en su totalidad, en la Inversión Base Existente que utilizó para el cálculo del cargo de distribución aprobado mediante la Resolución CREG 086 de 2004</w:t>
      </w:r>
      <w:r w:rsidR="009859AA">
        <w:rPr>
          <w:rFonts w:cs="Arial"/>
          <w:bCs/>
        </w:rPr>
        <w:t>, dado que se realizó</w:t>
      </w:r>
      <w:r w:rsidR="003B7A92">
        <w:rPr>
          <w:rFonts w:cs="Arial"/>
          <w:bCs/>
        </w:rPr>
        <w:t xml:space="preserve"> una</w:t>
      </w:r>
      <w:r w:rsidR="003B7A92" w:rsidRPr="00453404">
        <w:rPr>
          <w:rFonts w:cs="Arial"/>
          <w:bCs/>
        </w:rPr>
        <w:t xml:space="preserve"> verificación de activos </w:t>
      </w:r>
      <w:r w:rsidR="009859AA">
        <w:rPr>
          <w:rFonts w:cs="Arial"/>
          <w:bCs/>
        </w:rPr>
        <w:t>con</w:t>
      </w:r>
      <w:r w:rsidR="003B7A92" w:rsidRPr="00453404">
        <w:rPr>
          <w:rFonts w:cs="Arial"/>
          <w:bCs/>
        </w:rPr>
        <w:t xml:space="preserve"> la firma DIVISA INGENIEROS ASOCIADOS S.A., quien levantó un inventario de los respectivos activos de distribución de </w:t>
      </w:r>
      <w:r w:rsidR="009859AA">
        <w:rPr>
          <w:rFonts w:cs="Arial"/>
          <w:bCs/>
        </w:rPr>
        <w:t>la empresa</w:t>
      </w:r>
      <w:r w:rsidR="003B7A92">
        <w:rPr>
          <w:rFonts w:cs="Arial"/>
          <w:bCs/>
        </w:rPr>
        <w:t xml:space="preserve"> y corroboró que dichas inversiones correspondían a las inversiones construidas hasta el año 2003.</w:t>
      </w:r>
    </w:p>
    <w:p w14:paraId="1ED905C6" w14:textId="2D4D1C51" w:rsidR="000048EA" w:rsidRDefault="0025681C" w:rsidP="000048EA">
      <w:pPr>
        <w:autoSpaceDE w:val="0"/>
        <w:autoSpaceDN w:val="0"/>
        <w:adjustRightInd w:val="0"/>
        <w:rPr>
          <w:rFonts w:cs="Arial"/>
          <w:bCs/>
        </w:rPr>
      </w:pPr>
      <w:r>
        <w:rPr>
          <w:rFonts w:cs="Arial"/>
          <w:bCs/>
        </w:rPr>
        <w:t xml:space="preserve">A su vez, </w:t>
      </w:r>
      <w:r w:rsidR="003B7A92">
        <w:rPr>
          <w:rFonts w:cs="Arial"/>
          <w:bCs/>
        </w:rPr>
        <w:t xml:space="preserve">los activos reconocidos mediante Resolución CREG 086 de 2004 </w:t>
      </w:r>
      <w:r>
        <w:rPr>
          <w:rFonts w:cs="Arial"/>
          <w:bCs/>
        </w:rPr>
        <w:t>corresponden a los reconocidos como Inversión Existente (IE) en la Resolución CREG 198 de 2017</w:t>
      </w:r>
      <w:r w:rsidR="000048EA">
        <w:rPr>
          <w:rFonts w:cs="Arial"/>
          <w:bCs/>
        </w:rPr>
        <w:t xml:space="preserve"> (ver </w:t>
      </w:r>
      <w:r w:rsidR="000048EA" w:rsidRPr="00206B3F">
        <w:rPr>
          <w:rFonts w:cs="Arial"/>
          <w:bCs/>
        </w:rPr>
        <w:fldChar w:fldCharType="begin"/>
      </w:r>
      <w:r w:rsidR="000048EA" w:rsidRPr="00F2350E">
        <w:rPr>
          <w:rFonts w:cs="Arial"/>
          <w:bCs/>
        </w:rPr>
        <w:instrText xml:space="preserve"> REF _Ref73537653 \h  \* MERGEFORMAT </w:instrText>
      </w:r>
      <w:r w:rsidR="000048EA" w:rsidRPr="00206B3F">
        <w:rPr>
          <w:rFonts w:cs="Arial"/>
          <w:bCs/>
        </w:rPr>
      </w:r>
      <w:r w:rsidR="000048EA" w:rsidRPr="00206B3F">
        <w:rPr>
          <w:rFonts w:cs="Arial"/>
          <w:bCs/>
        </w:rPr>
        <w:fldChar w:fldCharType="separate"/>
      </w:r>
      <w:r w:rsidR="0079362E" w:rsidRPr="0079362E">
        <w:rPr>
          <w:bCs/>
        </w:rPr>
        <w:t xml:space="preserve">Tabla </w:t>
      </w:r>
      <w:r w:rsidR="0079362E" w:rsidRPr="0079362E">
        <w:rPr>
          <w:bCs/>
          <w:noProof/>
        </w:rPr>
        <w:t>1</w:t>
      </w:r>
      <w:r w:rsidR="000048EA" w:rsidRPr="00206B3F">
        <w:rPr>
          <w:rFonts w:cs="Arial"/>
          <w:bCs/>
        </w:rPr>
        <w:fldChar w:fldCharType="end"/>
      </w:r>
      <w:r w:rsidR="000048EA">
        <w:rPr>
          <w:rFonts w:cs="Arial"/>
          <w:bCs/>
        </w:rPr>
        <w:t>)</w:t>
      </w:r>
      <w:r>
        <w:rPr>
          <w:rFonts w:cs="Arial"/>
          <w:bCs/>
        </w:rPr>
        <w:t>.</w:t>
      </w:r>
      <w:r w:rsidR="003F25E1">
        <w:rPr>
          <w:rFonts w:cs="Arial"/>
          <w:bCs/>
        </w:rPr>
        <w:t xml:space="preserve"> </w:t>
      </w:r>
      <w:r w:rsidR="000048EA">
        <w:rPr>
          <w:rFonts w:cs="Arial"/>
          <w:bCs/>
        </w:rPr>
        <w:t xml:space="preserve">Por consiguiente, </w:t>
      </w:r>
      <w:r w:rsidR="0085619D">
        <w:rPr>
          <w:rFonts w:cs="Arial"/>
          <w:bCs/>
        </w:rPr>
        <w:t xml:space="preserve">no es </w:t>
      </w:r>
      <w:r w:rsidR="000048EA">
        <w:rPr>
          <w:rFonts w:cs="Arial"/>
          <w:bCs/>
        </w:rPr>
        <w:t xml:space="preserve">aceptable que la empresa insista en que la cantidad de activos que la Comisión aprobó es incorrecta, </w:t>
      </w:r>
      <w:r w:rsidR="009859AA">
        <w:rPr>
          <w:rFonts w:cs="Arial"/>
          <w:bCs/>
        </w:rPr>
        <w:t>dado</w:t>
      </w:r>
      <w:r w:rsidR="000048EA">
        <w:rPr>
          <w:rFonts w:cs="Arial"/>
          <w:bCs/>
        </w:rPr>
        <w:t xml:space="preserve"> que esta </w:t>
      </w:r>
      <w:r w:rsidR="00BF55DD">
        <w:rPr>
          <w:rFonts w:cs="Arial"/>
          <w:bCs/>
        </w:rPr>
        <w:t>corresponde a</w:t>
      </w:r>
      <w:r w:rsidR="00410F51">
        <w:rPr>
          <w:rFonts w:cs="Arial"/>
          <w:bCs/>
        </w:rPr>
        <w:t xml:space="preserve"> </w:t>
      </w:r>
      <w:r w:rsidR="009859AA">
        <w:rPr>
          <w:rFonts w:cs="Arial"/>
          <w:bCs/>
        </w:rPr>
        <w:t>la</w:t>
      </w:r>
      <w:r w:rsidR="000048EA">
        <w:rPr>
          <w:rFonts w:cs="Arial"/>
          <w:bCs/>
        </w:rPr>
        <w:t xml:space="preserve"> reportada por la misma empresa.</w:t>
      </w:r>
    </w:p>
    <w:p w14:paraId="032E8612" w14:textId="0C7C5584" w:rsidR="00E71B58" w:rsidRDefault="00E71B58" w:rsidP="000048EA">
      <w:pPr>
        <w:autoSpaceDE w:val="0"/>
        <w:autoSpaceDN w:val="0"/>
        <w:adjustRightInd w:val="0"/>
        <w:rPr>
          <w:rFonts w:cs="Arial"/>
          <w:bCs/>
        </w:rPr>
      </w:pPr>
      <w:r>
        <w:rPr>
          <w:rFonts w:cs="Arial"/>
          <w:bCs/>
        </w:rPr>
        <w:t>Así las cosas, la CREG considera que no existe la “expropiación” que señala la empresa, ya que la cantidad de activos que está siendo remunerada a la empresa corresponde a la solicitada por ella misma.</w:t>
      </w:r>
    </w:p>
    <w:p w14:paraId="2ECB653C" w14:textId="54FDA330" w:rsidR="00E14C4F" w:rsidRDefault="00E14C4F" w:rsidP="002E2193">
      <w:pPr>
        <w:pStyle w:val="Descripcin"/>
        <w:keepNext/>
      </w:pPr>
      <w:bookmarkStart w:id="3" w:name="_Ref73537653"/>
      <w:r w:rsidRPr="002E2193">
        <w:rPr>
          <w:b/>
          <w:bCs/>
        </w:rPr>
        <w:lastRenderedPageBreak/>
        <w:t xml:space="preserve">Tabla </w:t>
      </w:r>
      <w:r w:rsidRPr="002E2193">
        <w:rPr>
          <w:b/>
          <w:bCs/>
        </w:rPr>
        <w:fldChar w:fldCharType="begin"/>
      </w:r>
      <w:r w:rsidRPr="002E2193">
        <w:rPr>
          <w:b/>
          <w:bCs/>
        </w:rPr>
        <w:instrText xml:space="preserve"> SEQ Tabla \* ARABIC </w:instrText>
      </w:r>
      <w:r w:rsidRPr="002E2193">
        <w:rPr>
          <w:b/>
          <w:bCs/>
        </w:rPr>
        <w:fldChar w:fldCharType="separate"/>
      </w:r>
      <w:r w:rsidR="0079362E">
        <w:rPr>
          <w:b/>
          <w:bCs/>
          <w:noProof/>
        </w:rPr>
        <w:t>1</w:t>
      </w:r>
      <w:r w:rsidRPr="002E2193">
        <w:rPr>
          <w:b/>
          <w:bCs/>
        </w:rPr>
        <w:fldChar w:fldCharType="end"/>
      </w:r>
      <w:bookmarkEnd w:id="3"/>
      <w:r w:rsidRPr="002E2193">
        <w:rPr>
          <w:b/>
          <w:bCs/>
        </w:rPr>
        <w:t>.</w:t>
      </w:r>
      <w:r>
        <w:t xml:space="preserve"> Activos </w:t>
      </w:r>
      <w:r w:rsidR="00585785">
        <w:t>solicitados y aprobados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1603"/>
        <w:gridCol w:w="1604"/>
        <w:gridCol w:w="1604"/>
        <w:gridCol w:w="1604"/>
      </w:tblGrid>
      <w:tr w:rsidR="00CF080D" w:rsidRPr="00A23681" w14:paraId="057DFCBB" w14:textId="77777777" w:rsidTr="002E2193">
        <w:trPr>
          <w:trHeight w:val="70"/>
          <w:tblHeader/>
          <w:jc w:val="center"/>
        </w:trPr>
        <w:tc>
          <w:tcPr>
            <w:tcW w:w="2931" w:type="dxa"/>
            <w:shd w:val="clear" w:color="auto" w:fill="D9D9D9" w:themeFill="background1" w:themeFillShade="D9"/>
            <w:vAlign w:val="center"/>
          </w:tcPr>
          <w:p w14:paraId="21FFE766" w14:textId="77777777" w:rsidR="00CF080D" w:rsidRPr="002E2193" w:rsidRDefault="00CF080D" w:rsidP="002E2193">
            <w:pPr>
              <w:widowControl w:val="0"/>
              <w:spacing w:before="0" w:after="0"/>
              <w:jc w:val="center"/>
              <w:rPr>
                <w:rFonts w:cs="Arial"/>
                <w:b/>
                <w:sz w:val="19"/>
                <w:szCs w:val="19"/>
              </w:rPr>
            </w:pPr>
          </w:p>
        </w:tc>
        <w:tc>
          <w:tcPr>
            <w:tcW w:w="6415" w:type="dxa"/>
            <w:gridSpan w:val="4"/>
            <w:shd w:val="clear" w:color="auto" w:fill="D9D9D9" w:themeFill="background1" w:themeFillShade="D9"/>
            <w:vAlign w:val="center"/>
          </w:tcPr>
          <w:p w14:paraId="60DFD1BC" w14:textId="17DFF25D" w:rsidR="00CF080D" w:rsidRPr="002E2193" w:rsidRDefault="00CF080D" w:rsidP="002E2193">
            <w:pPr>
              <w:widowControl w:val="0"/>
              <w:spacing w:before="0" w:after="0"/>
              <w:jc w:val="center"/>
              <w:rPr>
                <w:rFonts w:cs="Arial"/>
                <w:b/>
                <w:sz w:val="19"/>
                <w:szCs w:val="19"/>
              </w:rPr>
            </w:pPr>
            <w:r w:rsidRPr="002E2193">
              <w:rPr>
                <w:rFonts w:cs="Arial"/>
                <w:b/>
                <w:sz w:val="19"/>
                <w:szCs w:val="19"/>
              </w:rPr>
              <w:t>Cantidad (Nota 1)</w:t>
            </w:r>
          </w:p>
        </w:tc>
      </w:tr>
      <w:tr w:rsidR="00757209" w:rsidRPr="00A23681" w14:paraId="4A143D1C" w14:textId="77777777" w:rsidTr="002E2193">
        <w:trPr>
          <w:trHeight w:val="337"/>
          <w:tblHeader/>
          <w:jc w:val="center"/>
        </w:trPr>
        <w:tc>
          <w:tcPr>
            <w:tcW w:w="2931" w:type="dxa"/>
            <w:shd w:val="clear" w:color="auto" w:fill="D9D9D9" w:themeFill="background1" w:themeFillShade="D9"/>
            <w:vAlign w:val="center"/>
          </w:tcPr>
          <w:p w14:paraId="3AE1B423" w14:textId="77777777" w:rsidR="00757209" w:rsidRPr="002E2193" w:rsidRDefault="00757209" w:rsidP="002E2193">
            <w:pPr>
              <w:widowControl w:val="0"/>
              <w:spacing w:before="0" w:after="0"/>
              <w:jc w:val="center"/>
              <w:rPr>
                <w:rFonts w:cs="Arial"/>
                <w:b/>
                <w:sz w:val="19"/>
                <w:szCs w:val="19"/>
              </w:rPr>
            </w:pPr>
            <w:r w:rsidRPr="002E2193">
              <w:rPr>
                <w:rFonts w:cs="Arial"/>
                <w:b/>
                <w:sz w:val="19"/>
                <w:szCs w:val="19"/>
              </w:rPr>
              <w:t>Descripción de Unidad Constructiva</w:t>
            </w:r>
          </w:p>
        </w:tc>
        <w:tc>
          <w:tcPr>
            <w:tcW w:w="1603" w:type="dxa"/>
            <w:shd w:val="clear" w:color="auto" w:fill="D9D9D9" w:themeFill="background1" w:themeFillShade="D9"/>
          </w:tcPr>
          <w:p w14:paraId="045E5BEF" w14:textId="791BE0CA" w:rsidR="00757209" w:rsidRPr="002E2193" w:rsidRDefault="00CF080D" w:rsidP="002E2193">
            <w:pPr>
              <w:widowControl w:val="0"/>
              <w:spacing w:before="0" w:after="0"/>
              <w:jc w:val="center"/>
              <w:rPr>
                <w:rFonts w:cs="Arial"/>
                <w:b/>
                <w:sz w:val="19"/>
                <w:szCs w:val="19"/>
              </w:rPr>
            </w:pPr>
            <w:r w:rsidRPr="002E2193">
              <w:rPr>
                <w:rFonts w:cs="Arial"/>
                <w:b/>
                <w:sz w:val="19"/>
                <w:szCs w:val="19"/>
              </w:rPr>
              <w:t>R</w:t>
            </w:r>
            <w:r w:rsidR="00757209" w:rsidRPr="002E2193">
              <w:rPr>
                <w:rFonts w:cs="Arial"/>
                <w:b/>
                <w:sz w:val="19"/>
                <w:szCs w:val="19"/>
              </w:rPr>
              <w:t>econocida en la Res. 015 de 2002</w:t>
            </w:r>
          </w:p>
        </w:tc>
        <w:tc>
          <w:tcPr>
            <w:tcW w:w="1604" w:type="dxa"/>
            <w:shd w:val="clear" w:color="auto" w:fill="D9D9D9" w:themeFill="background1" w:themeFillShade="D9"/>
          </w:tcPr>
          <w:p w14:paraId="5D0F2602" w14:textId="4FCC4D12" w:rsidR="00757209" w:rsidRPr="002E2193" w:rsidRDefault="00757209" w:rsidP="002E2193">
            <w:pPr>
              <w:widowControl w:val="0"/>
              <w:spacing w:before="0" w:after="0"/>
              <w:jc w:val="center"/>
              <w:rPr>
                <w:rFonts w:cs="Arial"/>
                <w:b/>
                <w:sz w:val="19"/>
                <w:szCs w:val="19"/>
              </w:rPr>
            </w:pPr>
            <w:r w:rsidRPr="002E2193">
              <w:rPr>
                <w:rFonts w:cs="Arial"/>
                <w:b/>
                <w:sz w:val="19"/>
                <w:szCs w:val="19"/>
              </w:rPr>
              <w:t>Cantidad solicitada por Promigas</w:t>
            </w:r>
            <w:r w:rsidR="00F07A6B" w:rsidRPr="002E2193">
              <w:rPr>
                <w:rFonts w:cs="Arial"/>
                <w:b/>
                <w:sz w:val="19"/>
                <w:szCs w:val="19"/>
              </w:rPr>
              <w:t xml:space="preserve"> (Nota 2)</w:t>
            </w:r>
            <w:r w:rsidRPr="002E2193">
              <w:rPr>
                <w:rFonts w:cs="Arial"/>
                <w:b/>
                <w:sz w:val="19"/>
                <w:szCs w:val="19"/>
              </w:rPr>
              <w:t xml:space="preserve"> </w:t>
            </w:r>
          </w:p>
        </w:tc>
        <w:tc>
          <w:tcPr>
            <w:tcW w:w="1604" w:type="dxa"/>
            <w:shd w:val="clear" w:color="auto" w:fill="D9D9D9" w:themeFill="background1" w:themeFillShade="D9"/>
            <w:vAlign w:val="center"/>
          </w:tcPr>
          <w:p w14:paraId="253E4346" w14:textId="1F4B0214" w:rsidR="00757209" w:rsidRPr="002E2193" w:rsidRDefault="00CF080D" w:rsidP="002E2193">
            <w:pPr>
              <w:widowControl w:val="0"/>
              <w:spacing w:before="0" w:after="0"/>
              <w:jc w:val="center"/>
              <w:rPr>
                <w:rFonts w:cs="Arial"/>
                <w:b/>
                <w:sz w:val="19"/>
                <w:szCs w:val="19"/>
              </w:rPr>
            </w:pPr>
            <w:r w:rsidRPr="002E2193">
              <w:rPr>
                <w:rFonts w:cs="Arial"/>
                <w:b/>
                <w:sz w:val="19"/>
                <w:szCs w:val="19"/>
              </w:rPr>
              <w:t>R</w:t>
            </w:r>
            <w:r w:rsidR="00757209" w:rsidRPr="002E2193">
              <w:rPr>
                <w:rFonts w:cs="Arial"/>
                <w:b/>
                <w:sz w:val="19"/>
                <w:szCs w:val="19"/>
              </w:rPr>
              <w:t>econocida en la Res. CREG 086 de 2004</w:t>
            </w:r>
          </w:p>
        </w:tc>
        <w:tc>
          <w:tcPr>
            <w:tcW w:w="1604" w:type="dxa"/>
            <w:shd w:val="clear" w:color="auto" w:fill="D9D9D9" w:themeFill="background1" w:themeFillShade="D9"/>
            <w:vAlign w:val="center"/>
          </w:tcPr>
          <w:p w14:paraId="7FC88145" w14:textId="05E5E928" w:rsidR="00757209" w:rsidRPr="002E2193" w:rsidRDefault="00CF080D" w:rsidP="002E2193">
            <w:pPr>
              <w:widowControl w:val="0"/>
              <w:spacing w:before="0" w:after="0"/>
              <w:jc w:val="center"/>
              <w:rPr>
                <w:rFonts w:cs="Arial"/>
                <w:b/>
                <w:sz w:val="19"/>
                <w:szCs w:val="19"/>
              </w:rPr>
            </w:pPr>
            <w:r w:rsidRPr="002E2193">
              <w:rPr>
                <w:rFonts w:cs="Arial"/>
                <w:b/>
                <w:sz w:val="19"/>
                <w:szCs w:val="19"/>
              </w:rPr>
              <w:t>R</w:t>
            </w:r>
            <w:r w:rsidR="00757209" w:rsidRPr="002E2193">
              <w:rPr>
                <w:rFonts w:cs="Arial"/>
                <w:b/>
                <w:sz w:val="19"/>
                <w:szCs w:val="19"/>
              </w:rPr>
              <w:t xml:space="preserve">econocida en la Res. CREG </w:t>
            </w:r>
            <w:r w:rsidR="000D0F33" w:rsidRPr="002E2193">
              <w:rPr>
                <w:rFonts w:cs="Arial"/>
                <w:b/>
                <w:sz w:val="19"/>
                <w:szCs w:val="19"/>
              </w:rPr>
              <w:t>198</w:t>
            </w:r>
            <w:r w:rsidR="00757209" w:rsidRPr="002E2193">
              <w:rPr>
                <w:rFonts w:cs="Arial"/>
                <w:b/>
                <w:sz w:val="19"/>
                <w:szCs w:val="19"/>
              </w:rPr>
              <w:t xml:space="preserve"> de 20</w:t>
            </w:r>
            <w:r w:rsidR="000D0F33" w:rsidRPr="002E2193">
              <w:rPr>
                <w:rFonts w:cs="Arial"/>
                <w:b/>
                <w:sz w:val="19"/>
                <w:szCs w:val="19"/>
              </w:rPr>
              <w:t>17</w:t>
            </w:r>
          </w:p>
        </w:tc>
      </w:tr>
      <w:tr w:rsidR="00757209" w:rsidRPr="00A23681" w14:paraId="0BFEDEC8" w14:textId="77777777" w:rsidTr="002E2193">
        <w:trPr>
          <w:jc w:val="center"/>
        </w:trPr>
        <w:tc>
          <w:tcPr>
            <w:tcW w:w="2931" w:type="dxa"/>
          </w:tcPr>
          <w:p w14:paraId="3A1CB337" w14:textId="77777777" w:rsidR="00757209" w:rsidRPr="002E2193" w:rsidRDefault="00757209" w:rsidP="002E2193">
            <w:pPr>
              <w:widowControl w:val="0"/>
              <w:spacing w:before="0" w:after="0"/>
              <w:rPr>
                <w:rFonts w:cs="Arial"/>
                <w:bCs/>
                <w:sz w:val="19"/>
                <w:szCs w:val="19"/>
              </w:rPr>
            </w:pPr>
            <w:r w:rsidRPr="002E2193">
              <w:rPr>
                <w:rFonts w:cs="Arial"/>
                <w:bCs/>
                <w:sz w:val="19"/>
                <w:szCs w:val="19"/>
              </w:rPr>
              <w:t>Tubería de Acero de 3”</w:t>
            </w:r>
          </w:p>
        </w:tc>
        <w:tc>
          <w:tcPr>
            <w:tcW w:w="1603" w:type="dxa"/>
            <w:vAlign w:val="center"/>
          </w:tcPr>
          <w:p w14:paraId="319141B1"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643CBF39" w14:textId="496CA968" w:rsidR="00757209" w:rsidRPr="002E2193" w:rsidRDefault="004F64D0" w:rsidP="002E2193">
            <w:pPr>
              <w:widowControl w:val="0"/>
              <w:spacing w:before="0" w:after="0"/>
              <w:jc w:val="center"/>
              <w:rPr>
                <w:rFonts w:cs="Arial"/>
                <w:bCs/>
                <w:sz w:val="19"/>
                <w:szCs w:val="19"/>
              </w:rPr>
            </w:pPr>
            <w:r w:rsidRPr="002E2193">
              <w:rPr>
                <w:rFonts w:cs="Arial"/>
                <w:bCs/>
                <w:sz w:val="19"/>
                <w:szCs w:val="19"/>
              </w:rPr>
              <w:t>0.87</w:t>
            </w:r>
          </w:p>
        </w:tc>
        <w:tc>
          <w:tcPr>
            <w:tcW w:w="1604" w:type="dxa"/>
            <w:vAlign w:val="center"/>
          </w:tcPr>
          <w:p w14:paraId="7A140830" w14:textId="5C4F2B4B" w:rsidR="00757209" w:rsidRPr="002E2193" w:rsidRDefault="00757209" w:rsidP="002E2193">
            <w:pPr>
              <w:widowControl w:val="0"/>
              <w:spacing w:before="0" w:after="0"/>
              <w:jc w:val="center"/>
              <w:rPr>
                <w:rFonts w:cs="Arial"/>
                <w:bCs/>
                <w:sz w:val="19"/>
                <w:szCs w:val="19"/>
              </w:rPr>
            </w:pPr>
            <w:r w:rsidRPr="002E2193">
              <w:rPr>
                <w:rFonts w:cs="Arial"/>
                <w:bCs/>
                <w:sz w:val="19"/>
                <w:szCs w:val="19"/>
              </w:rPr>
              <w:t>0.9</w:t>
            </w:r>
          </w:p>
        </w:tc>
        <w:tc>
          <w:tcPr>
            <w:tcW w:w="1604" w:type="dxa"/>
            <w:vAlign w:val="center"/>
          </w:tcPr>
          <w:p w14:paraId="6D8B1704"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0.87</w:t>
            </w:r>
          </w:p>
        </w:tc>
      </w:tr>
      <w:tr w:rsidR="00757209" w:rsidRPr="00A23681" w14:paraId="1CC04C50" w14:textId="77777777" w:rsidTr="002E2193">
        <w:trPr>
          <w:jc w:val="center"/>
        </w:trPr>
        <w:tc>
          <w:tcPr>
            <w:tcW w:w="2931" w:type="dxa"/>
          </w:tcPr>
          <w:p w14:paraId="4BB5488A" w14:textId="77777777" w:rsidR="00757209" w:rsidRPr="002E2193" w:rsidRDefault="00757209" w:rsidP="002E2193">
            <w:pPr>
              <w:widowControl w:val="0"/>
              <w:spacing w:before="0" w:after="0"/>
              <w:rPr>
                <w:rFonts w:cs="Arial"/>
                <w:bCs/>
                <w:sz w:val="19"/>
                <w:szCs w:val="19"/>
              </w:rPr>
            </w:pPr>
            <w:r w:rsidRPr="002E2193">
              <w:rPr>
                <w:rFonts w:cs="Arial"/>
                <w:bCs/>
                <w:sz w:val="19"/>
                <w:szCs w:val="19"/>
              </w:rPr>
              <w:t>Tubería de Acero de 4”</w:t>
            </w:r>
          </w:p>
        </w:tc>
        <w:tc>
          <w:tcPr>
            <w:tcW w:w="1603" w:type="dxa"/>
            <w:vAlign w:val="center"/>
          </w:tcPr>
          <w:p w14:paraId="2D784792"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698E73AD" w14:textId="7B2B0A3D" w:rsidR="00757209" w:rsidRPr="002E2193" w:rsidRDefault="00E125C4" w:rsidP="002E2193">
            <w:pPr>
              <w:widowControl w:val="0"/>
              <w:spacing w:before="0" w:after="0"/>
              <w:jc w:val="center"/>
              <w:rPr>
                <w:rFonts w:cs="Arial"/>
                <w:bCs/>
                <w:sz w:val="19"/>
                <w:szCs w:val="19"/>
              </w:rPr>
            </w:pPr>
            <w:r w:rsidRPr="002E2193">
              <w:rPr>
                <w:rFonts w:cs="Arial"/>
                <w:bCs/>
                <w:sz w:val="19"/>
                <w:szCs w:val="19"/>
              </w:rPr>
              <w:t>7.46</w:t>
            </w:r>
          </w:p>
        </w:tc>
        <w:tc>
          <w:tcPr>
            <w:tcW w:w="1604" w:type="dxa"/>
            <w:vAlign w:val="center"/>
          </w:tcPr>
          <w:p w14:paraId="04ACC495" w14:textId="681E32C4" w:rsidR="00757209" w:rsidRPr="002E2193" w:rsidRDefault="00757209" w:rsidP="002E2193">
            <w:pPr>
              <w:widowControl w:val="0"/>
              <w:spacing w:before="0" w:after="0"/>
              <w:jc w:val="center"/>
              <w:rPr>
                <w:rFonts w:cs="Arial"/>
                <w:bCs/>
                <w:sz w:val="19"/>
                <w:szCs w:val="19"/>
              </w:rPr>
            </w:pPr>
            <w:r w:rsidRPr="002E2193">
              <w:rPr>
                <w:rFonts w:cs="Arial"/>
                <w:bCs/>
                <w:sz w:val="19"/>
                <w:szCs w:val="19"/>
              </w:rPr>
              <w:t>7.5</w:t>
            </w:r>
          </w:p>
        </w:tc>
        <w:tc>
          <w:tcPr>
            <w:tcW w:w="1604" w:type="dxa"/>
            <w:vAlign w:val="center"/>
          </w:tcPr>
          <w:p w14:paraId="72FE3190"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7.46</w:t>
            </w:r>
          </w:p>
        </w:tc>
      </w:tr>
      <w:tr w:rsidR="00757209" w:rsidRPr="00A23681" w14:paraId="7F51F209" w14:textId="77777777" w:rsidTr="002E2193">
        <w:trPr>
          <w:jc w:val="center"/>
        </w:trPr>
        <w:tc>
          <w:tcPr>
            <w:tcW w:w="2931" w:type="dxa"/>
          </w:tcPr>
          <w:p w14:paraId="183C5B3A"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Tubería de Acero de 6”</w:t>
            </w:r>
          </w:p>
        </w:tc>
        <w:tc>
          <w:tcPr>
            <w:tcW w:w="1603" w:type="dxa"/>
            <w:vAlign w:val="center"/>
          </w:tcPr>
          <w:p w14:paraId="31D0EC9C"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45C75B98" w14:textId="7BE3B0EC" w:rsidR="00757209" w:rsidRPr="002E2193" w:rsidRDefault="00C167DA" w:rsidP="002E2193">
            <w:pPr>
              <w:widowControl w:val="0"/>
              <w:spacing w:before="0" w:after="0"/>
              <w:jc w:val="center"/>
              <w:rPr>
                <w:rFonts w:cs="Arial"/>
                <w:bCs/>
                <w:sz w:val="19"/>
                <w:szCs w:val="19"/>
              </w:rPr>
            </w:pPr>
            <w:r w:rsidRPr="002E2193">
              <w:rPr>
                <w:rFonts w:cs="Arial"/>
                <w:bCs/>
                <w:sz w:val="19"/>
                <w:szCs w:val="19"/>
              </w:rPr>
              <w:t>0.71</w:t>
            </w:r>
          </w:p>
        </w:tc>
        <w:tc>
          <w:tcPr>
            <w:tcW w:w="1604" w:type="dxa"/>
            <w:vAlign w:val="center"/>
          </w:tcPr>
          <w:p w14:paraId="5E848275" w14:textId="25944FD5" w:rsidR="00757209" w:rsidRPr="002E2193" w:rsidRDefault="00757209" w:rsidP="002E2193">
            <w:pPr>
              <w:widowControl w:val="0"/>
              <w:spacing w:before="0" w:after="0"/>
              <w:jc w:val="center"/>
              <w:rPr>
                <w:rFonts w:cs="Arial"/>
                <w:bCs/>
                <w:sz w:val="19"/>
                <w:szCs w:val="19"/>
              </w:rPr>
            </w:pPr>
            <w:r w:rsidRPr="002E2193">
              <w:rPr>
                <w:rFonts w:cs="Arial"/>
                <w:bCs/>
                <w:sz w:val="19"/>
                <w:szCs w:val="19"/>
              </w:rPr>
              <w:t>0.7</w:t>
            </w:r>
          </w:p>
        </w:tc>
        <w:tc>
          <w:tcPr>
            <w:tcW w:w="1604" w:type="dxa"/>
            <w:vAlign w:val="center"/>
          </w:tcPr>
          <w:p w14:paraId="1C8D99CC"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0.71</w:t>
            </w:r>
          </w:p>
        </w:tc>
      </w:tr>
      <w:tr w:rsidR="00757209" w:rsidRPr="00A23681" w14:paraId="37C7D98C" w14:textId="77777777" w:rsidTr="002E2193">
        <w:trPr>
          <w:jc w:val="center"/>
        </w:trPr>
        <w:tc>
          <w:tcPr>
            <w:tcW w:w="2931" w:type="dxa"/>
          </w:tcPr>
          <w:p w14:paraId="05BF35B0"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Tubería de Acero de 8”</w:t>
            </w:r>
          </w:p>
        </w:tc>
        <w:tc>
          <w:tcPr>
            <w:tcW w:w="1603" w:type="dxa"/>
            <w:vAlign w:val="center"/>
          </w:tcPr>
          <w:p w14:paraId="289EAB63" w14:textId="7AEC7075" w:rsidR="00757209" w:rsidRPr="002E2193" w:rsidRDefault="00B93446" w:rsidP="002E2193">
            <w:pPr>
              <w:widowControl w:val="0"/>
              <w:spacing w:before="0" w:after="0"/>
              <w:jc w:val="center"/>
              <w:rPr>
                <w:rFonts w:cs="Arial"/>
                <w:bCs/>
                <w:sz w:val="19"/>
                <w:szCs w:val="19"/>
              </w:rPr>
            </w:pPr>
            <w:r w:rsidRPr="002E2193">
              <w:rPr>
                <w:rFonts w:cs="Arial"/>
                <w:bCs/>
                <w:sz w:val="19"/>
                <w:szCs w:val="19"/>
              </w:rPr>
              <w:t>0.8</w:t>
            </w:r>
          </w:p>
        </w:tc>
        <w:tc>
          <w:tcPr>
            <w:tcW w:w="1604" w:type="dxa"/>
            <w:vAlign w:val="center"/>
          </w:tcPr>
          <w:p w14:paraId="588A9D76" w14:textId="1C0B9A62" w:rsidR="00757209" w:rsidRPr="002E2193" w:rsidRDefault="00035307" w:rsidP="002E2193">
            <w:pPr>
              <w:widowControl w:val="0"/>
              <w:spacing w:before="0" w:after="0"/>
              <w:jc w:val="center"/>
              <w:rPr>
                <w:rFonts w:cs="Arial"/>
                <w:bCs/>
                <w:sz w:val="19"/>
                <w:szCs w:val="19"/>
              </w:rPr>
            </w:pPr>
            <w:r w:rsidRPr="002E2193">
              <w:rPr>
                <w:rFonts w:cs="Arial"/>
                <w:bCs/>
                <w:sz w:val="19"/>
                <w:szCs w:val="19"/>
              </w:rPr>
              <w:t>1.6</w:t>
            </w:r>
          </w:p>
        </w:tc>
        <w:tc>
          <w:tcPr>
            <w:tcW w:w="1604" w:type="dxa"/>
            <w:vAlign w:val="center"/>
          </w:tcPr>
          <w:p w14:paraId="137B6281" w14:textId="5346A73C" w:rsidR="00757209" w:rsidRPr="002E2193" w:rsidRDefault="00757209" w:rsidP="002E2193">
            <w:pPr>
              <w:widowControl w:val="0"/>
              <w:spacing w:before="0" w:after="0"/>
              <w:jc w:val="center"/>
              <w:rPr>
                <w:rFonts w:cs="Arial"/>
                <w:bCs/>
                <w:sz w:val="19"/>
                <w:szCs w:val="19"/>
              </w:rPr>
            </w:pPr>
            <w:r w:rsidRPr="002E2193">
              <w:rPr>
                <w:rFonts w:cs="Arial"/>
                <w:bCs/>
                <w:sz w:val="19"/>
                <w:szCs w:val="19"/>
              </w:rPr>
              <w:t>1.6</w:t>
            </w:r>
          </w:p>
        </w:tc>
        <w:tc>
          <w:tcPr>
            <w:tcW w:w="1604" w:type="dxa"/>
            <w:vAlign w:val="center"/>
          </w:tcPr>
          <w:p w14:paraId="7F7E9FDD"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1.60</w:t>
            </w:r>
          </w:p>
        </w:tc>
      </w:tr>
      <w:tr w:rsidR="00757209" w:rsidRPr="00A23681" w14:paraId="010FD3D8" w14:textId="77777777" w:rsidTr="002E2193">
        <w:trPr>
          <w:jc w:val="center"/>
        </w:trPr>
        <w:tc>
          <w:tcPr>
            <w:tcW w:w="2931" w:type="dxa"/>
          </w:tcPr>
          <w:p w14:paraId="08F197DF"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Tubería de Acero de 10”</w:t>
            </w:r>
          </w:p>
        </w:tc>
        <w:tc>
          <w:tcPr>
            <w:tcW w:w="1603" w:type="dxa"/>
            <w:vAlign w:val="center"/>
          </w:tcPr>
          <w:p w14:paraId="0CD6B0B0" w14:textId="10026D22" w:rsidR="00757209" w:rsidRPr="002E2193" w:rsidRDefault="00B858C2" w:rsidP="002E2193">
            <w:pPr>
              <w:widowControl w:val="0"/>
              <w:spacing w:before="0" w:after="0"/>
              <w:jc w:val="center"/>
              <w:rPr>
                <w:rFonts w:cs="Arial"/>
                <w:bCs/>
                <w:sz w:val="19"/>
                <w:szCs w:val="19"/>
              </w:rPr>
            </w:pPr>
            <w:r w:rsidRPr="002E2193">
              <w:rPr>
                <w:rFonts w:cs="Arial"/>
                <w:bCs/>
                <w:sz w:val="19"/>
                <w:szCs w:val="19"/>
              </w:rPr>
              <w:t>24.5</w:t>
            </w:r>
          </w:p>
        </w:tc>
        <w:tc>
          <w:tcPr>
            <w:tcW w:w="1604" w:type="dxa"/>
            <w:vAlign w:val="center"/>
          </w:tcPr>
          <w:p w14:paraId="56C5B905" w14:textId="4625C3F0" w:rsidR="00757209" w:rsidRPr="002E2193" w:rsidRDefault="00035307" w:rsidP="002E2193">
            <w:pPr>
              <w:widowControl w:val="0"/>
              <w:spacing w:before="0" w:after="0"/>
              <w:jc w:val="center"/>
              <w:rPr>
                <w:rFonts w:cs="Arial"/>
                <w:bCs/>
                <w:sz w:val="19"/>
                <w:szCs w:val="19"/>
              </w:rPr>
            </w:pPr>
            <w:r w:rsidRPr="002E2193">
              <w:rPr>
                <w:rFonts w:cs="Arial"/>
                <w:bCs/>
                <w:sz w:val="19"/>
                <w:szCs w:val="19"/>
              </w:rPr>
              <w:t>45.66</w:t>
            </w:r>
          </w:p>
        </w:tc>
        <w:tc>
          <w:tcPr>
            <w:tcW w:w="1604" w:type="dxa"/>
            <w:vAlign w:val="center"/>
          </w:tcPr>
          <w:p w14:paraId="375BE87B" w14:textId="34024960" w:rsidR="00757209" w:rsidRPr="002E2193" w:rsidRDefault="00757209" w:rsidP="002E2193">
            <w:pPr>
              <w:widowControl w:val="0"/>
              <w:spacing w:before="0" w:after="0"/>
              <w:jc w:val="center"/>
              <w:rPr>
                <w:rFonts w:cs="Arial"/>
                <w:bCs/>
                <w:sz w:val="19"/>
                <w:szCs w:val="19"/>
              </w:rPr>
            </w:pPr>
            <w:r w:rsidRPr="002E2193">
              <w:rPr>
                <w:rFonts w:cs="Arial"/>
                <w:bCs/>
                <w:sz w:val="19"/>
                <w:szCs w:val="19"/>
              </w:rPr>
              <w:t>45.7</w:t>
            </w:r>
          </w:p>
        </w:tc>
        <w:tc>
          <w:tcPr>
            <w:tcW w:w="1604" w:type="dxa"/>
            <w:vAlign w:val="center"/>
          </w:tcPr>
          <w:p w14:paraId="5BF27F70"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45.66</w:t>
            </w:r>
          </w:p>
        </w:tc>
      </w:tr>
      <w:tr w:rsidR="00757209" w:rsidRPr="00A23681" w14:paraId="66C65E9A" w14:textId="77777777" w:rsidTr="002E2193">
        <w:trPr>
          <w:jc w:val="center"/>
        </w:trPr>
        <w:tc>
          <w:tcPr>
            <w:tcW w:w="2931" w:type="dxa"/>
          </w:tcPr>
          <w:p w14:paraId="573EA503"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Tubería de Acero de 12”</w:t>
            </w:r>
          </w:p>
        </w:tc>
        <w:tc>
          <w:tcPr>
            <w:tcW w:w="1603" w:type="dxa"/>
            <w:vAlign w:val="center"/>
          </w:tcPr>
          <w:p w14:paraId="31B60C73" w14:textId="44D262EE" w:rsidR="00757209" w:rsidRPr="002E2193" w:rsidRDefault="00B858C2" w:rsidP="002E2193">
            <w:pPr>
              <w:widowControl w:val="0"/>
              <w:spacing w:before="0" w:after="0"/>
              <w:jc w:val="center"/>
              <w:rPr>
                <w:rFonts w:cs="Arial"/>
                <w:bCs/>
                <w:sz w:val="19"/>
                <w:szCs w:val="19"/>
              </w:rPr>
            </w:pPr>
            <w:r w:rsidRPr="002E2193">
              <w:rPr>
                <w:rFonts w:cs="Arial"/>
                <w:bCs/>
                <w:sz w:val="19"/>
                <w:szCs w:val="19"/>
              </w:rPr>
              <w:t>21.0</w:t>
            </w:r>
          </w:p>
        </w:tc>
        <w:tc>
          <w:tcPr>
            <w:tcW w:w="1604" w:type="dxa"/>
            <w:vAlign w:val="center"/>
          </w:tcPr>
          <w:p w14:paraId="42395F2B" w14:textId="0C6B7003" w:rsidR="00757209" w:rsidRPr="002E2193" w:rsidRDefault="00035307" w:rsidP="002E2193">
            <w:pPr>
              <w:widowControl w:val="0"/>
              <w:spacing w:before="0" w:after="0"/>
              <w:jc w:val="center"/>
              <w:rPr>
                <w:rFonts w:cs="Arial"/>
                <w:bCs/>
                <w:sz w:val="19"/>
                <w:szCs w:val="19"/>
              </w:rPr>
            </w:pPr>
            <w:r w:rsidRPr="002E2193">
              <w:rPr>
                <w:rFonts w:cs="Arial"/>
                <w:bCs/>
                <w:sz w:val="19"/>
                <w:szCs w:val="19"/>
              </w:rPr>
              <w:t>15.16</w:t>
            </w:r>
          </w:p>
        </w:tc>
        <w:tc>
          <w:tcPr>
            <w:tcW w:w="1604" w:type="dxa"/>
            <w:vAlign w:val="center"/>
          </w:tcPr>
          <w:p w14:paraId="194D4FFE" w14:textId="46A1A4BA" w:rsidR="00757209" w:rsidRPr="002E2193" w:rsidRDefault="00757209" w:rsidP="002E2193">
            <w:pPr>
              <w:widowControl w:val="0"/>
              <w:spacing w:before="0" w:after="0"/>
              <w:jc w:val="center"/>
              <w:rPr>
                <w:rFonts w:cs="Arial"/>
                <w:bCs/>
                <w:sz w:val="19"/>
                <w:szCs w:val="19"/>
              </w:rPr>
            </w:pPr>
            <w:r w:rsidRPr="002E2193">
              <w:rPr>
                <w:rFonts w:cs="Arial"/>
                <w:bCs/>
                <w:sz w:val="19"/>
                <w:szCs w:val="19"/>
              </w:rPr>
              <w:t>15.2</w:t>
            </w:r>
          </w:p>
        </w:tc>
        <w:tc>
          <w:tcPr>
            <w:tcW w:w="1604" w:type="dxa"/>
            <w:vAlign w:val="center"/>
          </w:tcPr>
          <w:p w14:paraId="4602716E"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15.16</w:t>
            </w:r>
          </w:p>
        </w:tc>
      </w:tr>
      <w:tr w:rsidR="00757209" w:rsidRPr="00A23681" w14:paraId="5EFC5665" w14:textId="77777777" w:rsidTr="002E2193">
        <w:trPr>
          <w:jc w:val="center"/>
        </w:trPr>
        <w:tc>
          <w:tcPr>
            <w:tcW w:w="2931" w:type="dxa"/>
          </w:tcPr>
          <w:p w14:paraId="63282B63"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Subfluviales 12”</w:t>
            </w:r>
          </w:p>
        </w:tc>
        <w:tc>
          <w:tcPr>
            <w:tcW w:w="1603" w:type="dxa"/>
            <w:vAlign w:val="center"/>
          </w:tcPr>
          <w:p w14:paraId="44C12141"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1BC922E0" w14:textId="0B57DEC9" w:rsidR="00757209" w:rsidRPr="002E2193" w:rsidRDefault="00851C80" w:rsidP="002E2193">
            <w:pPr>
              <w:widowControl w:val="0"/>
              <w:spacing w:before="0" w:after="0"/>
              <w:jc w:val="center"/>
              <w:rPr>
                <w:rFonts w:cs="Arial"/>
                <w:bCs/>
                <w:sz w:val="19"/>
                <w:szCs w:val="19"/>
              </w:rPr>
            </w:pPr>
            <w:r w:rsidRPr="002E2193">
              <w:rPr>
                <w:rFonts w:cs="Arial"/>
                <w:bCs/>
                <w:sz w:val="19"/>
                <w:szCs w:val="19"/>
              </w:rPr>
              <w:t>0.</w:t>
            </w:r>
            <w:r w:rsidR="00CF43B6" w:rsidRPr="002E2193">
              <w:rPr>
                <w:rFonts w:cs="Arial"/>
                <w:bCs/>
                <w:sz w:val="19"/>
                <w:szCs w:val="19"/>
              </w:rPr>
              <w:t>43</w:t>
            </w:r>
          </w:p>
        </w:tc>
        <w:tc>
          <w:tcPr>
            <w:tcW w:w="1604" w:type="dxa"/>
            <w:vAlign w:val="center"/>
          </w:tcPr>
          <w:p w14:paraId="17154EF5" w14:textId="2CF706B5" w:rsidR="00757209" w:rsidRPr="002E2193" w:rsidRDefault="00757209" w:rsidP="002E2193">
            <w:pPr>
              <w:widowControl w:val="0"/>
              <w:spacing w:before="0" w:after="0"/>
              <w:jc w:val="center"/>
              <w:rPr>
                <w:rFonts w:cs="Arial"/>
                <w:bCs/>
                <w:sz w:val="19"/>
                <w:szCs w:val="19"/>
              </w:rPr>
            </w:pPr>
            <w:r w:rsidRPr="002E2193">
              <w:rPr>
                <w:rFonts w:cs="Arial"/>
                <w:bCs/>
                <w:sz w:val="19"/>
                <w:szCs w:val="19"/>
              </w:rPr>
              <w:t>0.4</w:t>
            </w:r>
          </w:p>
        </w:tc>
        <w:tc>
          <w:tcPr>
            <w:tcW w:w="1604" w:type="dxa"/>
            <w:vAlign w:val="center"/>
          </w:tcPr>
          <w:p w14:paraId="2782C640"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0.43</w:t>
            </w:r>
          </w:p>
        </w:tc>
      </w:tr>
      <w:tr w:rsidR="00757209" w:rsidRPr="00A23681" w14:paraId="4C1E9AAC" w14:textId="77777777" w:rsidTr="002E2193">
        <w:trPr>
          <w:jc w:val="center"/>
        </w:trPr>
        <w:tc>
          <w:tcPr>
            <w:tcW w:w="2931" w:type="dxa"/>
          </w:tcPr>
          <w:p w14:paraId="118B5608"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Subfluviales 10”</w:t>
            </w:r>
          </w:p>
        </w:tc>
        <w:tc>
          <w:tcPr>
            <w:tcW w:w="1603" w:type="dxa"/>
            <w:vAlign w:val="center"/>
          </w:tcPr>
          <w:p w14:paraId="7DF5265C"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1BE6C98C" w14:textId="3A824818" w:rsidR="00757209" w:rsidRPr="002E2193" w:rsidRDefault="005878CE" w:rsidP="002E2193">
            <w:pPr>
              <w:widowControl w:val="0"/>
              <w:spacing w:before="0" w:after="0"/>
              <w:jc w:val="center"/>
              <w:rPr>
                <w:rFonts w:cs="Arial"/>
                <w:bCs/>
                <w:sz w:val="19"/>
                <w:szCs w:val="19"/>
              </w:rPr>
            </w:pPr>
            <w:r w:rsidRPr="002E2193">
              <w:rPr>
                <w:rFonts w:cs="Arial"/>
                <w:bCs/>
                <w:sz w:val="19"/>
                <w:szCs w:val="19"/>
              </w:rPr>
              <w:t>1.</w:t>
            </w:r>
            <w:r w:rsidR="00CF43B6" w:rsidRPr="002E2193">
              <w:rPr>
                <w:rFonts w:cs="Arial"/>
                <w:bCs/>
                <w:sz w:val="19"/>
                <w:szCs w:val="19"/>
              </w:rPr>
              <w:t>52</w:t>
            </w:r>
          </w:p>
        </w:tc>
        <w:tc>
          <w:tcPr>
            <w:tcW w:w="1604" w:type="dxa"/>
            <w:vAlign w:val="center"/>
          </w:tcPr>
          <w:p w14:paraId="2970359E" w14:textId="7A8A04CB" w:rsidR="00757209" w:rsidRPr="002E2193" w:rsidRDefault="00757209" w:rsidP="002E2193">
            <w:pPr>
              <w:widowControl w:val="0"/>
              <w:spacing w:before="0" w:after="0"/>
              <w:jc w:val="center"/>
              <w:rPr>
                <w:rFonts w:cs="Arial"/>
                <w:bCs/>
                <w:sz w:val="19"/>
                <w:szCs w:val="19"/>
              </w:rPr>
            </w:pPr>
            <w:r w:rsidRPr="002E2193">
              <w:rPr>
                <w:rFonts w:cs="Arial"/>
                <w:bCs/>
                <w:sz w:val="19"/>
                <w:szCs w:val="19"/>
              </w:rPr>
              <w:t>1.5</w:t>
            </w:r>
          </w:p>
        </w:tc>
        <w:tc>
          <w:tcPr>
            <w:tcW w:w="1604" w:type="dxa"/>
            <w:vAlign w:val="center"/>
          </w:tcPr>
          <w:p w14:paraId="50C5B787"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1.52</w:t>
            </w:r>
          </w:p>
        </w:tc>
      </w:tr>
      <w:tr w:rsidR="00757209" w:rsidRPr="00A23681" w14:paraId="68E4D957" w14:textId="77777777" w:rsidTr="002E2193">
        <w:trPr>
          <w:jc w:val="center"/>
        </w:trPr>
        <w:tc>
          <w:tcPr>
            <w:tcW w:w="2931" w:type="dxa"/>
          </w:tcPr>
          <w:p w14:paraId="4D209026"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Subfluviales 8”</w:t>
            </w:r>
          </w:p>
        </w:tc>
        <w:tc>
          <w:tcPr>
            <w:tcW w:w="1603" w:type="dxa"/>
            <w:vAlign w:val="center"/>
          </w:tcPr>
          <w:p w14:paraId="2A2220C0"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4DF61D7F" w14:textId="5C53219B" w:rsidR="00757209" w:rsidRPr="002E2193" w:rsidRDefault="00DC5147" w:rsidP="002E2193">
            <w:pPr>
              <w:widowControl w:val="0"/>
              <w:spacing w:before="0" w:after="0"/>
              <w:jc w:val="center"/>
              <w:rPr>
                <w:rFonts w:cs="Arial"/>
                <w:bCs/>
                <w:sz w:val="19"/>
                <w:szCs w:val="19"/>
              </w:rPr>
            </w:pPr>
            <w:r w:rsidRPr="002E2193">
              <w:rPr>
                <w:rFonts w:cs="Arial"/>
                <w:bCs/>
                <w:sz w:val="19"/>
                <w:szCs w:val="19"/>
              </w:rPr>
              <w:t>0.08</w:t>
            </w:r>
          </w:p>
        </w:tc>
        <w:tc>
          <w:tcPr>
            <w:tcW w:w="1604" w:type="dxa"/>
            <w:vAlign w:val="center"/>
          </w:tcPr>
          <w:p w14:paraId="7546EF92" w14:textId="5FCCC6DE" w:rsidR="00757209" w:rsidRPr="002E2193" w:rsidRDefault="00757209" w:rsidP="002E2193">
            <w:pPr>
              <w:widowControl w:val="0"/>
              <w:spacing w:before="0" w:after="0"/>
              <w:jc w:val="center"/>
              <w:rPr>
                <w:rFonts w:cs="Arial"/>
                <w:bCs/>
                <w:sz w:val="19"/>
                <w:szCs w:val="19"/>
              </w:rPr>
            </w:pPr>
            <w:r w:rsidRPr="002E2193">
              <w:rPr>
                <w:rFonts w:cs="Arial"/>
                <w:bCs/>
                <w:sz w:val="19"/>
                <w:szCs w:val="19"/>
              </w:rPr>
              <w:t>0.1</w:t>
            </w:r>
          </w:p>
        </w:tc>
        <w:tc>
          <w:tcPr>
            <w:tcW w:w="1604" w:type="dxa"/>
            <w:vAlign w:val="center"/>
          </w:tcPr>
          <w:p w14:paraId="3D61B837"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0.08</w:t>
            </w:r>
          </w:p>
        </w:tc>
      </w:tr>
      <w:tr w:rsidR="00757209" w:rsidRPr="00A23681" w14:paraId="2E7D3472" w14:textId="77777777" w:rsidTr="002E2193">
        <w:trPr>
          <w:jc w:val="center"/>
        </w:trPr>
        <w:tc>
          <w:tcPr>
            <w:tcW w:w="2931" w:type="dxa"/>
          </w:tcPr>
          <w:p w14:paraId="2E72C3C3"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Subfluviales 4”</w:t>
            </w:r>
          </w:p>
        </w:tc>
        <w:tc>
          <w:tcPr>
            <w:tcW w:w="1603" w:type="dxa"/>
            <w:vAlign w:val="center"/>
          </w:tcPr>
          <w:p w14:paraId="68F936A2"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2BF9C483" w14:textId="7D0ADD3D" w:rsidR="00757209" w:rsidRPr="002E2193" w:rsidRDefault="009C3879" w:rsidP="002E2193">
            <w:pPr>
              <w:widowControl w:val="0"/>
              <w:spacing w:before="0" w:after="0"/>
              <w:jc w:val="center"/>
              <w:rPr>
                <w:rFonts w:cs="Arial"/>
                <w:bCs/>
                <w:sz w:val="19"/>
                <w:szCs w:val="19"/>
              </w:rPr>
            </w:pPr>
            <w:r w:rsidRPr="002E2193">
              <w:rPr>
                <w:rFonts w:cs="Arial"/>
                <w:bCs/>
                <w:sz w:val="19"/>
                <w:szCs w:val="19"/>
              </w:rPr>
              <w:t>0.26</w:t>
            </w:r>
          </w:p>
        </w:tc>
        <w:tc>
          <w:tcPr>
            <w:tcW w:w="1604" w:type="dxa"/>
            <w:vAlign w:val="center"/>
          </w:tcPr>
          <w:p w14:paraId="03CCCB90" w14:textId="296F4012" w:rsidR="00757209" w:rsidRPr="002E2193" w:rsidRDefault="00757209" w:rsidP="002E2193">
            <w:pPr>
              <w:widowControl w:val="0"/>
              <w:spacing w:before="0" w:after="0"/>
              <w:jc w:val="center"/>
              <w:rPr>
                <w:rFonts w:cs="Arial"/>
                <w:bCs/>
                <w:sz w:val="19"/>
                <w:szCs w:val="19"/>
              </w:rPr>
            </w:pPr>
            <w:r w:rsidRPr="002E2193">
              <w:rPr>
                <w:rFonts w:cs="Arial"/>
                <w:bCs/>
                <w:sz w:val="19"/>
                <w:szCs w:val="19"/>
              </w:rPr>
              <w:t>0.3</w:t>
            </w:r>
          </w:p>
        </w:tc>
        <w:tc>
          <w:tcPr>
            <w:tcW w:w="1604" w:type="dxa"/>
            <w:vAlign w:val="center"/>
          </w:tcPr>
          <w:p w14:paraId="62A9FDDF"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0.26</w:t>
            </w:r>
          </w:p>
        </w:tc>
      </w:tr>
      <w:tr w:rsidR="00757209" w:rsidRPr="00A23681" w14:paraId="51837C25" w14:textId="77777777" w:rsidTr="002E2193">
        <w:trPr>
          <w:jc w:val="center"/>
        </w:trPr>
        <w:tc>
          <w:tcPr>
            <w:tcW w:w="2931" w:type="dxa"/>
          </w:tcPr>
          <w:p w14:paraId="1451CA7D"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Subterráneos 12”</w:t>
            </w:r>
          </w:p>
        </w:tc>
        <w:tc>
          <w:tcPr>
            <w:tcW w:w="1603" w:type="dxa"/>
            <w:vAlign w:val="center"/>
          </w:tcPr>
          <w:p w14:paraId="3C0AB9ED"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2526DB39" w14:textId="620EE783" w:rsidR="00757209" w:rsidRPr="002E2193" w:rsidRDefault="004F64D0" w:rsidP="002E2193">
            <w:pPr>
              <w:widowControl w:val="0"/>
              <w:spacing w:before="0" w:after="0"/>
              <w:jc w:val="center"/>
              <w:rPr>
                <w:rFonts w:cs="Arial"/>
                <w:bCs/>
                <w:sz w:val="19"/>
                <w:szCs w:val="19"/>
              </w:rPr>
            </w:pPr>
            <w:r w:rsidRPr="002E2193">
              <w:rPr>
                <w:rFonts w:cs="Arial"/>
                <w:bCs/>
                <w:sz w:val="19"/>
                <w:szCs w:val="19"/>
              </w:rPr>
              <w:t>0.06</w:t>
            </w:r>
          </w:p>
        </w:tc>
        <w:tc>
          <w:tcPr>
            <w:tcW w:w="1604" w:type="dxa"/>
            <w:vAlign w:val="center"/>
          </w:tcPr>
          <w:p w14:paraId="20D1E56B" w14:textId="7F601C33" w:rsidR="00757209" w:rsidRPr="002E2193" w:rsidRDefault="00757209" w:rsidP="002E2193">
            <w:pPr>
              <w:widowControl w:val="0"/>
              <w:spacing w:before="0" w:after="0"/>
              <w:jc w:val="center"/>
              <w:rPr>
                <w:rFonts w:cs="Arial"/>
                <w:bCs/>
                <w:sz w:val="19"/>
                <w:szCs w:val="19"/>
              </w:rPr>
            </w:pPr>
            <w:r w:rsidRPr="002E2193">
              <w:rPr>
                <w:rFonts w:cs="Arial"/>
                <w:bCs/>
                <w:sz w:val="19"/>
                <w:szCs w:val="19"/>
              </w:rPr>
              <w:t>0.1</w:t>
            </w:r>
          </w:p>
        </w:tc>
        <w:tc>
          <w:tcPr>
            <w:tcW w:w="1604" w:type="dxa"/>
            <w:vAlign w:val="center"/>
          </w:tcPr>
          <w:p w14:paraId="2F5B02B4"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0.06</w:t>
            </w:r>
          </w:p>
        </w:tc>
      </w:tr>
      <w:tr w:rsidR="00757209" w:rsidRPr="00A23681" w14:paraId="002D88BD" w14:textId="77777777" w:rsidTr="002E2193">
        <w:trPr>
          <w:jc w:val="center"/>
        </w:trPr>
        <w:tc>
          <w:tcPr>
            <w:tcW w:w="2931" w:type="dxa"/>
          </w:tcPr>
          <w:p w14:paraId="3C3E7F98"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Subterráneos 10”</w:t>
            </w:r>
          </w:p>
        </w:tc>
        <w:tc>
          <w:tcPr>
            <w:tcW w:w="1603" w:type="dxa"/>
            <w:vAlign w:val="center"/>
          </w:tcPr>
          <w:p w14:paraId="1B81871E"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33220C3B" w14:textId="37B07105" w:rsidR="00757209" w:rsidRPr="002E2193" w:rsidRDefault="00C73853" w:rsidP="002E2193">
            <w:pPr>
              <w:widowControl w:val="0"/>
              <w:spacing w:before="0" w:after="0"/>
              <w:jc w:val="center"/>
              <w:rPr>
                <w:rFonts w:cs="Arial"/>
                <w:bCs/>
                <w:sz w:val="19"/>
                <w:szCs w:val="19"/>
              </w:rPr>
            </w:pPr>
            <w:r w:rsidRPr="002E2193">
              <w:rPr>
                <w:rFonts w:cs="Arial"/>
                <w:bCs/>
                <w:sz w:val="19"/>
                <w:szCs w:val="19"/>
              </w:rPr>
              <w:t>0.18</w:t>
            </w:r>
          </w:p>
        </w:tc>
        <w:tc>
          <w:tcPr>
            <w:tcW w:w="1604" w:type="dxa"/>
            <w:vAlign w:val="center"/>
          </w:tcPr>
          <w:p w14:paraId="44B1B020" w14:textId="6D24AD87" w:rsidR="00757209" w:rsidRPr="002E2193" w:rsidRDefault="00757209" w:rsidP="002E2193">
            <w:pPr>
              <w:widowControl w:val="0"/>
              <w:spacing w:before="0" w:after="0"/>
              <w:jc w:val="center"/>
              <w:rPr>
                <w:rFonts w:cs="Arial"/>
                <w:bCs/>
                <w:sz w:val="19"/>
                <w:szCs w:val="19"/>
              </w:rPr>
            </w:pPr>
            <w:r w:rsidRPr="002E2193">
              <w:rPr>
                <w:rFonts w:cs="Arial"/>
                <w:bCs/>
                <w:sz w:val="19"/>
                <w:szCs w:val="19"/>
              </w:rPr>
              <w:t>0.2</w:t>
            </w:r>
          </w:p>
        </w:tc>
        <w:tc>
          <w:tcPr>
            <w:tcW w:w="1604" w:type="dxa"/>
            <w:vAlign w:val="center"/>
          </w:tcPr>
          <w:p w14:paraId="6FBEA785"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0.18</w:t>
            </w:r>
          </w:p>
        </w:tc>
      </w:tr>
      <w:tr w:rsidR="00757209" w:rsidRPr="00A23681" w14:paraId="422AEBFF" w14:textId="77777777" w:rsidTr="002E2193">
        <w:trPr>
          <w:jc w:val="center"/>
        </w:trPr>
        <w:tc>
          <w:tcPr>
            <w:tcW w:w="2931" w:type="dxa"/>
          </w:tcPr>
          <w:p w14:paraId="6DE37208"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Subterráneos 4”</w:t>
            </w:r>
          </w:p>
        </w:tc>
        <w:tc>
          <w:tcPr>
            <w:tcW w:w="1603" w:type="dxa"/>
            <w:vAlign w:val="center"/>
          </w:tcPr>
          <w:p w14:paraId="7FE1115E"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5F722AA6" w14:textId="77430FA3" w:rsidR="00757209" w:rsidRPr="002E2193" w:rsidRDefault="00A437AE" w:rsidP="002E2193">
            <w:pPr>
              <w:widowControl w:val="0"/>
              <w:spacing w:before="0" w:after="0"/>
              <w:jc w:val="center"/>
              <w:rPr>
                <w:rFonts w:cs="Arial"/>
                <w:bCs/>
                <w:sz w:val="19"/>
                <w:szCs w:val="19"/>
              </w:rPr>
            </w:pPr>
            <w:r w:rsidRPr="002E2193">
              <w:rPr>
                <w:rFonts w:cs="Arial"/>
                <w:bCs/>
                <w:sz w:val="19"/>
                <w:szCs w:val="19"/>
              </w:rPr>
              <w:t>0.06</w:t>
            </w:r>
          </w:p>
        </w:tc>
        <w:tc>
          <w:tcPr>
            <w:tcW w:w="1604" w:type="dxa"/>
            <w:vAlign w:val="center"/>
          </w:tcPr>
          <w:p w14:paraId="499A7FAA" w14:textId="38B05323" w:rsidR="00757209" w:rsidRPr="002E2193" w:rsidRDefault="00757209" w:rsidP="002E2193">
            <w:pPr>
              <w:widowControl w:val="0"/>
              <w:spacing w:before="0" w:after="0"/>
              <w:jc w:val="center"/>
              <w:rPr>
                <w:rFonts w:cs="Arial"/>
                <w:bCs/>
                <w:sz w:val="19"/>
                <w:szCs w:val="19"/>
              </w:rPr>
            </w:pPr>
            <w:r w:rsidRPr="002E2193">
              <w:rPr>
                <w:rFonts w:cs="Arial"/>
                <w:bCs/>
                <w:sz w:val="19"/>
                <w:szCs w:val="19"/>
              </w:rPr>
              <w:t>0.1</w:t>
            </w:r>
          </w:p>
        </w:tc>
        <w:tc>
          <w:tcPr>
            <w:tcW w:w="1604" w:type="dxa"/>
            <w:vAlign w:val="center"/>
          </w:tcPr>
          <w:p w14:paraId="47206E0E"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0.06</w:t>
            </w:r>
          </w:p>
        </w:tc>
      </w:tr>
      <w:tr w:rsidR="00757209" w:rsidRPr="00A23681" w14:paraId="44F65151" w14:textId="77777777" w:rsidTr="002E2193">
        <w:trPr>
          <w:jc w:val="center"/>
        </w:trPr>
        <w:tc>
          <w:tcPr>
            <w:tcW w:w="2931" w:type="dxa"/>
          </w:tcPr>
          <w:p w14:paraId="03AC7879"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Aéreos 12”</w:t>
            </w:r>
          </w:p>
        </w:tc>
        <w:tc>
          <w:tcPr>
            <w:tcW w:w="1603" w:type="dxa"/>
            <w:vAlign w:val="center"/>
          </w:tcPr>
          <w:p w14:paraId="6B3115A1"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53A19BAD" w14:textId="70DC0752" w:rsidR="00757209" w:rsidRPr="002E2193" w:rsidRDefault="005878CE" w:rsidP="002E2193">
            <w:pPr>
              <w:widowControl w:val="0"/>
              <w:spacing w:before="0" w:after="0"/>
              <w:jc w:val="center"/>
              <w:rPr>
                <w:rFonts w:cs="Arial"/>
                <w:bCs/>
                <w:sz w:val="19"/>
                <w:szCs w:val="19"/>
              </w:rPr>
            </w:pPr>
            <w:r w:rsidRPr="002E2193">
              <w:rPr>
                <w:rFonts w:cs="Arial"/>
                <w:bCs/>
                <w:sz w:val="19"/>
                <w:szCs w:val="19"/>
              </w:rPr>
              <w:t>0.07</w:t>
            </w:r>
          </w:p>
        </w:tc>
        <w:tc>
          <w:tcPr>
            <w:tcW w:w="1604" w:type="dxa"/>
            <w:vAlign w:val="center"/>
          </w:tcPr>
          <w:p w14:paraId="0A965D7A" w14:textId="66EE00CD" w:rsidR="00757209" w:rsidRPr="002E2193" w:rsidRDefault="00757209" w:rsidP="002E2193">
            <w:pPr>
              <w:widowControl w:val="0"/>
              <w:spacing w:before="0" w:after="0"/>
              <w:jc w:val="center"/>
              <w:rPr>
                <w:rFonts w:cs="Arial"/>
                <w:bCs/>
                <w:sz w:val="19"/>
                <w:szCs w:val="19"/>
              </w:rPr>
            </w:pPr>
            <w:r w:rsidRPr="002E2193">
              <w:rPr>
                <w:rFonts w:cs="Arial"/>
                <w:bCs/>
                <w:sz w:val="19"/>
                <w:szCs w:val="19"/>
              </w:rPr>
              <w:t>0.1</w:t>
            </w:r>
          </w:p>
        </w:tc>
        <w:tc>
          <w:tcPr>
            <w:tcW w:w="1604" w:type="dxa"/>
            <w:vAlign w:val="center"/>
          </w:tcPr>
          <w:p w14:paraId="458CC88B"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0.07</w:t>
            </w:r>
          </w:p>
        </w:tc>
      </w:tr>
      <w:tr w:rsidR="00757209" w:rsidRPr="00A23681" w14:paraId="53D5072F" w14:textId="77777777" w:rsidTr="002E2193">
        <w:trPr>
          <w:jc w:val="center"/>
        </w:trPr>
        <w:tc>
          <w:tcPr>
            <w:tcW w:w="2931" w:type="dxa"/>
          </w:tcPr>
          <w:p w14:paraId="389A5B94"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Aéreos 10”</w:t>
            </w:r>
          </w:p>
        </w:tc>
        <w:tc>
          <w:tcPr>
            <w:tcW w:w="1603" w:type="dxa"/>
            <w:vAlign w:val="center"/>
          </w:tcPr>
          <w:p w14:paraId="26FC79F8"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17A9DAE1" w14:textId="6DC624A3" w:rsidR="00757209" w:rsidRPr="002E2193" w:rsidRDefault="00A437AE" w:rsidP="002E2193">
            <w:pPr>
              <w:widowControl w:val="0"/>
              <w:spacing w:before="0" w:after="0"/>
              <w:jc w:val="center"/>
              <w:rPr>
                <w:rFonts w:cs="Arial"/>
                <w:bCs/>
                <w:sz w:val="19"/>
                <w:szCs w:val="19"/>
              </w:rPr>
            </w:pPr>
            <w:r w:rsidRPr="002E2193">
              <w:rPr>
                <w:rFonts w:cs="Arial"/>
                <w:bCs/>
                <w:sz w:val="19"/>
                <w:szCs w:val="19"/>
              </w:rPr>
              <w:t>0.08</w:t>
            </w:r>
          </w:p>
        </w:tc>
        <w:tc>
          <w:tcPr>
            <w:tcW w:w="1604" w:type="dxa"/>
            <w:vAlign w:val="center"/>
          </w:tcPr>
          <w:p w14:paraId="14B81DBA" w14:textId="26D6C0A9" w:rsidR="00757209" w:rsidRPr="002E2193" w:rsidRDefault="00757209" w:rsidP="002E2193">
            <w:pPr>
              <w:widowControl w:val="0"/>
              <w:spacing w:before="0" w:after="0"/>
              <w:jc w:val="center"/>
              <w:rPr>
                <w:rFonts w:cs="Arial"/>
                <w:bCs/>
                <w:sz w:val="19"/>
                <w:szCs w:val="19"/>
              </w:rPr>
            </w:pPr>
            <w:r w:rsidRPr="002E2193">
              <w:rPr>
                <w:rFonts w:cs="Arial"/>
                <w:bCs/>
                <w:sz w:val="19"/>
                <w:szCs w:val="19"/>
              </w:rPr>
              <w:t>0.1</w:t>
            </w:r>
          </w:p>
        </w:tc>
        <w:tc>
          <w:tcPr>
            <w:tcW w:w="1604" w:type="dxa"/>
            <w:vAlign w:val="center"/>
          </w:tcPr>
          <w:p w14:paraId="76591DB1"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0.08</w:t>
            </w:r>
          </w:p>
        </w:tc>
      </w:tr>
      <w:tr w:rsidR="00757209" w:rsidRPr="00A23681" w14:paraId="33657C0F" w14:textId="77777777" w:rsidTr="002E2193">
        <w:trPr>
          <w:jc w:val="center"/>
        </w:trPr>
        <w:tc>
          <w:tcPr>
            <w:tcW w:w="2931" w:type="dxa"/>
          </w:tcPr>
          <w:p w14:paraId="2E8187E4"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Aéreos 8”</w:t>
            </w:r>
          </w:p>
        </w:tc>
        <w:tc>
          <w:tcPr>
            <w:tcW w:w="1603" w:type="dxa"/>
            <w:vAlign w:val="center"/>
          </w:tcPr>
          <w:p w14:paraId="5FCA38B1"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5E140347" w14:textId="7B1F80B7" w:rsidR="00757209" w:rsidRPr="002E2193" w:rsidRDefault="00A437AE" w:rsidP="002E2193">
            <w:pPr>
              <w:widowControl w:val="0"/>
              <w:spacing w:before="0" w:after="0"/>
              <w:jc w:val="center"/>
              <w:rPr>
                <w:rFonts w:cs="Arial"/>
                <w:bCs/>
                <w:sz w:val="19"/>
                <w:szCs w:val="19"/>
              </w:rPr>
            </w:pPr>
            <w:r w:rsidRPr="002E2193">
              <w:rPr>
                <w:rFonts w:cs="Arial"/>
                <w:bCs/>
                <w:sz w:val="19"/>
                <w:szCs w:val="19"/>
              </w:rPr>
              <w:t>0.01</w:t>
            </w:r>
          </w:p>
        </w:tc>
        <w:tc>
          <w:tcPr>
            <w:tcW w:w="1604" w:type="dxa"/>
            <w:vAlign w:val="center"/>
          </w:tcPr>
          <w:p w14:paraId="3A470C4C" w14:textId="3E40FC18" w:rsidR="00757209" w:rsidRPr="002E2193" w:rsidRDefault="00757209" w:rsidP="002E2193">
            <w:pPr>
              <w:widowControl w:val="0"/>
              <w:spacing w:before="0" w:after="0"/>
              <w:jc w:val="center"/>
              <w:rPr>
                <w:rFonts w:cs="Arial"/>
                <w:bCs/>
                <w:sz w:val="19"/>
                <w:szCs w:val="19"/>
              </w:rPr>
            </w:pPr>
            <w:r w:rsidRPr="002E2193">
              <w:rPr>
                <w:rFonts w:cs="Arial"/>
                <w:bCs/>
                <w:sz w:val="19"/>
                <w:szCs w:val="19"/>
              </w:rPr>
              <w:t>0.0</w:t>
            </w:r>
          </w:p>
        </w:tc>
        <w:tc>
          <w:tcPr>
            <w:tcW w:w="1604" w:type="dxa"/>
            <w:vAlign w:val="center"/>
          </w:tcPr>
          <w:p w14:paraId="52AF8A9D"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0.01</w:t>
            </w:r>
          </w:p>
        </w:tc>
      </w:tr>
      <w:tr w:rsidR="00757209" w:rsidRPr="00A23681" w14:paraId="5EAFB911" w14:textId="77777777" w:rsidTr="002E2193">
        <w:trPr>
          <w:jc w:val="center"/>
        </w:trPr>
        <w:tc>
          <w:tcPr>
            <w:tcW w:w="2931" w:type="dxa"/>
          </w:tcPr>
          <w:p w14:paraId="575508D0"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Aéreos 4”</w:t>
            </w:r>
          </w:p>
        </w:tc>
        <w:tc>
          <w:tcPr>
            <w:tcW w:w="1603" w:type="dxa"/>
            <w:vAlign w:val="center"/>
          </w:tcPr>
          <w:p w14:paraId="5E06C806"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15A399B8" w14:textId="27F3D288" w:rsidR="00757209" w:rsidRPr="002E2193" w:rsidRDefault="009C3879" w:rsidP="002E2193">
            <w:pPr>
              <w:widowControl w:val="0"/>
              <w:spacing w:before="0" w:after="0"/>
              <w:jc w:val="center"/>
              <w:rPr>
                <w:rFonts w:cs="Arial"/>
                <w:bCs/>
                <w:sz w:val="19"/>
                <w:szCs w:val="19"/>
              </w:rPr>
            </w:pPr>
            <w:r w:rsidRPr="002E2193">
              <w:rPr>
                <w:rFonts w:cs="Arial"/>
                <w:bCs/>
                <w:sz w:val="19"/>
                <w:szCs w:val="19"/>
              </w:rPr>
              <w:t>0.04</w:t>
            </w:r>
          </w:p>
        </w:tc>
        <w:tc>
          <w:tcPr>
            <w:tcW w:w="1604" w:type="dxa"/>
            <w:vAlign w:val="center"/>
          </w:tcPr>
          <w:p w14:paraId="74400AB2" w14:textId="072AF271" w:rsidR="00757209" w:rsidRPr="002E2193" w:rsidRDefault="00757209" w:rsidP="002E2193">
            <w:pPr>
              <w:widowControl w:val="0"/>
              <w:spacing w:before="0" w:after="0"/>
              <w:jc w:val="center"/>
              <w:rPr>
                <w:rFonts w:cs="Arial"/>
                <w:bCs/>
                <w:sz w:val="19"/>
                <w:szCs w:val="19"/>
              </w:rPr>
            </w:pPr>
            <w:r w:rsidRPr="002E2193">
              <w:rPr>
                <w:rFonts w:cs="Arial"/>
                <w:bCs/>
                <w:sz w:val="19"/>
                <w:szCs w:val="19"/>
              </w:rPr>
              <w:t>0.0</w:t>
            </w:r>
          </w:p>
        </w:tc>
        <w:tc>
          <w:tcPr>
            <w:tcW w:w="1604" w:type="dxa"/>
            <w:vAlign w:val="center"/>
          </w:tcPr>
          <w:p w14:paraId="57E74786"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0.04</w:t>
            </w:r>
          </w:p>
        </w:tc>
      </w:tr>
      <w:tr w:rsidR="00757209" w:rsidRPr="00A23681" w14:paraId="64CA3B10" w14:textId="77777777" w:rsidTr="002E2193">
        <w:trPr>
          <w:jc w:val="center"/>
        </w:trPr>
        <w:tc>
          <w:tcPr>
            <w:tcW w:w="2931" w:type="dxa"/>
          </w:tcPr>
          <w:p w14:paraId="165BB5C4"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Cruces Aéreos 3”</w:t>
            </w:r>
          </w:p>
        </w:tc>
        <w:tc>
          <w:tcPr>
            <w:tcW w:w="1603" w:type="dxa"/>
            <w:vAlign w:val="center"/>
          </w:tcPr>
          <w:p w14:paraId="40D37CCE"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23586ADC" w14:textId="2620C23B" w:rsidR="00757209" w:rsidRPr="002E2193" w:rsidRDefault="009C3879" w:rsidP="002E2193">
            <w:pPr>
              <w:widowControl w:val="0"/>
              <w:spacing w:before="0" w:after="0"/>
              <w:jc w:val="center"/>
              <w:rPr>
                <w:rFonts w:cs="Arial"/>
                <w:bCs/>
                <w:sz w:val="19"/>
                <w:szCs w:val="19"/>
              </w:rPr>
            </w:pPr>
            <w:r w:rsidRPr="002E2193">
              <w:rPr>
                <w:rFonts w:cs="Arial"/>
                <w:bCs/>
                <w:sz w:val="19"/>
                <w:szCs w:val="19"/>
              </w:rPr>
              <w:t>0.02</w:t>
            </w:r>
          </w:p>
        </w:tc>
        <w:tc>
          <w:tcPr>
            <w:tcW w:w="1604" w:type="dxa"/>
            <w:vAlign w:val="center"/>
          </w:tcPr>
          <w:p w14:paraId="5758EBF4" w14:textId="73E495EC" w:rsidR="00757209" w:rsidRPr="002E2193" w:rsidRDefault="00757209" w:rsidP="002E2193">
            <w:pPr>
              <w:widowControl w:val="0"/>
              <w:spacing w:before="0" w:after="0"/>
              <w:jc w:val="center"/>
              <w:rPr>
                <w:rFonts w:cs="Arial"/>
                <w:bCs/>
                <w:sz w:val="19"/>
                <w:szCs w:val="19"/>
              </w:rPr>
            </w:pPr>
            <w:r w:rsidRPr="002E2193">
              <w:rPr>
                <w:rFonts w:cs="Arial"/>
                <w:bCs/>
                <w:sz w:val="19"/>
                <w:szCs w:val="19"/>
              </w:rPr>
              <w:t>0.0</w:t>
            </w:r>
          </w:p>
        </w:tc>
        <w:tc>
          <w:tcPr>
            <w:tcW w:w="1604" w:type="dxa"/>
            <w:vAlign w:val="center"/>
          </w:tcPr>
          <w:p w14:paraId="0960E1FC"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0.02</w:t>
            </w:r>
          </w:p>
        </w:tc>
      </w:tr>
      <w:tr w:rsidR="00757209" w:rsidRPr="00A23681" w14:paraId="47264648" w14:textId="77777777" w:rsidTr="002E2193">
        <w:trPr>
          <w:jc w:val="center"/>
        </w:trPr>
        <w:tc>
          <w:tcPr>
            <w:tcW w:w="2931" w:type="dxa"/>
          </w:tcPr>
          <w:p w14:paraId="3D48CFB2"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Actuador en Acero de 12”</w:t>
            </w:r>
          </w:p>
        </w:tc>
        <w:tc>
          <w:tcPr>
            <w:tcW w:w="1603" w:type="dxa"/>
            <w:vAlign w:val="center"/>
          </w:tcPr>
          <w:p w14:paraId="4B54720F"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7F9159F2"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2D54B54F" w14:textId="0445A9D7" w:rsidR="00757209" w:rsidRPr="002E2193" w:rsidRDefault="00757209" w:rsidP="002E2193">
            <w:pPr>
              <w:widowControl w:val="0"/>
              <w:spacing w:before="0" w:after="0"/>
              <w:jc w:val="center"/>
              <w:rPr>
                <w:rFonts w:cs="Arial"/>
                <w:bCs/>
                <w:sz w:val="19"/>
                <w:szCs w:val="19"/>
              </w:rPr>
            </w:pPr>
          </w:p>
        </w:tc>
        <w:tc>
          <w:tcPr>
            <w:tcW w:w="1604" w:type="dxa"/>
            <w:vAlign w:val="center"/>
          </w:tcPr>
          <w:p w14:paraId="25BC62C8" w14:textId="77777777" w:rsidR="00757209" w:rsidRPr="002E2193" w:rsidRDefault="00757209" w:rsidP="002E2193">
            <w:pPr>
              <w:widowControl w:val="0"/>
              <w:spacing w:before="0" w:after="0"/>
              <w:jc w:val="center"/>
              <w:rPr>
                <w:rFonts w:cs="Arial"/>
                <w:bCs/>
                <w:sz w:val="19"/>
                <w:szCs w:val="19"/>
              </w:rPr>
            </w:pPr>
          </w:p>
        </w:tc>
      </w:tr>
      <w:tr w:rsidR="00757209" w:rsidRPr="00A23681" w14:paraId="2F4CED32" w14:textId="77777777" w:rsidTr="002E2193">
        <w:trPr>
          <w:jc w:val="center"/>
        </w:trPr>
        <w:tc>
          <w:tcPr>
            <w:tcW w:w="2931" w:type="dxa"/>
          </w:tcPr>
          <w:p w14:paraId="226317C4"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Actuador en Acero de 10”</w:t>
            </w:r>
          </w:p>
        </w:tc>
        <w:tc>
          <w:tcPr>
            <w:tcW w:w="1603" w:type="dxa"/>
            <w:vAlign w:val="center"/>
          </w:tcPr>
          <w:p w14:paraId="08F30573"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3D529E5C"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4E938B5A" w14:textId="5E0D3FBA" w:rsidR="00757209" w:rsidRPr="002E2193" w:rsidRDefault="00757209" w:rsidP="002E2193">
            <w:pPr>
              <w:widowControl w:val="0"/>
              <w:spacing w:before="0" w:after="0"/>
              <w:jc w:val="center"/>
              <w:rPr>
                <w:rFonts w:cs="Arial"/>
                <w:bCs/>
                <w:sz w:val="19"/>
                <w:szCs w:val="19"/>
              </w:rPr>
            </w:pPr>
          </w:p>
        </w:tc>
        <w:tc>
          <w:tcPr>
            <w:tcW w:w="1604" w:type="dxa"/>
            <w:vAlign w:val="center"/>
          </w:tcPr>
          <w:p w14:paraId="0D55CAAC" w14:textId="77777777" w:rsidR="00757209" w:rsidRPr="002E2193" w:rsidRDefault="00757209" w:rsidP="002E2193">
            <w:pPr>
              <w:widowControl w:val="0"/>
              <w:spacing w:before="0" w:after="0"/>
              <w:jc w:val="center"/>
              <w:rPr>
                <w:rFonts w:cs="Arial"/>
                <w:bCs/>
                <w:sz w:val="19"/>
                <w:szCs w:val="19"/>
              </w:rPr>
            </w:pPr>
          </w:p>
        </w:tc>
      </w:tr>
      <w:tr w:rsidR="00757209" w:rsidRPr="00A23681" w14:paraId="28D55B68" w14:textId="77777777" w:rsidTr="002E2193">
        <w:trPr>
          <w:trHeight w:val="70"/>
          <w:jc w:val="center"/>
        </w:trPr>
        <w:tc>
          <w:tcPr>
            <w:tcW w:w="2931" w:type="dxa"/>
          </w:tcPr>
          <w:p w14:paraId="3534604C"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Sistema de Información Geográfica</w:t>
            </w:r>
          </w:p>
        </w:tc>
        <w:tc>
          <w:tcPr>
            <w:tcW w:w="1603" w:type="dxa"/>
            <w:vAlign w:val="center"/>
          </w:tcPr>
          <w:p w14:paraId="3020E4B9"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33AA1F2A"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355F01E0" w14:textId="3F4776EC" w:rsidR="00757209" w:rsidRPr="002E2193" w:rsidRDefault="00757209" w:rsidP="002E2193">
            <w:pPr>
              <w:widowControl w:val="0"/>
              <w:spacing w:before="0" w:after="0"/>
              <w:jc w:val="center"/>
              <w:rPr>
                <w:rFonts w:cs="Arial"/>
                <w:bCs/>
                <w:sz w:val="19"/>
                <w:szCs w:val="19"/>
              </w:rPr>
            </w:pPr>
          </w:p>
        </w:tc>
        <w:tc>
          <w:tcPr>
            <w:tcW w:w="1604" w:type="dxa"/>
            <w:vAlign w:val="center"/>
          </w:tcPr>
          <w:p w14:paraId="18D7C60B" w14:textId="77777777" w:rsidR="00757209" w:rsidRPr="002E2193" w:rsidRDefault="00757209" w:rsidP="002E2193">
            <w:pPr>
              <w:widowControl w:val="0"/>
              <w:spacing w:before="0" w:after="0"/>
              <w:jc w:val="center"/>
              <w:rPr>
                <w:rFonts w:cs="Arial"/>
                <w:bCs/>
                <w:sz w:val="19"/>
                <w:szCs w:val="19"/>
              </w:rPr>
            </w:pPr>
          </w:p>
        </w:tc>
      </w:tr>
      <w:tr w:rsidR="00757209" w:rsidRPr="00A23681" w14:paraId="2CF51FA3" w14:textId="77777777" w:rsidTr="002E2193">
        <w:trPr>
          <w:jc w:val="center"/>
        </w:trPr>
        <w:tc>
          <w:tcPr>
            <w:tcW w:w="2931" w:type="dxa"/>
          </w:tcPr>
          <w:p w14:paraId="1C205C3B"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Cartografía</w:t>
            </w:r>
          </w:p>
        </w:tc>
        <w:tc>
          <w:tcPr>
            <w:tcW w:w="1603" w:type="dxa"/>
            <w:vAlign w:val="center"/>
          </w:tcPr>
          <w:p w14:paraId="6257E7B8"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5129BFF1"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207F06CC" w14:textId="0BAB996E" w:rsidR="00757209" w:rsidRPr="002E2193" w:rsidRDefault="00757209" w:rsidP="002E2193">
            <w:pPr>
              <w:widowControl w:val="0"/>
              <w:spacing w:before="0" w:after="0"/>
              <w:jc w:val="center"/>
              <w:rPr>
                <w:rFonts w:cs="Arial"/>
                <w:bCs/>
                <w:sz w:val="19"/>
                <w:szCs w:val="19"/>
              </w:rPr>
            </w:pPr>
          </w:p>
        </w:tc>
        <w:tc>
          <w:tcPr>
            <w:tcW w:w="1604" w:type="dxa"/>
            <w:vAlign w:val="center"/>
          </w:tcPr>
          <w:p w14:paraId="44347EE6" w14:textId="77777777" w:rsidR="00757209" w:rsidRPr="002E2193" w:rsidRDefault="00757209" w:rsidP="002E2193">
            <w:pPr>
              <w:widowControl w:val="0"/>
              <w:spacing w:before="0" w:after="0"/>
              <w:jc w:val="center"/>
              <w:rPr>
                <w:rFonts w:cs="Arial"/>
                <w:bCs/>
                <w:sz w:val="19"/>
                <w:szCs w:val="19"/>
              </w:rPr>
            </w:pPr>
          </w:p>
        </w:tc>
      </w:tr>
      <w:tr w:rsidR="00757209" w:rsidRPr="00A23681" w14:paraId="611295BE" w14:textId="77777777" w:rsidTr="002E2193">
        <w:trPr>
          <w:jc w:val="center"/>
        </w:trPr>
        <w:tc>
          <w:tcPr>
            <w:tcW w:w="2931" w:type="dxa"/>
          </w:tcPr>
          <w:p w14:paraId="52CB8123"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Laboratorio Metrológico</w:t>
            </w:r>
          </w:p>
        </w:tc>
        <w:tc>
          <w:tcPr>
            <w:tcW w:w="1603" w:type="dxa"/>
            <w:vAlign w:val="center"/>
          </w:tcPr>
          <w:p w14:paraId="262A50BE"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69C443FE"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6425FC25" w14:textId="6FE2C59E" w:rsidR="00757209" w:rsidRPr="002E2193" w:rsidRDefault="00757209" w:rsidP="002E2193">
            <w:pPr>
              <w:widowControl w:val="0"/>
              <w:spacing w:before="0" w:after="0"/>
              <w:jc w:val="center"/>
              <w:rPr>
                <w:rFonts w:cs="Arial"/>
                <w:bCs/>
                <w:sz w:val="19"/>
                <w:szCs w:val="19"/>
              </w:rPr>
            </w:pPr>
          </w:p>
        </w:tc>
        <w:tc>
          <w:tcPr>
            <w:tcW w:w="1604" w:type="dxa"/>
            <w:vAlign w:val="center"/>
          </w:tcPr>
          <w:p w14:paraId="20470EE1" w14:textId="77777777" w:rsidR="00757209" w:rsidRPr="002E2193" w:rsidRDefault="00757209" w:rsidP="002E2193">
            <w:pPr>
              <w:widowControl w:val="0"/>
              <w:spacing w:before="0" w:after="0"/>
              <w:jc w:val="center"/>
              <w:rPr>
                <w:rFonts w:cs="Arial"/>
                <w:bCs/>
                <w:sz w:val="19"/>
                <w:szCs w:val="19"/>
              </w:rPr>
            </w:pPr>
          </w:p>
        </w:tc>
      </w:tr>
      <w:tr w:rsidR="00757209" w:rsidRPr="00A23681" w14:paraId="54F370B4" w14:textId="77777777" w:rsidTr="002E2193">
        <w:trPr>
          <w:jc w:val="center"/>
        </w:trPr>
        <w:tc>
          <w:tcPr>
            <w:tcW w:w="2931" w:type="dxa"/>
          </w:tcPr>
          <w:p w14:paraId="21078938"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Trampas</w:t>
            </w:r>
          </w:p>
        </w:tc>
        <w:tc>
          <w:tcPr>
            <w:tcW w:w="1603" w:type="dxa"/>
            <w:vAlign w:val="center"/>
          </w:tcPr>
          <w:p w14:paraId="0FAF4413"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5F844345"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3927F21A" w14:textId="6495BD19" w:rsidR="00757209" w:rsidRPr="002E2193" w:rsidRDefault="00757209" w:rsidP="002E2193">
            <w:pPr>
              <w:widowControl w:val="0"/>
              <w:spacing w:before="0" w:after="0"/>
              <w:jc w:val="center"/>
              <w:rPr>
                <w:rFonts w:cs="Arial"/>
                <w:bCs/>
                <w:sz w:val="19"/>
                <w:szCs w:val="19"/>
              </w:rPr>
            </w:pPr>
          </w:p>
        </w:tc>
        <w:tc>
          <w:tcPr>
            <w:tcW w:w="1604" w:type="dxa"/>
            <w:vAlign w:val="center"/>
          </w:tcPr>
          <w:p w14:paraId="4C7F913B" w14:textId="77777777" w:rsidR="00757209" w:rsidRPr="002E2193" w:rsidRDefault="00757209" w:rsidP="002E2193">
            <w:pPr>
              <w:widowControl w:val="0"/>
              <w:spacing w:before="0" w:after="0"/>
              <w:jc w:val="center"/>
              <w:rPr>
                <w:rFonts w:cs="Arial"/>
                <w:bCs/>
                <w:sz w:val="19"/>
                <w:szCs w:val="19"/>
              </w:rPr>
            </w:pPr>
          </w:p>
        </w:tc>
      </w:tr>
      <w:tr w:rsidR="00757209" w:rsidRPr="00A23681" w14:paraId="4041649F" w14:textId="77777777" w:rsidTr="002E2193">
        <w:trPr>
          <w:jc w:val="center"/>
        </w:trPr>
        <w:tc>
          <w:tcPr>
            <w:tcW w:w="2931" w:type="dxa"/>
          </w:tcPr>
          <w:p w14:paraId="1A37954A"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Equipos de Protección Catódica</w:t>
            </w:r>
          </w:p>
        </w:tc>
        <w:tc>
          <w:tcPr>
            <w:tcW w:w="1603" w:type="dxa"/>
            <w:vAlign w:val="center"/>
          </w:tcPr>
          <w:p w14:paraId="3ED576FD"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1CA618E3"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616700F0" w14:textId="282488F0" w:rsidR="00757209" w:rsidRPr="002E2193" w:rsidRDefault="00757209" w:rsidP="002E2193">
            <w:pPr>
              <w:widowControl w:val="0"/>
              <w:spacing w:before="0" w:after="0"/>
              <w:jc w:val="center"/>
              <w:rPr>
                <w:rFonts w:cs="Arial"/>
                <w:bCs/>
                <w:sz w:val="19"/>
                <w:szCs w:val="19"/>
              </w:rPr>
            </w:pPr>
            <w:r w:rsidRPr="002E2193">
              <w:rPr>
                <w:rFonts w:cs="Arial"/>
                <w:bCs/>
                <w:sz w:val="19"/>
                <w:szCs w:val="19"/>
              </w:rPr>
              <w:t>1.0</w:t>
            </w:r>
          </w:p>
        </w:tc>
        <w:tc>
          <w:tcPr>
            <w:tcW w:w="1604" w:type="dxa"/>
            <w:vAlign w:val="center"/>
          </w:tcPr>
          <w:p w14:paraId="479BD4D9"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1.0</w:t>
            </w:r>
          </w:p>
        </w:tc>
      </w:tr>
      <w:tr w:rsidR="00757209" w:rsidRPr="00A23681" w14:paraId="5C3EF0B6" w14:textId="77777777" w:rsidTr="002E2193">
        <w:trPr>
          <w:jc w:val="center"/>
        </w:trPr>
        <w:tc>
          <w:tcPr>
            <w:tcW w:w="2931" w:type="dxa"/>
          </w:tcPr>
          <w:p w14:paraId="27BDEECC" w14:textId="77777777" w:rsidR="00757209" w:rsidRPr="002E2193" w:rsidRDefault="00757209" w:rsidP="002E2193">
            <w:pPr>
              <w:widowControl w:val="0"/>
              <w:spacing w:before="0" w:after="0"/>
              <w:jc w:val="left"/>
              <w:rPr>
                <w:rFonts w:cs="Arial"/>
                <w:bCs/>
                <w:sz w:val="19"/>
                <w:szCs w:val="19"/>
              </w:rPr>
            </w:pPr>
            <w:r w:rsidRPr="002E2193">
              <w:rPr>
                <w:rFonts w:cs="Arial"/>
                <w:bCs/>
                <w:sz w:val="19"/>
                <w:szCs w:val="19"/>
              </w:rPr>
              <w:t>Sistemas de Control</w:t>
            </w:r>
          </w:p>
        </w:tc>
        <w:tc>
          <w:tcPr>
            <w:tcW w:w="1603" w:type="dxa"/>
            <w:vAlign w:val="center"/>
          </w:tcPr>
          <w:p w14:paraId="2F699287"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15D1C531" w14:textId="77777777" w:rsidR="00757209" w:rsidRPr="002E2193" w:rsidRDefault="00757209" w:rsidP="002E2193">
            <w:pPr>
              <w:widowControl w:val="0"/>
              <w:spacing w:before="0" w:after="0"/>
              <w:jc w:val="center"/>
              <w:rPr>
                <w:rFonts w:cs="Arial"/>
                <w:bCs/>
                <w:sz w:val="19"/>
                <w:szCs w:val="19"/>
              </w:rPr>
            </w:pPr>
          </w:p>
        </w:tc>
        <w:tc>
          <w:tcPr>
            <w:tcW w:w="1604" w:type="dxa"/>
            <w:vAlign w:val="center"/>
          </w:tcPr>
          <w:p w14:paraId="3C7EC314" w14:textId="0FDC69C1" w:rsidR="00757209" w:rsidRPr="002E2193" w:rsidRDefault="00757209" w:rsidP="002E2193">
            <w:pPr>
              <w:widowControl w:val="0"/>
              <w:spacing w:before="0" w:after="0"/>
              <w:jc w:val="center"/>
              <w:rPr>
                <w:rFonts w:cs="Arial"/>
                <w:bCs/>
                <w:sz w:val="19"/>
                <w:szCs w:val="19"/>
              </w:rPr>
            </w:pPr>
            <w:r w:rsidRPr="002E2193">
              <w:rPr>
                <w:rFonts w:cs="Arial"/>
                <w:bCs/>
                <w:sz w:val="19"/>
                <w:szCs w:val="19"/>
              </w:rPr>
              <w:t>1.0</w:t>
            </w:r>
          </w:p>
        </w:tc>
        <w:tc>
          <w:tcPr>
            <w:tcW w:w="1604" w:type="dxa"/>
            <w:vAlign w:val="center"/>
          </w:tcPr>
          <w:p w14:paraId="660EAE3B" w14:textId="77777777" w:rsidR="00757209" w:rsidRPr="002E2193" w:rsidRDefault="00757209" w:rsidP="002E2193">
            <w:pPr>
              <w:widowControl w:val="0"/>
              <w:spacing w:before="0" w:after="0"/>
              <w:jc w:val="center"/>
              <w:rPr>
                <w:rFonts w:cs="Arial"/>
                <w:bCs/>
                <w:sz w:val="19"/>
                <w:szCs w:val="19"/>
              </w:rPr>
            </w:pPr>
            <w:r w:rsidRPr="002E2193">
              <w:rPr>
                <w:rFonts w:cs="Arial"/>
                <w:bCs/>
                <w:sz w:val="19"/>
                <w:szCs w:val="19"/>
              </w:rPr>
              <w:t>1.0</w:t>
            </w:r>
          </w:p>
        </w:tc>
      </w:tr>
    </w:tbl>
    <w:p w14:paraId="75A569CE" w14:textId="584210CB" w:rsidR="00261214" w:rsidRPr="002E2193" w:rsidRDefault="00261214" w:rsidP="002E2193">
      <w:pPr>
        <w:tabs>
          <w:tab w:val="left" w:pos="142"/>
          <w:tab w:val="left" w:pos="8080"/>
        </w:tabs>
        <w:spacing w:before="0" w:after="0"/>
        <w:ind w:left="142" w:right="142"/>
        <w:rPr>
          <w:rFonts w:cs="Arial"/>
          <w:bCs/>
          <w:sz w:val="19"/>
          <w:szCs w:val="19"/>
        </w:rPr>
      </w:pPr>
      <w:r w:rsidRPr="002E2193">
        <w:rPr>
          <w:rFonts w:cs="Arial"/>
          <w:b/>
          <w:sz w:val="19"/>
          <w:szCs w:val="19"/>
        </w:rPr>
        <w:t>Nota</w:t>
      </w:r>
      <w:r w:rsidR="00CF080D" w:rsidRPr="002E2193">
        <w:rPr>
          <w:rFonts w:cs="Arial"/>
          <w:b/>
          <w:sz w:val="19"/>
          <w:szCs w:val="19"/>
        </w:rPr>
        <w:t xml:space="preserve"> 1</w:t>
      </w:r>
      <w:r w:rsidRPr="002E2193">
        <w:rPr>
          <w:rFonts w:cs="Arial"/>
          <w:b/>
          <w:sz w:val="19"/>
          <w:szCs w:val="19"/>
        </w:rPr>
        <w:t>:</w:t>
      </w:r>
      <w:r w:rsidRPr="002E2193">
        <w:rPr>
          <w:rFonts w:cs="Arial"/>
          <w:bCs/>
          <w:sz w:val="19"/>
          <w:szCs w:val="19"/>
        </w:rPr>
        <w:t xml:space="preserve"> Las cantidades de unidades constructivas de tubería y cruces están expresadas en km. Las demás están expresadas en unidades.</w:t>
      </w:r>
    </w:p>
    <w:p w14:paraId="798B1C7A" w14:textId="24915DF5" w:rsidR="00BF31B2" w:rsidRPr="002E2193" w:rsidRDefault="00BF31B2" w:rsidP="002E2193">
      <w:pPr>
        <w:tabs>
          <w:tab w:val="left" w:pos="142"/>
          <w:tab w:val="left" w:pos="8080"/>
        </w:tabs>
        <w:spacing w:before="0"/>
        <w:ind w:left="142" w:right="142"/>
        <w:rPr>
          <w:rFonts w:cs="Arial"/>
          <w:bCs/>
          <w:sz w:val="19"/>
          <w:szCs w:val="19"/>
        </w:rPr>
      </w:pPr>
      <w:r w:rsidRPr="002E2193">
        <w:rPr>
          <w:rFonts w:cs="Arial"/>
          <w:b/>
          <w:sz w:val="19"/>
          <w:szCs w:val="19"/>
        </w:rPr>
        <w:t>Nota 2:</w:t>
      </w:r>
      <w:r w:rsidR="00192447" w:rsidRPr="002E2193">
        <w:rPr>
          <w:rFonts w:cs="Arial"/>
          <w:b/>
          <w:sz w:val="19"/>
          <w:szCs w:val="19"/>
        </w:rPr>
        <w:t xml:space="preserve"> </w:t>
      </w:r>
      <w:r w:rsidR="00192447" w:rsidRPr="002E2193">
        <w:rPr>
          <w:rFonts w:cs="Arial"/>
          <w:bCs/>
          <w:sz w:val="19"/>
          <w:szCs w:val="19"/>
        </w:rPr>
        <w:t>Cantidad de activos solicitada por la empresa PROMIGAS S.A. E.S.P. mediante radicado CREG E-2003-</w:t>
      </w:r>
      <w:r w:rsidR="004D32BB" w:rsidRPr="002E2193">
        <w:rPr>
          <w:rFonts w:cs="Arial"/>
          <w:bCs/>
          <w:sz w:val="19"/>
          <w:szCs w:val="19"/>
        </w:rPr>
        <w:t>004325</w:t>
      </w:r>
      <w:r w:rsidR="00FA6B24" w:rsidRPr="002E2193">
        <w:rPr>
          <w:rFonts w:cs="Arial"/>
          <w:bCs/>
          <w:sz w:val="19"/>
          <w:szCs w:val="19"/>
        </w:rPr>
        <w:t>.</w:t>
      </w:r>
    </w:p>
    <w:p w14:paraId="0FCC0AA9" w14:textId="189B7A08" w:rsidR="00741FA3" w:rsidRDefault="00331649" w:rsidP="00741FA3">
      <w:pPr>
        <w:autoSpaceDE w:val="0"/>
        <w:autoSpaceDN w:val="0"/>
        <w:adjustRightInd w:val="0"/>
        <w:rPr>
          <w:rFonts w:cs="Arial"/>
          <w:bCs/>
        </w:rPr>
      </w:pPr>
      <w:r>
        <w:rPr>
          <w:rFonts w:cs="Arial"/>
          <w:bCs/>
        </w:rPr>
        <w:t>Ahora bien, c</w:t>
      </w:r>
      <w:r w:rsidR="00671139">
        <w:rPr>
          <w:rFonts w:cs="Arial"/>
          <w:bCs/>
        </w:rPr>
        <w:t xml:space="preserve">on respecto a los costos remunerados, señala PROMIGAS S.A. E.S.P. que </w:t>
      </w:r>
      <w:r w:rsidR="00671139" w:rsidRPr="002E2193">
        <w:rPr>
          <w:rFonts w:cs="Arial"/>
          <w:bCs/>
          <w:i/>
          <w:iCs/>
        </w:rPr>
        <w:t>“</w:t>
      </w:r>
      <w:r w:rsidR="009305E2" w:rsidRPr="002E2193">
        <w:rPr>
          <w:rFonts w:cs="Arial"/>
          <w:bCs/>
          <w:i/>
          <w:iCs/>
        </w:rPr>
        <w:t xml:space="preserve">(…) </w:t>
      </w:r>
      <w:r w:rsidR="00421273" w:rsidRPr="002E2193">
        <w:rPr>
          <w:rFonts w:cs="Arial"/>
          <w:bCs/>
          <w:i/>
          <w:iCs/>
        </w:rPr>
        <w:t>en esa medida, cuando un activo de propiedad de la empresa prestadora de servicios públicos, siendo este eficiente de acuerdo con los valores establecidos por la misma CREG (como es el caso que nos ocupa), no es reconocido dentro de la base tarifaria, habrá obviamente una violación al derecho de propiedad”</w:t>
      </w:r>
      <w:r w:rsidR="00421273">
        <w:rPr>
          <w:rFonts w:cs="Arial"/>
          <w:bCs/>
        </w:rPr>
        <w:t>.</w:t>
      </w:r>
    </w:p>
    <w:p w14:paraId="3EF1E2E7" w14:textId="49388391" w:rsidR="004150D8" w:rsidRDefault="00924C63" w:rsidP="00741FA3">
      <w:pPr>
        <w:autoSpaceDE w:val="0"/>
        <w:autoSpaceDN w:val="0"/>
        <w:adjustRightInd w:val="0"/>
        <w:rPr>
          <w:rFonts w:cs="Arial"/>
          <w:bCs/>
        </w:rPr>
      </w:pPr>
      <w:r>
        <w:rPr>
          <w:rFonts w:cs="Arial"/>
          <w:bCs/>
        </w:rPr>
        <w:t>La Comisión interpreta que la empresa</w:t>
      </w:r>
      <w:r w:rsidR="000311AA">
        <w:rPr>
          <w:rFonts w:cs="Arial"/>
          <w:bCs/>
        </w:rPr>
        <w:t xml:space="preserve"> señala que </w:t>
      </w:r>
      <w:r w:rsidR="00352C44">
        <w:rPr>
          <w:rFonts w:cs="Arial"/>
          <w:bCs/>
        </w:rPr>
        <w:t>los costos que solicita son eficientes</w:t>
      </w:r>
      <w:r w:rsidR="00531296">
        <w:rPr>
          <w:rFonts w:cs="Arial"/>
          <w:bCs/>
        </w:rPr>
        <w:t>,</w:t>
      </w:r>
      <w:r w:rsidR="00352C44">
        <w:rPr>
          <w:rFonts w:cs="Arial"/>
          <w:bCs/>
        </w:rPr>
        <w:t xml:space="preserve"> dado que corresponden a los establecidos en el Anexo 8 de la metodología contenida en las Resoluciones CREG 202 de 2013, 138 de 2014, 090 y 132 de 2018, y 011 de 2020.</w:t>
      </w:r>
    </w:p>
    <w:p w14:paraId="05FCD52D" w14:textId="3D89C254" w:rsidR="00A66A75" w:rsidRDefault="000C51B4" w:rsidP="009B6C98">
      <w:pPr>
        <w:autoSpaceDE w:val="0"/>
        <w:autoSpaceDN w:val="0"/>
        <w:adjustRightInd w:val="0"/>
        <w:rPr>
          <w:rFonts w:cs="Arial"/>
          <w:bCs/>
        </w:rPr>
      </w:pPr>
      <w:r>
        <w:rPr>
          <w:rFonts w:cs="Arial"/>
          <w:bCs/>
        </w:rPr>
        <w:t>Al respecto, cabe indicar que c</w:t>
      </w:r>
      <w:r w:rsidR="00C226DC">
        <w:rPr>
          <w:rFonts w:cs="Arial"/>
          <w:bCs/>
        </w:rPr>
        <w:t>ada</w:t>
      </w:r>
      <w:r w:rsidR="003D5117">
        <w:rPr>
          <w:rFonts w:cs="Arial"/>
          <w:bCs/>
        </w:rPr>
        <w:t xml:space="preserve"> metodología tarifar</w:t>
      </w:r>
      <w:r w:rsidR="0009495E">
        <w:rPr>
          <w:rFonts w:cs="Arial"/>
          <w:bCs/>
        </w:rPr>
        <w:t>i</w:t>
      </w:r>
      <w:r w:rsidR="003D5117">
        <w:rPr>
          <w:rFonts w:cs="Arial"/>
          <w:bCs/>
        </w:rPr>
        <w:t xml:space="preserve">a </w:t>
      </w:r>
      <w:r w:rsidR="0009495E">
        <w:rPr>
          <w:rFonts w:cs="Arial"/>
          <w:bCs/>
        </w:rPr>
        <w:t>dispuesta</w:t>
      </w:r>
      <w:r w:rsidR="00464424">
        <w:rPr>
          <w:rFonts w:cs="Arial"/>
          <w:bCs/>
        </w:rPr>
        <w:t xml:space="preserve"> por</w:t>
      </w:r>
      <w:r w:rsidR="003D5117">
        <w:rPr>
          <w:rFonts w:cs="Arial"/>
          <w:bCs/>
        </w:rPr>
        <w:t xml:space="preserve"> la CREG </w:t>
      </w:r>
      <w:r w:rsidR="0009495E">
        <w:rPr>
          <w:rFonts w:cs="Arial"/>
          <w:bCs/>
        </w:rPr>
        <w:t>establece</w:t>
      </w:r>
      <w:r w:rsidR="00464424">
        <w:rPr>
          <w:rFonts w:cs="Arial"/>
          <w:bCs/>
        </w:rPr>
        <w:t xml:space="preserve"> una señal de costos eficientes para las inversiones</w:t>
      </w:r>
      <w:r w:rsidR="002851F5">
        <w:rPr>
          <w:rFonts w:cs="Arial"/>
          <w:bCs/>
        </w:rPr>
        <w:t xml:space="preserve"> que se ejecuten durante el correspondiente p</w:t>
      </w:r>
      <w:r w:rsidR="00531296">
        <w:rPr>
          <w:rFonts w:cs="Arial"/>
          <w:bCs/>
        </w:rPr>
        <w:t>eríodo</w:t>
      </w:r>
      <w:r w:rsidR="002851F5">
        <w:rPr>
          <w:rFonts w:cs="Arial"/>
          <w:bCs/>
        </w:rPr>
        <w:t xml:space="preserve"> tarifario</w:t>
      </w:r>
      <w:r w:rsidR="005C4074">
        <w:rPr>
          <w:rFonts w:cs="Arial"/>
          <w:bCs/>
        </w:rPr>
        <w:t>.</w:t>
      </w:r>
      <w:r w:rsidR="00782AEB">
        <w:rPr>
          <w:rFonts w:cs="Arial"/>
          <w:bCs/>
        </w:rPr>
        <w:t xml:space="preserve"> En el caso de los activos </w:t>
      </w:r>
      <w:r w:rsidR="00681C32">
        <w:rPr>
          <w:rFonts w:cs="Arial"/>
          <w:bCs/>
        </w:rPr>
        <w:t xml:space="preserve">que son </w:t>
      </w:r>
      <w:r w:rsidR="00681C32">
        <w:rPr>
          <w:rFonts w:cs="Arial"/>
          <w:bCs/>
        </w:rPr>
        <w:lastRenderedPageBreak/>
        <w:t xml:space="preserve">objeto de la solicitud de la empresa, estos fueron valorados </w:t>
      </w:r>
      <w:r w:rsidR="002C2647">
        <w:rPr>
          <w:rFonts w:cs="Arial"/>
          <w:bCs/>
        </w:rPr>
        <w:t>según la metodología de la Resolución CREG 057 de 1996</w:t>
      </w:r>
      <w:r w:rsidR="00035A34">
        <w:rPr>
          <w:rFonts w:cs="Arial"/>
          <w:bCs/>
        </w:rPr>
        <w:t>.</w:t>
      </w:r>
    </w:p>
    <w:p w14:paraId="5FBE91BF" w14:textId="7DE85064" w:rsidR="00067956" w:rsidRPr="00AC0DD2" w:rsidRDefault="00E332AC" w:rsidP="00067956">
      <w:pPr>
        <w:autoSpaceDE w:val="0"/>
        <w:autoSpaceDN w:val="0"/>
        <w:adjustRightInd w:val="0"/>
        <w:rPr>
          <w:rFonts w:cs="Arial"/>
          <w:bCs/>
        </w:rPr>
      </w:pPr>
      <w:r>
        <w:rPr>
          <w:rFonts w:cs="Arial"/>
          <w:bCs/>
        </w:rPr>
        <w:t>Dicha</w:t>
      </w:r>
      <w:r w:rsidR="00035A34">
        <w:rPr>
          <w:rFonts w:cs="Arial"/>
          <w:bCs/>
        </w:rPr>
        <w:t xml:space="preserve"> metodología no estipula </w:t>
      </w:r>
      <w:r w:rsidR="00067956">
        <w:rPr>
          <w:rFonts w:cs="Arial"/>
          <w:bCs/>
        </w:rPr>
        <w:t xml:space="preserve">explícitamente </w:t>
      </w:r>
      <w:r w:rsidR="00035A34">
        <w:rPr>
          <w:rFonts w:cs="Arial"/>
          <w:bCs/>
        </w:rPr>
        <w:t xml:space="preserve">que la </w:t>
      </w:r>
      <w:r w:rsidR="004C7F74">
        <w:rPr>
          <w:rFonts w:cs="Arial"/>
          <w:bCs/>
        </w:rPr>
        <w:t>inversión deba reconocerse a costo de reposición del activo</w:t>
      </w:r>
      <w:r>
        <w:rPr>
          <w:rFonts w:cs="Arial"/>
          <w:bCs/>
        </w:rPr>
        <w:t>. S</w:t>
      </w:r>
      <w:r w:rsidR="004C7F74">
        <w:rPr>
          <w:rFonts w:cs="Arial"/>
          <w:bCs/>
        </w:rPr>
        <w:t xml:space="preserve">in embargo, para el cálculo de los cargos de distribución </w:t>
      </w:r>
      <w:r w:rsidR="004F6DA2">
        <w:rPr>
          <w:rFonts w:cs="Arial"/>
          <w:bCs/>
        </w:rPr>
        <w:t>para el p</w:t>
      </w:r>
      <w:r w:rsidR="00531296">
        <w:rPr>
          <w:rFonts w:cs="Arial"/>
          <w:bCs/>
        </w:rPr>
        <w:t>eríodo</w:t>
      </w:r>
      <w:r w:rsidR="004F6DA2">
        <w:rPr>
          <w:rFonts w:cs="Arial"/>
          <w:bCs/>
        </w:rPr>
        <w:t xml:space="preserve"> 1996 a 2001, las empresas reportaron </w:t>
      </w:r>
      <w:r w:rsidR="00AE09AD">
        <w:rPr>
          <w:rFonts w:cs="Arial"/>
          <w:bCs/>
        </w:rPr>
        <w:t>el costo de reposición a nuevo de sus activos y este fue considerado por la Comisión para efectos de calcular las respectivas tarifas.</w:t>
      </w:r>
      <w:r w:rsidR="00F35842">
        <w:rPr>
          <w:rFonts w:cs="Arial"/>
          <w:bCs/>
        </w:rPr>
        <w:t xml:space="preserve"> </w:t>
      </w:r>
      <w:r w:rsidR="00067956" w:rsidRPr="00AC0DD2">
        <w:rPr>
          <w:rFonts w:cs="Arial"/>
          <w:bCs/>
        </w:rPr>
        <w:t xml:space="preserve">De acuerdo con lo anterior, </w:t>
      </w:r>
      <w:r w:rsidR="00067956">
        <w:rPr>
          <w:rFonts w:cs="Arial"/>
          <w:bCs/>
        </w:rPr>
        <w:t xml:space="preserve">la valoración que </w:t>
      </w:r>
      <w:r w:rsidR="00F35842">
        <w:rPr>
          <w:rFonts w:cs="Arial"/>
          <w:bCs/>
        </w:rPr>
        <w:t xml:space="preserve">es aplicable regulatoriamente para los activos objeto de la solicitud de PROMIGAS S.A. E.S.P. es </w:t>
      </w:r>
      <w:r w:rsidR="00067956" w:rsidRPr="00AC0DD2">
        <w:rPr>
          <w:rFonts w:cs="Arial"/>
          <w:bCs/>
        </w:rPr>
        <w:t>el costo de reposición a nuevo de 1997.</w:t>
      </w:r>
    </w:p>
    <w:p w14:paraId="553E6678" w14:textId="28954177" w:rsidR="00671139" w:rsidRDefault="00F35842" w:rsidP="00D95B90">
      <w:pPr>
        <w:autoSpaceDE w:val="0"/>
        <w:autoSpaceDN w:val="0"/>
        <w:adjustRightInd w:val="0"/>
        <w:rPr>
          <w:rFonts w:cs="Arial"/>
          <w:bCs/>
        </w:rPr>
      </w:pPr>
      <w:r>
        <w:rPr>
          <w:rFonts w:cs="Arial"/>
          <w:bCs/>
        </w:rPr>
        <w:t xml:space="preserve">Ahora bien, </w:t>
      </w:r>
      <w:r w:rsidR="00B56352">
        <w:rPr>
          <w:rFonts w:cs="Arial"/>
          <w:bCs/>
        </w:rPr>
        <w:t>los costos establecidos en</w:t>
      </w:r>
      <w:r w:rsidR="00E220F8">
        <w:rPr>
          <w:rFonts w:cs="Arial"/>
          <w:bCs/>
        </w:rPr>
        <w:t xml:space="preserve"> </w:t>
      </w:r>
      <w:r w:rsidR="00B56352">
        <w:rPr>
          <w:rFonts w:cs="Arial"/>
          <w:bCs/>
        </w:rPr>
        <w:t xml:space="preserve">el Anexo 8 de la Metodología contenida en las Resoluciones CREG 202 de 2013, 138 de 2014, 090 y 132 de 2018, y 011 de 2020 </w:t>
      </w:r>
      <w:r w:rsidR="00E220F8">
        <w:rPr>
          <w:rFonts w:cs="Arial"/>
          <w:bCs/>
        </w:rPr>
        <w:t>son utilizados para valorar las inversiones que serán construidas durante el siguiente p</w:t>
      </w:r>
      <w:r w:rsidR="00531296">
        <w:rPr>
          <w:rFonts w:cs="Arial"/>
          <w:bCs/>
        </w:rPr>
        <w:t>eríodo</w:t>
      </w:r>
      <w:r w:rsidR="00E220F8">
        <w:rPr>
          <w:rFonts w:cs="Arial"/>
          <w:bCs/>
        </w:rPr>
        <w:t xml:space="preserve"> tarifario, tal y como lo dispone el literal d) del numeral 9.5 del Artículo 9</w:t>
      </w:r>
      <w:r w:rsidR="00E220F8">
        <w:rPr>
          <w:rStyle w:val="Refdenotaalpie"/>
          <w:rFonts w:cs="Arial"/>
          <w:bCs/>
        </w:rPr>
        <w:footnoteReference w:id="4"/>
      </w:r>
      <w:r w:rsidR="00E220F8">
        <w:rPr>
          <w:rFonts w:cs="Arial"/>
          <w:bCs/>
        </w:rPr>
        <w:t xml:space="preserve"> y como se señaló en la Resolución CREG 198 de 2017.</w:t>
      </w:r>
      <w:r w:rsidR="00677513">
        <w:rPr>
          <w:rFonts w:cs="Arial"/>
          <w:bCs/>
        </w:rPr>
        <w:t xml:space="preserve"> Por lo anterior, no </w:t>
      </w:r>
      <w:r w:rsidR="00D95B90">
        <w:rPr>
          <w:rFonts w:cs="Arial"/>
          <w:bCs/>
        </w:rPr>
        <w:t xml:space="preserve">sería correcto valorar </w:t>
      </w:r>
      <w:r w:rsidR="00FF205A">
        <w:rPr>
          <w:rFonts w:cs="Arial"/>
          <w:bCs/>
        </w:rPr>
        <w:t>l</w:t>
      </w:r>
      <w:r w:rsidR="000E3F68">
        <w:rPr>
          <w:rFonts w:cs="Arial"/>
          <w:bCs/>
        </w:rPr>
        <w:t>os activos que</w:t>
      </w:r>
      <w:r w:rsidR="00FF205A">
        <w:rPr>
          <w:rFonts w:cs="Arial"/>
          <w:bCs/>
        </w:rPr>
        <w:t xml:space="preserve"> reclama la empresa</w:t>
      </w:r>
      <w:r w:rsidR="000E3F68">
        <w:rPr>
          <w:rFonts w:cs="Arial"/>
          <w:bCs/>
        </w:rPr>
        <w:t xml:space="preserve"> a los precios del Anexo 8, dado que esos costos no </w:t>
      </w:r>
      <w:r w:rsidR="008456C9">
        <w:rPr>
          <w:rFonts w:cs="Arial"/>
          <w:bCs/>
        </w:rPr>
        <w:t>corresponden a la señal de inversión dada para estos.</w:t>
      </w:r>
    </w:p>
    <w:p w14:paraId="23B6AE2F" w14:textId="2C7A0268" w:rsidR="00F23C30" w:rsidRPr="0034651C" w:rsidRDefault="00924577" w:rsidP="002E2193">
      <w:pPr>
        <w:pStyle w:val="Ttulo2"/>
      </w:pPr>
      <w:r w:rsidRPr="00206B3F">
        <w:t>REVISIÓN DE MUTUO ACUERDO</w:t>
      </w:r>
    </w:p>
    <w:p w14:paraId="335D3391" w14:textId="63CB8419" w:rsidR="0078639B" w:rsidRDefault="00924577" w:rsidP="00244BE4">
      <w:pPr>
        <w:autoSpaceDE w:val="0"/>
        <w:autoSpaceDN w:val="0"/>
        <w:adjustRightInd w:val="0"/>
        <w:rPr>
          <w:rFonts w:cs="Tahoma"/>
          <w:lang w:val="es-CO" w:eastAsia="es-CO"/>
        </w:rPr>
      </w:pPr>
      <w:r>
        <w:rPr>
          <w:rFonts w:cs="Tahoma"/>
          <w:lang w:val="es-CO" w:eastAsia="es-CO"/>
        </w:rPr>
        <w:t>Respecto de lo manifestado por el recurrente</w:t>
      </w:r>
      <w:r w:rsidR="00460FB8">
        <w:rPr>
          <w:rFonts w:cs="Tahoma"/>
          <w:lang w:val="es-CO" w:eastAsia="es-CO"/>
        </w:rPr>
        <w:t>,</w:t>
      </w:r>
      <w:r>
        <w:rPr>
          <w:rFonts w:cs="Tahoma"/>
          <w:lang w:val="es-CO" w:eastAsia="es-CO"/>
        </w:rPr>
        <w:t xml:space="preserve"> en especial lo que tiene que ver con </w:t>
      </w:r>
      <w:r w:rsidR="00EC001B">
        <w:rPr>
          <w:rFonts w:cs="Tahoma"/>
          <w:lang w:val="es-CO" w:eastAsia="es-CO"/>
        </w:rPr>
        <w:t xml:space="preserve">que </w:t>
      </w:r>
      <w:r>
        <w:rPr>
          <w:rFonts w:cs="Tahoma"/>
          <w:lang w:val="es-CO" w:eastAsia="es-CO"/>
        </w:rPr>
        <w:t>la decisión que se toma por parte de la Comisión viola el Artículo 87 de la Ley 142 de 1994</w:t>
      </w:r>
      <w:r w:rsidR="00511123">
        <w:rPr>
          <w:rFonts w:cs="Tahoma"/>
          <w:lang w:val="es-CO" w:eastAsia="es-CO"/>
        </w:rPr>
        <w:t xml:space="preserve">, con que </w:t>
      </w:r>
      <w:r>
        <w:rPr>
          <w:rFonts w:cs="Tahoma"/>
          <w:lang w:val="es-CO" w:eastAsia="es-CO"/>
        </w:rPr>
        <w:t xml:space="preserve">se ha dado un trato discriminatorio, </w:t>
      </w:r>
      <w:r w:rsidR="00511123">
        <w:rPr>
          <w:rFonts w:cs="Tahoma"/>
          <w:lang w:val="es-CO" w:eastAsia="es-CO"/>
        </w:rPr>
        <w:t xml:space="preserve">con que </w:t>
      </w:r>
      <w:r>
        <w:rPr>
          <w:rFonts w:cs="Tahoma"/>
          <w:lang w:val="es-CO" w:eastAsia="es-CO"/>
        </w:rPr>
        <w:t>no se ha respetado su derecho, entre otros aspectos</w:t>
      </w:r>
      <w:r w:rsidR="00550944">
        <w:rPr>
          <w:rFonts w:cs="Tahoma"/>
          <w:lang w:val="es-CO" w:eastAsia="es-CO"/>
        </w:rPr>
        <w:t>,</w:t>
      </w:r>
      <w:r>
        <w:rPr>
          <w:rFonts w:cs="Tahoma"/>
          <w:lang w:val="es-CO" w:eastAsia="es-CO"/>
        </w:rPr>
        <w:t xml:space="preserve"> </w:t>
      </w:r>
      <w:r w:rsidR="00511123">
        <w:rPr>
          <w:rFonts w:cs="Tahoma"/>
          <w:lang w:val="es-CO" w:eastAsia="es-CO"/>
        </w:rPr>
        <w:t xml:space="preserve">se </w:t>
      </w:r>
      <w:r>
        <w:rPr>
          <w:rFonts w:cs="Tahoma"/>
          <w:lang w:val="es-CO" w:eastAsia="es-CO"/>
        </w:rPr>
        <w:t>debe manifestar lo siguiente:</w:t>
      </w:r>
    </w:p>
    <w:p w14:paraId="1B07C83A" w14:textId="6C447D48" w:rsidR="00924577" w:rsidRDefault="00924577" w:rsidP="006C438D">
      <w:pPr>
        <w:autoSpaceDE w:val="0"/>
        <w:autoSpaceDN w:val="0"/>
        <w:adjustRightInd w:val="0"/>
        <w:rPr>
          <w:rFonts w:cs="Tahoma"/>
          <w:lang w:val="es-CO" w:eastAsia="es-CO"/>
        </w:rPr>
      </w:pPr>
      <w:r>
        <w:rPr>
          <w:rFonts w:cs="Tahoma"/>
          <w:lang w:val="es-CO" w:eastAsia="es-CO"/>
        </w:rPr>
        <w:t>En primer lugar</w:t>
      </w:r>
      <w:r w:rsidR="00550944">
        <w:rPr>
          <w:rFonts w:cs="Tahoma"/>
          <w:lang w:val="es-CO" w:eastAsia="es-CO"/>
        </w:rPr>
        <w:t>,</w:t>
      </w:r>
      <w:r>
        <w:rPr>
          <w:rFonts w:cs="Tahoma"/>
          <w:lang w:val="es-CO" w:eastAsia="es-CO"/>
        </w:rPr>
        <w:t xml:space="preserve"> las metodologías por medio de las cuales se ha determinado el cargo de distribución por la prestación del servicio público de gas combustible por redes en todo momento han si</w:t>
      </w:r>
      <w:r w:rsidR="00550944">
        <w:rPr>
          <w:rFonts w:cs="Tahoma"/>
          <w:lang w:val="es-CO" w:eastAsia="es-CO"/>
        </w:rPr>
        <w:t>do</w:t>
      </w:r>
      <w:r>
        <w:rPr>
          <w:rFonts w:cs="Tahoma"/>
          <w:lang w:val="es-CO" w:eastAsia="es-CO"/>
        </w:rPr>
        <w:t xml:space="preserve"> incorporadas al ordenamiento jurídico teniendo en cuenta todas y cada una de las disposiciones que sobre este tema legal y regulatoriamente se tienen establecidas.</w:t>
      </w:r>
    </w:p>
    <w:p w14:paraId="55A623CC" w14:textId="121FE9FD" w:rsidR="00924577" w:rsidRDefault="00924577">
      <w:pPr>
        <w:autoSpaceDE w:val="0"/>
        <w:autoSpaceDN w:val="0"/>
        <w:adjustRightInd w:val="0"/>
        <w:rPr>
          <w:rFonts w:cs="Tahoma"/>
          <w:lang w:val="es-CO" w:eastAsia="es-CO"/>
        </w:rPr>
      </w:pPr>
      <w:r>
        <w:rPr>
          <w:rFonts w:cs="Tahoma"/>
          <w:lang w:val="es-CO" w:eastAsia="es-CO"/>
        </w:rPr>
        <w:t xml:space="preserve">Con lo anterior se quiere dejar en claro que en todo momento </w:t>
      </w:r>
      <w:r w:rsidR="00474219">
        <w:rPr>
          <w:rFonts w:cs="Tahoma"/>
          <w:lang w:val="es-CO" w:eastAsia="es-CO"/>
        </w:rPr>
        <w:t xml:space="preserve">las metodologías </w:t>
      </w:r>
      <w:r>
        <w:rPr>
          <w:rFonts w:cs="Tahoma"/>
          <w:lang w:val="es-CO" w:eastAsia="es-CO"/>
        </w:rPr>
        <w:t>se han hecho respetando el principio de publicidad</w:t>
      </w:r>
      <w:r w:rsidR="006B5C31">
        <w:rPr>
          <w:rFonts w:cs="Tahoma"/>
          <w:lang w:val="es-CO" w:eastAsia="es-CO"/>
        </w:rPr>
        <w:t>,</w:t>
      </w:r>
      <w:r w:rsidR="005547FB">
        <w:rPr>
          <w:rFonts w:cs="Tahoma"/>
          <w:lang w:val="es-CO" w:eastAsia="es-CO"/>
        </w:rPr>
        <w:t xml:space="preserve"> el cual</w:t>
      </w:r>
      <w:r>
        <w:rPr>
          <w:rFonts w:cs="Tahoma"/>
          <w:lang w:val="es-CO" w:eastAsia="es-CO"/>
        </w:rPr>
        <w:t xml:space="preserve"> consiste en la oportunidad que tienen los agentes interesados de hacer sus comentarios a los proyectos regulatorios</w:t>
      </w:r>
      <w:r w:rsidR="006E2CAB">
        <w:rPr>
          <w:rFonts w:cs="Tahoma"/>
          <w:lang w:val="es-CO" w:eastAsia="es-CO"/>
        </w:rPr>
        <w:t xml:space="preserve">. </w:t>
      </w:r>
      <w:r w:rsidR="00900EDD">
        <w:rPr>
          <w:rFonts w:cs="Tahoma"/>
          <w:lang w:val="es-CO" w:eastAsia="es-CO"/>
        </w:rPr>
        <w:t>Por su parte, l</w:t>
      </w:r>
      <w:r>
        <w:rPr>
          <w:rFonts w:cs="Tahoma"/>
          <w:lang w:val="es-CO" w:eastAsia="es-CO"/>
        </w:rPr>
        <w:t xml:space="preserve">a Comisión ha atendido todas y cada una de las inquietudes por ellos planteadas en los diferentes documentos soporte de las resoluciones en donde se establece la metodología respectiva. </w:t>
      </w:r>
    </w:p>
    <w:p w14:paraId="6B607B33" w14:textId="77B8A280" w:rsidR="00696CCE" w:rsidRDefault="00696CCE">
      <w:pPr>
        <w:autoSpaceDE w:val="0"/>
        <w:autoSpaceDN w:val="0"/>
        <w:adjustRightInd w:val="0"/>
        <w:rPr>
          <w:rFonts w:cs="Tahoma"/>
          <w:lang w:val="es-CO" w:eastAsia="es-CO"/>
        </w:rPr>
      </w:pPr>
      <w:r>
        <w:rPr>
          <w:rFonts w:cs="Tahoma"/>
          <w:lang w:val="es-CO" w:eastAsia="es-CO"/>
        </w:rPr>
        <w:t>Al respecto</w:t>
      </w:r>
      <w:r w:rsidR="00900EDD">
        <w:rPr>
          <w:rFonts w:cs="Tahoma"/>
          <w:lang w:val="es-CO" w:eastAsia="es-CO"/>
        </w:rPr>
        <w:t>, se</w:t>
      </w:r>
      <w:r>
        <w:rPr>
          <w:rFonts w:cs="Tahoma"/>
          <w:lang w:val="es-CO" w:eastAsia="es-CO"/>
        </w:rPr>
        <w:t xml:space="preserve"> debe llamar la atención a lo dispuesto en la sentencia C-150 de 2003 en este sentido, así:</w:t>
      </w:r>
    </w:p>
    <w:p w14:paraId="4C3519D8" w14:textId="2D6FDBB0" w:rsidR="00696CCE" w:rsidRPr="002E2193" w:rsidRDefault="00696CCE" w:rsidP="002E2193">
      <w:pPr>
        <w:shd w:val="clear" w:color="auto" w:fill="FFFFFF"/>
        <w:ind w:left="284"/>
        <w:rPr>
          <w:i/>
          <w:iCs/>
          <w:sz w:val="21"/>
          <w:szCs w:val="21"/>
          <w:lang w:eastAsia="es-CO"/>
        </w:rPr>
      </w:pPr>
      <w:r w:rsidRPr="002E2193">
        <w:rPr>
          <w:i/>
          <w:iCs/>
          <w:sz w:val="21"/>
          <w:szCs w:val="21"/>
          <w:lang w:eastAsia="es-CO"/>
        </w:rPr>
        <w:lastRenderedPageBreak/>
        <w:t>Habida cuenta de su importancia, la Constitución estatuye que el régimen de los servicios públicos, en virtud del principio de reserva de ley, debe ser el resultado de un proceso de deliberación pluralista, público, abierto a la participación de todos y responsable ante las personas que sean usuarios de dichos servicios. En el mismo sentido, la Carta prevé que las autoridades se encuentran vinculadas al cumplimiento de una serie de mandatos objetivos tendientes a asegurar la efectividad del principio de Estado social de derecho. La participación de las personas en las decisiones que los afectan contribuye a que ello realmente se logre, como se anotó en el apartado referente a las garantías institucionales necesarias para asegurar que las comisiones de regulación cumplan imparcial y neutralmente su misión legal en aras de la materialización de los fines sociales del Estado.</w:t>
      </w:r>
    </w:p>
    <w:p w14:paraId="62436103" w14:textId="69ED2A13" w:rsidR="00696CCE" w:rsidRPr="002E2193" w:rsidRDefault="00696CCE" w:rsidP="002E2193">
      <w:pPr>
        <w:shd w:val="clear" w:color="auto" w:fill="FFFFFF"/>
        <w:ind w:left="284"/>
        <w:rPr>
          <w:i/>
          <w:iCs/>
          <w:sz w:val="21"/>
          <w:szCs w:val="21"/>
          <w:lang w:eastAsia="es-CO"/>
        </w:rPr>
      </w:pPr>
      <w:r w:rsidRPr="002E2193">
        <w:rPr>
          <w:i/>
          <w:iCs/>
          <w:sz w:val="21"/>
          <w:szCs w:val="21"/>
          <w:lang w:eastAsia="es-CO"/>
        </w:rPr>
        <w:t>Así lo ha reconocido la Corte Constitucional, quien consideró recientemente que "[r]</w:t>
      </w:r>
      <w:proofErr w:type="spellStart"/>
      <w:r w:rsidRPr="002E2193">
        <w:rPr>
          <w:i/>
          <w:iCs/>
          <w:sz w:val="21"/>
          <w:szCs w:val="21"/>
          <w:lang w:eastAsia="es-CO"/>
        </w:rPr>
        <w:t>esulta</w:t>
      </w:r>
      <w:proofErr w:type="spellEnd"/>
      <w:r w:rsidRPr="002E2193">
        <w:rPr>
          <w:i/>
          <w:iCs/>
          <w:sz w:val="21"/>
          <w:szCs w:val="21"/>
          <w:lang w:eastAsia="es-CO"/>
        </w:rPr>
        <w:t xml:space="preserve"> absolutamente necesario que las comisiones, antes de hacer la regulación de los costos fijos, escuchen a los usuarios del servicio. La participación directa de los consumidores es relevante para la toma de ese tipo de decisiones. Pero tal deber no se satisface únicamente con la sola participación de voceros o representantes de los servicios, sino que debe llegar hasta el punto de abrir espacios para que estos últimos de manera directa expongan sus reclamos y puntos de vista respecto de los criterios que se van a adoptar".</w:t>
      </w:r>
    </w:p>
    <w:p w14:paraId="305D9844" w14:textId="77777777" w:rsidR="00696CCE" w:rsidRPr="002E2193" w:rsidRDefault="00696CCE" w:rsidP="002E2193">
      <w:pPr>
        <w:shd w:val="clear" w:color="auto" w:fill="FFFFFF"/>
        <w:ind w:left="284"/>
        <w:rPr>
          <w:i/>
          <w:iCs/>
          <w:sz w:val="21"/>
          <w:szCs w:val="21"/>
          <w:lang w:eastAsia="es-CO"/>
        </w:rPr>
      </w:pPr>
      <w:r w:rsidRPr="002E2193">
        <w:rPr>
          <w:i/>
          <w:iCs/>
          <w:sz w:val="21"/>
          <w:szCs w:val="21"/>
          <w:lang w:eastAsia="es-CO"/>
        </w:rPr>
        <w:t>El fundamento constitucional de esta participación directa en el procedimiento previo a la adopción de las regulaciones de especial trascendencia fue también recordado anteriormente en el apartado respectivo. Este comprende principios fundamentales, como el consagrado en el artículo 2° Superior, y normas específicas, como el 78 Superior, que ordena a todos los órganos del Estado, dentro de su órbita de competencia, no estimular o permitir, sino garantizar "la participación de las organizaciones de consumidores y usuarios en el estudio de las disposiciones que les conciernen", lo cual fue definido por el constituyente como un derecho constitucional cuyo goce depende de dos condiciones también de estirpe democrática: que las organizaciones sean representativas y que observen procedimientos democráticos internos.</w:t>
      </w:r>
    </w:p>
    <w:p w14:paraId="58EFDD52" w14:textId="207633CD" w:rsidR="00696CCE" w:rsidRPr="002E2193" w:rsidRDefault="00696CCE" w:rsidP="002E2193">
      <w:pPr>
        <w:shd w:val="clear" w:color="auto" w:fill="FFFFFF"/>
        <w:ind w:left="284"/>
        <w:rPr>
          <w:i/>
          <w:iCs/>
          <w:sz w:val="21"/>
          <w:szCs w:val="21"/>
          <w:lang w:eastAsia="es-CO"/>
        </w:rPr>
      </w:pPr>
      <w:r w:rsidRPr="002E2193">
        <w:rPr>
          <w:i/>
          <w:iCs/>
          <w:sz w:val="21"/>
          <w:szCs w:val="21"/>
          <w:lang w:eastAsia="es-CO"/>
        </w:rPr>
        <w:t xml:space="preserve">4.5.3.4. A la luz del marco constitucional sobre el derecho a la participación directa de las organizaciones de usuarios analizado en el apartado 4.4.2 de esta sentencia, las normas acusadas presentan una omisión en la medida en que no refieren a la concreción de este derecho en el proceso de fijación o modificación de las </w:t>
      </w:r>
      <w:proofErr w:type="spellStart"/>
      <w:r w:rsidRPr="002E2193">
        <w:rPr>
          <w:i/>
          <w:iCs/>
          <w:sz w:val="21"/>
          <w:szCs w:val="21"/>
          <w:lang w:eastAsia="es-CO"/>
        </w:rPr>
        <w:t>formulas</w:t>
      </w:r>
      <w:proofErr w:type="spellEnd"/>
      <w:r w:rsidRPr="002E2193">
        <w:rPr>
          <w:i/>
          <w:iCs/>
          <w:sz w:val="21"/>
          <w:szCs w:val="21"/>
          <w:lang w:eastAsia="es-CO"/>
        </w:rPr>
        <w:t xml:space="preserve"> tarifarias de los servicios públicos domiciliarios. No obstante, nada en dichas normas impide que los usuarios ejerzan su derecho de participación. Lo que sucede es que guardaron silencio al respecto y ello podría conducir a la interpretación inconstitucional de que tal participación </w:t>
      </w:r>
      <w:proofErr w:type="spellStart"/>
      <w:r w:rsidRPr="002E2193">
        <w:rPr>
          <w:i/>
          <w:iCs/>
          <w:sz w:val="21"/>
          <w:szCs w:val="21"/>
          <w:lang w:eastAsia="es-CO"/>
        </w:rPr>
        <w:t>esta</w:t>
      </w:r>
      <w:proofErr w:type="spellEnd"/>
      <w:r w:rsidRPr="002E2193">
        <w:rPr>
          <w:i/>
          <w:iCs/>
          <w:sz w:val="21"/>
          <w:szCs w:val="21"/>
          <w:lang w:eastAsia="es-CO"/>
        </w:rPr>
        <w:t xml:space="preserve"> excluida, mientras no sea desarrollada expresa y específicamente por el legislador.</w:t>
      </w:r>
    </w:p>
    <w:p w14:paraId="6A3D21DC" w14:textId="3A954F2E" w:rsidR="001C151B" w:rsidRDefault="001C151B" w:rsidP="002E2193">
      <w:pPr>
        <w:shd w:val="clear" w:color="auto" w:fill="FFFFFF"/>
        <w:rPr>
          <w:rFonts w:cs="Tahoma"/>
          <w:lang w:val="es-CO" w:eastAsia="es-CO"/>
        </w:rPr>
      </w:pPr>
      <w:r>
        <w:rPr>
          <w:rFonts w:cs="Tahoma"/>
          <w:lang w:val="es-CO" w:eastAsia="es-CO"/>
        </w:rPr>
        <w:t>Ahora bien</w:t>
      </w:r>
      <w:r w:rsidR="00833B11">
        <w:rPr>
          <w:rFonts w:cs="Tahoma"/>
          <w:lang w:val="es-CO" w:eastAsia="es-CO"/>
        </w:rPr>
        <w:t xml:space="preserve">, en segundo lugar y </w:t>
      </w:r>
      <w:r>
        <w:rPr>
          <w:rFonts w:cs="Tahoma"/>
          <w:lang w:val="es-CO" w:eastAsia="es-CO"/>
        </w:rPr>
        <w:t xml:space="preserve">respecto del Artículo 87 de la Ley 142 de 1994, lo que </w:t>
      </w:r>
      <w:r w:rsidR="005250E9">
        <w:rPr>
          <w:rFonts w:cs="Tahoma"/>
          <w:lang w:val="es-CO" w:eastAsia="es-CO"/>
        </w:rPr>
        <w:t>s</w:t>
      </w:r>
      <w:r w:rsidR="00CE05B0">
        <w:rPr>
          <w:rFonts w:cs="Tahoma"/>
          <w:lang w:val="es-CO" w:eastAsia="es-CO"/>
        </w:rPr>
        <w:t xml:space="preserve">e </w:t>
      </w:r>
      <w:r>
        <w:rPr>
          <w:rFonts w:cs="Tahoma"/>
          <w:lang w:val="es-CO" w:eastAsia="es-CO"/>
        </w:rPr>
        <w:t>busca efectivamente al establecer los criterios tarifarios es que las empresas recuperen todos sus costos de operación</w:t>
      </w:r>
      <w:r w:rsidR="00531296">
        <w:rPr>
          <w:rFonts w:cs="Tahoma"/>
          <w:lang w:val="es-CO" w:eastAsia="es-CO"/>
        </w:rPr>
        <w:t>. L</w:t>
      </w:r>
      <w:r>
        <w:rPr>
          <w:rFonts w:cs="Tahoma"/>
          <w:lang w:val="es-CO" w:eastAsia="es-CO"/>
        </w:rPr>
        <w:t>o anterior teniendo como fundamento los artículo</w:t>
      </w:r>
      <w:r w:rsidR="00CF372B">
        <w:rPr>
          <w:rFonts w:cs="Tahoma"/>
          <w:lang w:val="es-CO" w:eastAsia="es-CO"/>
        </w:rPr>
        <w:t>s</w:t>
      </w:r>
      <w:r>
        <w:rPr>
          <w:rFonts w:cs="Tahoma"/>
          <w:lang w:val="es-CO" w:eastAsia="es-CO"/>
        </w:rPr>
        <w:t xml:space="preserve"> 365 y 367 de la Constitución Nacional y que hacen referencia a que los servicios públicos hacen parte de la finalidad social del Estado y</w:t>
      </w:r>
      <w:r w:rsidR="00F941C7">
        <w:rPr>
          <w:rFonts w:cs="Tahoma"/>
          <w:lang w:val="es-CO" w:eastAsia="es-CO"/>
        </w:rPr>
        <w:t xml:space="preserve"> a</w:t>
      </w:r>
      <w:r>
        <w:rPr>
          <w:rFonts w:cs="Tahoma"/>
          <w:lang w:val="es-CO" w:eastAsia="es-CO"/>
        </w:rPr>
        <w:t xml:space="preserve"> la fijación de las competencias por parte de la ley en la forma como se deben prestar.</w:t>
      </w:r>
    </w:p>
    <w:p w14:paraId="3F6B583B" w14:textId="0838C09E" w:rsidR="001C151B" w:rsidRPr="00833B11" w:rsidRDefault="00335F08" w:rsidP="00244BE4">
      <w:pPr>
        <w:autoSpaceDE w:val="0"/>
        <w:autoSpaceDN w:val="0"/>
        <w:adjustRightInd w:val="0"/>
        <w:rPr>
          <w:rFonts w:cs="Tahoma"/>
          <w:lang w:val="es-CO" w:eastAsia="es-CO"/>
        </w:rPr>
      </w:pPr>
      <w:r>
        <w:rPr>
          <w:rFonts w:cs="Tahoma"/>
          <w:lang w:val="es-CO" w:eastAsia="es-CO"/>
        </w:rPr>
        <w:t xml:space="preserve">En </w:t>
      </w:r>
      <w:r w:rsidRPr="00833B11">
        <w:rPr>
          <w:rFonts w:cs="Tahoma"/>
          <w:lang w:val="es-CO" w:eastAsia="es-CO"/>
        </w:rPr>
        <w:t>especial</w:t>
      </w:r>
      <w:r w:rsidR="00531296">
        <w:rPr>
          <w:rFonts w:cs="Tahoma"/>
          <w:lang w:val="es-CO" w:eastAsia="es-CO"/>
        </w:rPr>
        <w:t>,</w:t>
      </w:r>
      <w:r w:rsidRPr="00833B11">
        <w:rPr>
          <w:rFonts w:cs="Tahoma"/>
          <w:lang w:val="es-CO" w:eastAsia="es-CO"/>
        </w:rPr>
        <w:t xml:space="preserve"> y en este caso</w:t>
      </w:r>
      <w:r w:rsidR="00CE05B0">
        <w:rPr>
          <w:rFonts w:cs="Tahoma"/>
          <w:lang w:val="es-CO" w:eastAsia="es-CO"/>
        </w:rPr>
        <w:t>,</w:t>
      </w:r>
      <w:r w:rsidRPr="00833B11">
        <w:rPr>
          <w:rFonts w:cs="Tahoma"/>
          <w:lang w:val="es-CO" w:eastAsia="es-CO"/>
        </w:rPr>
        <w:t xml:space="preserve"> de acuerdo con lo manifestado por el recurrente</w:t>
      </w:r>
      <w:r w:rsidR="00CE05B0">
        <w:rPr>
          <w:rFonts w:cs="Tahoma"/>
          <w:lang w:val="es-CO" w:eastAsia="es-CO"/>
        </w:rPr>
        <w:t>,</w:t>
      </w:r>
      <w:r w:rsidRPr="00833B11">
        <w:rPr>
          <w:rFonts w:cs="Tahoma"/>
          <w:lang w:val="es-CO" w:eastAsia="es-CO"/>
        </w:rPr>
        <w:t xml:space="preserve"> </w:t>
      </w:r>
      <w:r w:rsidR="00CE05B0">
        <w:rPr>
          <w:rFonts w:cs="Tahoma"/>
          <w:lang w:val="es-CO" w:eastAsia="es-CO"/>
        </w:rPr>
        <w:t xml:space="preserve">se </w:t>
      </w:r>
      <w:r w:rsidRPr="00833B11">
        <w:rPr>
          <w:rFonts w:cs="Tahoma"/>
          <w:lang w:val="es-CO" w:eastAsia="es-CO"/>
        </w:rPr>
        <w:t>debe llamar especial atención a los que tienen que ver con la eficiencia económica establecido en el Numeral 87.1 del Artículo 87 de la Ley 142 de 1994</w:t>
      </w:r>
      <w:r w:rsidR="00531296">
        <w:rPr>
          <w:rFonts w:cs="Tahoma"/>
          <w:lang w:val="es-CO" w:eastAsia="es-CO"/>
        </w:rPr>
        <w:t>,</w:t>
      </w:r>
      <w:r w:rsidRPr="00833B11">
        <w:rPr>
          <w:rFonts w:cs="Tahoma"/>
          <w:lang w:val="es-CO" w:eastAsia="es-CO"/>
        </w:rPr>
        <w:t xml:space="preserve"> y la suficiencia financiera dispuesto en el Numeral 87.4 del Artículo 87 de la mencionada ley. </w:t>
      </w:r>
    </w:p>
    <w:p w14:paraId="79274EF8" w14:textId="04A11063" w:rsidR="00335F08" w:rsidRPr="00833B11" w:rsidRDefault="00335F08" w:rsidP="006C438D">
      <w:pPr>
        <w:autoSpaceDE w:val="0"/>
        <w:autoSpaceDN w:val="0"/>
        <w:adjustRightInd w:val="0"/>
        <w:rPr>
          <w:rFonts w:cs="Tahoma"/>
          <w:lang w:val="es-CO" w:eastAsia="es-CO"/>
        </w:rPr>
      </w:pPr>
      <w:r w:rsidRPr="00833B11">
        <w:rPr>
          <w:rFonts w:cs="Tahoma"/>
          <w:lang w:val="es-CO" w:eastAsia="es-CO"/>
        </w:rPr>
        <w:lastRenderedPageBreak/>
        <w:t xml:space="preserve">Al respecto, de parte de la Corte en su sentencia C-150 de 2003, manifestó lo siguiente: </w:t>
      </w:r>
    </w:p>
    <w:p w14:paraId="12B176BF" w14:textId="77777777" w:rsidR="00335F08" w:rsidRPr="002E2193" w:rsidRDefault="00335F08" w:rsidP="002E2193">
      <w:pPr>
        <w:shd w:val="clear" w:color="auto" w:fill="FFFFFF"/>
        <w:ind w:left="284"/>
        <w:rPr>
          <w:i/>
          <w:iCs/>
          <w:sz w:val="21"/>
          <w:szCs w:val="21"/>
          <w:lang w:eastAsia="es-CO"/>
        </w:rPr>
      </w:pPr>
      <w:r w:rsidRPr="002E2193">
        <w:rPr>
          <w:i/>
          <w:iCs/>
          <w:sz w:val="21"/>
          <w:szCs w:val="21"/>
          <w:lang w:eastAsia="es-CO"/>
        </w:rPr>
        <w:t>4.5.2.2. El numeral 87.1 del artículo 87 de la Ley 142 de 1994 señala que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w:t>
      </w:r>
    </w:p>
    <w:p w14:paraId="55CACBBA" w14:textId="77777777" w:rsidR="00335F08" w:rsidRPr="002E2193" w:rsidRDefault="00335F08" w:rsidP="002E2193">
      <w:pPr>
        <w:shd w:val="clear" w:color="auto" w:fill="FFFFFF"/>
        <w:ind w:left="284"/>
        <w:rPr>
          <w:i/>
          <w:iCs/>
          <w:sz w:val="21"/>
          <w:szCs w:val="21"/>
          <w:lang w:eastAsia="es-CO"/>
        </w:rPr>
      </w:pPr>
      <w:r w:rsidRPr="002E2193">
        <w:rPr>
          <w:i/>
          <w:iCs/>
          <w:sz w:val="21"/>
          <w:szCs w:val="21"/>
          <w:lang w:eastAsia="es-CO"/>
        </w:rPr>
        <w:t>Se observa así que, de acuerdo con la definición citada, la eficiencia económica consiste en que: (i) las tarifas de los servicios públicos se aproximen a lo que serían los precios de un mercado competitivo; (</w:t>
      </w:r>
      <w:proofErr w:type="spellStart"/>
      <w:r w:rsidRPr="002E2193">
        <w:rPr>
          <w:i/>
          <w:iCs/>
          <w:sz w:val="21"/>
          <w:szCs w:val="21"/>
          <w:lang w:eastAsia="es-CO"/>
        </w:rPr>
        <w:t>ii</w:t>
      </w:r>
      <w:proofErr w:type="spellEnd"/>
      <w:r w:rsidRPr="002E2193">
        <w:rPr>
          <w:i/>
          <w:iCs/>
          <w:sz w:val="21"/>
          <w:szCs w:val="21"/>
          <w:lang w:eastAsia="es-CO"/>
        </w:rPr>
        <w:t>) las fórmulas tarifarias tengan en cuenta los costos y los aumentos de productividad esperados; (</w:t>
      </w:r>
      <w:proofErr w:type="spellStart"/>
      <w:r w:rsidRPr="002E2193">
        <w:rPr>
          <w:i/>
          <w:iCs/>
          <w:sz w:val="21"/>
          <w:szCs w:val="21"/>
          <w:lang w:eastAsia="es-CO"/>
        </w:rPr>
        <w:t>iii</w:t>
      </w:r>
      <w:proofErr w:type="spellEnd"/>
      <w:r w:rsidRPr="002E2193">
        <w:rPr>
          <w:i/>
          <w:iCs/>
          <w:sz w:val="21"/>
          <w:szCs w:val="21"/>
          <w:lang w:eastAsia="es-CO"/>
        </w:rPr>
        <w:t>) los aumentos de productividad esperados se distribuyan entre la empresa y los usuarios tal como ocurriría en un mercado competitivo; (</w:t>
      </w:r>
      <w:proofErr w:type="spellStart"/>
      <w:r w:rsidRPr="002E2193">
        <w:rPr>
          <w:i/>
          <w:iCs/>
          <w:sz w:val="21"/>
          <w:szCs w:val="21"/>
          <w:lang w:eastAsia="es-CO"/>
        </w:rPr>
        <w:t>iv</w:t>
      </w:r>
      <w:proofErr w:type="spellEnd"/>
      <w:r w:rsidRPr="002E2193">
        <w:rPr>
          <w:i/>
          <w:iCs/>
          <w:sz w:val="21"/>
          <w:szCs w:val="21"/>
          <w:lang w:eastAsia="es-CO"/>
        </w:rPr>
        <w:t>) las fórmulas tarifarias no trasladen a los usuarios los costos de una gestión ineficiente; (v) las empresas no se apropien de las utilidades provenientes de prácticas restrictivas de la competencia. La referencia que hace la norma en el sentido de que "[e]n el caso de servicios públicos sujetos a fórmulas tarifarias, las tarifas deben reflejar siempre tanto el nivel y la estructura de los costos económicos de prestar el servicio, como la demanda por éste" versa sobre el ámbito de aplicación de los anteriores elementos.</w:t>
      </w:r>
    </w:p>
    <w:p w14:paraId="0C1A5578" w14:textId="4B7F93A7" w:rsidR="00335F08" w:rsidRPr="00833B11" w:rsidRDefault="00335F08" w:rsidP="00244BE4">
      <w:pPr>
        <w:shd w:val="clear" w:color="auto" w:fill="FFFFFF"/>
        <w:rPr>
          <w:lang w:eastAsia="es-CO"/>
        </w:rPr>
      </w:pPr>
      <w:r w:rsidRPr="00833B11">
        <w:rPr>
          <w:lang w:eastAsia="es-CO"/>
        </w:rPr>
        <w:t xml:space="preserve">Y del análisis </w:t>
      </w:r>
      <w:proofErr w:type="gramStart"/>
      <w:r w:rsidRPr="00833B11">
        <w:rPr>
          <w:lang w:eastAsia="es-CO"/>
        </w:rPr>
        <w:t>que</w:t>
      </w:r>
      <w:proofErr w:type="gramEnd"/>
      <w:r w:rsidRPr="00833B11">
        <w:rPr>
          <w:lang w:eastAsia="es-CO"/>
        </w:rPr>
        <w:t xml:space="preserve"> de lo anteriormente manifestado, </w:t>
      </w:r>
      <w:r w:rsidR="00D32A00" w:rsidRPr="00833B11">
        <w:rPr>
          <w:lang w:eastAsia="es-CO"/>
        </w:rPr>
        <w:t>concluye</w:t>
      </w:r>
      <w:r w:rsidRPr="00833B11">
        <w:rPr>
          <w:lang w:eastAsia="es-CO"/>
        </w:rPr>
        <w:t xml:space="preserve"> lo siguiente:</w:t>
      </w:r>
    </w:p>
    <w:p w14:paraId="2B38DA66" w14:textId="7169743A" w:rsidR="00335F08" w:rsidRPr="002E2193" w:rsidRDefault="00335F08" w:rsidP="002E2193">
      <w:pPr>
        <w:shd w:val="clear" w:color="auto" w:fill="FFFFFF"/>
        <w:ind w:left="284"/>
        <w:rPr>
          <w:i/>
          <w:iCs/>
          <w:sz w:val="21"/>
          <w:szCs w:val="21"/>
          <w:lang w:eastAsia="es-CO"/>
        </w:rPr>
      </w:pPr>
      <w:r w:rsidRPr="002E2193">
        <w:rPr>
          <w:i/>
          <w:iCs/>
          <w:sz w:val="21"/>
          <w:szCs w:val="21"/>
          <w:lang w:eastAsia="es-CO"/>
        </w:rPr>
        <w:t xml:space="preserve">4.5.2.2.6. En conclusión, el numeral 87.1 del artículo 87 de la Ley 142 de 1994 contiene algunos de los elementos que, de acuerdo con la teoría económica de un mercado competitivo, caracterizan un mercado eficiente y las implicaciones que de éste se derivan. En este orden de ideas, la Corte encuentra que el criterio de eficiencia descrito en la norma en </w:t>
      </w:r>
      <w:proofErr w:type="gramStart"/>
      <w:r w:rsidRPr="002E2193">
        <w:rPr>
          <w:i/>
          <w:iCs/>
          <w:sz w:val="21"/>
          <w:szCs w:val="21"/>
          <w:lang w:eastAsia="es-CO"/>
        </w:rPr>
        <w:t>cuestión,</w:t>
      </w:r>
      <w:proofErr w:type="gramEnd"/>
      <w:r w:rsidRPr="002E2193">
        <w:rPr>
          <w:i/>
          <w:iCs/>
          <w:sz w:val="21"/>
          <w:szCs w:val="21"/>
          <w:lang w:eastAsia="es-CO"/>
        </w:rPr>
        <w:t xml:space="preserve"> desarrolla la prescripción del artículo 365 Superior, según el cual "es deber del Estado asegurar su prestación eficiente a todos los habitantes del territorio nacional". Si bien el legislador habría podido definir </w:t>
      </w:r>
      <w:proofErr w:type="gramStart"/>
      <w:r w:rsidRPr="002E2193">
        <w:rPr>
          <w:i/>
          <w:iCs/>
          <w:sz w:val="21"/>
          <w:szCs w:val="21"/>
          <w:lang w:eastAsia="es-CO"/>
        </w:rPr>
        <w:t>eficiencia</w:t>
      </w:r>
      <w:proofErr w:type="gramEnd"/>
      <w:r w:rsidRPr="002E2193">
        <w:rPr>
          <w:i/>
          <w:iCs/>
          <w:sz w:val="21"/>
          <w:szCs w:val="21"/>
          <w:lang w:eastAsia="es-CO"/>
        </w:rPr>
        <w:t xml:space="preserve"> en otros términos, se encuentra dentro de su margen de configuración hacerlo siguiendo teorías económicas sobre la eficiencia en un mercado económico competitivo. La Constitución no impone, como ya se anotó, un modelo económico y por lo tanto permite que el legislador tenga en cuenta diferentes teorías sobre qué es la eficiencia y cómo se logra que la autoridad de regulación propenda por ella, siempre que no adopte decisiones manifiestamente irrazonables o contrarias a mandatos o prohibiciones contenidos en la Carta. </w:t>
      </w:r>
    </w:p>
    <w:p w14:paraId="3756424D" w14:textId="10CA95A7" w:rsidR="00335F08" w:rsidRPr="00833B11" w:rsidRDefault="00335F08" w:rsidP="00244BE4">
      <w:pPr>
        <w:shd w:val="clear" w:color="auto" w:fill="FFFFFF"/>
        <w:rPr>
          <w:lang w:eastAsia="es-CO"/>
        </w:rPr>
      </w:pPr>
      <w:r w:rsidRPr="00833B11">
        <w:rPr>
          <w:lang w:eastAsia="es-CO"/>
        </w:rPr>
        <w:t>De otro lado en relación con el Numeral 87.4 del Artículo 87 de la Ley 142 de 1994, relacionada con la suficiencia financiera</w:t>
      </w:r>
      <w:r w:rsidR="00833B11" w:rsidRPr="00833B11">
        <w:rPr>
          <w:lang w:eastAsia="es-CO"/>
        </w:rPr>
        <w:t xml:space="preserve">, manifestó: </w:t>
      </w:r>
    </w:p>
    <w:p w14:paraId="1DE3FAEE" w14:textId="77777777" w:rsidR="00833B11" w:rsidRPr="002E2193" w:rsidRDefault="00833B11" w:rsidP="002E2193">
      <w:pPr>
        <w:shd w:val="clear" w:color="auto" w:fill="FFFFFF"/>
        <w:ind w:left="284"/>
        <w:rPr>
          <w:i/>
          <w:iCs/>
          <w:sz w:val="21"/>
          <w:szCs w:val="21"/>
          <w:lang w:eastAsia="es-CO"/>
        </w:rPr>
      </w:pPr>
      <w:r w:rsidRPr="002E2193">
        <w:rPr>
          <w:i/>
          <w:iCs/>
          <w:sz w:val="21"/>
          <w:szCs w:val="21"/>
          <w:lang w:eastAsia="es-CO"/>
        </w:rPr>
        <w:t>4.5.2.3. El numeral 87.4 del artículo 87 de la Ley 142 de 1994, por su parte, indica que "por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p>
    <w:p w14:paraId="7989002E" w14:textId="77777777" w:rsidR="00833B11" w:rsidRPr="002E2193" w:rsidRDefault="00833B11" w:rsidP="002E2193">
      <w:pPr>
        <w:shd w:val="clear" w:color="auto" w:fill="FFFFFF"/>
        <w:ind w:left="284"/>
        <w:rPr>
          <w:i/>
          <w:iCs/>
          <w:sz w:val="21"/>
          <w:szCs w:val="21"/>
          <w:lang w:eastAsia="es-CO"/>
        </w:rPr>
      </w:pPr>
      <w:r w:rsidRPr="002E2193">
        <w:rPr>
          <w:i/>
          <w:iCs/>
          <w:sz w:val="21"/>
          <w:szCs w:val="21"/>
          <w:lang w:eastAsia="es-CO"/>
        </w:rPr>
        <w:t xml:space="preserve">De acuerdo con esta definición, la suficiencia financiera consiste en que las fórmulas tarifarias: (i) garanticen la recuperación de los costos y gastos propios de operación, </w:t>
      </w:r>
      <w:r w:rsidRPr="002E2193">
        <w:rPr>
          <w:i/>
          <w:iCs/>
          <w:sz w:val="21"/>
          <w:szCs w:val="21"/>
          <w:lang w:eastAsia="es-CO"/>
        </w:rPr>
        <w:lastRenderedPageBreak/>
        <w:t>incluyendo la expansión, la reposición y el mantenimiento; (</w:t>
      </w:r>
      <w:proofErr w:type="spellStart"/>
      <w:r w:rsidRPr="002E2193">
        <w:rPr>
          <w:i/>
          <w:iCs/>
          <w:sz w:val="21"/>
          <w:szCs w:val="21"/>
          <w:lang w:eastAsia="es-CO"/>
        </w:rPr>
        <w:t>ii</w:t>
      </w:r>
      <w:proofErr w:type="spellEnd"/>
      <w:r w:rsidRPr="002E2193">
        <w:rPr>
          <w:i/>
          <w:iCs/>
          <w:sz w:val="21"/>
          <w:szCs w:val="21"/>
          <w:lang w:eastAsia="es-CO"/>
        </w:rPr>
        <w:t>) permitan remunerar el patrimonio de los accionistas en la misma forma en la que lo habría remunerado una empresa eficiente en un sector de riesgo comparable; y (</w:t>
      </w:r>
      <w:proofErr w:type="spellStart"/>
      <w:r w:rsidRPr="002E2193">
        <w:rPr>
          <w:i/>
          <w:iCs/>
          <w:sz w:val="21"/>
          <w:szCs w:val="21"/>
          <w:lang w:eastAsia="es-CO"/>
        </w:rPr>
        <w:t>iii</w:t>
      </w:r>
      <w:proofErr w:type="spellEnd"/>
      <w:r w:rsidRPr="002E2193">
        <w:rPr>
          <w:i/>
          <w:iCs/>
          <w:sz w:val="21"/>
          <w:szCs w:val="21"/>
          <w:lang w:eastAsia="es-CO"/>
        </w:rPr>
        <w:t xml:space="preserve">) permitan utilizar las tecnologías y sistemas administrativos que garanticen la mejor calidad, continuidad y seguridad a sus usuarios. Procede la Corte al análisis de cada uno de estos elementos, no sin antes resaltar que la suficiencia financiera es un criterio orientado no sólo a contemplar esos costos de mantenimiento de la prestación del servicio público domiciliario sino, además, de mejoramiento </w:t>
      </w:r>
      <w:proofErr w:type="gramStart"/>
      <w:r w:rsidRPr="002E2193">
        <w:rPr>
          <w:i/>
          <w:iCs/>
          <w:sz w:val="21"/>
          <w:szCs w:val="21"/>
          <w:lang w:eastAsia="es-CO"/>
        </w:rPr>
        <w:t>del mismo</w:t>
      </w:r>
      <w:proofErr w:type="gramEnd"/>
      <w:r w:rsidRPr="002E2193">
        <w:rPr>
          <w:i/>
          <w:iCs/>
          <w:sz w:val="21"/>
          <w:szCs w:val="21"/>
          <w:lang w:eastAsia="es-CO"/>
        </w:rPr>
        <w:t xml:space="preserve"> en cuanto se busca que se garanticen "la mejor calidad, continuidad y seguridad" para los usuarios.</w:t>
      </w:r>
    </w:p>
    <w:p w14:paraId="67C40006" w14:textId="4FB48FE9" w:rsidR="00335F08" w:rsidRPr="00833B11" w:rsidRDefault="00833B11" w:rsidP="00244BE4">
      <w:pPr>
        <w:shd w:val="clear" w:color="auto" w:fill="FFFFFF"/>
        <w:rPr>
          <w:lang w:eastAsia="es-CO"/>
        </w:rPr>
      </w:pPr>
      <w:r w:rsidRPr="00833B11">
        <w:rPr>
          <w:lang w:eastAsia="es-CO"/>
        </w:rPr>
        <w:t>Y prosigue la corte en la sentencia en mención, en este mismo sentido manifestando:</w:t>
      </w:r>
    </w:p>
    <w:p w14:paraId="0ABF4287" w14:textId="77777777" w:rsidR="00833B11" w:rsidRPr="002E2193" w:rsidRDefault="00833B11" w:rsidP="002E2193">
      <w:pPr>
        <w:shd w:val="clear" w:color="auto" w:fill="FFFFFF"/>
        <w:ind w:left="284"/>
        <w:rPr>
          <w:i/>
          <w:iCs/>
          <w:sz w:val="21"/>
          <w:szCs w:val="21"/>
          <w:lang w:eastAsia="es-CO"/>
        </w:rPr>
      </w:pPr>
      <w:r w:rsidRPr="002E2193">
        <w:rPr>
          <w:i/>
          <w:iCs/>
          <w:sz w:val="21"/>
          <w:szCs w:val="21"/>
          <w:lang w:eastAsia="es-CO"/>
        </w:rPr>
        <w:t xml:space="preserve">4.5.2.3.1. Dice la norma que las fórmulas tarifarias han de garantizar a las empresas la recuperación de los costos y gastos de la operación, de la expansión, de la reposición y del mantenimiento, es decir, de los recursos económicos que deben utilizar las empresas para proporcionar el servicio al mayor número posible de usuarios para alcanzar el principio de universalidad consagrado en el artículo 365 de la Carta. La medición de los costos y gastos que se requieren para la prestación del </w:t>
      </w:r>
      <w:proofErr w:type="gramStart"/>
      <w:r w:rsidRPr="002E2193">
        <w:rPr>
          <w:i/>
          <w:iCs/>
          <w:sz w:val="21"/>
          <w:szCs w:val="21"/>
          <w:lang w:eastAsia="es-CO"/>
        </w:rPr>
        <w:t>servicio,</w:t>
      </w:r>
      <w:proofErr w:type="gramEnd"/>
      <w:r w:rsidRPr="002E2193">
        <w:rPr>
          <w:i/>
          <w:iCs/>
          <w:sz w:val="21"/>
          <w:szCs w:val="21"/>
          <w:lang w:eastAsia="es-CO"/>
        </w:rPr>
        <w:t xml:space="preserve"> ha de tener como referencia los costos y gastos que tendría una empresa encargada de prestar el mismo servicio en un mercado competitivo, es decir, bajo condiciones de eficiencia con el mismo nivel de riesgo.</w:t>
      </w:r>
    </w:p>
    <w:p w14:paraId="3CE835A0" w14:textId="01BD3D90" w:rsidR="00833B11" w:rsidRPr="002E2193" w:rsidRDefault="00833B11" w:rsidP="002E2193">
      <w:pPr>
        <w:shd w:val="clear" w:color="auto" w:fill="FFFFFF"/>
        <w:ind w:left="284"/>
        <w:rPr>
          <w:i/>
          <w:iCs/>
          <w:sz w:val="21"/>
          <w:szCs w:val="21"/>
          <w:lang w:eastAsia="es-CO"/>
        </w:rPr>
      </w:pPr>
      <w:r w:rsidRPr="002E2193">
        <w:rPr>
          <w:i/>
          <w:iCs/>
          <w:sz w:val="21"/>
          <w:szCs w:val="21"/>
          <w:lang w:eastAsia="es-CO"/>
        </w:rPr>
        <w:t xml:space="preserve">Ello implica que las fórmulas tarifarias deben contener criterios sobre la adecuada administración de los recursos, que no podrán incluir gastos innecesarios o suntuosos y que cada costo o gasto sólo podrá ser contabilizado una vez, independientemente del concepto al que corresponda según los parámetros técnicos aplicables. La recuperación de costos y gastos impide que un mismo costo o gasto sea contabilizado dos o más veces, </w:t>
      </w:r>
      <w:proofErr w:type="gramStart"/>
      <w:r w:rsidRPr="002E2193">
        <w:rPr>
          <w:i/>
          <w:iCs/>
          <w:sz w:val="21"/>
          <w:szCs w:val="21"/>
          <w:lang w:eastAsia="es-CO"/>
        </w:rPr>
        <w:t>puesto que</w:t>
      </w:r>
      <w:proofErr w:type="gramEnd"/>
      <w:r w:rsidRPr="002E2193">
        <w:rPr>
          <w:i/>
          <w:iCs/>
          <w:sz w:val="21"/>
          <w:szCs w:val="21"/>
          <w:lang w:eastAsia="es-CO"/>
        </w:rPr>
        <w:t xml:space="preserve"> en dicho evento, no habría sólo recuperación sino beneficios obtenidos en condiciones ineficientes, lo cual sería contrario al principio de eficiencia que, de acuerdo con el artículo 365 de la Constitución, ha de orientar la prestación de los servicios públicos. En este orden de ideas, la Corte encuentra que el criterio de recuperación de costos, según la definición contenida en la norma que se analiza, se ajusta, en principio, a la Constitución, sin perjuicio de otras posibles definiciones que el legislador pueda adoptar para el efecto, respetando también la Carta.</w:t>
      </w:r>
    </w:p>
    <w:p w14:paraId="4FD24C4A" w14:textId="4186A09D" w:rsidR="00833B11" w:rsidRDefault="00833B11" w:rsidP="00BE6EBF">
      <w:pPr>
        <w:shd w:val="clear" w:color="auto" w:fill="FFFFFF"/>
      </w:pPr>
      <w:r w:rsidRPr="00833B11">
        <w:rPr>
          <w:lang w:eastAsia="es-CO"/>
        </w:rPr>
        <w:t>Es decir que</w:t>
      </w:r>
      <w:r w:rsidR="00B4663C">
        <w:rPr>
          <w:lang w:eastAsia="es-CO"/>
        </w:rPr>
        <w:t>,</w:t>
      </w:r>
      <w:r w:rsidRPr="00833B11">
        <w:rPr>
          <w:lang w:eastAsia="es-CO"/>
        </w:rPr>
        <w:t xml:space="preserve"> de acuerdo con lo anteriormente citado</w:t>
      </w:r>
      <w:r w:rsidR="00531296">
        <w:rPr>
          <w:lang w:eastAsia="es-CO"/>
        </w:rPr>
        <w:t>,</w:t>
      </w:r>
      <w:r w:rsidRPr="00833B11">
        <w:rPr>
          <w:lang w:eastAsia="es-CO"/>
        </w:rPr>
        <w:t xml:space="preserve"> y de acuerdo con la forma en que se ha desarrollado lo que tiene que ver con el cargo de distribución de gas combustible de la empresa PROMIGAS S</w:t>
      </w:r>
      <w:r w:rsidR="00392B2A">
        <w:rPr>
          <w:lang w:eastAsia="es-CO"/>
        </w:rPr>
        <w:t>.</w:t>
      </w:r>
      <w:r w:rsidRPr="00833B11">
        <w:rPr>
          <w:lang w:eastAsia="es-CO"/>
        </w:rPr>
        <w:t>A</w:t>
      </w:r>
      <w:r w:rsidR="00392B2A">
        <w:rPr>
          <w:lang w:eastAsia="es-CO"/>
        </w:rPr>
        <w:t>.</w:t>
      </w:r>
      <w:r w:rsidRPr="00833B11">
        <w:rPr>
          <w:lang w:eastAsia="es-CO"/>
        </w:rPr>
        <w:t xml:space="preserve"> E</w:t>
      </w:r>
      <w:r w:rsidR="00392B2A">
        <w:rPr>
          <w:lang w:eastAsia="es-CO"/>
        </w:rPr>
        <w:t>.</w:t>
      </w:r>
      <w:r w:rsidRPr="00833B11">
        <w:rPr>
          <w:lang w:eastAsia="es-CO"/>
        </w:rPr>
        <w:t>S</w:t>
      </w:r>
      <w:r w:rsidR="00392B2A">
        <w:rPr>
          <w:lang w:eastAsia="es-CO"/>
        </w:rPr>
        <w:t>.</w:t>
      </w:r>
      <w:r w:rsidRPr="00833B11">
        <w:rPr>
          <w:lang w:eastAsia="es-CO"/>
        </w:rPr>
        <w:t>P</w:t>
      </w:r>
      <w:r w:rsidR="00392B2A">
        <w:rPr>
          <w:lang w:eastAsia="es-CO"/>
        </w:rPr>
        <w:t>.</w:t>
      </w:r>
      <w:r w:rsidRPr="00833B11">
        <w:rPr>
          <w:lang w:eastAsia="es-CO"/>
        </w:rPr>
        <w:t xml:space="preserve"> a lo largo del tiempo, si bien sobre el mismo se ha hecho uso de lo contemplado en el Artículo 126 de la Ley 142 de 1994, </w:t>
      </w:r>
      <w:r>
        <w:rPr>
          <w:lang w:eastAsia="es-CO"/>
        </w:rPr>
        <w:t xml:space="preserve">es claro que en aplicación de esos principios </w:t>
      </w:r>
      <w:r w:rsidRPr="00833B11">
        <w:t xml:space="preserve">la CREG no está obligada a recuperar todos los costos en que incurre una empresa, sino solamente aquellos que el regulador determina como eficientes, aplicando los criterios </w:t>
      </w:r>
      <w:r w:rsidR="00D32A00">
        <w:t>contemplados en la ley</w:t>
      </w:r>
      <w:r w:rsidR="00FB6555">
        <w:t>,</w:t>
      </w:r>
      <w:r w:rsidR="00D32A00">
        <w:t xml:space="preserve"> y en especial los </w:t>
      </w:r>
      <w:r w:rsidRPr="00833B11">
        <w:t>que rigen los principios de eficiencia económica y suficiencia financiera,</w:t>
      </w:r>
      <w:r>
        <w:t xml:space="preserve"> antes citados</w:t>
      </w:r>
      <w:r w:rsidR="00FB6555">
        <w:t>,</w:t>
      </w:r>
      <w:r>
        <w:t xml:space="preserve"> y en todo caso </w:t>
      </w:r>
      <w:r w:rsidRPr="00833B11">
        <w:t>teniendo en cuenta las condiciones de mercado.</w:t>
      </w:r>
    </w:p>
    <w:p w14:paraId="511174E8" w14:textId="0E3C749B" w:rsidR="00833B11" w:rsidRDefault="00833B11">
      <w:pPr>
        <w:rPr>
          <w:rFonts w:cs="Arial"/>
          <w:bCs/>
        </w:rPr>
      </w:pPr>
      <w:r>
        <w:rPr>
          <w:rFonts w:cs="Arial"/>
          <w:bCs/>
        </w:rPr>
        <w:t>En conclusión</w:t>
      </w:r>
      <w:r w:rsidR="00FB6555">
        <w:rPr>
          <w:rFonts w:cs="Arial"/>
          <w:bCs/>
        </w:rPr>
        <w:t>,</w:t>
      </w:r>
      <w:r>
        <w:rPr>
          <w:rFonts w:cs="Arial"/>
          <w:bCs/>
        </w:rPr>
        <w:t xml:space="preserve"> y reiter</w:t>
      </w:r>
      <w:r w:rsidR="00B4663C">
        <w:rPr>
          <w:rFonts w:cs="Arial"/>
          <w:bCs/>
        </w:rPr>
        <w:t>a</w:t>
      </w:r>
      <w:r>
        <w:rPr>
          <w:rFonts w:cs="Arial"/>
          <w:bCs/>
        </w:rPr>
        <w:t xml:space="preserve">ndo lo manifestado en la resolución objeto del presente recurso, </w:t>
      </w:r>
      <w:r w:rsidRPr="0011457E">
        <w:rPr>
          <w:rFonts w:cs="Arial"/>
          <w:bCs/>
        </w:rPr>
        <w:t xml:space="preserve">la modificación de tarifas con base en el </w:t>
      </w:r>
      <w:r>
        <w:rPr>
          <w:rFonts w:cs="Arial"/>
          <w:bCs/>
        </w:rPr>
        <w:t>A</w:t>
      </w:r>
      <w:r w:rsidRPr="0011457E">
        <w:rPr>
          <w:rFonts w:cs="Arial"/>
          <w:bCs/>
        </w:rPr>
        <w:t>rtículo 126 de la Ley 142 de 1994 es un procedimiento excepcional,</w:t>
      </w:r>
      <w:r w:rsidR="00FB6555">
        <w:rPr>
          <w:rFonts w:cs="Arial"/>
          <w:bCs/>
        </w:rPr>
        <w:t xml:space="preserve"> y</w:t>
      </w:r>
      <w:r w:rsidRPr="0011457E">
        <w:rPr>
          <w:rFonts w:cs="Arial"/>
          <w:bCs/>
        </w:rPr>
        <w:t xml:space="preserve"> los hechos que ameriten una modificación deben convencer a la autoridad sobre su procedencia</w:t>
      </w:r>
      <w:r>
        <w:rPr>
          <w:rFonts w:cs="Arial"/>
          <w:bCs/>
        </w:rPr>
        <w:t xml:space="preserve"> </w:t>
      </w:r>
      <w:r w:rsidRPr="0011457E">
        <w:rPr>
          <w:rFonts w:cs="Arial"/>
          <w:bCs/>
        </w:rPr>
        <w:t>de manera contundente.</w:t>
      </w:r>
      <w:r>
        <w:rPr>
          <w:rFonts w:cs="Arial"/>
          <w:bCs/>
        </w:rPr>
        <w:t xml:space="preserve"> Sin embargo, se insiste que en las pruebas aportadas por la empresa no se demuestra claramente que los costos reportados por PROMIGAS S.A. E.S.P. correspondan a costos eficientes</w:t>
      </w:r>
      <w:r w:rsidR="00FB6555">
        <w:rPr>
          <w:rFonts w:cs="Arial"/>
          <w:bCs/>
        </w:rPr>
        <w:t>,</w:t>
      </w:r>
      <w:r>
        <w:rPr>
          <w:rFonts w:cs="Arial"/>
          <w:bCs/>
        </w:rPr>
        <w:t xml:space="preserve"> ni que el inventario de activos </w:t>
      </w:r>
      <w:r>
        <w:rPr>
          <w:rFonts w:cs="Arial"/>
          <w:bCs/>
        </w:rPr>
        <w:lastRenderedPageBreak/>
        <w:t xml:space="preserve">reportado corresponda al que efectivamente se encontraba en operación en el año 2003 (fecha de la última revisión tarifaria). </w:t>
      </w:r>
      <w:r w:rsidRPr="00453404">
        <w:rPr>
          <w:rFonts w:cs="Arial"/>
          <w:bCs/>
        </w:rPr>
        <w:t>Así mismo, tampoco se ha demostrado que, como consecuencia del cargo establecido mediante Resolución CREG 197 de 2017, se lesionen los intereses de la empresa.</w:t>
      </w:r>
    </w:p>
    <w:p w14:paraId="7512D2CF" w14:textId="0CB64715" w:rsidR="00924577" w:rsidRPr="00580EE3" w:rsidRDefault="00580EE3" w:rsidP="002E2193">
      <w:pPr>
        <w:pStyle w:val="Ttulo2"/>
      </w:pPr>
      <w:r w:rsidRPr="00206B3F">
        <w:t>REVISIÓN POR GRAVE ERROR DE CÁLCULO</w:t>
      </w:r>
    </w:p>
    <w:p w14:paraId="0C863C3C" w14:textId="38F04945" w:rsidR="00F23C30" w:rsidRDefault="00580EE3" w:rsidP="00244BE4">
      <w:pPr>
        <w:autoSpaceDE w:val="0"/>
        <w:autoSpaceDN w:val="0"/>
        <w:adjustRightInd w:val="0"/>
        <w:rPr>
          <w:rFonts w:cs="Tahoma"/>
          <w:lang w:val="es-CO" w:eastAsia="es-CO"/>
        </w:rPr>
      </w:pPr>
      <w:r>
        <w:rPr>
          <w:rFonts w:cs="Tahoma"/>
          <w:lang w:val="es-CO" w:eastAsia="es-CO"/>
        </w:rPr>
        <w:t>En relación con este aspecto</w:t>
      </w:r>
      <w:r w:rsidR="00FB6555">
        <w:rPr>
          <w:rFonts w:cs="Tahoma"/>
          <w:lang w:val="es-CO" w:eastAsia="es-CO"/>
        </w:rPr>
        <w:t>,</w:t>
      </w:r>
      <w:r>
        <w:rPr>
          <w:rFonts w:cs="Tahoma"/>
          <w:lang w:val="es-CO" w:eastAsia="es-CO"/>
        </w:rPr>
        <w:t xml:space="preserve"> y teniendo en cuenta los argumentos presentados por la empresa, en donde de manera general manifiestan que la base tarifaria se fosilizó, no se tiene en cuenta el dictamen pericial por ellos </w:t>
      </w:r>
      <w:r w:rsidR="00E67346">
        <w:rPr>
          <w:rFonts w:cs="Tahoma"/>
          <w:lang w:val="es-CO" w:eastAsia="es-CO"/>
        </w:rPr>
        <w:t xml:space="preserve">presentado, se lesionan intereses no solo de la empresa sino de los usuarios, afirman que hay una manipulación del argumento, insisten en un trato diferencial entre otros, nos permitimos manifestarles lo siguiente: </w:t>
      </w:r>
    </w:p>
    <w:p w14:paraId="4C10BF64" w14:textId="7537AF29" w:rsidR="00580EE3" w:rsidRPr="00453404" w:rsidRDefault="00E67346">
      <w:pPr>
        <w:rPr>
          <w:rFonts w:cs="Arial"/>
          <w:bCs/>
        </w:rPr>
      </w:pPr>
      <w:r>
        <w:t>Es necesario reiterar que p</w:t>
      </w:r>
      <w:r w:rsidR="00580EE3" w:rsidRPr="00453404">
        <w:rPr>
          <w:rFonts w:cs="Arial"/>
          <w:bCs/>
        </w:rPr>
        <w:t>ara la aplicación de</w:t>
      </w:r>
      <w:r w:rsidR="00580EE3">
        <w:rPr>
          <w:rFonts w:cs="Arial"/>
          <w:bCs/>
        </w:rPr>
        <w:t>l Artículo 126 de la Ley 142 de 1994</w:t>
      </w:r>
      <w:r w:rsidR="00580EE3" w:rsidRPr="00453404">
        <w:rPr>
          <w:rFonts w:cs="Arial"/>
          <w:bCs/>
        </w:rPr>
        <w:t xml:space="preserve"> se debe precisar que </w:t>
      </w:r>
      <w:r w:rsidR="00580EE3">
        <w:rPr>
          <w:rFonts w:cs="Arial"/>
          <w:bCs/>
        </w:rPr>
        <w:t>e</w:t>
      </w:r>
      <w:r w:rsidR="00580EE3" w:rsidRPr="00453404">
        <w:rPr>
          <w:rFonts w:cs="Arial"/>
          <w:bCs/>
        </w:rPr>
        <w:t>l mism</w:t>
      </w:r>
      <w:r w:rsidR="00580EE3">
        <w:rPr>
          <w:rFonts w:cs="Arial"/>
          <w:bCs/>
        </w:rPr>
        <w:t>o</w:t>
      </w:r>
      <w:r w:rsidR="00580EE3" w:rsidRPr="00453404">
        <w:rPr>
          <w:rFonts w:cs="Arial"/>
          <w:bCs/>
        </w:rPr>
        <w:t xml:space="preserve"> no se debe considerar como una norma aislada</w:t>
      </w:r>
      <w:r w:rsidR="00FB6555">
        <w:rPr>
          <w:rFonts w:cs="Arial"/>
          <w:bCs/>
        </w:rPr>
        <w:t>,</w:t>
      </w:r>
      <w:r w:rsidR="00580EE3" w:rsidRPr="00453404">
        <w:rPr>
          <w:rFonts w:cs="Arial"/>
          <w:bCs/>
        </w:rPr>
        <w:t xml:space="preserve"> o que su aplicación se remita a su contenido literal y expreso, sino que por el contrario, la misma ha de ser entendida de forma integral, concordante y sistemática junto con aquellas normas que consagran los criterios tarifarios en materia de servicios públicos domiciliarios previstos en el </w:t>
      </w:r>
      <w:r w:rsidR="00580EE3">
        <w:rPr>
          <w:rFonts w:cs="Arial"/>
          <w:bCs/>
        </w:rPr>
        <w:t>A</w:t>
      </w:r>
      <w:r w:rsidR="00580EE3" w:rsidRPr="00453404">
        <w:rPr>
          <w:rFonts w:cs="Arial"/>
          <w:bCs/>
        </w:rPr>
        <w:t xml:space="preserve">rtículo 87 de la Ley 142 de 1994, los principios constitucionales (C.P. </w:t>
      </w:r>
      <w:r w:rsidR="00580EE3">
        <w:rPr>
          <w:rFonts w:cs="Arial"/>
          <w:bCs/>
        </w:rPr>
        <w:t>A</w:t>
      </w:r>
      <w:r w:rsidR="00580EE3" w:rsidRPr="00453404">
        <w:rPr>
          <w:rFonts w:cs="Arial"/>
          <w:bCs/>
        </w:rPr>
        <w:t xml:space="preserve">rtículo 365) y legales en materia de servicios públicos domiciliarios (Ley 142 de 1994 </w:t>
      </w:r>
      <w:r w:rsidR="00580EE3">
        <w:rPr>
          <w:rFonts w:cs="Arial"/>
          <w:bCs/>
        </w:rPr>
        <w:t>A</w:t>
      </w:r>
      <w:r w:rsidR="00580EE3" w:rsidRPr="00453404">
        <w:rPr>
          <w:rFonts w:cs="Arial"/>
          <w:bCs/>
        </w:rPr>
        <w:t xml:space="preserve">rtículos 1 a 14), así como los principios constitucionales (C.P. </w:t>
      </w:r>
      <w:r w:rsidR="00580EE3">
        <w:rPr>
          <w:rFonts w:cs="Arial"/>
          <w:bCs/>
        </w:rPr>
        <w:t>A</w:t>
      </w:r>
      <w:r w:rsidR="00580EE3" w:rsidRPr="00453404">
        <w:rPr>
          <w:rFonts w:cs="Arial"/>
          <w:bCs/>
        </w:rPr>
        <w:t xml:space="preserve">rtículo 209) y legales (Ley 1437 de 2011 </w:t>
      </w:r>
      <w:r w:rsidR="00580EE3">
        <w:rPr>
          <w:rFonts w:cs="Arial"/>
          <w:bCs/>
        </w:rPr>
        <w:t>A</w:t>
      </w:r>
      <w:r w:rsidR="00580EE3" w:rsidRPr="00453404">
        <w:rPr>
          <w:rFonts w:cs="Arial"/>
          <w:bCs/>
        </w:rPr>
        <w:t>rtículo 3) que guían las actuaciones administrativas de esta Comisión.</w:t>
      </w:r>
    </w:p>
    <w:p w14:paraId="398B2A1B" w14:textId="597751D7" w:rsidR="00580EE3" w:rsidRDefault="00580EE3">
      <w:pPr>
        <w:rPr>
          <w:rFonts w:cs="Arial"/>
          <w:bCs/>
        </w:rPr>
      </w:pPr>
      <w:r w:rsidRPr="00453404">
        <w:rPr>
          <w:rFonts w:cs="Arial"/>
          <w:bCs/>
        </w:rPr>
        <w:t xml:space="preserve">Esto igualmente debe ser concordante y coherente desde el punto de vista constitucional respecto de los fines perseguidos por el ejercicio de las facultades regulatorias previstas en los </w:t>
      </w:r>
      <w:r>
        <w:rPr>
          <w:rFonts w:cs="Arial"/>
          <w:bCs/>
        </w:rPr>
        <w:t>A</w:t>
      </w:r>
      <w:r w:rsidRPr="00453404">
        <w:rPr>
          <w:rFonts w:cs="Arial"/>
          <w:bCs/>
        </w:rPr>
        <w:t>rtículos 73 y el numeral 74.1 del Artículo 74 de la Ley 142 de 1994, las cuales han sido precisadas por la jurisprudencia constitucional</w:t>
      </w:r>
      <w:r w:rsidRPr="00453404">
        <w:rPr>
          <w:rFonts w:cs="Arial"/>
          <w:bCs/>
          <w:vertAlign w:val="superscript"/>
        </w:rPr>
        <w:footnoteReference w:id="5"/>
      </w:r>
      <w:r w:rsidRPr="00243910">
        <w:rPr>
          <w:rFonts w:cs="Arial"/>
          <w:bCs/>
        </w:rPr>
        <w:t xml:space="preserve"> y administrativa</w:t>
      </w:r>
      <w:r w:rsidR="00FB6555">
        <w:rPr>
          <w:rFonts w:cs="Arial"/>
          <w:bCs/>
        </w:rPr>
        <w:t>. E</w:t>
      </w:r>
      <w:r w:rsidRPr="00243910">
        <w:rPr>
          <w:rFonts w:cs="Arial"/>
          <w:bCs/>
        </w:rPr>
        <w:t>sto bajo la consideración de que su ejercicio debe entenderse como un mecanismo de i</w:t>
      </w:r>
      <w:r w:rsidRPr="00453404">
        <w:rPr>
          <w:rFonts w:cs="Arial"/>
          <w:bCs/>
        </w:rPr>
        <w:t>ntervención del Estado en la economía a fin de garantizar la prestación eficiente de los servicios públicos domiciliarios de energía eléctrica y gas combustible y el buen funcionamiento del mercado, entre otros.</w:t>
      </w:r>
    </w:p>
    <w:p w14:paraId="099D7D88" w14:textId="3AB46EE5" w:rsidR="00E67346" w:rsidRDefault="00696CCE">
      <w:pPr>
        <w:rPr>
          <w:rFonts w:cs="Arial"/>
          <w:bCs/>
        </w:rPr>
      </w:pPr>
      <w:r>
        <w:rPr>
          <w:rFonts w:cs="Arial"/>
          <w:bCs/>
        </w:rPr>
        <w:t>En relación con este aspecto, la Corte Constitucional en su sentencia C-150 de 2003 señala:</w:t>
      </w:r>
    </w:p>
    <w:p w14:paraId="663F11EC" w14:textId="0D796173" w:rsidR="00696CCE" w:rsidRPr="002E2193" w:rsidRDefault="00696CCE" w:rsidP="002E2193">
      <w:pPr>
        <w:shd w:val="clear" w:color="auto" w:fill="FFFFFF"/>
        <w:ind w:left="284"/>
        <w:rPr>
          <w:i/>
          <w:iCs/>
          <w:color w:val="2D2D2D"/>
          <w:sz w:val="21"/>
          <w:szCs w:val="21"/>
          <w:lang w:eastAsia="es-CO"/>
        </w:rPr>
      </w:pPr>
      <w:r w:rsidRPr="002E2193">
        <w:rPr>
          <w:i/>
          <w:iCs/>
          <w:color w:val="2D2D2D"/>
          <w:sz w:val="21"/>
          <w:szCs w:val="21"/>
          <w:lang w:eastAsia="es-CO"/>
        </w:rPr>
        <w:t xml:space="preserve">Así pues, la Corte declarará la </w:t>
      </w:r>
      <w:proofErr w:type="spellStart"/>
      <w:r w:rsidRPr="002E2193">
        <w:rPr>
          <w:i/>
          <w:iCs/>
          <w:color w:val="2D2D2D"/>
          <w:sz w:val="21"/>
          <w:szCs w:val="21"/>
          <w:lang w:eastAsia="es-CO"/>
        </w:rPr>
        <w:t>exequibilidad</w:t>
      </w:r>
      <w:proofErr w:type="spellEnd"/>
      <w:r w:rsidRPr="002E2193">
        <w:rPr>
          <w:i/>
          <w:iCs/>
          <w:color w:val="2D2D2D"/>
          <w:sz w:val="21"/>
          <w:szCs w:val="21"/>
          <w:lang w:eastAsia="es-CO"/>
        </w:rPr>
        <w:t xml:space="preserve"> de las normas juzgadas, a saber, del numeral 124.2 del artículo 124 en el entendido de que la actuación también pueda ser iniciada a petición de los usuarios; la </w:t>
      </w:r>
      <w:proofErr w:type="spellStart"/>
      <w:r w:rsidRPr="002E2193">
        <w:rPr>
          <w:i/>
          <w:iCs/>
          <w:color w:val="2D2D2D"/>
          <w:sz w:val="21"/>
          <w:szCs w:val="21"/>
          <w:lang w:eastAsia="es-CO"/>
        </w:rPr>
        <w:t>exequibilidad</w:t>
      </w:r>
      <w:proofErr w:type="spellEnd"/>
      <w:r w:rsidRPr="002E2193">
        <w:rPr>
          <w:i/>
          <w:iCs/>
          <w:color w:val="2D2D2D"/>
          <w:sz w:val="21"/>
          <w:szCs w:val="21"/>
          <w:lang w:eastAsia="es-CO"/>
        </w:rPr>
        <w:t xml:space="preserve"> del artículo 126 de la Ley 142 de 1994 en el entendido de que el procedimiento excepcional para el cambio de las fórmulas tarifarias también pueda ser iniciado a petición de los usuarios; la </w:t>
      </w:r>
      <w:proofErr w:type="spellStart"/>
      <w:r w:rsidRPr="002E2193">
        <w:rPr>
          <w:i/>
          <w:iCs/>
          <w:color w:val="2D2D2D"/>
          <w:sz w:val="21"/>
          <w:szCs w:val="21"/>
          <w:lang w:eastAsia="es-CO"/>
        </w:rPr>
        <w:t>exequibilidad</w:t>
      </w:r>
      <w:proofErr w:type="spellEnd"/>
      <w:r w:rsidRPr="002E2193">
        <w:rPr>
          <w:i/>
          <w:iCs/>
          <w:color w:val="2D2D2D"/>
          <w:sz w:val="21"/>
          <w:szCs w:val="21"/>
          <w:lang w:eastAsia="es-CO"/>
        </w:rPr>
        <w:t xml:space="preserve"> del artículo 127 de la Ley 142 de 1994 en el entendido de que las comisiones de regulación también darán a conocer a los usuarios las bases sobre las cuales efectuará el estudio para determinar las fórmulas del p</w:t>
      </w:r>
      <w:r w:rsidR="00531296">
        <w:rPr>
          <w:i/>
          <w:iCs/>
          <w:color w:val="2D2D2D"/>
          <w:sz w:val="21"/>
          <w:szCs w:val="21"/>
          <w:lang w:eastAsia="es-CO"/>
        </w:rPr>
        <w:t>eríodo</w:t>
      </w:r>
      <w:r w:rsidRPr="002E2193">
        <w:rPr>
          <w:i/>
          <w:iCs/>
          <w:color w:val="2D2D2D"/>
          <w:sz w:val="21"/>
          <w:szCs w:val="21"/>
          <w:lang w:eastAsia="es-CO"/>
        </w:rPr>
        <w:t xml:space="preserve"> siguiente. Y todo ello como parte de un procedimiento administrativo en el cual las organizaciones de usuarios que cumplan las condiciones constitucionales </w:t>
      </w:r>
      <w:r w:rsidRPr="002E2193">
        <w:rPr>
          <w:i/>
          <w:iCs/>
          <w:color w:val="2D2D2D"/>
          <w:sz w:val="21"/>
          <w:szCs w:val="21"/>
          <w:lang w:eastAsia="es-CO"/>
        </w:rPr>
        <w:lastRenderedPageBreak/>
        <w:t>puedan participar de manera previa, directa y efectiva en la adopción de la decisión de definición o de modificación de la fórmula tarifaria.</w:t>
      </w:r>
    </w:p>
    <w:p w14:paraId="2D128859" w14:textId="77777777" w:rsidR="00696CCE" w:rsidRPr="002E2193" w:rsidRDefault="00696CCE" w:rsidP="002E2193">
      <w:pPr>
        <w:shd w:val="clear" w:color="auto" w:fill="FFFFFF"/>
        <w:ind w:left="284"/>
        <w:rPr>
          <w:i/>
          <w:iCs/>
          <w:color w:val="2D2D2D"/>
          <w:sz w:val="21"/>
          <w:szCs w:val="21"/>
          <w:lang w:eastAsia="es-CO"/>
        </w:rPr>
      </w:pPr>
      <w:proofErr w:type="gramStart"/>
      <w:r w:rsidRPr="002E2193">
        <w:rPr>
          <w:i/>
          <w:iCs/>
          <w:color w:val="2D2D2D"/>
          <w:sz w:val="21"/>
          <w:szCs w:val="21"/>
          <w:lang w:eastAsia="es-CO"/>
        </w:rPr>
        <w:t>Igualmente</w:t>
      </w:r>
      <w:proofErr w:type="gramEnd"/>
      <w:r w:rsidRPr="002E2193">
        <w:rPr>
          <w:i/>
          <w:iCs/>
          <w:color w:val="2D2D2D"/>
          <w:sz w:val="21"/>
          <w:szCs w:val="21"/>
          <w:lang w:eastAsia="es-CO"/>
        </w:rPr>
        <w:t xml:space="preserve"> la Corte subraya que el derecho de participación implica para las comisiones de regulación la obligación de considerar los puntos de vista que sean expresados por los usuarios más no necesariamente de acogerlos. Las comisiones de regulación son órganos que deciden de manera independiente dentro de los criterios fijados en la ley con miras a promover el interés público y sus regulaciones son actos unilaterales, no concertados, mientras el legislador no modifique las disposiciones vigentes.</w:t>
      </w:r>
    </w:p>
    <w:p w14:paraId="4566D762" w14:textId="518B80F8" w:rsidR="00696CCE" w:rsidRDefault="00696CCE" w:rsidP="00580EE3">
      <w:pPr>
        <w:rPr>
          <w:rFonts w:cs="Arial"/>
          <w:bCs/>
        </w:rPr>
      </w:pPr>
      <w:r>
        <w:rPr>
          <w:rFonts w:cs="Arial"/>
          <w:bCs/>
        </w:rPr>
        <w:t>Con base en lo anterior</w:t>
      </w:r>
      <w:r w:rsidR="00FB6555">
        <w:rPr>
          <w:rFonts w:cs="Arial"/>
          <w:bCs/>
        </w:rPr>
        <w:t>,</w:t>
      </w:r>
      <w:r>
        <w:rPr>
          <w:rFonts w:cs="Arial"/>
          <w:bCs/>
        </w:rPr>
        <w:t xml:space="preserve"> y teniendo en cuenta que de parte del recurrente no se adiciona algo distinto a una crítica de lo planteado por la Comisión, sin adjuntar elementos probatorios distintos a lo ya analizados, </w:t>
      </w:r>
      <w:r w:rsidR="008E7B34">
        <w:rPr>
          <w:rFonts w:cs="Arial"/>
          <w:bCs/>
        </w:rPr>
        <w:t xml:space="preserve">se reitera </w:t>
      </w:r>
      <w:r>
        <w:rPr>
          <w:rFonts w:cs="Arial"/>
          <w:bCs/>
        </w:rPr>
        <w:t xml:space="preserve">lo que la Comisión manifestó </w:t>
      </w:r>
      <w:r w:rsidR="008E7B34">
        <w:rPr>
          <w:rFonts w:cs="Arial"/>
          <w:bCs/>
        </w:rPr>
        <w:t xml:space="preserve">sobre este punto </w:t>
      </w:r>
      <w:r>
        <w:rPr>
          <w:rFonts w:cs="Arial"/>
          <w:bCs/>
        </w:rPr>
        <w:t>en la resolución objeto del recurso de reposición que se resuelve.</w:t>
      </w:r>
    </w:p>
    <w:p w14:paraId="309E766B" w14:textId="0AF61F26" w:rsidR="00696CCE" w:rsidRPr="0034651C" w:rsidRDefault="00696CCE" w:rsidP="002E2193">
      <w:pPr>
        <w:pStyle w:val="Ttulo2"/>
        <w:numPr>
          <w:ilvl w:val="1"/>
          <w:numId w:val="94"/>
        </w:numPr>
      </w:pPr>
      <w:r w:rsidRPr="007B6AB8">
        <w:t>PRUEBAS</w:t>
      </w:r>
    </w:p>
    <w:p w14:paraId="2A3963EA" w14:textId="6FDF7817" w:rsidR="002A218B" w:rsidRDefault="002A218B">
      <w:pPr>
        <w:rPr>
          <w:rFonts w:cs="Arial"/>
        </w:rPr>
      </w:pPr>
      <w:r>
        <w:rPr>
          <w:rFonts w:cs="Arial"/>
          <w:bCs/>
        </w:rPr>
        <w:t xml:space="preserve">En relación con lo </w:t>
      </w:r>
      <w:r w:rsidRPr="00AF0AC9">
        <w:rPr>
          <w:rFonts w:cs="Arial"/>
          <w:bCs/>
        </w:rPr>
        <w:t>manifestado por el recurrente respecto del desconocimiento por parte de la Comisión</w:t>
      </w:r>
      <w:r w:rsidR="00935002" w:rsidRPr="00AF0AC9">
        <w:rPr>
          <w:rFonts w:cs="Arial"/>
          <w:bCs/>
        </w:rPr>
        <w:t xml:space="preserve"> de</w:t>
      </w:r>
      <w:r w:rsidRPr="00AF0AC9">
        <w:rPr>
          <w:rFonts w:cs="Arial"/>
          <w:bCs/>
        </w:rPr>
        <w:t xml:space="preserve"> las pruebas aportadas con la solicitud</w:t>
      </w:r>
      <w:r w:rsidR="00FB6555">
        <w:rPr>
          <w:rFonts w:cs="Arial"/>
          <w:bCs/>
        </w:rPr>
        <w:t>,</w:t>
      </w:r>
      <w:r>
        <w:rPr>
          <w:rFonts w:cs="Arial"/>
          <w:bCs/>
        </w:rPr>
        <w:t xml:space="preserve"> y que </w:t>
      </w:r>
      <w:r w:rsidR="00D32A00">
        <w:rPr>
          <w:rFonts w:cs="Arial"/>
          <w:bCs/>
        </w:rPr>
        <w:t xml:space="preserve">al parecer </w:t>
      </w:r>
      <w:r>
        <w:rPr>
          <w:rFonts w:cs="Arial"/>
          <w:bCs/>
        </w:rPr>
        <w:t xml:space="preserve">no fueron tenidas en cuenta, </w:t>
      </w:r>
      <w:r w:rsidR="00935002">
        <w:rPr>
          <w:rFonts w:cs="Arial"/>
          <w:bCs/>
        </w:rPr>
        <w:t xml:space="preserve">la Comisión </w:t>
      </w:r>
      <w:r>
        <w:rPr>
          <w:rFonts w:cs="Arial"/>
          <w:bCs/>
        </w:rPr>
        <w:t>dis</w:t>
      </w:r>
      <w:r w:rsidR="00935002">
        <w:rPr>
          <w:rFonts w:cs="Arial"/>
          <w:bCs/>
        </w:rPr>
        <w:t>i</w:t>
      </w:r>
      <w:r>
        <w:rPr>
          <w:rFonts w:cs="Arial"/>
          <w:bCs/>
        </w:rPr>
        <w:t>ent</w:t>
      </w:r>
      <w:r w:rsidR="00562A4C">
        <w:rPr>
          <w:rFonts w:cs="Arial"/>
          <w:bCs/>
        </w:rPr>
        <w:t>e</w:t>
      </w:r>
      <w:r>
        <w:rPr>
          <w:rFonts w:cs="Arial"/>
          <w:bCs/>
        </w:rPr>
        <w:t xml:space="preserve"> de </w:t>
      </w:r>
      <w:r w:rsidR="00562A4C">
        <w:rPr>
          <w:rFonts w:cs="Arial"/>
          <w:bCs/>
        </w:rPr>
        <w:t>dicha</w:t>
      </w:r>
      <w:r>
        <w:rPr>
          <w:rFonts w:cs="Arial"/>
          <w:bCs/>
        </w:rPr>
        <w:t xml:space="preserve"> </w:t>
      </w:r>
      <w:r w:rsidR="00562A4C">
        <w:rPr>
          <w:rFonts w:cs="Arial"/>
          <w:bCs/>
        </w:rPr>
        <w:t>afirmación</w:t>
      </w:r>
      <w:r w:rsidR="006D45D3">
        <w:rPr>
          <w:rFonts w:cs="Arial"/>
          <w:bCs/>
        </w:rPr>
        <w:t>. D</w:t>
      </w:r>
      <w:r>
        <w:rPr>
          <w:rFonts w:cs="Arial"/>
          <w:bCs/>
        </w:rPr>
        <w:t xml:space="preserve">entro del análisis </w:t>
      </w:r>
      <w:r w:rsidR="006D45D3">
        <w:rPr>
          <w:rFonts w:cs="Arial"/>
          <w:bCs/>
        </w:rPr>
        <w:t>realizado por la CREG para dar</w:t>
      </w:r>
      <w:r>
        <w:rPr>
          <w:rFonts w:cs="Arial"/>
          <w:bCs/>
        </w:rPr>
        <w:t xml:space="preserve"> respuesta </w:t>
      </w:r>
      <w:r w:rsidR="006D45D3">
        <w:rPr>
          <w:rFonts w:cs="Arial"/>
          <w:bCs/>
        </w:rPr>
        <w:t>a</w:t>
      </w:r>
      <w:r>
        <w:rPr>
          <w:rFonts w:cs="Arial"/>
          <w:bCs/>
        </w:rPr>
        <w:t xml:space="preserve"> la solicitud </w:t>
      </w:r>
      <w:r w:rsidR="006D45D3">
        <w:rPr>
          <w:rFonts w:cs="Arial"/>
          <w:bCs/>
        </w:rPr>
        <w:t>de la empresa P</w:t>
      </w:r>
      <w:r w:rsidR="002D76F7">
        <w:rPr>
          <w:rFonts w:cs="Arial"/>
          <w:bCs/>
        </w:rPr>
        <w:t>ROMIGAS</w:t>
      </w:r>
      <w:r w:rsidR="006D45D3">
        <w:rPr>
          <w:rFonts w:cs="Arial"/>
          <w:bCs/>
        </w:rPr>
        <w:t xml:space="preserve"> S.A. E.S.P. </w:t>
      </w:r>
      <w:r>
        <w:rPr>
          <w:rFonts w:cs="Arial"/>
          <w:bCs/>
        </w:rPr>
        <w:t>se tuvieron en consideración, no sol</w:t>
      </w:r>
      <w:r w:rsidR="007F6BE0">
        <w:rPr>
          <w:rFonts w:cs="Arial"/>
          <w:bCs/>
        </w:rPr>
        <w:t>amente</w:t>
      </w:r>
      <w:r>
        <w:rPr>
          <w:rFonts w:cs="Arial"/>
          <w:bCs/>
        </w:rPr>
        <w:t xml:space="preserve"> el dictamen pericial aportado</w:t>
      </w:r>
      <w:r w:rsidR="006D45D3">
        <w:rPr>
          <w:rFonts w:cs="Arial"/>
          <w:bCs/>
        </w:rPr>
        <w:t>,</w:t>
      </w:r>
      <w:r>
        <w:rPr>
          <w:rFonts w:cs="Arial"/>
          <w:bCs/>
        </w:rPr>
        <w:t xml:space="preserve"> sino </w:t>
      </w:r>
      <w:r w:rsidR="00FB63BF" w:rsidRPr="00C12F6C">
        <w:rPr>
          <w:rFonts w:cs="Arial"/>
        </w:rPr>
        <w:t>todos los documentos que hacen parte de los diferentes expedientes tarifari</w:t>
      </w:r>
      <w:r w:rsidR="007F6BE0">
        <w:rPr>
          <w:rFonts w:cs="Arial"/>
        </w:rPr>
        <w:t>o</w:t>
      </w:r>
      <w:r w:rsidR="00FB63BF" w:rsidRPr="00C12F6C">
        <w:rPr>
          <w:rFonts w:cs="Arial"/>
        </w:rPr>
        <w:t>s de la empresa.</w:t>
      </w:r>
    </w:p>
    <w:p w14:paraId="7F5A8597" w14:textId="50757FD5" w:rsidR="00420F49" w:rsidRDefault="00A91D88" w:rsidP="002E2193">
      <w:pPr>
        <w:rPr>
          <w:rFonts w:cs="Arial"/>
        </w:rPr>
      </w:pPr>
      <w:r>
        <w:rPr>
          <w:rFonts w:cs="Arial"/>
        </w:rPr>
        <w:t>Ahora bien, m</w:t>
      </w:r>
      <w:r w:rsidR="00420F49">
        <w:rPr>
          <w:rFonts w:cs="Tahoma"/>
          <w:lang w:eastAsia="es-CO"/>
        </w:rPr>
        <w:t xml:space="preserve">ediante auto del 26 de marzo de 2021, se abrió a pruebas la actuación administrativa iniciada con fundamento en la solicitud presentada por PROMIGAS S.A. E.S.P. por el término de treinta (30) días calendario y </w:t>
      </w:r>
      <w:r w:rsidR="00204448">
        <w:rPr>
          <w:rFonts w:cs="Tahoma"/>
          <w:lang w:eastAsia="es-CO"/>
        </w:rPr>
        <w:t xml:space="preserve">se </w:t>
      </w:r>
      <w:r w:rsidR="00420F49">
        <w:rPr>
          <w:rFonts w:cs="Tahoma"/>
          <w:lang w:eastAsia="es-CO"/>
        </w:rPr>
        <w:t xml:space="preserve">solicitó a la empresa que, en un plazo de 20 días calendario, </w:t>
      </w:r>
      <w:r w:rsidR="00420F49">
        <w:rPr>
          <w:rFonts w:cs="Arial"/>
        </w:rPr>
        <w:t xml:space="preserve">indicara los costos de reposición a nuevo del año 1997 a los cuales la empresa valora los activos objeto de su solicitud. Así mismo, se solicitó que </w:t>
      </w:r>
      <w:r w:rsidR="00420F49" w:rsidRPr="002047D6">
        <w:rPr>
          <w:rFonts w:cs="Arial"/>
        </w:rPr>
        <w:t>alleg</w:t>
      </w:r>
      <w:r w:rsidR="00420F49">
        <w:rPr>
          <w:rFonts w:cs="Arial"/>
        </w:rPr>
        <w:t xml:space="preserve">aran los documentos idóneos que soporten dichos costos </w:t>
      </w:r>
      <w:r w:rsidR="00420F49" w:rsidRPr="002047D6">
        <w:rPr>
          <w:rFonts w:cs="Arial"/>
        </w:rPr>
        <w:t>de manera clara, explícita y precisa</w:t>
      </w:r>
      <w:r w:rsidR="00420F49">
        <w:rPr>
          <w:rFonts w:cs="Arial"/>
        </w:rPr>
        <w:t>, tales como facturas, contratos de obra, órdenes de compra, entre otros. Para ello, la Comisión adjuntó al auto un formato para diligenciar la información solicitada.</w:t>
      </w:r>
    </w:p>
    <w:p w14:paraId="272DDF01" w14:textId="6957D452" w:rsidR="00204448" w:rsidRDefault="00204448" w:rsidP="00420F49">
      <w:pPr>
        <w:autoSpaceDE w:val="0"/>
        <w:autoSpaceDN w:val="0"/>
        <w:adjustRightInd w:val="0"/>
        <w:rPr>
          <w:rFonts w:cs="Arial"/>
        </w:rPr>
      </w:pPr>
      <w:r>
        <w:rPr>
          <w:rFonts w:cs="Arial"/>
        </w:rPr>
        <w:t xml:space="preserve">Adicionalmente, con relación a las pruebas solicitadas por PROMIGAS S.A. E.S.P., se indicó </w:t>
      </w:r>
      <w:r w:rsidR="00B95605">
        <w:rPr>
          <w:rFonts w:cs="Arial"/>
        </w:rPr>
        <w:t>que la Comisión se pronunciaría respecto a la necesidad o no de las mismas una vez se recibiera y analizara la documentación solicitada mediante el auto.</w:t>
      </w:r>
    </w:p>
    <w:p w14:paraId="4EC3E4B8" w14:textId="79C74F57" w:rsidR="00420F49" w:rsidRDefault="00420F49" w:rsidP="00420F49">
      <w:pPr>
        <w:autoSpaceDE w:val="0"/>
        <w:autoSpaceDN w:val="0"/>
        <w:adjustRightInd w:val="0"/>
        <w:rPr>
          <w:rFonts w:cs="Arial"/>
        </w:rPr>
      </w:pPr>
      <w:r>
        <w:rPr>
          <w:rFonts w:cs="Arial"/>
        </w:rPr>
        <w:t>PROMIGAS S.A. E.S.P., mediante comunicación radicada en la CREG bajo el número E-2021-004092 del 8 de abril de 2021, solicitó que se le concedieran, al menos, 10 días hábiles adicionales para responder al auto de pruebas. Así las cosas, mediante auto del 19 de abril de 2021, la Comisión amplió en ocho (8) días el p</w:t>
      </w:r>
      <w:r w:rsidR="00531296">
        <w:rPr>
          <w:rFonts w:cs="Arial"/>
        </w:rPr>
        <w:t>eríodo</w:t>
      </w:r>
      <w:r>
        <w:rPr>
          <w:rFonts w:cs="Arial"/>
        </w:rPr>
        <w:t xml:space="preserve"> probatorio decretado mediante el auto del 26 de marzo de 2021 y amplió el plazo para que la empresa remitiera la información solicitada hasta el 3 de mayo de 2021.</w:t>
      </w:r>
    </w:p>
    <w:p w14:paraId="4C2A5237" w14:textId="503D8386" w:rsidR="00420F49" w:rsidRDefault="00420F49" w:rsidP="00420F49">
      <w:pPr>
        <w:autoSpaceDE w:val="0"/>
        <w:autoSpaceDN w:val="0"/>
        <w:adjustRightInd w:val="0"/>
        <w:rPr>
          <w:rFonts w:cs="Tahoma"/>
          <w:lang w:eastAsia="es-CO"/>
        </w:rPr>
      </w:pPr>
      <w:r>
        <w:rPr>
          <w:rFonts w:cs="Tahoma"/>
          <w:lang w:eastAsia="es-CO"/>
        </w:rPr>
        <w:lastRenderedPageBreak/>
        <w:t>Mediante comunicaciones radicadas en la CREG con los números E-2021-004357 del 16 de abril de 2021 y E-2021-</w:t>
      </w:r>
      <w:r w:rsidR="00DB71A0">
        <w:rPr>
          <w:rFonts w:cs="Tahoma"/>
          <w:lang w:eastAsia="es-CO"/>
        </w:rPr>
        <w:t>00</w:t>
      </w:r>
      <w:r>
        <w:rPr>
          <w:rFonts w:cs="Tahoma"/>
          <w:lang w:eastAsia="es-CO"/>
        </w:rPr>
        <w:t xml:space="preserve">4658 del </w:t>
      </w:r>
      <w:r w:rsidR="003B1610">
        <w:rPr>
          <w:rFonts w:cs="Tahoma"/>
          <w:lang w:eastAsia="es-CO"/>
        </w:rPr>
        <w:t>26</w:t>
      </w:r>
      <w:r>
        <w:rPr>
          <w:rFonts w:cs="Tahoma"/>
          <w:lang w:eastAsia="es-CO"/>
        </w:rPr>
        <w:t xml:space="preserve"> de </w:t>
      </w:r>
      <w:r w:rsidR="003B1610">
        <w:rPr>
          <w:rFonts w:cs="Tahoma"/>
          <w:lang w:eastAsia="es-CO"/>
        </w:rPr>
        <w:t>abril</w:t>
      </w:r>
      <w:r>
        <w:rPr>
          <w:rFonts w:cs="Tahoma"/>
          <w:lang w:eastAsia="es-CO"/>
        </w:rPr>
        <w:t xml:space="preserve"> de 2021, la empresa dio respuesta al auto de pruebas del 26 de marzo de 2021.</w:t>
      </w:r>
    </w:p>
    <w:p w14:paraId="5C72DC71" w14:textId="33095E3C" w:rsidR="00DD233B" w:rsidRDefault="00DD233B">
      <w:pPr>
        <w:adjustRightInd w:val="0"/>
        <w:rPr>
          <w:rFonts w:cs="Arial"/>
        </w:rPr>
      </w:pPr>
      <w:r>
        <w:rPr>
          <w:rFonts w:cs="Arial"/>
        </w:rPr>
        <w:t xml:space="preserve">Mediante comunicación radicada en la CREG bajo el número E-2021-005536 del 11 de mayo de 2021, la empresa </w:t>
      </w:r>
      <w:r w:rsidRPr="00DD5363">
        <w:rPr>
          <w:rFonts w:cs="Arial"/>
        </w:rPr>
        <w:t>PROMIGAS S.A. E.S.P.</w:t>
      </w:r>
      <w:r>
        <w:rPr>
          <w:rFonts w:cs="Arial"/>
        </w:rPr>
        <w:t xml:space="preserve"> </w:t>
      </w:r>
      <w:r w:rsidR="00F56426">
        <w:rPr>
          <w:rFonts w:cs="Arial"/>
        </w:rPr>
        <w:t xml:space="preserve">solicitó que se tuviera como prueba pericial el informe </w:t>
      </w:r>
      <w:r>
        <w:rPr>
          <w:rFonts w:cs="Arial"/>
        </w:rPr>
        <w:t xml:space="preserve">titulado “AVALÚO RED DE DISTRIBUCIÓN BARRANQUILLA”, </w:t>
      </w:r>
      <w:r w:rsidR="00F56426">
        <w:rPr>
          <w:rFonts w:cs="Arial"/>
        </w:rPr>
        <w:t xml:space="preserve">elaborado por la firma </w:t>
      </w:r>
      <w:proofErr w:type="spellStart"/>
      <w:r w:rsidR="00F56426">
        <w:rPr>
          <w:rFonts w:cs="Arial"/>
        </w:rPr>
        <w:t>Delvasto</w:t>
      </w:r>
      <w:proofErr w:type="spellEnd"/>
      <w:r w:rsidR="00F56426">
        <w:rPr>
          <w:rFonts w:cs="Arial"/>
        </w:rPr>
        <w:t xml:space="preserve"> &amp; Echeverría, </w:t>
      </w:r>
      <w:r>
        <w:rPr>
          <w:rFonts w:cs="Arial"/>
        </w:rPr>
        <w:t>con fecha del 5 de marzo de 2021.</w:t>
      </w:r>
    </w:p>
    <w:p w14:paraId="54C02BE5" w14:textId="2F5A915B" w:rsidR="003C0EB2" w:rsidRPr="005E2EA1" w:rsidRDefault="003C0EB2" w:rsidP="003C0EB2">
      <w:pPr>
        <w:autoSpaceDE w:val="0"/>
        <w:autoSpaceDN w:val="0"/>
        <w:adjustRightInd w:val="0"/>
        <w:spacing w:before="0" w:after="0"/>
        <w:rPr>
          <w:rFonts w:cs="Arial"/>
        </w:rPr>
      </w:pPr>
      <w:r w:rsidRPr="005E2EA1">
        <w:rPr>
          <w:rFonts w:cs="Arial"/>
        </w:rPr>
        <w:t>Una vez revisada la información contenida en la presente actuación, la Comisión se pronunció sobre las pruebas solicitadas por PROMIGAS S.A. E.S.P. mediante auto del 10 de septiembre de 2021</w:t>
      </w:r>
      <w:r w:rsidR="00FB6555">
        <w:rPr>
          <w:rFonts w:cs="Arial"/>
        </w:rPr>
        <w:t>,</w:t>
      </w:r>
      <w:r w:rsidRPr="005E2EA1">
        <w:rPr>
          <w:rFonts w:cs="Arial"/>
        </w:rPr>
        <w:t xml:space="preserve"> con radicado CREG I-2021-002564 comunicado</w:t>
      </w:r>
      <w:r w:rsidR="00FB6555">
        <w:rPr>
          <w:rFonts w:cs="Arial"/>
        </w:rPr>
        <w:t>,</w:t>
      </w:r>
      <w:r w:rsidRPr="005E2EA1">
        <w:rPr>
          <w:rFonts w:cs="Arial"/>
        </w:rPr>
        <w:t xml:space="preserve"> tanto a Promigas S</w:t>
      </w:r>
      <w:r w:rsidR="00FB6555">
        <w:rPr>
          <w:rFonts w:cs="Arial"/>
        </w:rPr>
        <w:t>.</w:t>
      </w:r>
      <w:r w:rsidRPr="005E2EA1">
        <w:rPr>
          <w:rFonts w:cs="Arial"/>
        </w:rPr>
        <w:t>A</w:t>
      </w:r>
      <w:r w:rsidR="00FB6555">
        <w:rPr>
          <w:rFonts w:cs="Arial"/>
        </w:rPr>
        <w:t>.</w:t>
      </w:r>
      <w:r w:rsidRPr="005E2EA1">
        <w:rPr>
          <w:rFonts w:cs="Arial"/>
        </w:rPr>
        <w:t xml:space="preserve"> E</w:t>
      </w:r>
      <w:r w:rsidR="00FB6555">
        <w:rPr>
          <w:rFonts w:cs="Arial"/>
        </w:rPr>
        <w:t>.</w:t>
      </w:r>
      <w:r w:rsidRPr="005E2EA1">
        <w:rPr>
          <w:rFonts w:cs="Arial"/>
        </w:rPr>
        <w:t>S</w:t>
      </w:r>
      <w:r w:rsidR="00FB6555">
        <w:rPr>
          <w:rFonts w:cs="Arial"/>
        </w:rPr>
        <w:t>.</w:t>
      </w:r>
      <w:r w:rsidRPr="005E2EA1">
        <w:rPr>
          <w:rFonts w:cs="Arial"/>
        </w:rPr>
        <w:t>P</w:t>
      </w:r>
      <w:r w:rsidR="00FB6555">
        <w:rPr>
          <w:rFonts w:cs="Arial"/>
        </w:rPr>
        <w:t>.,</w:t>
      </w:r>
      <w:r w:rsidRPr="005E2EA1">
        <w:rPr>
          <w:rFonts w:cs="Arial"/>
        </w:rPr>
        <w:t xml:space="preserve"> como a Gases del Caribe S</w:t>
      </w:r>
      <w:r w:rsidR="00FB6555">
        <w:rPr>
          <w:rFonts w:cs="Arial"/>
        </w:rPr>
        <w:t>.</w:t>
      </w:r>
      <w:r w:rsidRPr="005E2EA1">
        <w:rPr>
          <w:rFonts w:cs="Arial"/>
        </w:rPr>
        <w:t>A</w:t>
      </w:r>
      <w:r w:rsidR="00FB6555">
        <w:rPr>
          <w:rFonts w:cs="Arial"/>
        </w:rPr>
        <w:t>.</w:t>
      </w:r>
      <w:r w:rsidRPr="005E2EA1">
        <w:rPr>
          <w:rFonts w:cs="Arial"/>
        </w:rPr>
        <w:t xml:space="preserve"> E</w:t>
      </w:r>
      <w:r w:rsidR="00FB6555">
        <w:rPr>
          <w:rFonts w:cs="Arial"/>
        </w:rPr>
        <w:t>.</w:t>
      </w:r>
      <w:r w:rsidRPr="005E2EA1">
        <w:rPr>
          <w:rFonts w:cs="Arial"/>
        </w:rPr>
        <w:t>S</w:t>
      </w:r>
      <w:r w:rsidR="00FB6555">
        <w:rPr>
          <w:rFonts w:cs="Arial"/>
        </w:rPr>
        <w:t>.</w:t>
      </w:r>
      <w:r w:rsidRPr="005E2EA1">
        <w:rPr>
          <w:rFonts w:cs="Arial"/>
        </w:rPr>
        <w:t>P</w:t>
      </w:r>
      <w:r w:rsidR="00FB6555">
        <w:rPr>
          <w:rFonts w:cs="Arial"/>
        </w:rPr>
        <w:t>.,</w:t>
      </w:r>
      <w:r w:rsidRPr="005E2EA1">
        <w:rPr>
          <w:rFonts w:cs="Arial"/>
        </w:rPr>
        <w:t xml:space="preserve"> con los radicados S-2021-003956 y S-2021-003957. </w:t>
      </w:r>
    </w:p>
    <w:p w14:paraId="6B60D7E4" w14:textId="77777777" w:rsidR="003C0EB2" w:rsidRDefault="003C0EB2" w:rsidP="003C0EB2">
      <w:pPr>
        <w:autoSpaceDE w:val="0"/>
        <w:autoSpaceDN w:val="0"/>
        <w:adjustRightInd w:val="0"/>
        <w:spacing w:before="0" w:after="0"/>
        <w:rPr>
          <w:rFonts w:cs="Arial"/>
        </w:rPr>
      </w:pPr>
    </w:p>
    <w:p w14:paraId="7D472EA6" w14:textId="77777777" w:rsidR="003C0EB2" w:rsidRPr="005E2EA1" w:rsidRDefault="003C0EB2" w:rsidP="003C0EB2">
      <w:pPr>
        <w:autoSpaceDE w:val="0"/>
        <w:autoSpaceDN w:val="0"/>
        <w:adjustRightInd w:val="0"/>
        <w:spacing w:before="0" w:after="0"/>
        <w:rPr>
          <w:rFonts w:cs="Arial"/>
        </w:rPr>
      </w:pPr>
      <w:r w:rsidRPr="005E2EA1">
        <w:rPr>
          <w:rFonts w:cs="Arial"/>
        </w:rPr>
        <w:t>En el mencionado auto, proferido por la Dirección Ejecutiva conforme lo decidido en Sesión CREG 1120 de septiembre 2 de 2021, previo el análisis detallado de cada una de las mismas, se decidió:</w:t>
      </w:r>
    </w:p>
    <w:p w14:paraId="3E1B276C" w14:textId="2DD07AE0" w:rsidR="00A75E17" w:rsidRPr="002E2193" w:rsidRDefault="00A75E17" w:rsidP="002E2193">
      <w:pPr>
        <w:ind w:left="284"/>
        <w:rPr>
          <w:rFonts w:ascii="Arial" w:hAnsi="Arial" w:cs="Arial"/>
          <w:b/>
          <w:i/>
          <w:iCs/>
          <w:sz w:val="21"/>
          <w:szCs w:val="21"/>
          <w:lang w:val="es-ES_tradnl" w:eastAsia="en-US"/>
        </w:rPr>
      </w:pPr>
      <w:r w:rsidRPr="002E2193">
        <w:rPr>
          <w:rFonts w:cs="Arial"/>
          <w:b/>
          <w:i/>
          <w:iCs/>
          <w:sz w:val="21"/>
          <w:szCs w:val="21"/>
        </w:rPr>
        <w:t xml:space="preserve">PRIMERO. </w:t>
      </w:r>
      <w:r w:rsidRPr="002E2193">
        <w:rPr>
          <w:rFonts w:cs="Arial"/>
          <w:bCs/>
          <w:i/>
          <w:iCs/>
          <w:sz w:val="21"/>
          <w:szCs w:val="21"/>
        </w:rPr>
        <w:t xml:space="preserve">Negar por inconducente la prueba consistente en el Dictamen Pericial allegado por la firma Promigas S.A. E.S.P., proferido por la firma Consultoría Regulatoria S.A.S., </w:t>
      </w:r>
      <w:r w:rsidRPr="002E2193">
        <w:rPr>
          <w:rFonts w:cs="Arial"/>
          <w:i/>
          <w:iCs/>
          <w:sz w:val="21"/>
          <w:szCs w:val="21"/>
        </w:rPr>
        <w:t>teniendo en cuenta lo expuesto en la parte motiva del presente auto</w:t>
      </w:r>
      <w:r w:rsidRPr="002E2193">
        <w:rPr>
          <w:rFonts w:cs="Arial"/>
          <w:bCs/>
          <w:i/>
          <w:iCs/>
          <w:sz w:val="21"/>
          <w:szCs w:val="21"/>
        </w:rPr>
        <w:t>.</w:t>
      </w:r>
      <w:r w:rsidRPr="002E2193">
        <w:rPr>
          <w:rFonts w:cs="Arial"/>
          <w:b/>
          <w:i/>
          <w:iCs/>
          <w:sz w:val="21"/>
          <w:szCs w:val="21"/>
        </w:rPr>
        <w:t xml:space="preserve"> </w:t>
      </w:r>
    </w:p>
    <w:p w14:paraId="2D563FD5" w14:textId="5D533308" w:rsidR="00A75E17" w:rsidRPr="002E2193" w:rsidRDefault="00A75E17" w:rsidP="002E2193">
      <w:pPr>
        <w:ind w:left="284"/>
        <w:rPr>
          <w:rFonts w:cs="Arial"/>
          <w:bCs/>
          <w:i/>
          <w:iCs/>
          <w:sz w:val="21"/>
          <w:szCs w:val="21"/>
        </w:rPr>
      </w:pPr>
      <w:r w:rsidRPr="002E2193">
        <w:rPr>
          <w:rFonts w:cs="Arial"/>
          <w:b/>
          <w:i/>
          <w:iCs/>
          <w:sz w:val="21"/>
          <w:szCs w:val="21"/>
        </w:rPr>
        <w:t xml:space="preserve">SEGUNDO. </w:t>
      </w:r>
      <w:r w:rsidR="00362E29" w:rsidRPr="002E2193">
        <w:rPr>
          <w:rFonts w:cs="Arial"/>
          <w:bCs/>
          <w:i/>
          <w:iCs/>
          <w:sz w:val="21"/>
          <w:szCs w:val="21"/>
        </w:rPr>
        <w:t>Negar p</w:t>
      </w:r>
      <w:r w:rsidRPr="002E2193">
        <w:rPr>
          <w:rFonts w:cs="Arial"/>
          <w:bCs/>
          <w:i/>
          <w:iCs/>
          <w:sz w:val="21"/>
          <w:szCs w:val="21"/>
        </w:rPr>
        <w:t xml:space="preserve">or inconducente </w:t>
      </w:r>
      <w:r w:rsidR="00362E29" w:rsidRPr="002E2193">
        <w:rPr>
          <w:rFonts w:cs="Arial"/>
          <w:bCs/>
          <w:i/>
          <w:iCs/>
          <w:sz w:val="21"/>
          <w:szCs w:val="21"/>
        </w:rPr>
        <w:t>la prueba consistente en</w:t>
      </w:r>
      <w:r w:rsidRPr="002E2193">
        <w:rPr>
          <w:rFonts w:cs="Arial"/>
          <w:bCs/>
          <w:i/>
          <w:iCs/>
          <w:sz w:val="21"/>
          <w:szCs w:val="21"/>
        </w:rPr>
        <w:t xml:space="preserve"> el Informe “Avalúo Red de Distribución Barranquilla” elaborado por la empresa </w:t>
      </w:r>
      <w:proofErr w:type="spellStart"/>
      <w:r w:rsidRPr="002E2193">
        <w:rPr>
          <w:rFonts w:cs="Arial"/>
          <w:bCs/>
          <w:i/>
          <w:iCs/>
          <w:sz w:val="21"/>
          <w:szCs w:val="21"/>
        </w:rPr>
        <w:t>Delvasto</w:t>
      </w:r>
      <w:proofErr w:type="spellEnd"/>
      <w:r w:rsidRPr="002E2193">
        <w:rPr>
          <w:rFonts w:cs="Arial"/>
          <w:bCs/>
          <w:i/>
          <w:iCs/>
          <w:sz w:val="21"/>
          <w:szCs w:val="21"/>
        </w:rPr>
        <w:t xml:space="preserve"> &amp; Echeverría, allegado por Promigas S.A. E.S.P., </w:t>
      </w:r>
      <w:r w:rsidRPr="002E2193">
        <w:rPr>
          <w:rFonts w:cs="Arial"/>
          <w:i/>
          <w:iCs/>
          <w:sz w:val="21"/>
          <w:szCs w:val="21"/>
        </w:rPr>
        <w:t>teniendo en cuenta lo expuesto en la parte motiva del presente auto</w:t>
      </w:r>
      <w:r w:rsidRPr="002E2193">
        <w:rPr>
          <w:rFonts w:cs="Arial"/>
          <w:bCs/>
          <w:i/>
          <w:iCs/>
          <w:sz w:val="21"/>
          <w:szCs w:val="21"/>
        </w:rPr>
        <w:t>.</w:t>
      </w:r>
    </w:p>
    <w:p w14:paraId="60DB9E53" w14:textId="1C705608" w:rsidR="00A75E17" w:rsidRPr="002E2193" w:rsidRDefault="005E61BF" w:rsidP="002E2193">
      <w:pPr>
        <w:adjustRightInd w:val="0"/>
        <w:ind w:left="284"/>
        <w:rPr>
          <w:rFonts w:cs="Arial"/>
          <w:bCs/>
          <w:i/>
          <w:iCs/>
          <w:sz w:val="21"/>
          <w:szCs w:val="21"/>
        </w:rPr>
      </w:pPr>
      <w:r w:rsidRPr="002E2193">
        <w:rPr>
          <w:rFonts w:cs="Arial"/>
          <w:b/>
          <w:i/>
          <w:iCs/>
          <w:sz w:val="21"/>
          <w:szCs w:val="21"/>
        </w:rPr>
        <w:t>TERCERO</w:t>
      </w:r>
      <w:r w:rsidR="00A75E17" w:rsidRPr="002E2193">
        <w:rPr>
          <w:rFonts w:cs="Arial"/>
          <w:b/>
          <w:i/>
          <w:iCs/>
          <w:sz w:val="21"/>
          <w:szCs w:val="21"/>
        </w:rPr>
        <w:t xml:space="preserve">. </w:t>
      </w:r>
      <w:r w:rsidRPr="002E2193">
        <w:rPr>
          <w:rFonts w:cs="Arial"/>
          <w:bCs/>
          <w:i/>
          <w:iCs/>
          <w:sz w:val="21"/>
          <w:szCs w:val="21"/>
        </w:rPr>
        <w:t>N</w:t>
      </w:r>
      <w:r w:rsidR="00A75E17" w:rsidRPr="002E2193">
        <w:rPr>
          <w:rFonts w:cs="Arial"/>
          <w:bCs/>
          <w:i/>
          <w:iCs/>
          <w:sz w:val="21"/>
          <w:szCs w:val="21"/>
        </w:rPr>
        <w:t>ega</w:t>
      </w:r>
      <w:r w:rsidRPr="002E2193">
        <w:rPr>
          <w:rFonts w:cs="Arial"/>
          <w:bCs/>
          <w:i/>
          <w:iCs/>
          <w:sz w:val="21"/>
          <w:szCs w:val="21"/>
        </w:rPr>
        <w:t>r</w:t>
      </w:r>
      <w:r w:rsidR="00A75E17" w:rsidRPr="002E2193">
        <w:rPr>
          <w:rFonts w:cs="Arial"/>
          <w:bCs/>
          <w:i/>
          <w:iCs/>
          <w:sz w:val="21"/>
          <w:szCs w:val="21"/>
        </w:rPr>
        <w:t xml:space="preserve"> por impertinente la práctica de la prueba correspondiente a las declaraciones de los señores Mauricio Gómez y Gustavo </w:t>
      </w:r>
      <w:proofErr w:type="spellStart"/>
      <w:r w:rsidR="00A75E17" w:rsidRPr="002E2193">
        <w:rPr>
          <w:rFonts w:cs="Arial"/>
          <w:bCs/>
          <w:i/>
          <w:iCs/>
          <w:sz w:val="21"/>
          <w:szCs w:val="21"/>
        </w:rPr>
        <w:t>Delvasto</w:t>
      </w:r>
      <w:proofErr w:type="spellEnd"/>
      <w:r w:rsidR="00A75E17" w:rsidRPr="002E2193">
        <w:rPr>
          <w:rFonts w:cs="Arial"/>
          <w:bCs/>
          <w:i/>
          <w:iCs/>
          <w:sz w:val="21"/>
          <w:szCs w:val="21"/>
        </w:rPr>
        <w:t xml:space="preserve">, de acuerdo con lo manifestado en la parte motiva del presente auto. </w:t>
      </w:r>
    </w:p>
    <w:p w14:paraId="6455CF16" w14:textId="4A51E053" w:rsidR="00A75E17" w:rsidRPr="002E2193" w:rsidRDefault="005E61BF" w:rsidP="002E2193">
      <w:pPr>
        <w:adjustRightInd w:val="0"/>
        <w:ind w:left="284"/>
        <w:rPr>
          <w:rFonts w:cs="Arial"/>
          <w:bCs/>
          <w:i/>
          <w:iCs/>
          <w:sz w:val="21"/>
          <w:szCs w:val="21"/>
        </w:rPr>
      </w:pPr>
      <w:r w:rsidRPr="002E2193">
        <w:rPr>
          <w:rFonts w:cs="Arial"/>
          <w:b/>
          <w:i/>
          <w:iCs/>
          <w:sz w:val="21"/>
          <w:szCs w:val="21"/>
        </w:rPr>
        <w:t>CUARTO</w:t>
      </w:r>
      <w:r w:rsidR="00A75E17" w:rsidRPr="002E2193">
        <w:rPr>
          <w:rFonts w:cs="Arial"/>
          <w:b/>
          <w:i/>
          <w:iCs/>
          <w:sz w:val="21"/>
          <w:szCs w:val="21"/>
        </w:rPr>
        <w:t xml:space="preserve">. </w:t>
      </w:r>
      <w:r w:rsidRPr="002E2193">
        <w:rPr>
          <w:rFonts w:cs="Arial"/>
          <w:bCs/>
          <w:i/>
          <w:iCs/>
          <w:sz w:val="21"/>
          <w:szCs w:val="21"/>
        </w:rPr>
        <w:t>Ne</w:t>
      </w:r>
      <w:r w:rsidR="00A75E17" w:rsidRPr="002E2193">
        <w:rPr>
          <w:rFonts w:cs="Arial"/>
          <w:bCs/>
          <w:i/>
          <w:iCs/>
          <w:sz w:val="21"/>
          <w:szCs w:val="21"/>
        </w:rPr>
        <w:t>ga</w:t>
      </w:r>
      <w:r w:rsidRPr="002E2193">
        <w:rPr>
          <w:rFonts w:cs="Arial"/>
          <w:bCs/>
          <w:i/>
          <w:iCs/>
          <w:sz w:val="21"/>
          <w:szCs w:val="21"/>
        </w:rPr>
        <w:t>r</w:t>
      </w:r>
      <w:r w:rsidR="00A75E17" w:rsidRPr="002E2193">
        <w:rPr>
          <w:rFonts w:cs="Arial"/>
          <w:bCs/>
          <w:i/>
          <w:iCs/>
          <w:sz w:val="21"/>
          <w:szCs w:val="21"/>
        </w:rPr>
        <w:t xml:space="preserve"> por</w:t>
      </w:r>
      <w:r w:rsidR="00133D31" w:rsidRPr="002E2193">
        <w:rPr>
          <w:rFonts w:cs="Arial"/>
          <w:bCs/>
          <w:i/>
          <w:iCs/>
          <w:sz w:val="21"/>
          <w:szCs w:val="21"/>
        </w:rPr>
        <w:t xml:space="preserve"> inconducentes e</w:t>
      </w:r>
      <w:r w:rsidR="00A75E17" w:rsidRPr="002E2193">
        <w:rPr>
          <w:rFonts w:cs="Arial"/>
          <w:bCs/>
          <w:i/>
          <w:iCs/>
          <w:sz w:val="21"/>
          <w:szCs w:val="21"/>
        </w:rPr>
        <w:t xml:space="preserve"> impertinente</w:t>
      </w:r>
      <w:r w:rsidR="00133D31" w:rsidRPr="002E2193">
        <w:rPr>
          <w:rFonts w:cs="Arial"/>
          <w:bCs/>
          <w:i/>
          <w:iCs/>
          <w:sz w:val="21"/>
          <w:szCs w:val="21"/>
        </w:rPr>
        <w:t>s</w:t>
      </w:r>
      <w:r w:rsidR="00A75E17" w:rsidRPr="002E2193">
        <w:rPr>
          <w:rFonts w:cs="Arial"/>
          <w:bCs/>
          <w:i/>
          <w:iCs/>
          <w:sz w:val="21"/>
          <w:szCs w:val="21"/>
        </w:rPr>
        <w:t xml:space="preserve"> la práctica de la prueba correspondiente a la audiencia para explicar y ampliar la solicitud de Promigas S.A. E.S.P. de acuerdo con lo expuesto en la parte motiva del presente auto. </w:t>
      </w:r>
    </w:p>
    <w:p w14:paraId="4AF65F46" w14:textId="5825A60D" w:rsidR="00A75E17" w:rsidRPr="002E2193" w:rsidRDefault="00133D31" w:rsidP="002E2193">
      <w:pPr>
        <w:adjustRightInd w:val="0"/>
        <w:ind w:left="284"/>
        <w:rPr>
          <w:rFonts w:cs="Arial"/>
          <w:i/>
          <w:iCs/>
          <w:sz w:val="21"/>
          <w:szCs w:val="21"/>
        </w:rPr>
      </w:pPr>
      <w:r w:rsidRPr="002E2193">
        <w:rPr>
          <w:rFonts w:cs="Arial"/>
          <w:b/>
          <w:i/>
          <w:iCs/>
          <w:sz w:val="21"/>
          <w:szCs w:val="21"/>
        </w:rPr>
        <w:t>QUINTO</w:t>
      </w:r>
      <w:r w:rsidR="00A75E17" w:rsidRPr="002E2193">
        <w:rPr>
          <w:rFonts w:cs="Arial"/>
          <w:b/>
          <w:i/>
          <w:iCs/>
          <w:sz w:val="21"/>
          <w:szCs w:val="21"/>
        </w:rPr>
        <w:t xml:space="preserve">. </w:t>
      </w:r>
      <w:r w:rsidRPr="002E2193">
        <w:rPr>
          <w:rFonts w:cs="Arial"/>
          <w:bCs/>
          <w:i/>
          <w:iCs/>
          <w:sz w:val="21"/>
          <w:szCs w:val="21"/>
        </w:rPr>
        <w:t>Negar p</w:t>
      </w:r>
      <w:r w:rsidR="00A75E17" w:rsidRPr="002E2193">
        <w:rPr>
          <w:rFonts w:cs="Arial"/>
          <w:bCs/>
          <w:i/>
          <w:iCs/>
          <w:sz w:val="21"/>
          <w:szCs w:val="21"/>
        </w:rPr>
        <w:t>or i</w:t>
      </w:r>
      <w:r w:rsidRPr="002E2193">
        <w:rPr>
          <w:rFonts w:cs="Arial"/>
          <w:bCs/>
          <w:i/>
          <w:iCs/>
          <w:sz w:val="21"/>
          <w:szCs w:val="21"/>
        </w:rPr>
        <w:t>mpertinente</w:t>
      </w:r>
      <w:r w:rsidR="00A75E17" w:rsidRPr="002E2193">
        <w:rPr>
          <w:rFonts w:cs="Arial"/>
          <w:bCs/>
          <w:i/>
          <w:iCs/>
          <w:sz w:val="21"/>
          <w:szCs w:val="21"/>
        </w:rPr>
        <w:t xml:space="preserve"> la práctica de la prueba correspondiente a una prueba pericial c</w:t>
      </w:r>
      <w:r w:rsidR="00A75E17" w:rsidRPr="002E2193">
        <w:rPr>
          <w:rFonts w:cs="Arial"/>
          <w:i/>
          <w:iCs/>
          <w:sz w:val="21"/>
          <w:szCs w:val="21"/>
        </w:rPr>
        <w:t xml:space="preserve">on el objeto de i) resolver las diferencias de información o de apreciación sobre la valoración de los activos y que, por tanto, constituyen aspectos que requieren conocimientos especializados; </w:t>
      </w:r>
      <w:proofErr w:type="spellStart"/>
      <w:r w:rsidR="00A75E17" w:rsidRPr="002E2193">
        <w:rPr>
          <w:rFonts w:cs="Arial"/>
          <w:i/>
          <w:iCs/>
          <w:sz w:val="21"/>
          <w:szCs w:val="21"/>
        </w:rPr>
        <w:t>ii</w:t>
      </w:r>
      <w:proofErr w:type="spellEnd"/>
      <w:r w:rsidR="00A75E17" w:rsidRPr="002E2193">
        <w:rPr>
          <w:rFonts w:cs="Arial"/>
          <w:i/>
          <w:iCs/>
          <w:sz w:val="21"/>
          <w:szCs w:val="21"/>
        </w:rPr>
        <w:t xml:space="preserve">) demostrar la existencia del incumplimiento de los criterios tarifarios establecidos en la Ley; y/o, </w:t>
      </w:r>
      <w:proofErr w:type="spellStart"/>
      <w:r w:rsidR="00A75E17" w:rsidRPr="002E2193">
        <w:rPr>
          <w:rFonts w:cs="Arial"/>
          <w:i/>
          <w:iCs/>
          <w:sz w:val="21"/>
          <w:szCs w:val="21"/>
        </w:rPr>
        <w:t>iii</w:t>
      </w:r>
      <w:proofErr w:type="spellEnd"/>
      <w:r w:rsidR="00A75E17" w:rsidRPr="002E2193">
        <w:rPr>
          <w:rFonts w:cs="Arial"/>
          <w:i/>
          <w:iCs/>
          <w:sz w:val="21"/>
          <w:szCs w:val="21"/>
        </w:rPr>
        <w:t xml:space="preserve">) demostrar la existencia del grave error de cálculo que lesiona injustamente los intereses de la empresa, </w:t>
      </w:r>
      <w:r w:rsidR="00A75E17" w:rsidRPr="002E2193">
        <w:rPr>
          <w:rFonts w:cs="Arial"/>
          <w:bCs/>
          <w:i/>
          <w:iCs/>
          <w:sz w:val="21"/>
          <w:szCs w:val="21"/>
        </w:rPr>
        <w:t>de acuerdo con lo expuesto en la parte motiva del presente auto.</w:t>
      </w:r>
    </w:p>
    <w:p w14:paraId="68B1E9ED" w14:textId="4997140A" w:rsidR="00A75E17" w:rsidRPr="002E2193" w:rsidRDefault="00A75E17" w:rsidP="002E2193">
      <w:pPr>
        <w:ind w:left="284"/>
        <w:rPr>
          <w:rFonts w:cs="Arial"/>
          <w:i/>
          <w:iCs/>
          <w:sz w:val="21"/>
          <w:szCs w:val="21"/>
        </w:rPr>
      </w:pPr>
      <w:r w:rsidRPr="002E2193">
        <w:rPr>
          <w:rFonts w:cs="Arial"/>
          <w:b/>
          <w:bCs/>
          <w:i/>
          <w:iCs/>
          <w:sz w:val="21"/>
          <w:szCs w:val="21"/>
        </w:rPr>
        <w:t>S</w:t>
      </w:r>
      <w:r w:rsidR="00891D7F" w:rsidRPr="002E2193">
        <w:rPr>
          <w:rFonts w:cs="Arial"/>
          <w:b/>
          <w:bCs/>
          <w:i/>
          <w:iCs/>
          <w:sz w:val="21"/>
          <w:szCs w:val="21"/>
        </w:rPr>
        <w:t>EXTO</w:t>
      </w:r>
      <w:r w:rsidRPr="002E2193">
        <w:rPr>
          <w:rFonts w:cs="Arial"/>
          <w:b/>
          <w:bCs/>
          <w:i/>
          <w:iCs/>
          <w:sz w:val="21"/>
          <w:szCs w:val="21"/>
        </w:rPr>
        <w:t xml:space="preserve">. </w:t>
      </w:r>
      <w:r w:rsidRPr="002E2193">
        <w:rPr>
          <w:rFonts w:cs="Arial"/>
          <w:i/>
          <w:iCs/>
          <w:sz w:val="21"/>
          <w:szCs w:val="21"/>
        </w:rPr>
        <w:t>Comunicar la presente decisión a los representantes legales de las empresas PROMIGAS S.A. E.S.P.</w:t>
      </w:r>
      <w:r w:rsidRPr="002E2193">
        <w:rPr>
          <w:rFonts w:asciiTheme="minorHAnsi" w:hAnsiTheme="minorHAnsi" w:cs="Arial"/>
          <w:i/>
          <w:iCs/>
          <w:sz w:val="21"/>
          <w:szCs w:val="21"/>
        </w:rPr>
        <w:t xml:space="preserve"> </w:t>
      </w:r>
      <w:r w:rsidRPr="002E2193">
        <w:rPr>
          <w:rFonts w:cs="Arial"/>
          <w:i/>
          <w:iCs/>
          <w:sz w:val="21"/>
          <w:szCs w:val="21"/>
        </w:rPr>
        <w:t>y GASES DEL CARIBE S.A. E.S.P.</w:t>
      </w:r>
      <w:r w:rsidR="00DD233B" w:rsidRPr="002E2193">
        <w:rPr>
          <w:rFonts w:cs="Arial"/>
          <w:i/>
          <w:iCs/>
          <w:sz w:val="21"/>
          <w:szCs w:val="21"/>
        </w:rPr>
        <w:t>,</w:t>
      </w:r>
      <w:r w:rsidRPr="002E2193">
        <w:rPr>
          <w:rFonts w:cs="Arial"/>
          <w:i/>
          <w:iCs/>
          <w:sz w:val="21"/>
          <w:szCs w:val="21"/>
        </w:rPr>
        <w:t xml:space="preserve"> o a quien haga sus veces, advirtiéndole que contra el presente auto no procede recurso alguno</w:t>
      </w:r>
      <w:r w:rsidR="00891D7F" w:rsidRPr="002E2193">
        <w:rPr>
          <w:rFonts w:cs="Arial"/>
          <w:i/>
          <w:iCs/>
          <w:sz w:val="21"/>
          <w:szCs w:val="21"/>
        </w:rPr>
        <w:t>,</w:t>
      </w:r>
      <w:r w:rsidRPr="002E2193">
        <w:rPr>
          <w:rFonts w:cs="Arial"/>
          <w:i/>
          <w:iCs/>
          <w:sz w:val="21"/>
          <w:szCs w:val="21"/>
        </w:rPr>
        <w:t xml:space="preserve"> de conformidad con lo dispuesto por el Artículo 40 del Código de Procedimiento Administrativo y de lo Contencioso Administrativo.</w:t>
      </w:r>
    </w:p>
    <w:p w14:paraId="70D276A7" w14:textId="5C081EBC" w:rsidR="00A75E17" w:rsidRDefault="00AE6030" w:rsidP="00FE2AC3">
      <w:pPr>
        <w:autoSpaceDE w:val="0"/>
        <w:autoSpaceDN w:val="0"/>
        <w:adjustRightInd w:val="0"/>
        <w:rPr>
          <w:rFonts w:cs="Arial"/>
        </w:rPr>
      </w:pPr>
      <w:r>
        <w:rPr>
          <w:rFonts w:cs="Arial"/>
        </w:rPr>
        <w:t xml:space="preserve">Ahora bien, con respecto a </w:t>
      </w:r>
      <w:r w:rsidR="006B24CA">
        <w:rPr>
          <w:rFonts w:cs="Arial"/>
        </w:rPr>
        <w:t>la prueba decretada</w:t>
      </w:r>
      <w:r w:rsidR="00E076E0">
        <w:rPr>
          <w:rFonts w:cs="Arial"/>
        </w:rPr>
        <w:t xml:space="preserve"> por la Comisión mediante </w:t>
      </w:r>
      <w:r w:rsidR="00E076E0">
        <w:rPr>
          <w:rFonts w:cs="Tahoma"/>
          <w:lang w:eastAsia="es-CO"/>
        </w:rPr>
        <w:t>auto del 26 de marzo de 2021</w:t>
      </w:r>
      <w:r w:rsidR="00E77AB2">
        <w:rPr>
          <w:rFonts w:cs="Tahoma"/>
          <w:lang w:eastAsia="es-CO"/>
        </w:rPr>
        <w:t>, se manifiesta lo siguiente:</w:t>
      </w:r>
    </w:p>
    <w:p w14:paraId="37721F97" w14:textId="68130DD5" w:rsidR="00503C58" w:rsidRPr="0028673F" w:rsidRDefault="00503C58" w:rsidP="002E2193">
      <w:pPr>
        <w:pStyle w:val="Ttulo3"/>
      </w:pPr>
      <w:bookmarkStart w:id="4" w:name="_Ref77610114"/>
      <w:r>
        <w:lastRenderedPageBreak/>
        <w:t>Auto de pruebas del 26 de marzo de 2021, radicado CREG I-2021-000406</w:t>
      </w:r>
      <w:bookmarkEnd w:id="4"/>
    </w:p>
    <w:p w14:paraId="26AC9B71" w14:textId="13A28E3C" w:rsidR="00503C58" w:rsidRPr="00E11D4B" w:rsidRDefault="00503C58" w:rsidP="002E2193">
      <w:pPr>
        <w:tabs>
          <w:tab w:val="left" w:pos="5387"/>
        </w:tabs>
        <w:autoSpaceDE w:val="0"/>
        <w:autoSpaceDN w:val="0"/>
        <w:adjustRightInd w:val="0"/>
      </w:pPr>
      <w:r>
        <w:rPr>
          <w:rFonts w:cs="Tahoma"/>
          <w:lang w:eastAsia="es-CO"/>
        </w:rPr>
        <w:t xml:space="preserve">Tal y como se mencionó en </w:t>
      </w:r>
      <w:r w:rsidR="00DA0E3E">
        <w:rPr>
          <w:rFonts w:cs="Tahoma"/>
          <w:lang w:eastAsia="es-CO"/>
        </w:rPr>
        <w:t>e</w:t>
      </w:r>
      <w:r>
        <w:rPr>
          <w:rFonts w:cs="Tahoma"/>
          <w:lang w:eastAsia="es-CO"/>
        </w:rPr>
        <w:t>l numeral</w:t>
      </w:r>
      <w:r w:rsidR="00EC7BA9">
        <w:rPr>
          <w:rFonts w:cs="Tahoma"/>
          <w:lang w:eastAsia="es-CO"/>
        </w:rPr>
        <w:t xml:space="preserve"> </w:t>
      </w:r>
      <w:r w:rsidR="00EC7BA9">
        <w:rPr>
          <w:rFonts w:cs="Tahoma"/>
          <w:lang w:eastAsia="es-CO"/>
        </w:rPr>
        <w:fldChar w:fldCharType="begin"/>
      </w:r>
      <w:r w:rsidR="00EC7BA9">
        <w:rPr>
          <w:rFonts w:cs="Tahoma"/>
          <w:lang w:eastAsia="es-CO"/>
        </w:rPr>
        <w:instrText xml:space="preserve"> REF _Ref80880143 \n \h </w:instrText>
      </w:r>
      <w:r w:rsidR="00EC7BA9">
        <w:rPr>
          <w:rFonts w:cs="Tahoma"/>
          <w:lang w:eastAsia="es-CO"/>
        </w:rPr>
      </w:r>
      <w:r w:rsidR="00EC7BA9">
        <w:rPr>
          <w:rFonts w:cs="Tahoma"/>
          <w:lang w:eastAsia="es-CO"/>
        </w:rPr>
        <w:fldChar w:fldCharType="separate"/>
      </w:r>
      <w:r w:rsidR="0079362E">
        <w:rPr>
          <w:rFonts w:cs="Tahoma"/>
          <w:lang w:eastAsia="es-CO"/>
        </w:rPr>
        <w:t>3.3</w:t>
      </w:r>
      <w:r w:rsidR="00EC7BA9">
        <w:rPr>
          <w:rFonts w:cs="Tahoma"/>
          <w:lang w:eastAsia="es-CO"/>
        </w:rPr>
        <w:fldChar w:fldCharType="end"/>
      </w:r>
      <w:r w:rsidR="00EC7BA9">
        <w:rPr>
          <w:rFonts w:cs="Tahoma"/>
          <w:lang w:eastAsia="es-CO"/>
        </w:rPr>
        <w:t xml:space="preserve"> </w:t>
      </w:r>
      <w:r>
        <w:rPr>
          <w:rFonts w:cs="Tahoma"/>
          <w:lang w:eastAsia="es-CO"/>
        </w:rPr>
        <w:t>del presente documento, l</w:t>
      </w:r>
      <w:r>
        <w:rPr>
          <w:rFonts w:cs="Arial"/>
        </w:rPr>
        <w:t xml:space="preserve">os activos que son objeto de la solicitud de la empresa PROMIGAS S.A. E.S.P. corresponden a la Inversión Existente (IE), la cual </w:t>
      </w:r>
      <w:r w:rsidR="00EC7BA9">
        <w:rPr>
          <w:rFonts w:cs="Arial"/>
        </w:rPr>
        <w:t>corresponde a la</w:t>
      </w:r>
      <w:r w:rsidR="003C04C7">
        <w:rPr>
          <w:rFonts w:cs="Arial"/>
        </w:rPr>
        <w:t xml:space="preserve"> </w:t>
      </w:r>
      <w:r w:rsidRPr="002E2193">
        <w:rPr>
          <w:i/>
          <w:iCs/>
        </w:rPr>
        <w:t>“Inversión reconocida como existente en la última revisión tarifaria, correspondiente a activos reconocidos antes que iniciara el Período Tarifario que culmina, homologada a las Unidades Constructivas definidas en el Período Tarifario que culmina y valoradas a los costos reconocidos en dicho momento y ajustados conforme se encuentran definidas en el Anexo 4 y Anexo 5 de la Resolución CREG 202 de 2013”</w:t>
      </w:r>
      <w:r w:rsidRPr="002353E9">
        <w:t>.</w:t>
      </w:r>
    </w:p>
    <w:p w14:paraId="46D3F593" w14:textId="77777777" w:rsidR="00503C58" w:rsidRDefault="00503C58" w:rsidP="00503C58">
      <w:pPr>
        <w:adjustRightInd w:val="0"/>
        <w:rPr>
          <w:rFonts w:cs="Arial"/>
        </w:rPr>
      </w:pPr>
      <w:r>
        <w:rPr>
          <w:rFonts w:cs="Arial"/>
        </w:rPr>
        <w:t xml:space="preserve">De acuerdo con lo anterior, la valoración de la Inversión Existente debe corresponder a los costos reconocidos en la última revisión tarifaria, es decir, a los reconocidos en la Resolución CREG 086 de 2004. En esta resolución, las inversiones se valoraron a los costos de reposición a nuevo señalados en la Resolución CREG 015 de 2002, en concordancia con lo dispuesto en el literal a) del numeral 7.1 y en el </w:t>
      </w:r>
      <w:proofErr w:type="spellStart"/>
      <w:r>
        <w:rPr>
          <w:rFonts w:cs="Arial"/>
        </w:rPr>
        <w:t>subnumeral</w:t>
      </w:r>
      <w:proofErr w:type="spellEnd"/>
      <w:r>
        <w:rPr>
          <w:rFonts w:cs="Arial"/>
        </w:rPr>
        <w:t xml:space="preserve"> i) del numeral 7.2 del artículo 7 de la Resolución CREG 011 de 2003.</w:t>
      </w:r>
    </w:p>
    <w:p w14:paraId="4C80D2BB" w14:textId="19BF1989" w:rsidR="00503C58" w:rsidRDefault="00503C58" w:rsidP="00503C58">
      <w:pPr>
        <w:adjustRightInd w:val="0"/>
        <w:rPr>
          <w:rFonts w:cs="Arial"/>
        </w:rPr>
      </w:pPr>
      <w:r>
        <w:rPr>
          <w:rFonts w:cs="Arial"/>
        </w:rPr>
        <w:t xml:space="preserve">Ahora bien, la metodología de valor de reposición a nuevo asume que el valor del activo es el precio que el mercado le da a un activo similar que se esté transando en el momento del cálculo y que cumpla con las mismas funciones. En la Resolución CREG 015 de 2002, los costos de reposición a nuevo de los activos de PROMIGAS S.A. E.S.P. se estimaron con base en la información reportada por las empresas distribuidoras para el cálculo tarifario del período 1996 – 2001, ya que ésta constituía la mejor información disponible, dado que la empresa </w:t>
      </w:r>
      <w:r w:rsidRPr="002B4EAA">
        <w:rPr>
          <w:rFonts w:cs="Arial"/>
        </w:rPr>
        <w:t>PROMIGAS S.A. E.S.P.</w:t>
      </w:r>
      <w:r>
        <w:rPr>
          <w:rFonts w:cs="Arial"/>
        </w:rPr>
        <w:t xml:space="preserve"> no reportó sus costos.</w:t>
      </w:r>
    </w:p>
    <w:p w14:paraId="052130F8" w14:textId="77777777" w:rsidR="00503C58" w:rsidRDefault="00503C58" w:rsidP="00BE6EBF">
      <w:pPr>
        <w:adjustRightInd w:val="0"/>
        <w:rPr>
          <w:rFonts w:cs="Arial"/>
        </w:rPr>
      </w:pPr>
      <w:r>
        <w:rPr>
          <w:rFonts w:cs="Arial"/>
        </w:rPr>
        <w:t>De acuerdo con lo anterior, el costo de reposición a nuevo de la Inversión Existente de PROMIGAS S.A. E.S.P. aplicable regulatoriamente corresponde al de 1997.</w:t>
      </w:r>
    </w:p>
    <w:p w14:paraId="6560562F" w14:textId="0AD55D48" w:rsidR="00503C58" w:rsidRDefault="005F18D4" w:rsidP="002E2193">
      <w:pPr>
        <w:autoSpaceDE w:val="0"/>
        <w:autoSpaceDN w:val="0"/>
        <w:adjustRightInd w:val="0"/>
        <w:rPr>
          <w:rFonts w:cs="Tahoma"/>
          <w:lang w:eastAsia="es-CO"/>
        </w:rPr>
      </w:pPr>
      <w:r w:rsidRPr="002E2193">
        <w:rPr>
          <w:rFonts w:cs="Tahoma"/>
          <w:lang w:eastAsia="es-CO"/>
        </w:rPr>
        <w:t>En aras de garantizar el debido proceso, la transparencia de la actuación y el derecho de defensa del recurrente,</w:t>
      </w:r>
      <w:r>
        <w:rPr>
          <w:rFonts w:ascii="ArialMT" w:hAnsi="ArialMT" w:cs="ArialMT"/>
          <w:lang w:val="es-CO" w:eastAsia="es-CO"/>
        </w:rPr>
        <w:t xml:space="preserve"> </w:t>
      </w:r>
      <w:r w:rsidR="00503C58">
        <w:rPr>
          <w:rFonts w:cs="Tahoma"/>
          <w:lang w:eastAsia="es-CO"/>
        </w:rPr>
        <w:t xml:space="preserve">mediante auto de pruebas del 26 de marzo de 2021, se abrió a pruebas la actuación administrativa iniciada con fundamento en la solicitud presentada por </w:t>
      </w:r>
      <w:r w:rsidR="00503C58" w:rsidRPr="002B4EAA">
        <w:rPr>
          <w:rFonts w:cs="Tahoma"/>
          <w:lang w:eastAsia="es-CO"/>
        </w:rPr>
        <w:t>PROMIGAS S.A.</w:t>
      </w:r>
      <w:r w:rsidR="00503C58">
        <w:rPr>
          <w:rFonts w:cs="Tahoma"/>
          <w:lang w:eastAsia="es-CO"/>
        </w:rPr>
        <w:t xml:space="preserve"> E.S.P. y se decretaron, de oficio, las siguientes pruebas:</w:t>
      </w:r>
    </w:p>
    <w:p w14:paraId="3BD73CD7" w14:textId="7A4596A5" w:rsidR="00503C58" w:rsidRPr="002E2193" w:rsidRDefault="00503C58">
      <w:pPr>
        <w:ind w:left="284" w:right="48"/>
        <w:rPr>
          <w:rFonts w:cs="Arial"/>
          <w:i/>
          <w:iCs/>
          <w:sz w:val="21"/>
          <w:szCs w:val="21"/>
        </w:rPr>
      </w:pPr>
      <w:r w:rsidRPr="002E2193">
        <w:rPr>
          <w:rFonts w:cs="Arial"/>
          <w:b/>
          <w:i/>
          <w:iCs/>
          <w:sz w:val="21"/>
          <w:szCs w:val="21"/>
        </w:rPr>
        <w:t xml:space="preserve">PRIMERO. </w:t>
      </w:r>
      <w:r w:rsidRPr="002E2193">
        <w:rPr>
          <w:rFonts w:cs="Arial"/>
          <w:i/>
          <w:iCs/>
          <w:sz w:val="21"/>
          <w:szCs w:val="21"/>
        </w:rPr>
        <w:t>Abrir a pruebas la presente actuación por el término de treinta (30) días calendario, contados a partir de la fecha de comunicación del presente auto a las partes.</w:t>
      </w:r>
    </w:p>
    <w:p w14:paraId="4B45CFEF" w14:textId="77777777" w:rsidR="00503C58" w:rsidRPr="002E2193" w:rsidRDefault="00503C58">
      <w:pPr>
        <w:ind w:left="284" w:right="48"/>
        <w:rPr>
          <w:rFonts w:cs="Arial"/>
          <w:i/>
          <w:iCs/>
          <w:sz w:val="21"/>
          <w:szCs w:val="21"/>
        </w:rPr>
      </w:pPr>
      <w:r w:rsidRPr="002E2193">
        <w:rPr>
          <w:rFonts w:cs="Arial"/>
          <w:b/>
          <w:bCs/>
          <w:i/>
          <w:iCs/>
          <w:sz w:val="21"/>
          <w:szCs w:val="21"/>
        </w:rPr>
        <w:t xml:space="preserve">SEGUNDO. </w:t>
      </w:r>
      <w:r w:rsidRPr="002E2193">
        <w:rPr>
          <w:rFonts w:cs="Arial"/>
          <w:i/>
          <w:iCs/>
          <w:sz w:val="21"/>
          <w:szCs w:val="21"/>
        </w:rPr>
        <w:t>Decretar una prueba de tipo documental para que, en un plazo de veinte (20) días calendario contados a partir del recibo de la comunicación mediante la cual se pone en conocimiento el presente auto, se indiquen los costos de reposición a nuevo del año 1997 a los cuales PROMIGAS S.A. E.S.P. valora los activos objeto de su solicitud. Así mismo, se solicita que se alleguen los documentos idóneos que soporten dichos costos de manera clara, explícita y precisa, tales como facturas, contratos de obra, órdenes de compra, entre otros. Para lo anterior deberá diligenciarse la información en el anexo adjunto al presente auto.</w:t>
      </w:r>
    </w:p>
    <w:p w14:paraId="5046D6C5" w14:textId="5AB1434F" w:rsidR="00503C58" w:rsidRPr="002E2193" w:rsidRDefault="00503C58">
      <w:pPr>
        <w:ind w:left="284" w:right="48"/>
        <w:rPr>
          <w:rFonts w:cs="Arial"/>
          <w:bCs/>
          <w:i/>
          <w:iCs/>
          <w:sz w:val="21"/>
          <w:szCs w:val="21"/>
        </w:rPr>
      </w:pPr>
      <w:r w:rsidRPr="002E2193">
        <w:rPr>
          <w:rFonts w:cs="Arial"/>
          <w:b/>
          <w:bCs/>
          <w:i/>
          <w:iCs/>
          <w:sz w:val="21"/>
          <w:szCs w:val="21"/>
        </w:rPr>
        <w:lastRenderedPageBreak/>
        <w:t xml:space="preserve">TERCERO. </w:t>
      </w:r>
      <w:r w:rsidRPr="002E2193">
        <w:rPr>
          <w:rFonts w:cs="Arial"/>
          <w:i/>
          <w:iCs/>
          <w:sz w:val="21"/>
          <w:szCs w:val="21"/>
        </w:rPr>
        <w:t>Comunicar la presente decisión a los representantes legales de las empresas PROMIGAS S.A. E.S.P. y GASES DEL CARIBE S.A. E.S.P. o a quien haga sus veces, advirtiéndole que contra el presente auto no procede recurso alguno de conformidad con lo dispuesto por el Artículo 40 del Código de Procedimiento Administrativo y de lo Contencioso Administrativo</w:t>
      </w:r>
      <w:r w:rsidRPr="002E2193">
        <w:rPr>
          <w:rFonts w:cs="Arial"/>
          <w:bCs/>
          <w:i/>
          <w:iCs/>
          <w:sz w:val="21"/>
          <w:szCs w:val="21"/>
        </w:rPr>
        <w:t xml:space="preserve">. </w:t>
      </w:r>
    </w:p>
    <w:p w14:paraId="48AA2054" w14:textId="582275CA" w:rsidR="00503C58" w:rsidRDefault="00503C58" w:rsidP="00503C58">
      <w:pPr>
        <w:autoSpaceDE w:val="0"/>
        <w:autoSpaceDN w:val="0"/>
        <w:adjustRightInd w:val="0"/>
        <w:rPr>
          <w:rFonts w:cs="Arial"/>
        </w:rPr>
      </w:pPr>
      <w:r>
        <w:rPr>
          <w:rFonts w:cs="Arial"/>
        </w:rPr>
        <w:t>La empresa, mediante comunicación radicada en la CREG bajo el número E</w:t>
      </w:r>
      <w:r w:rsidR="00FB5259">
        <w:rPr>
          <w:rFonts w:cs="Arial"/>
        </w:rPr>
        <w:noBreakHyphen/>
      </w:r>
      <w:r>
        <w:rPr>
          <w:rFonts w:cs="Arial"/>
        </w:rPr>
        <w:t>2021-004092 del 8 de abril de 2021, manifestó lo siguiente:</w:t>
      </w:r>
    </w:p>
    <w:p w14:paraId="41A70B69" w14:textId="7D483C03" w:rsidR="00503C58" w:rsidRPr="002E2193" w:rsidRDefault="00503C58">
      <w:pPr>
        <w:ind w:left="284" w:right="48"/>
        <w:rPr>
          <w:rFonts w:cs="Arial"/>
          <w:bCs/>
          <w:i/>
          <w:iCs/>
          <w:sz w:val="21"/>
          <w:szCs w:val="21"/>
        </w:rPr>
      </w:pPr>
      <w:r w:rsidRPr="002E2193">
        <w:rPr>
          <w:rFonts w:cs="Arial"/>
          <w:bCs/>
          <w:i/>
          <w:iCs/>
          <w:sz w:val="21"/>
          <w:szCs w:val="21"/>
        </w:rPr>
        <w:t>En atención al auto de la referencia, una vez el mismo fue enviado por la CREG, se inició la búsqueda de la documentación, en los términos como fue requerida.</w:t>
      </w:r>
    </w:p>
    <w:p w14:paraId="406D8D44" w14:textId="573334E0" w:rsidR="00503C58" w:rsidRPr="002E2193" w:rsidRDefault="00503C58">
      <w:pPr>
        <w:ind w:left="284" w:right="48"/>
        <w:rPr>
          <w:rFonts w:cs="Arial"/>
          <w:bCs/>
          <w:i/>
          <w:iCs/>
          <w:sz w:val="21"/>
          <w:szCs w:val="21"/>
        </w:rPr>
      </w:pPr>
      <w:r w:rsidRPr="002E2193">
        <w:rPr>
          <w:rFonts w:cs="Arial"/>
          <w:bCs/>
          <w:i/>
          <w:iCs/>
          <w:sz w:val="21"/>
          <w:szCs w:val="21"/>
        </w:rPr>
        <w:t xml:space="preserve">La información solicitada data de más de 20 años, en consecuencia, supera el límite legal para la conservación de correspondencia y de soportes contables; no </w:t>
      </w:r>
      <w:proofErr w:type="gramStart"/>
      <w:r w:rsidRPr="002E2193">
        <w:rPr>
          <w:rFonts w:cs="Arial"/>
          <w:bCs/>
          <w:i/>
          <w:iCs/>
          <w:sz w:val="21"/>
          <w:szCs w:val="21"/>
        </w:rPr>
        <w:t>obstante</w:t>
      </w:r>
      <w:proofErr w:type="gramEnd"/>
      <w:r w:rsidRPr="002E2193">
        <w:rPr>
          <w:rFonts w:cs="Arial"/>
          <w:bCs/>
          <w:i/>
          <w:iCs/>
          <w:sz w:val="21"/>
          <w:szCs w:val="21"/>
        </w:rPr>
        <w:t xml:space="preserve"> estamos haciendo las gestiones necesarias para cumplir con el requerimiento. Comedidamente solicitamos se nos conceda por lo menos 10 días hábiles más del tiempo original.</w:t>
      </w:r>
    </w:p>
    <w:p w14:paraId="45D1468A" w14:textId="3D0DBA13" w:rsidR="00503C58" w:rsidRDefault="00503C58" w:rsidP="00503C58">
      <w:pPr>
        <w:autoSpaceDE w:val="0"/>
        <w:autoSpaceDN w:val="0"/>
        <w:adjustRightInd w:val="0"/>
        <w:rPr>
          <w:rFonts w:cs="Arial"/>
        </w:rPr>
      </w:pPr>
      <w:r>
        <w:rPr>
          <w:rFonts w:cs="Arial"/>
        </w:rPr>
        <w:t>Así las cosas, mediante auto del 19 de abril de 2021,</w:t>
      </w:r>
      <w:r w:rsidRPr="00B95BDD">
        <w:rPr>
          <w:rFonts w:cs="Arial"/>
        </w:rPr>
        <w:t xml:space="preserve"> </w:t>
      </w:r>
      <w:r>
        <w:rPr>
          <w:rFonts w:cs="Arial"/>
        </w:rPr>
        <w:t>la Comisión amplió en ocho (8) días el p</w:t>
      </w:r>
      <w:r w:rsidR="00531296">
        <w:rPr>
          <w:rFonts w:cs="Arial"/>
        </w:rPr>
        <w:t>eríodo</w:t>
      </w:r>
      <w:r>
        <w:rPr>
          <w:rFonts w:cs="Arial"/>
        </w:rPr>
        <w:t xml:space="preserve"> probatorio decretado mediante el auto del 26 de marzo de 2021</w:t>
      </w:r>
      <w:r w:rsidR="00FB5259">
        <w:rPr>
          <w:rFonts w:cs="Arial"/>
        </w:rPr>
        <w:t>,</w:t>
      </w:r>
      <w:r>
        <w:rPr>
          <w:rFonts w:cs="Arial"/>
        </w:rPr>
        <w:t xml:space="preserve"> y amplió el plazo para que la empresa remitiera la información solicitada hasta el 3 de mayo de 2021.</w:t>
      </w:r>
    </w:p>
    <w:p w14:paraId="088BF800" w14:textId="4F6DF13A" w:rsidR="00503C58" w:rsidRDefault="00503C58" w:rsidP="00503C58">
      <w:pPr>
        <w:autoSpaceDE w:val="0"/>
        <w:autoSpaceDN w:val="0"/>
        <w:adjustRightInd w:val="0"/>
        <w:rPr>
          <w:rFonts w:cs="Tahoma"/>
          <w:lang w:eastAsia="es-CO"/>
        </w:rPr>
      </w:pPr>
      <w:r>
        <w:rPr>
          <w:rFonts w:cs="Tahoma"/>
          <w:lang w:eastAsia="es-CO"/>
        </w:rPr>
        <w:t>Mediante comunicaciones radicadas en la CREG con los números E-2021-004357 del 16 de abril de 2021 y E-2021-</w:t>
      </w:r>
      <w:r w:rsidR="00211ACD">
        <w:rPr>
          <w:rFonts w:cs="Tahoma"/>
          <w:lang w:eastAsia="es-CO"/>
        </w:rPr>
        <w:t>00</w:t>
      </w:r>
      <w:r>
        <w:rPr>
          <w:rFonts w:cs="Tahoma"/>
          <w:lang w:eastAsia="es-CO"/>
        </w:rPr>
        <w:t>4658 del 26 de abril de 2021, la empresa dio respuesta al auto de pruebas del 26 de marzo de 2021.</w:t>
      </w:r>
    </w:p>
    <w:p w14:paraId="7CB5BFA2" w14:textId="52A82FC3" w:rsidR="00503C58" w:rsidRDefault="00503C58" w:rsidP="00503C58">
      <w:pPr>
        <w:adjustRightInd w:val="0"/>
        <w:rPr>
          <w:rFonts w:cs="Arial"/>
          <w:bCs/>
        </w:rPr>
      </w:pPr>
      <w:r>
        <w:rPr>
          <w:rFonts w:cs="Arial"/>
          <w:bCs/>
        </w:rPr>
        <w:t>En el formato remitido por la CREG para efectos de que la empresa reportara los costos solicitados, la empresa no los reportó</w:t>
      </w:r>
      <w:r w:rsidR="00FB5259">
        <w:rPr>
          <w:rFonts w:cs="Arial"/>
          <w:bCs/>
        </w:rPr>
        <w:t>,</w:t>
      </w:r>
      <w:r>
        <w:rPr>
          <w:rFonts w:cs="Arial"/>
          <w:bCs/>
        </w:rPr>
        <w:t xml:space="preserve"> e hiz</w:t>
      </w:r>
      <w:r w:rsidR="003F7625">
        <w:rPr>
          <w:rFonts w:cs="Arial"/>
          <w:bCs/>
        </w:rPr>
        <w:t>o</w:t>
      </w:r>
      <w:r>
        <w:rPr>
          <w:rFonts w:cs="Arial"/>
          <w:bCs/>
        </w:rPr>
        <w:t xml:space="preserve"> la siguiente aclaración al respecto:</w:t>
      </w:r>
    </w:p>
    <w:p w14:paraId="6385AD6C" w14:textId="77777777" w:rsidR="00503C58" w:rsidRPr="002E2193" w:rsidRDefault="00503C58" w:rsidP="002E2193">
      <w:pPr>
        <w:ind w:left="284"/>
        <w:rPr>
          <w:rFonts w:cs="Arial"/>
          <w:bCs/>
          <w:i/>
          <w:iCs/>
          <w:sz w:val="21"/>
          <w:szCs w:val="21"/>
        </w:rPr>
      </w:pPr>
      <w:r w:rsidRPr="002E2193">
        <w:rPr>
          <w:rFonts w:cs="Arial"/>
          <w:bCs/>
          <w:i/>
          <w:iCs/>
          <w:sz w:val="21"/>
          <w:szCs w:val="21"/>
        </w:rPr>
        <w:t>“El dato del costo de los activos, se explica en la hoja adicional (INFORMACIÓN COSTOS), con base en la información que se pudo recolectar”.</w:t>
      </w:r>
    </w:p>
    <w:p w14:paraId="1A5B06F1" w14:textId="353814D0" w:rsidR="00503C58" w:rsidRDefault="00503C58" w:rsidP="00503C58">
      <w:pPr>
        <w:adjustRightInd w:val="0"/>
        <w:rPr>
          <w:rFonts w:cs="Arial"/>
          <w:bCs/>
        </w:rPr>
      </w:pPr>
      <w:r>
        <w:rPr>
          <w:rFonts w:cs="Arial"/>
          <w:bCs/>
        </w:rPr>
        <w:t xml:space="preserve">La información de costos reportada por la empresa en la hoja “INFORMACIÓN COSTOS” se muestra en la </w:t>
      </w:r>
      <w:r>
        <w:rPr>
          <w:rFonts w:cs="Arial"/>
          <w:bCs/>
        </w:rPr>
        <w:fldChar w:fldCharType="begin"/>
      </w:r>
      <w:r>
        <w:rPr>
          <w:rFonts w:cs="Arial"/>
          <w:bCs/>
        </w:rPr>
        <w:instrText xml:space="preserve"> REF _Ref77598344 \h  \* MERGEFORMAT </w:instrText>
      </w:r>
      <w:r>
        <w:rPr>
          <w:rFonts w:cs="Arial"/>
          <w:bCs/>
        </w:rPr>
      </w:r>
      <w:r>
        <w:rPr>
          <w:rFonts w:cs="Arial"/>
          <w:bCs/>
        </w:rPr>
        <w:fldChar w:fldCharType="separate"/>
      </w:r>
      <w:r w:rsidR="0079362E" w:rsidRPr="0079362E">
        <w:t xml:space="preserve">Tabla </w:t>
      </w:r>
      <w:r w:rsidR="0079362E" w:rsidRPr="0079362E">
        <w:rPr>
          <w:noProof/>
        </w:rPr>
        <w:t>2</w:t>
      </w:r>
      <w:r>
        <w:rPr>
          <w:rFonts w:cs="Arial"/>
          <w:bCs/>
        </w:rPr>
        <w:fldChar w:fldCharType="end"/>
      </w:r>
      <w:r>
        <w:rPr>
          <w:rFonts w:cs="Arial"/>
          <w:bCs/>
        </w:rPr>
        <w:t>.</w:t>
      </w:r>
    </w:p>
    <w:p w14:paraId="312604F2" w14:textId="7A8D48B8" w:rsidR="00503C58" w:rsidRDefault="00503C58" w:rsidP="002E2193">
      <w:pPr>
        <w:pStyle w:val="Descripcin"/>
        <w:keepNext/>
        <w:keepLines/>
        <w:spacing w:line="240" w:lineRule="auto"/>
        <w:rPr>
          <w:rFonts w:cs="Arial"/>
          <w:i/>
          <w:iCs/>
        </w:rPr>
      </w:pPr>
      <w:bookmarkStart w:id="5" w:name="_Ref77598344"/>
      <w:r w:rsidRPr="006D6F10">
        <w:rPr>
          <w:b/>
          <w:bCs/>
        </w:rPr>
        <w:t xml:space="preserve">Tabla </w:t>
      </w:r>
      <w:r w:rsidRPr="006D6F10">
        <w:rPr>
          <w:b/>
          <w:bCs/>
          <w:i/>
          <w:iCs/>
        </w:rPr>
        <w:fldChar w:fldCharType="begin"/>
      </w:r>
      <w:r w:rsidRPr="006D6F10">
        <w:rPr>
          <w:b/>
          <w:bCs/>
        </w:rPr>
        <w:instrText xml:space="preserve"> SEQ Tabla \* ARABIC </w:instrText>
      </w:r>
      <w:r w:rsidRPr="006D6F10">
        <w:rPr>
          <w:b/>
          <w:bCs/>
          <w:i/>
          <w:iCs/>
        </w:rPr>
        <w:fldChar w:fldCharType="separate"/>
      </w:r>
      <w:r w:rsidR="0079362E">
        <w:rPr>
          <w:b/>
          <w:bCs/>
          <w:noProof/>
        </w:rPr>
        <w:t>2</w:t>
      </w:r>
      <w:r w:rsidRPr="006D6F10">
        <w:rPr>
          <w:b/>
          <w:bCs/>
          <w:i/>
          <w:iCs/>
        </w:rPr>
        <w:fldChar w:fldCharType="end"/>
      </w:r>
      <w:bookmarkEnd w:id="5"/>
      <w:r w:rsidRPr="006D6F10">
        <w:rPr>
          <w:b/>
          <w:bCs/>
        </w:rPr>
        <w:t>.</w:t>
      </w:r>
      <w:r w:rsidRPr="006D6F10">
        <w:t xml:space="preserve"> C</w:t>
      </w:r>
      <w:r w:rsidRPr="006D6F10">
        <w:rPr>
          <w:rFonts w:cs="Arial"/>
        </w:rPr>
        <w:t>o</w:t>
      </w:r>
      <w:r>
        <w:rPr>
          <w:rFonts w:cs="Arial"/>
        </w:rPr>
        <w:t>stos de los activos que conforman la red de distribución de Barranquilla, reportados por PROMIGAS S.A. E.S.P. mediante radicado CREG E-2021-004658.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63"/>
        <w:gridCol w:w="2419"/>
        <w:gridCol w:w="1247"/>
        <w:gridCol w:w="1000"/>
        <w:gridCol w:w="1017"/>
      </w:tblGrid>
      <w:tr w:rsidR="00503C58" w:rsidRPr="00291299" w14:paraId="540F5605" w14:textId="77777777" w:rsidTr="005026F3">
        <w:trPr>
          <w:trHeight w:val="506"/>
          <w:tblHeader/>
        </w:trPr>
        <w:tc>
          <w:tcPr>
            <w:tcW w:w="1960" w:type="pct"/>
            <w:shd w:val="clear" w:color="auto" w:fill="D9D9D9" w:themeFill="background1" w:themeFillShade="D9"/>
            <w:noWrap/>
            <w:vAlign w:val="center"/>
            <w:hideMark/>
          </w:tcPr>
          <w:p w14:paraId="1A989700" w14:textId="77777777" w:rsidR="00503C58" w:rsidRPr="002E2193" w:rsidRDefault="00503C58" w:rsidP="005026F3">
            <w:pPr>
              <w:spacing w:before="0" w:after="0"/>
              <w:jc w:val="center"/>
              <w:rPr>
                <w:rFonts w:cs="Arial"/>
                <w:b/>
                <w:bCs/>
                <w:color w:val="000000"/>
                <w:sz w:val="20"/>
                <w:szCs w:val="20"/>
                <w:lang w:val="es-CO" w:eastAsia="es-CO"/>
              </w:rPr>
            </w:pPr>
            <w:r w:rsidRPr="002E2193">
              <w:rPr>
                <w:rFonts w:cs="Arial"/>
                <w:b/>
                <w:bCs/>
                <w:color w:val="000000"/>
                <w:sz w:val="20"/>
                <w:szCs w:val="20"/>
                <w:lang w:val="es-CO" w:eastAsia="es-CO"/>
              </w:rPr>
              <w:t>Documento</w:t>
            </w:r>
          </w:p>
        </w:tc>
        <w:tc>
          <w:tcPr>
            <w:tcW w:w="1294" w:type="pct"/>
            <w:shd w:val="clear" w:color="auto" w:fill="D9D9D9" w:themeFill="background1" w:themeFillShade="D9"/>
            <w:noWrap/>
            <w:vAlign w:val="center"/>
            <w:hideMark/>
          </w:tcPr>
          <w:p w14:paraId="6AE5A1BB" w14:textId="77777777" w:rsidR="00503C58" w:rsidRPr="002E2193" w:rsidRDefault="00503C58" w:rsidP="005026F3">
            <w:pPr>
              <w:spacing w:before="0" w:after="0"/>
              <w:jc w:val="center"/>
              <w:rPr>
                <w:rFonts w:cs="Arial"/>
                <w:b/>
                <w:bCs/>
                <w:color w:val="000000"/>
                <w:sz w:val="20"/>
                <w:szCs w:val="20"/>
                <w:lang w:val="es-CO" w:eastAsia="es-CO"/>
              </w:rPr>
            </w:pPr>
            <w:r w:rsidRPr="002E2193">
              <w:rPr>
                <w:rFonts w:cs="Arial"/>
                <w:b/>
                <w:bCs/>
                <w:color w:val="000000"/>
                <w:sz w:val="20"/>
                <w:szCs w:val="20"/>
                <w:lang w:val="es-CO" w:eastAsia="es-CO"/>
              </w:rPr>
              <w:t>Obra</w:t>
            </w:r>
          </w:p>
        </w:tc>
        <w:tc>
          <w:tcPr>
            <w:tcW w:w="667" w:type="pct"/>
            <w:shd w:val="clear" w:color="auto" w:fill="D9D9D9" w:themeFill="background1" w:themeFillShade="D9"/>
            <w:noWrap/>
            <w:vAlign w:val="center"/>
            <w:hideMark/>
          </w:tcPr>
          <w:p w14:paraId="067A6EC2" w14:textId="5FCDD8DD" w:rsidR="00503C58" w:rsidRPr="002E2193" w:rsidRDefault="00503C58" w:rsidP="005026F3">
            <w:pPr>
              <w:spacing w:before="0" w:after="0"/>
              <w:jc w:val="center"/>
              <w:rPr>
                <w:rFonts w:cs="Arial"/>
                <w:b/>
                <w:bCs/>
                <w:color w:val="000000"/>
                <w:sz w:val="20"/>
                <w:szCs w:val="20"/>
                <w:lang w:val="es-CO" w:eastAsia="es-CO"/>
              </w:rPr>
            </w:pPr>
            <w:r w:rsidRPr="002E2193">
              <w:rPr>
                <w:rFonts w:cs="Arial"/>
                <w:b/>
                <w:bCs/>
                <w:color w:val="000000"/>
                <w:sz w:val="20"/>
                <w:szCs w:val="20"/>
                <w:lang w:val="es-CO" w:eastAsia="es-CO"/>
              </w:rPr>
              <w:t>Longitud (</w:t>
            </w:r>
            <w:r w:rsidR="002540A4" w:rsidRPr="002E2193">
              <w:rPr>
                <w:rFonts w:cs="Arial"/>
                <w:b/>
                <w:bCs/>
                <w:color w:val="000000"/>
                <w:sz w:val="20"/>
                <w:szCs w:val="20"/>
                <w:lang w:val="es-CO" w:eastAsia="es-CO"/>
              </w:rPr>
              <w:t>m</w:t>
            </w:r>
            <w:r w:rsidRPr="002E2193">
              <w:rPr>
                <w:rFonts w:cs="Arial"/>
                <w:b/>
                <w:bCs/>
                <w:color w:val="000000"/>
                <w:sz w:val="20"/>
                <w:szCs w:val="20"/>
                <w:lang w:val="es-CO" w:eastAsia="es-CO"/>
              </w:rPr>
              <w:t>)</w:t>
            </w:r>
          </w:p>
        </w:tc>
        <w:tc>
          <w:tcPr>
            <w:tcW w:w="535" w:type="pct"/>
            <w:shd w:val="clear" w:color="auto" w:fill="D9D9D9" w:themeFill="background1" w:themeFillShade="D9"/>
            <w:noWrap/>
            <w:vAlign w:val="center"/>
            <w:hideMark/>
          </w:tcPr>
          <w:p w14:paraId="21F7CAA4" w14:textId="77777777" w:rsidR="00503C58" w:rsidRPr="002E2193" w:rsidRDefault="00503C58" w:rsidP="005026F3">
            <w:pPr>
              <w:spacing w:before="0" w:after="0"/>
              <w:jc w:val="center"/>
              <w:rPr>
                <w:rFonts w:cs="Arial"/>
                <w:b/>
                <w:bCs/>
                <w:color w:val="000000"/>
                <w:sz w:val="20"/>
                <w:szCs w:val="20"/>
                <w:lang w:val="es-CO" w:eastAsia="es-CO"/>
              </w:rPr>
            </w:pPr>
            <w:r w:rsidRPr="002E2193">
              <w:rPr>
                <w:rFonts w:cs="Arial"/>
                <w:b/>
                <w:bCs/>
                <w:color w:val="000000"/>
                <w:sz w:val="20"/>
                <w:szCs w:val="20"/>
                <w:lang w:val="es-CO" w:eastAsia="es-CO"/>
              </w:rPr>
              <w:t>COP MM</w:t>
            </w:r>
          </w:p>
        </w:tc>
        <w:tc>
          <w:tcPr>
            <w:tcW w:w="544" w:type="pct"/>
            <w:shd w:val="clear" w:color="auto" w:fill="D9D9D9" w:themeFill="background1" w:themeFillShade="D9"/>
            <w:noWrap/>
            <w:vAlign w:val="center"/>
            <w:hideMark/>
          </w:tcPr>
          <w:p w14:paraId="3A25B7F7" w14:textId="77777777" w:rsidR="00503C58" w:rsidRPr="002E2193" w:rsidRDefault="00503C58" w:rsidP="005026F3">
            <w:pPr>
              <w:spacing w:before="0" w:after="0"/>
              <w:jc w:val="center"/>
              <w:rPr>
                <w:rFonts w:cs="Arial"/>
                <w:b/>
                <w:bCs/>
                <w:color w:val="000000"/>
                <w:sz w:val="20"/>
                <w:szCs w:val="20"/>
                <w:lang w:val="es-CO" w:eastAsia="es-CO"/>
              </w:rPr>
            </w:pPr>
            <w:r w:rsidRPr="002E2193">
              <w:rPr>
                <w:rFonts w:cs="Arial"/>
                <w:b/>
                <w:bCs/>
                <w:color w:val="000000"/>
                <w:sz w:val="20"/>
                <w:szCs w:val="20"/>
                <w:lang w:val="es-CO" w:eastAsia="es-CO"/>
              </w:rPr>
              <w:t>Años COP</w:t>
            </w:r>
          </w:p>
        </w:tc>
      </w:tr>
      <w:tr w:rsidR="00503C58" w:rsidRPr="00291299" w14:paraId="4DF48358" w14:textId="77777777" w:rsidTr="005026F3">
        <w:trPr>
          <w:trHeight w:val="506"/>
        </w:trPr>
        <w:tc>
          <w:tcPr>
            <w:tcW w:w="1960" w:type="pct"/>
            <w:shd w:val="clear" w:color="auto" w:fill="auto"/>
            <w:noWrap/>
            <w:vAlign w:val="center"/>
            <w:hideMark/>
          </w:tcPr>
          <w:p w14:paraId="6B63EF1B" w14:textId="77777777" w:rsidR="00503C58" w:rsidRPr="002E2193" w:rsidRDefault="00503C58" w:rsidP="00BE6EBF">
            <w:pPr>
              <w:spacing w:before="0" w:after="0"/>
              <w:jc w:val="left"/>
              <w:rPr>
                <w:rFonts w:cs="Arial"/>
                <w:color w:val="000000"/>
                <w:sz w:val="20"/>
                <w:szCs w:val="20"/>
                <w:lang w:val="es-CO" w:eastAsia="es-CO"/>
              </w:rPr>
            </w:pPr>
            <w:r w:rsidRPr="002E2193">
              <w:rPr>
                <w:rFonts w:cs="Arial"/>
                <w:color w:val="000000"/>
                <w:sz w:val="20"/>
                <w:szCs w:val="20"/>
                <w:lang w:val="es-CO" w:eastAsia="es-CO"/>
              </w:rPr>
              <w:t>OB151D - Avalúo a julio 1991</w:t>
            </w:r>
          </w:p>
        </w:tc>
        <w:tc>
          <w:tcPr>
            <w:tcW w:w="1294" w:type="pct"/>
            <w:shd w:val="clear" w:color="auto" w:fill="auto"/>
            <w:noWrap/>
            <w:vAlign w:val="center"/>
            <w:hideMark/>
          </w:tcPr>
          <w:p w14:paraId="73D8D139" w14:textId="77777777" w:rsidR="00503C58" w:rsidRPr="002E2193" w:rsidRDefault="00503C58" w:rsidP="00244BE4">
            <w:pPr>
              <w:spacing w:before="0" w:after="0"/>
              <w:jc w:val="left"/>
              <w:rPr>
                <w:rFonts w:cs="Arial"/>
                <w:color w:val="000000"/>
                <w:sz w:val="20"/>
                <w:szCs w:val="20"/>
                <w:lang w:val="es-CO" w:eastAsia="es-CO"/>
              </w:rPr>
            </w:pPr>
            <w:r w:rsidRPr="002E2193">
              <w:rPr>
                <w:rFonts w:cs="Arial"/>
                <w:color w:val="000000"/>
                <w:sz w:val="20"/>
                <w:szCs w:val="20"/>
                <w:lang w:val="es-CO" w:eastAsia="es-CO"/>
              </w:rPr>
              <w:t>Petroquímica</w:t>
            </w:r>
          </w:p>
        </w:tc>
        <w:tc>
          <w:tcPr>
            <w:tcW w:w="667" w:type="pct"/>
            <w:shd w:val="clear" w:color="auto" w:fill="auto"/>
            <w:noWrap/>
            <w:vAlign w:val="center"/>
            <w:hideMark/>
          </w:tcPr>
          <w:p w14:paraId="5FDF5FA2"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xml:space="preserve">20,968 </w:t>
            </w:r>
          </w:p>
        </w:tc>
        <w:tc>
          <w:tcPr>
            <w:tcW w:w="535" w:type="pct"/>
            <w:shd w:val="clear" w:color="auto" w:fill="auto"/>
            <w:noWrap/>
            <w:vAlign w:val="center"/>
            <w:hideMark/>
          </w:tcPr>
          <w:p w14:paraId="1764A14C"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$ 1,434</w:t>
            </w:r>
          </w:p>
        </w:tc>
        <w:tc>
          <w:tcPr>
            <w:tcW w:w="544" w:type="pct"/>
            <w:shd w:val="clear" w:color="auto" w:fill="auto"/>
            <w:noWrap/>
            <w:vAlign w:val="center"/>
            <w:hideMark/>
          </w:tcPr>
          <w:p w14:paraId="0A8C931D"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1991</w:t>
            </w:r>
          </w:p>
        </w:tc>
      </w:tr>
      <w:tr w:rsidR="00503C58" w:rsidRPr="00291299" w14:paraId="5A5F5535" w14:textId="77777777" w:rsidTr="005026F3">
        <w:trPr>
          <w:trHeight w:val="506"/>
        </w:trPr>
        <w:tc>
          <w:tcPr>
            <w:tcW w:w="1960" w:type="pct"/>
            <w:shd w:val="clear" w:color="auto" w:fill="auto"/>
            <w:noWrap/>
            <w:vAlign w:val="center"/>
            <w:hideMark/>
          </w:tcPr>
          <w:p w14:paraId="385FAF92" w14:textId="77777777" w:rsidR="00503C58" w:rsidRPr="002E2193" w:rsidRDefault="00503C58" w:rsidP="00BE6EBF">
            <w:pPr>
              <w:spacing w:before="0" w:after="0"/>
              <w:jc w:val="left"/>
              <w:rPr>
                <w:rFonts w:cs="Arial"/>
                <w:color w:val="000000"/>
                <w:sz w:val="20"/>
                <w:szCs w:val="20"/>
                <w:lang w:val="es-CO" w:eastAsia="es-CO"/>
              </w:rPr>
            </w:pPr>
            <w:r w:rsidRPr="002E2193">
              <w:rPr>
                <w:rFonts w:cs="Arial"/>
                <w:color w:val="000000"/>
                <w:sz w:val="20"/>
                <w:szCs w:val="20"/>
                <w:lang w:val="es-CO" w:eastAsia="es-CO"/>
              </w:rPr>
              <w:t>OBCBCD - Escritura compra de sistema a Petroquímica</w:t>
            </w:r>
          </w:p>
        </w:tc>
        <w:tc>
          <w:tcPr>
            <w:tcW w:w="1294" w:type="pct"/>
            <w:shd w:val="clear" w:color="auto" w:fill="auto"/>
            <w:noWrap/>
            <w:vAlign w:val="center"/>
            <w:hideMark/>
          </w:tcPr>
          <w:p w14:paraId="49DF3D65" w14:textId="77777777" w:rsidR="00503C58" w:rsidRPr="002E2193" w:rsidRDefault="00503C58" w:rsidP="00244BE4">
            <w:pPr>
              <w:spacing w:before="0" w:after="0"/>
              <w:jc w:val="left"/>
              <w:rPr>
                <w:rFonts w:cs="Arial"/>
                <w:color w:val="000000"/>
                <w:sz w:val="20"/>
                <w:szCs w:val="20"/>
                <w:lang w:val="es-CO" w:eastAsia="es-CO"/>
              </w:rPr>
            </w:pPr>
            <w:r w:rsidRPr="002E2193">
              <w:rPr>
                <w:rFonts w:cs="Arial"/>
                <w:color w:val="000000"/>
                <w:sz w:val="20"/>
                <w:szCs w:val="20"/>
                <w:lang w:val="es-CO" w:eastAsia="es-CO"/>
              </w:rPr>
              <w:t>Petroquímica</w:t>
            </w:r>
          </w:p>
        </w:tc>
        <w:tc>
          <w:tcPr>
            <w:tcW w:w="667" w:type="pct"/>
            <w:shd w:val="clear" w:color="auto" w:fill="auto"/>
            <w:noWrap/>
            <w:vAlign w:val="center"/>
            <w:hideMark/>
          </w:tcPr>
          <w:p w14:paraId="14431EDD"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xml:space="preserve">21,445 </w:t>
            </w:r>
          </w:p>
        </w:tc>
        <w:tc>
          <w:tcPr>
            <w:tcW w:w="535" w:type="pct"/>
            <w:shd w:val="clear" w:color="auto" w:fill="auto"/>
            <w:noWrap/>
            <w:vAlign w:val="center"/>
            <w:hideMark/>
          </w:tcPr>
          <w:p w14:paraId="6E03CF96"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$ 480</w:t>
            </w:r>
          </w:p>
        </w:tc>
        <w:tc>
          <w:tcPr>
            <w:tcW w:w="544" w:type="pct"/>
            <w:shd w:val="clear" w:color="auto" w:fill="auto"/>
            <w:noWrap/>
            <w:vAlign w:val="center"/>
            <w:hideMark/>
          </w:tcPr>
          <w:p w14:paraId="233F9C63"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1994</w:t>
            </w:r>
          </w:p>
        </w:tc>
      </w:tr>
      <w:tr w:rsidR="00503C58" w:rsidRPr="00291299" w14:paraId="049E51C6" w14:textId="77777777" w:rsidTr="005026F3">
        <w:trPr>
          <w:trHeight w:val="506"/>
        </w:trPr>
        <w:tc>
          <w:tcPr>
            <w:tcW w:w="1960" w:type="pct"/>
            <w:shd w:val="clear" w:color="auto" w:fill="auto"/>
            <w:noWrap/>
            <w:vAlign w:val="center"/>
            <w:hideMark/>
          </w:tcPr>
          <w:p w14:paraId="1654CAE4" w14:textId="77777777" w:rsidR="00503C58" w:rsidRPr="002E2193" w:rsidRDefault="00503C58" w:rsidP="00BE6EBF">
            <w:pPr>
              <w:spacing w:before="0" w:after="0"/>
              <w:jc w:val="left"/>
              <w:rPr>
                <w:rFonts w:cs="Arial"/>
                <w:color w:val="000000"/>
                <w:sz w:val="20"/>
                <w:szCs w:val="20"/>
                <w:lang w:val="es-CO" w:eastAsia="es-CO"/>
              </w:rPr>
            </w:pPr>
            <w:r w:rsidRPr="002E2193">
              <w:rPr>
                <w:rFonts w:cs="Arial"/>
                <w:color w:val="000000"/>
                <w:sz w:val="20"/>
                <w:szCs w:val="20"/>
                <w:lang w:val="es-CO" w:eastAsia="es-CO"/>
              </w:rPr>
              <w:t>Informe Adecuación Tubería 10 pulgadas</w:t>
            </w:r>
          </w:p>
        </w:tc>
        <w:tc>
          <w:tcPr>
            <w:tcW w:w="1294" w:type="pct"/>
            <w:shd w:val="clear" w:color="auto" w:fill="auto"/>
            <w:noWrap/>
            <w:vAlign w:val="center"/>
            <w:hideMark/>
          </w:tcPr>
          <w:p w14:paraId="4DF8513D" w14:textId="77777777" w:rsidR="00503C58" w:rsidRPr="002E2193" w:rsidRDefault="00503C58" w:rsidP="00244BE4">
            <w:pPr>
              <w:spacing w:before="0" w:after="0"/>
              <w:jc w:val="left"/>
              <w:rPr>
                <w:rFonts w:cs="Arial"/>
                <w:color w:val="000000"/>
                <w:sz w:val="20"/>
                <w:szCs w:val="20"/>
                <w:lang w:val="es-CO" w:eastAsia="es-CO"/>
              </w:rPr>
            </w:pPr>
            <w:r w:rsidRPr="002E2193">
              <w:rPr>
                <w:rFonts w:cs="Arial"/>
                <w:color w:val="000000"/>
                <w:sz w:val="20"/>
                <w:szCs w:val="20"/>
                <w:lang w:val="es-CO" w:eastAsia="es-CO"/>
              </w:rPr>
              <w:t>Anillo Circunvalar</w:t>
            </w:r>
          </w:p>
        </w:tc>
        <w:tc>
          <w:tcPr>
            <w:tcW w:w="667" w:type="pct"/>
            <w:shd w:val="clear" w:color="auto" w:fill="auto"/>
            <w:noWrap/>
            <w:vAlign w:val="center"/>
            <w:hideMark/>
          </w:tcPr>
          <w:p w14:paraId="4A5164C8"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xml:space="preserve">21,020 </w:t>
            </w:r>
          </w:p>
        </w:tc>
        <w:tc>
          <w:tcPr>
            <w:tcW w:w="535" w:type="pct"/>
            <w:shd w:val="clear" w:color="auto" w:fill="auto"/>
            <w:noWrap/>
            <w:vAlign w:val="center"/>
            <w:hideMark/>
          </w:tcPr>
          <w:p w14:paraId="2F941B68"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$ 106</w:t>
            </w:r>
          </w:p>
        </w:tc>
        <w:tc>
          <w:tcPr>
            <w:tcW w:w="544" w:type="pct"/>
            <w:shd w:val="clear" w:color="auto" w:fill="auto"/>
            <w:noWrap/>
            <w:vAlign w:val="center"/>
            <w:hideMark/>
          </w:tcPr>
          <w:p w14:paraId="5FEC3AF2"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1988</w:t>
            </w:r>
          </w:p>
        </w:tc>
      </w:tr>
      <w:tr w:rsidR="00503C58" w:rsidRPr="00291299" w14:paraId="08244838" w14:textId="77777777" w:rsidTr="005026F3">
        <w:trPr>
          <w:trHeight w:val="506"/>
        </w:trPr>
        <w:tc>
          <w:tcPr>
            <w:tcW w:w="1960" w:type="pct"/>
            <w:shd w:val="clear" w:color="auto" w:fill="auto"/>
            <w:noWrap/>
            <w:vAlign w:val="center"/>
            <w:hideMark/>
          </w:tcPr>
          <w:p w14:paraId="48B3D612" w14:textId="77777777" w:rsidR="00503C58" w:rsidRPr="002E2193" w:rsidRDefault="00503C58" w:rsidP="00BE6EBF">
            <w:pPr>
              <w:spacing w:before="0" w:after="0"/>
              <w:jc w:val="left"/>
              <w:rPr>
                <w:rFonts w:cs="Arial"/>
                <w:color w:val="000000"/>
                <w:sz w:val="20"/>
                <w:szCs w:val="20"/>
                <w:lang w:val="es-CO" w:eastAsia="es-CO"/>
              </w:rPr>
            </w:pPr>
            <w:r w:rsidRPr="002E2193">
              <w:rPr>
                <w:rFonts w:cs="Arial"/>
                <w:color w:val="000000"/>
                <w:sz w:val="20"/>
                <w:szCs w:val="20"/>
                <w:lang w:val="es-CO" w:eastAsia="es-CO"/>
              </w:rPr>
              <w:t>Informe de Obra Anillo Circunvalar</w:t>
            </w:r>
          </w:p>
        </w:tc>
        <w:tc>
          <w:tcPr>
            <w:tcW w:w="1294" w:type="pct"/>
            <w:shd w:val="clear" w:color="auto" w:fill="auto"/>
            <w:noWrap/>
            <w:vAlign w:val="center"/>
            <w:hideMark/>
          </w:tcPr>
          <w:p w14:paraId="362852C5" w14:textId="77777777" w:rsidR="00503C58" w:rsidRPr="002E2193" w:rsidRDefault="00503C58" w:rsidP="00244BE4">
            <w:pPr>
              <w:spacing w:before="0" w:after="0"/>
              <w:jc w:val="left"/>
              <w:rPr>
                <w:rFonts w:cs="Arial"/>
                <w:color w:val="000000"/>
                <w:sz w:val="20"/>
                <w:szCs w:val="20"/>
                <w:lang w:val="es-CO" w:eastAsia="es-CO"/>
              </w:rPr>
            </w:pPr>
            <w:r w:rsidRPr="002E2193">
              <w:rPr>
                <w:rFonts w:cs="Arial"/>
                <w:color w:val="000000"/>
                <w:sz w:val="20"/>
                <w:szCs w:val="20"/>
                <w:lang w:val="es-CO" w:eastAsia="es-CO"/>
              </w:rPr>
              <w:t>Anillo Circunvalar</w:t>
            </w:r>
          </w:p>
        </w:tc>
        <w:tc>
          <w:tcPr>
            <w:tcW w:w="667" w:type="pct"/>
            <w:shd w:val="clear" w:color="auto" w:fill="auto"/>
            <w:noWrap/>
            <w:vAlign w:val="center"/>
            <w:hideMark/>
          </w:tcPr>
          <w:p w14:paraId="43FC2E6D"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xml:space="preserve">20,500 </w:t>
            </w:r>
          </w:p>
        </w:tc>
        <w:tc>
          <w:tcPr>
            <w:tcW w:w="535" w:type="pct"/>
            <w:shd w:val="clear" w:color="auto" w:fill="auto"/>
            <w:noWrap/>
            <w:vAlign w:val="center"/>
            <w:hideMark/>
          </w:tcPr>
          <w:p w14:paraId="3C8DE3CA"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$ 306</w:t>
            </w:r>
          </w:p>
        </w:tc>
        <w:tc>
          <w:tcPr>
            <w:tcW w:w="544" w:type="pct"/>
            <w:shd w:val="clear" w:color="auto" w:fill="auto"/>
            <w:noWrap/>
            <w:vAlign w:val="center"/>
            <w:hideMark/>
          </w:tcPr>
          <w:p w14:paraId="2A688E35"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1989</w:t>
            </w:r>
          </w:p>
        </w:tc>
      </w:tr>
      <w:tr w:rsidR="00503C58" w:rsidRPr="00291299" w14:paraId="6A658A67" w14:textId="77777777" w:rsidTr="005026F3">
        <w:trPr>
          <w:trHeight w:val="506"/>
        </w:trPr>
        <w:tc>
          <w:tcPr>
            <w:tcW w:w="1960" w:type="pct"/>
            <w:shd w:val="clear" w:color="auto" w:fill="auto"/>
            <w:vAlign w:val="center"/>
            <w:hideMark/>
          </w:tcPr>
          <w:p w14:paraId="72F35253" w14:textId="77777777" w:rsidR="00503C58" w:rsidRPr="002E2193" w:rsidRDefault="00503C58" w:rsidP="00BE6EBF">
            <w:pPr>
              <w:spacing w:before="0" w:after="0"/>
              <w:jc w:val="left"/>
              <w:rPr>
                <w:rFonts w:cs="Arial"/>
                <w:color w:val="000000"/>
                <w:sz w:val="20"/>
                <w:szCs w:val="20"/>
                <w:lang w:val="es-CO" w:eastAsia="es-CO"/>
              </w:rPr>
            </w:pPr>
            <w:r w:rsidRPr="002E2193">
              <w:rPr>
                <w:rFonts w:cs="Arial"/>
                <w:color w:val="000000"/>
                <w:sz w:val="20"/>
                <w:szCs w:val="20"/>
                <w:lang w:val="es-CO" w:eastAsia="es-CO"/>
              </w:rPr>
              <w:t>OBF546 - Cálculo de la Tarifa para la Red de Distribución</w:t>
            </w:r>
          </w:p>
        </w:tc>
        <w:tc>
          <w:tcPr>
            <w:tcW w:w="1294" w:type="pct"/>
            <w:shd w:val="clear" w:color="auto" w:fill="auto"/>
            <w:vAlign w:val="center"/>
            <w:hideMark/>
          </w:tcPr>
          <w:p w14:paraId="7BAA2D04" w14:textId="77777777" w:rsidR="00503C58" w:rsidRPr="002E2193" w:rsidRDefault="00503C58" w:rsidP="00244BE4">
            <w:pPr>
              <w:spacing w:before="0" w:after="0"/>
              <w:jc w:val="left"/>
              <w:rPr>
                <w:rFonts w:cs="Arial"/>
                <w:color w:val="000000"/>
                <w:sz w:val="20"/>
                <w:szCs w:val="20"/>
                <w:lang w:val="es-CO" w:eastAsia="es-CO"/>
              </w:rPr>
            </w:pPr>
            <w:r w:rsidRPr="002E2193">
              <w:rPr>
                <w:rFonts w:cs="Arial"/>
                <w:color w:val="000000"/>
                <w:sz w:val="20"/>
                <w:szCs w:val="20"/>
                <w:lang w:val="es-CO" w:eastAsia="es-CO"/>
              </w:rPr>
              <w:t xml:space="preserve">Petroquímica/ Anillo Circunvalar </w:t>
            </w:r>
          </w:p>
        </w:tc>
        <w:tc>
          <w:tcPr>
            <w:tcW w:w="667" w:type="pct"/>
            <w:shd w:val="clear" w:color="auto" w:fill="auto"/>
            <w:vAlign w:val="center"/>
            <w:hideMark/>
          </w:tcPr>
          <w:p w14:paraId="4A8DDDD3"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xml:space="preserve">22,857/ 22,977 </w:t>
            </w:r>
          </w:p>
        </w:tc>
        <w:tc>
          <w:tcPr>
            <w:tcW w:w="535" w:type="pct"/>
            <w:shd w:val="clear" w:color="auto" w:fill="auto"/>
            <w:noWrap/>
            <w:vAlign w:val="center"/>
            <w:hideMark/>
          </w:tcPr>
          <w:p w14:paraId="3F83CCBB"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w:t>
            </w:r>
          </w:p>
        </w:tc>
        <w:tc>
          <w:tcPr>
            <w:tcW w:w="544" w:type="pct"/>
            <w:shd w:val="clear" w:color="auto" w:fill="auto"/>
            <w:noWrap/>
            <w:vAlign w:val="center"/>
            <w:hideMark/>
          </w:tcPr>
          <w:p w14:paraId="3E51FD0C" w14:textId="77777777" w:rsidR="00503C58" w:rsidRPr="002E2193" w:rsidRDefault="00503C58" w:rsidP="005026F3">
            <w:pPr>
              <w:spacing w:before="0" w:after="0"/>
              <w:jc w:val="right"/>
              <w:rPr>
                <w:rFonts w:cs="Arial"/>
                <w:color w:val="000000"/>
                <w:sz w:val="20"/>
                <w:szCs w:val="20"/>
                <w:lang w:val="es-CO" w:eastAsia="es-CO"/>
              </w:rPr>
            </w:pPr>
            <w:r w:rsidRPr="002E2193">
              <w:rPr>
                <w:rFonts w:cs="Arial"/>
                <w:color w:val="000000"/>
                <w:sz w:val="20"/>
                <w:szCs w:val="20"/>
                <w:lang w:val="es-CO" w:eastAsia="es-CO"/>
              </w:rPr>
              <w:t> </w:t>
            </w:r>
          </w:p>
        </w:tc>
      </w:tr>
    </w:tbl>
    <w:p w14:paraId="547B717A" w14:textId="5970FAAB" w:rsidR="00503C58" w:rsidRDefault="00503C58" w:rsidP="00503C58">
      <w:pPr>
        <w:adjustRightInd w:val="0"/>
        <w:rPr>
          <w:rFonts w:cs="Arial"/>
          <w:bCs/>
        </w:rPr>
      </w:pPr>
      <w:r>
        <w:rPr>
          <w:rFonts w:cs="Arial"/>
          <w:bCs/>
        </w:rPr>
        <w:t>Al respecto, es importante señalar que</w:t>
      </w:r>
      <w:r w:rsidR="00FB5259">
        <w:rPr>
          <w:rFonts w:cs="Arial"/>
          <w:bCs/>
        </w:rPr>
        <w:t>,</w:t>
      </w:r>
      <w:r>
        <w:rPr>
          <w:rFonts w:cs="Arial"/>
          <w:bCs/>
        </w:rPr>
        <w:t xml:space="preserve"> si bien la empresa reportó unos costos de los activos, estos no corresponden a los costos de reposición a nuevo de 1997 </w:t>
      </w:r>
      <w:r>
        <w:rPr>
          <w:rFonts w:cs="Arial"/>
          <w:bCs/>
        </w:rPr>
        <w:lastRenderedPageBreak/>
        <w:t xml:space="preserve">que, como se indicó anteriormente, es el valor aplicable regulatoriamente para estas inversiones. </w:t>
      </w:r>
      <w:r>
        <w:rPr>
          <w:rFonts w:cs="Arial"/>
        </w:rPr>
        <w:t xml:space="preserve">En consecuencia, la información aportada por PROMIGAS S.A. E.S.P. no es conducente para probar que los costos reconocidos por la Comisión en la Resolución CREG 015 de 2002 y, posteriormente, en las Resoluciones CREG 086 de 2004 y 198 de 2017 no son los apropiados y que, como consecuencia, </w:t>
      </w:r>
      <w:r>
        <w:rPr>
          <w:rFonts w:cs="Arial"/>
          <w:bCs/>
        </w:rPr>
        <w:t>se está incumpliendo alguno de los criterios tarifarios dispuestos en la Ley</w:t>
      </w:r>
      <w:r w:rsidR="00FB5259">
        <w:rPr>
          <w:rFonts w:cs="Arial"/>
          <w:bCs/>
        </w:rPr>
        <w:t>,</w:t>
      </w:r>
      <w:r>
        <w:rPr>
          <w:rFonts w:cs="Arial"/>
          <w:bCs/>
        </w:rPr>
        <w:t xml:space="preserve"> o que exista un grave error de cálculo en la valoración dada por la CREG a los activos que conforman la Red de Barranquilla, de propiedad de PROMIGAS S.A. E.S.P.</w:t>
      </w:r>
    </w:p>
    <w:p w14:paraId="179C09FB" w14:textId="7D0C8675" w:rsidR="00917F16" w:rsidRDefault="00893618" w:rsidP="00893618">
      <w:pPr>
        <w:autoSpaceDE w:val="0"/>
        <w:autoSpaceDN w:val="0"/>
        <w:adjustRightInd w:val="0"/>
        <w:rPr>
          <w:rFonts w:cs="Arial"/>
          <w:bCs/>
        </w:rPr>
      </w:pPr>
      <w:r>
        <w:rPr>
          <w:rFonts w:cs="Arial"/>
        </w:rPr>
        <w:t xml:space="preserve">Por las anteriores razones, </w:t>
      </w:r>
      <w:r w:rsidR="00C14C9E" w:rsidRPr="002B14FB">
        <w:rPr>
          <w:rFonts w:cs="Arial"/>
          <w:bCs/>
        </w:rPr>
        <w:t xml:space="preserve">en </w:t>
      </w:r>
      <w:r w:rsidR="00C14C9E" w:rsidRPr="00C1452A">
        <w:rPr>
          <w:rFonts w:cs="Arial"/>
          <w:bCs/>
        </w:rPr>
        <w:t>sesión No.</w:t>
      </w:r>
      <w:r w:rsidR="000441F4" w:rsidRPr="00C1452A">
        <w:rPr>
          <w:rFonts w:cs="Arial"/>
          <w:bCs/>
        </w:rPr>
        <w:t>1126</w:t>
      </w:r>
      <w:r w:rsidR="00C14C9E" w:rsidRPr="00C1452A">
        <w:rPr>
          <w:rFonts w:cs="Arial"/>
          <w:bCs/>
        </w:rPr>
        <w:t xml:space="preserve"> del día </w:t>
      </w:r>
      <w:r w:rsidR="000441F4" w:rsidRPr="00C1452A">
        <w:rPr>
          <w:rFonts w:cs="Arial"/>
          <w:bCs/>
        </w:rPr>
        <w:t>06</w:t>
      </w:r>
      <w:r w:rsidR="00C14C9E" w:rsidRPr="00C1452A">
        <w:rPr>
          <w:rFonts w:cs="Arial"/>
          <w:bCs/>
        </w:rPr>
        <w:t xml:space="preserve"> de </w:t>
      </w:r>
      <w:r w:rsidR="00AF0AC9" w:rsidRPr="00C1452A">
        <w:rPr>
          <w:rFonts w:cs="Arial"/>
          <w:bCs/>
        </w:rPr>
        <w:t>octu</w:t>
      </w:r>
      <w:r w:rsidRPr="00C1452A">
        <w:rPr>
          <w:rFonts w:cs="Arial"/>
          <w:bCs/>
        </w:rPr>
        <w:t>bre</w:t>
      </w:r>
      <w:r w:rsidR="00C14C9E" w:rsidRPr="00C1452A">
        <w:rPr>
          <w:rFonts w:cs="Arial"/>
          <w:bCs/>
        </w:rPr>
        <w:t xml:space="preserve"> de 20</w:t>
      </w:r>
      <w:r w:rsidR="009B2EC6" w:rsidRPr="00C1452A">
        <w:rPr>
          <w:rFonts w:cs="Arial"/>
          <w:bCs/>
        </w:rPr>
        <w:t>2</w:t>
      </w:r>
      <w:r w:rsidRPr="00C1452A">
        <w:rPr>
          <w:rFonts w:cs="Arial"/>
          <w:bCs/>
        </w:rPr>
        <w:t>1</w:t>
      </w:r>
      <w:r w:rsidR="00C14C9E" w:rsidRPr="00B622C4">
        <w:rPr>
          <w:rFonts w:cs="Arial"/>
          <w:bCs/>
        </w:rPr>
        <w:t xml:space="preserve">, la Comisión </w:t>
      </w:r>
      <w:r w:rsidR="00917F16">
        <w:rPr>
          <w:rFonts w:cs="Arial"/>
          <w:bCs/>
        </w:rPr>
        <w:t>de Regulación de Energía y Gas acordó expedir la siguiente resolución.</w:t>
      </w:r>
    </w:p>
    <w:p w14:paraId="17A60BAD" w14:textId="77777777" w:rsidR="0032724E" w:rsidRPr="008A0808" w:rsidRDefault="0032724E" w:rsidP="002B14FB">
      <w:pPr>
        <w:keepNext/>
        <w:spacing w:before="480"/>
        <w:jc w:val="center"/>
        <w:rPr>
          <w:b/>
          <w:bCs/>
        </w:rPr>
      </w:pPr>
      <w:r w:rsidRPr="008A0808">
        <w:rPr>
          <w:b/>
          <w:bCs/>
        </w:rPr>
        <w:t>R E S U E L V E:</w:t>
      </w:r>
    </w:p>
    <w:p w14:paraId="31BCBFDD" w14:textId="50E08F67" w:rsidR="00A13D26" w:rsidRDefault="00A13D26" w:rsidP="002B14FB">
      <w:pPr>
        <w:rPr>
          <w:rFonts w:cs="Arial"/>
          <w:bCs/>
        </w:rPr>
      </w:pPr>
      <w:r w:rsidRPr="004935FA">
        <w:rPr>
          <w:rFonts w:cs="Arial"/>
          <w:b/>
        </w:rPr>
        <w:t>ARTÍCULO PRIMERO.</w:t>
      </w:r>
      <w:r w:rsidRPr="002B14FB">
        <w:rPr>
          <w:rFonts w:cs="Arial"/>
          <w:bCs/>
        </w:rPr>
        <w:t xml:space="preserve"> </w:t>
      </w:r>
      <w:r w:rsidR="0018068E">
        <w:rPr>
          <w:rFonts w:cs="Arial"/>
          <w:bCs/>
        </w:rPr>
        <w:t>No reponer la Resolución CREG 210 de 2020</w:t>
      </w:r>
      <w:r w:rsidR="00824044">
        <w:rPr>
          <w:rFonts w:cs="Arial"/>
          <w:bCs/>
        </w:rPr>
        <w:t>, p</w:t>
      </w:r>
      <w:r w:rsidRPr="004935FA">
        <w:rPr>
          <w:rFonts w:cs="Arial"/>
          <w:bCs/>
        </w:rPr>
        <w:t>or las razones expuestas en la parte considerativa del presente acto administrativo</w:t>
      </w:r>
      <w:r w:rsidR="00824044">
        <w:rPr>
          <w:rFonts w:cs="Arial"/>
          <w:bCs/>
        </w:rPr>
        <w:t>.</w:t>
      </w:r>
    </w:p>
    <w:p w14:paraId="73419BF1" w14:textId="4A7E83B8" w:rsidR="00A13D26" w:rsidRDefault="00A13D26" w:rsidP="00CB3E6E">
      <w:pPr>
        <w:rPr>
          <w:rFonts w:cs="Arial"/>
          <w:bCs/>
        </w:rPr>
      </w:pPr>
      <w:r w:rsidRPr="004935FA">
        <w:rPr>
          <w:rFonts w:cs="Arial"/>
          <w:b/>
        </w:rPr>
        <w:t xml:space="preserve">ARTÍCULO SEGUNDO. </w:t>
      </w:r>
      <w:r w:rsidRPr="004935FA">
        <w:rPr>
          <w:rFonts w:cs="Arial"/>
          <w:bCs/>
        </w:rPr>
        <w:t>Notif</w:t>
      </w:r>
      <w:r w:rsidR="00C1452A">
        <w:rPr>
          <w:rFonts w:cs="Arial"/>
          <w:bCs/>
        </w:rPr>
        <w:t>i</w:t>
      </w:r>
      <w:r w:rsidR="000B4314">
        <w:rPr>
          <w:rFonts w:cs="Arial"/>
          <w:bCs/>
        </w:rPr>
        <w:t>car</w:t>
      </w:r>
      <w:r w:rsidRPr="004935FA">
        <w:rPr>
          <w:rFonts w:cs="Arial"/>
          <w:bCs/>
        </w:rPr>
        <w:t xml:space="preserve"> la presente resolución a los representantes legales o quien haga sus veces de las empresas PROMIGAS S</w:t>
      </w:r>
      <w:r w:rsidR="00D828B6" w:rsidRPr="00B622C4">
        <w:rPr>
          <w:rFonts w:cs="Arial"/>
          <w:bCs/>
        </w:rPr>
        <w:t>.</w:t>
      </w:r>
      <w:r w:rsidRPr="00AD2DC0">
        <w:rPr>
          <w:rFonts w:cs="Arial"/>
          <w:bCs/>
        </w:rPr>
        <w:t>A</w:t>
      </w:r>
      <w:r w:rsidR="00D828B6" w:rsidRPr="00AD2DC0">
        <w:rPr>
          <w:rFonts w:cs="Arial"/>
          <w:bCs/>
        </w:rPr>
        <w:t>.</w:t>
      </w:r>
      <w:r w:rsidRPr="002B14FB">
        <w:rPr>
          <w:rFonts w:cs="Arial"/>
          <w:bCs/>
        </w:rPr>
        <w:t xml:space="preserve"> E</w:t>
      </w:r>
      <w:r w:rsidR="00D828B6" w:rsidRPr="002B14FB">
        <w:rPr>
          <w:rFonts w:cs="Arial"/>
          <w:bCs/>
        </w:rPr>
        <w:t>.</w:t>
      </w:r>
      <w:r w:rsidRPr="002B14FB">
        <w:rPr>
          <w:rFonts w:cs="Arial"/>
          <w:bCs/>
        </w:rPr>
        <w:t>S</w:t>
      </w:r>
      <w:r w:rsidR="00D828B6" w:rsidRPr="002B14FB">
        <w:rPr>
          <w:rFonts w:cs="Arial"/>
          <w:bCs/>
        </w:rPr>
        <w:t>.</w:t>
      </w:r>
      <w:r w:rsidRPr="002B14FB">
        <w:rPr>
          <w:rFonts w:cs="Arial"/>
          <w:bCs/>
        </w:rPr>
        <w:t>P</w:t>
      </w:r>
      <w:r w:rsidR="00D828B6" w:rsidRPr="002B14FB">
        <w:rPr>
          <w:rFonts w:cs="Arial"/>
          <w:bCs/>
        </w:rPr>
        <w:t>.</w:t>
      </w:r>
      <w:r w:rsidRPr="002B14FB">
        <w:rPr>
          <w:rFonts w:cs="Arial"/>
          <w:bCs/>
        </w:rPr>
        <w:t xml:space="preserve"> y GASES DEL CARIBE S</w:t>
      </w:r>
      <w:r w:rsidR="00D828B6" w:rsidRPr="002B14FB">
        <w:rPr>
          <w:rFonts w:cs="Arial"/>
          <w:bCs/>
        </w:rPr>
        <w:t>.</w:t>
      </w:r>
      <w:r w:rsidRPr="002B14FB">
        <w:rPr>
          <w:rFonts w:cs="Arial"/>
          <w:bCs/>
        </w:rPr>
        <w:t>A</w:t>
      </w:r>
      <w:r w:rsidR="00D828B6" w:rsidRPr="002B14FB">
        <w:rPr>
          <w:rFonts w:cs="Arial"/>
          <w:bCs/>
        </w:rPr>
        <w:t>.</w:t>
      </w:r>
      <w:r w:rsidRPr="002B14FB">
        <w:rPr>
          <w:rFonts w:cs="Arial"/>
          <w:bCs/>
        </w:rPr>
        <w:t xml:space="preserve"> E</w:t>
      </w:r>
      <w:r w:rsidR="00D828B6" w:rsidRPr="002B14FB">
        <w:rPr>
          <w:rFonts w:cs="Arial"/>
          <w:bCs/>
        </w:rPr>
        <w:t>.</w:t>
      </w:r>
      <w:r w:rsidRPr="002B14FB">
        <w:rPr>
          <w:rFonts w:cs="Arial"/>
          <w:bCs/>
        </w:rPr>
        <w:t>S</w:t>
      </w:r>
      <w:r w:rsidR="00D828B6" w:rsidRPr="002B14FB">
        <w:rPr>
          <w:rFonts w:cs="Arial"/>
          <w:bCs/>
        </w:rPr>
        <w:t>.</w:t>
      </w:r>
      <w:r w:rsidRPr="002B14FB">
        <w:rPr>
          <w:rFonts w:cs="Arial"/>
          <w:bCs/>
        </w:rPr>
        <w:t>P</w:t>
      </w:r>
      <w:r w:rsidR="00D828B6" w:rsidRPr="002B14FB">
        <w:rPr>
          <w:rFonts w:cs="Arial"/>
          <w:bCs/>
        </w:rPr>
        <w:t>.</w:t>
      </w:r>
      <w:r w:rsidR="006C472C" w:rsidRPr="002B14FB">
        <w:rPr>
          <w:rFonts w:cs="Arial"/>
          <w:bCs/>
        </w:rPr>
        <w:t xml:space="preserve"> y, una vez en firme, deberá publicarse en el Diario Oficial.</w:t>
      </w:r>
      <w:r w:rsidRPr="002B14FB">
        <w:rPr>
          <w:rFonts w:cs="Arial"/>
          <w:bCs/>
        </w:rPr>
        <w:t xml:space="preserve"> </w:t>
      </w:r>
      <w:r w:rsidR="004F6DF7" w:rsidRPr="002E2193">
        <w:rPr>
          <w:rFonts w:cs="Arial"/>
          <w:bCs/>
        </w:rPr>
        <w:t>Contra las disposiciones contenidas en esta Resolución no procede recurso alguno</w:t>
      </w:r>
      <w:r w:rsidR="004F6DF7">
        <w:rPr>
          <w:rFonts w:cs="Arial"/>
          <w:bCs/>
        </w:rPr>
        <w:t>.</w:t>
      </w:r>
    </w:p>
    <w:p w14:paraId="517DAE2E" w14:textId="77777777" w:rsidR="00EE7598" w:rsidRPr="004935FA" w:rsidRDefault="00EE7598" w:rsidP="007B6AB8">
      <w:pPr>
        <w:spacing w:before="0" w:after="0"/>
        <w:rPr>
          <w:rFonts w:cs="Arial"/>
          <w:bCs/>
        </w:rPr>
      </w:pPr>
    </w:p>
    <w:p w14:paraId="479C84B1" w14:textId="77777777" w:rsidR="006C472C" w:rsidRPr="001954E9" w:rsidRDefault="006C472C" w:rsidP="007B6AB8">
      <w:pPr>
        <w:widowControl w:val="0"/>
        <w:adjustRightInd w:val="0"/>
        <w:spacing w:before="0" w:after="0"/>
        <w:ind w:right="20"/>
        <w:jc w:val="center"/>
        <w:rPr>
          <w:rFonts w:cs="Arial"/>
          <w:b/>
        </w:rPr>
      </w:pPr>
      <w:r w:rsidRPr="001954E9">
        <w:rPr>
          <w:rFonts w:cs="Arial"/>
          <w:b/>
        </w:rPr>
        <w:t>NOTIFÍQUESE, PUBLÍQUESE Y CÚMPLASE</w:t>
      </w:r>
    </w:p>
    <w:p w14:paraId="5A9B5EA1" w14:textId="77777777" w:rsidR="006C472C" w:rsidRDefault="006C472C" w:rsidP="007B6AB8">
      <w:pPr>
        <w:widowControl w:val="0"/>
        <w:adjustRightInd w:val="0"/>
        <w:spacing w:before="0" w:after="0"/>
        <w:ind w:right="20"/>
        <w:rPr>
          <w:rFonts w:cs="Arial"/>
        </w:rPr>
      </w:pPr>
    </w:p>
    <w:p w14:paraId="704619D4" w14:textId="444212A9" w:rsidR="006C472C" w:rsidRPr="00C1452A" w:rsidRDefault="006C472C" w:rsidP="007B6AB8">
      <w:pPr>
        <w:widowControl w:val="0"/>
        <w:adjustRightInd w:val="0"/>
        <w:spacing w:before="0" w:after="0"/>
        <w:ind w:right="20"/>
        <w:rPr>
          <w:rFonts w:cs="Arial"/>
          <w:b/>
          <w:bCs/>
        </w:rPr>
      </w:pPr>
      <w:r w:rsidRPr="001954E9">
        <w:rPr>
          <w:rFonts w:cs="Arial"/>
        </w:rPr>
        <w:t>Dada en Bogotá, D.C.</w:t>
      </w:r>
      <w:r w:rsidR="00C1452A">
        <w:rPr>
          <w:rFonts w:cs="Arial"/>
        </w:rPr>
        <w:t xml:space="preserve"> </w:t>
      </w:r>
      <w:r w:rsidR="00C1452A" w:rsidRPr="00C1452A">
        <w:rPr>
          <w:rFonts w:cs="Arial"/>
          <w:b/>
          <w:bCs/>
        </w:rPr>
        <w:t>06 OCT. 2021</w:t>
      </w:r>
    </w:p>
    <w:p w14:paraId="4C59DCB1" w14:textId="1A98AEBC" w:rsidR="006C472C" w:rsidRDefault="006C472C" w:rsidP="007B6AB8">
      <w:pPr>
        <w:widowControl w:val="0"/>
        <w:tabs>
          <w:tab w:val="left" w:pos="-720"/>
        </w:tabs>
        <w:suppressAutoHyphens/>
        <w:adjustRightInd w:val="0"/>
        <w:spacing w:before="0" w:after="0"/>
        <w:ind w:right="20"/>
        <w:rPr>
          <w:rFonts w:cs="Arial"/>
          <w:spacing w:val="-3"/>
        </w:rPr>
      </w:pPr>
    </w:p>
    <w:p w14:paraId="6E7429DA" w14:textId="77777777" w:rsidR="00EE7598" w:rsidRDefault="00EE7598" w:rsidP="007B6AB8">
      <w:pPr>
        <w:widowControl w:val="0"/>
        <w:tabs>
          <w:tab w:val="left" w:pos="-720"/>
        </w:tabs>
        <w:suppressAutoHyphens/>
        <w:adjustRightInd w:val="0"/>
        <w:spacing w:before="0" w:after="0"/>
        <w:ind w:right="20"/>
        <w:rPr>
          <w:rFonts w:cs="Arial"/>
          <w:spacing w:val="-3"/>
        </w:rPr>
      </w:pPr>
    </w:p>
    <w:p w14:paraId="66A8A353" w14:textId="280A0D68" w:rsidR="00CB3E6E" w:rsidRDefault="00CB3E6E" w:rsidP="007B6AB8">
      <w:pPr>
        <w:widowControl w:val="0"/>
        <w:tabs>
          <w:tab w:val="left" w:pos="-720"/>
        </w:tabs>
        <w:suppressAutoHyphens/>
        <w:adjustRightInd w:val="0"/>
        <w:spacing w:before="0" w:after="0"/>
        <w:ind w:right="20"/>
        <w:rPr>
          <w:rFonts w:cs="Arial"/>
          <w:spacing w:val="-3"/>
        </w:rPr>
      </w:pPr>
    </w:p>
    <w:p w14:paraId="24B115BE" w14:textId="77777777" w:rsidR="005E0517" w:rsidRDefault="005E0517" w:rsidP="007B6AB8">
      <w:pPr>
        <w:widowControl w:val="0"/>
        <w:tabs>
          <w:tab w:val="left" w:pos="-720"/>
        </w:tabs>
        <w:suppressAutoHyphens/>
        <w:adjustRightInd w:val="0"/>
        <w:spacing w:before="0" w:after="0"/>
        <w:ind w:right="20"/>
        <w:rPr>
          <w:rFonts w:cs="Arial"/>
          <w:spacing w:val="-3"/>
        </w:rPr>
      </w:pPr>
    </w:p>
    <w:p w14:paraId="6F689562" w14:textId="77777777" w:rsidR="006C472C" w:rsidRDefault="006C472C" w:rsidP="007B6AB8">
      <w:pPr>
        <w:widowControl w:val="0"/>
        <w:tabs>
          <w:tab w:val="left" w:pos="-720"/>
        </w:tabs>
        <w:suppressAutoHyphens/>
        <w:adjustRightInd w:val="0"/>
        <w:spacing w:before="0" w:after="0"/>
        <w:ind w:right="20"/>
        <w:rPr>
          <w:rFonts w:cs="Arial"/>
          <w:spacing w:val="-3"/>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6C472C" w:rsidRPr="002E2193" w14:paraId="714F5D93" w14:textId="77777777" w:rsidTr="00C1452A">
        <w:trPr>
          <w:trHeight w:val="887"/>
          <w:jc w:val="center"/>
        </w:trPr>
        <w:tc>
          <w:tcPr>
            <w:tcW w:w="4678" w:type="dxa"/>
          </w:tcPr>
          <w:p w14:paraId="1A37C199" w14:textId="19382321" w:rsidR="006C472C" w:rsidRPr="002E2193" w:rsidRDefault="00FC7571" w:rsidP="007B6AB8">
            <w:pPr>
              <w:tabs>
                <w:tab w:val="left" w:pos="-720"/>
              </w:tabs>
              <w:suppressAutoHyphens/>
              <w:spacing w:before="0" w:after="0"/>
              <w:jc w:val="center"/>
              <w:rPr>
                <w:b/>
              </w:rPr>
            </w:pPr>
            <w:r w:rsidRPr="002E2193">
              <w:rPr>
                <w:b/>
              </w:rPr>
              <w:t>MIGUEL LOTERO</w:t>
            </w:r>
            <w:r w:rsidR="00D640E8" w:rsidRPr="002E2193">
              <w:rPr>
                <w:b/>
              </w:rPr>
              <w:t xml:space="preserve"> ROBLEDO</w:t>
            </w:r>
          </w:p>
          <w:p w14:paraId="680ABAC2" w14:textId="450B4C0B" w:rsidR="006C472C" w:rsidRPr="002E2193" w:rsidRDefault="00FC7571" w:rsidP="007B6AB8">
            <w:pPr>
              <w:tabs>
                <w:tab w:val="left" w:pos="-720"/>
              </w:tabs>
              <w:suppressAutoHyphens/>
              <w:spacing w:before="0" w:after="0"/>
              <w:jc w:val="center"/>
            </w:pPr>
            <w:r w:rsidRPr="002E2193">
              <w:t>Viceministro de Energía</w:t>
            </w:r>
            <w:r w:rsidR="00C1452A">
              <w:t>,</w:t>
            </w:r>
            <w:r w:rsidRPr="002E2193">
              <w:t xml:space="preserve"> </w:t>
            </w:r>
            <w:r w:rsidR="00D640E8" w:rsidRPr="002E2193">
              <w:t xml:space="preserve">delegado </w:t>
            </w:r>
            <w:r w:rsidRPr="002E2193">
              <w:t xml:space="preserve">del </w:t>
            </w:r>
            <w:proofErr w:type="gramStart"/>
            <w:r w:rsidR="006C472C" w:rsidRPr="002E2193">
              <w:t>Ministro</w:t>
            </w:r>
            <w:proofErr w:type="gramEnd"/>
            <w:r w:rsidR="006C472C" w:rsidRPr="002E2193">
              <w:t xml:space="preserve"> de Minas y Energía</w:t>
            </w:r>
          </w:p>
          <w:p w14:paraId="7EAB9CCF" w14:textId="77777777" w:rsidR="006C472C" w:rsidRPr="002E2193" w:rsidRDefault="006C472C" w:rsidP="007B6AB8">
            <w:pPr>
              <w:tabs>
                <w:tab w:val="left" w:pos="-720"/>
              </w:tabs>
              <w:suppressAutoHyphens/>
              <w:spacing w:before="0" w:after="0"/>
              <w:jc w:val="center"/>
              <w:rPr>
                <w:rFonts w:cs="Arial"/>
                <w:b/>
                <w:strike/>
                <w:spacing w:val="-3"/>
              </w:rPr>
            </w:pPr>
            <w:r w:rsidRPr="002E2193">
              <w:t>Presidente</w:t>
            </w:r>
          </w:p>
        </w:tc>
        <w:tc>
          <w:tcPr>
            <w:tcW w:w="4678" w:type="dxa"/>
          </w:tcPr>
          <w:p w14:paraId="5454C060" w14:textId="77777777" w:rsidR="006C472C" w:rsidRPr="002E2193" w:rsidRDefault="006C472C" w:rsidP="007B6AB8">
            <w:pPr>
              <w:tabs>
                <w:tab w:val="left" w:pos="-720"/>
              </w:tabs>
              <w:suppressAutoHyphens/>
              <w:spacing w:before="0" w:after="0"/>
              <w:jc w:val="center"/>
              <w:rPr>
                <w:rFonts w:cs="Arial"/>
                <w:b/>
              </w:rPr>
            </w:pPr>
            <w:r w:rsidRPr="002E2193">
              <w:rPr>
                <w:rFonts w:cs="Arial"/>
                <w:b/>
              </w:rPr>
              <w:t>JORGE ALBERTO VALENCIA MARÍN</w:t>
            </w:r>
          </w:p>
          <w:p w14:paraId="0C1DE10D" w14:textId="1D01422F" w:rsidR="006C472C" w:rsidRPr="002E2193" w:rsidRDefault="006C472C" w:rsidP="007B6AB8">
            <w:pPr>
              <w:tabs>
                <w:tab w:val="left" w:pos="-720"/>
              </w:tabs>
              <w:suppressAutoHyphens/>
              <w:spacing w:before="0" w:after="0"/>
              <w:jc w:val="center"/>
              <w:rPr>
                <w:rFonts w:cs="Arial"/>
                <w:b/>
                <w:spacing w:val="-3"/>
              </w:rPr>
            </w:pPr>
            <w:r w:rsidRPr="002E2193">
              <w:rPr>
                <w:rFonts w:cs="Arial"/>
                <w:spacing w:val="-3"/>
              </w:rPr>
              <w:t xml:space="preserve">Director Ejecutivo </w:t>
            </w:r>
          </w:p>
        </w:tc>
      </w:tr>
    </w:tbl>
    <w:p w14:paraId="3CD0247A" w14:textId="77777777" w:rsidR="00A13D26" w:rsidRPr="00A13D26" w:rsidRDefault="00A13D26">
      <w:pPr>
        <w:ind w:left="-142" w:right="-142"/>
        <w:jc w:val="left"/>
        <w:rPr>
          <w:b/>
          <w:bCs/>
        </w:rPr>
      </w:pPr>
    </w:p>
    <w:sectPr w:rsidR="00A13D26" w:rsidRPr="00A13D26" w:rsidSect="002627BB">
      <w:headerReference w:type="default" r:id="rId10"/>
      <w:headerReference w:type="first" r:id="rId11"/>
      <w:pgSz w:w="12242" w:h="18722" w:code="123"/>
      <w:pgMar w:top="47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599E" w14:textId="77777777" w:rsidR="00CE2650" w:rsidRDefault="00CE2650">
      <w:r>
        <w:separator/>
      </w:r>
    </w:p>
  </w:endnote>
  <w:endnote w:type="continuationSeparator" w:id="0">
    <w:p w14:paraId="17BFCF49" w14:textId="77777777" w:rsidR="00CE2650" w:rsidRDefault="00CE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Bold">
    <w:altName w:val="Tahoma"/>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1056" w14:textId="77777777" w:rsidR="00CE2650" w:rsidRDefault="00CE2650" w:rsidP="001F11F3">
      <w:pPr>
        <w:spacing w:before="0" w:after="0"/>
      </w:pPr>
      <w:r>
        <w:separator/>
      </w:r>
    </w:p>
  </w:footnote>
  <w:footnote w:type="continuationSeparator" w:id="0">
    <w:p w14:paraId="58600BFA" w14:textId="77777777" w:rsidR="00CE2650" w:rsidRDefault="00CE2650">
      <w:r>
        <w:continuationSeparator/>
      </w:r>
    </w:p>
  </w:footnote>
  <w:footnote w:id="1">
    <w:p w14:paraId="69631F22" w14:textId="77777777" w:rsidR="00F50B15" w:rsidRPr="006C438D" w:rsidRDefault="00F50B15" w:rsidP="00A1284B">
      <w:pPr>
        <w:spacing w:before="0" w:after="0"/>
        <w:rPr>
          <w:rFonts w:cs="Arial"/>
          <w:sz w:val="18"/>
          <w:szCs w:val="18"/>
          <w:lang w:val="es-CO"/>
        </w:rPr>
      </w:pPr>
      <w:r w:rsidRPr="006C438D">
        <w:rPr>
          <w:rStyle w:val="Refdenotaalpie"/>
          <w:sz w:val="18"/>
          <w:szCs w:val="18"/>
        </w:rPr>
        <w:footnoteRef/>
      </w:r>
      <w:r w:rsidRPr="006C438D">
        <w:rPr>
          <w:rFonts w:cs="Arial"/>
          <w:sz w:val="18"/>
          <w:szCs w:val="18"/>
        </w:rPr>
        <w:t xml:space="preserve"> El Mercado Relevante aprobado mediante Resolución CREG 198 de 2017 está conformado por los municipios de Barranquilla, Soledad, Malambo, Baranoa, Galapa, Puerto Colombia, Sabanagrande, Luruaco, Palmar de Varela, Polonuevo, Ponedera, Sabanalarga, Santo Tomás, Candelaria, Juan de Acosta, Campo de la Cruz, Santa Lucía, Usiacurí, Manatí, Suan, Repelón, Tubará y Piojó en el departamento de Atlántico; Santa Marta, Ciénaga, Fundación, Aracataca, Zona Bananera, </w:t>
      </w:r>
      <w:proofErr w:type="spellStart"/>
      <w:r w:rsidRPr="006C438D">
        <w:rPr>
          <w:rFonts w:cs="Arial"/>
          <w:sz w:val="18"/>
          <w:szCs w:val="18"/>
        </w:rPr>
        <w:t>Puebloviejo</w:t>
      </w:r>
      <w:proofErr w:type="spellEnd"/>
      <w:r w:rsidRPr="006C438D">
        <w:rPr>
          <w:rFonts w:cs="Arial"/>
          <w:sz w:val="18"/>
          <w:szCs w:val="18"/>
        </w:rPr>
        <w:t xml:space="preserve">, </w:t>
      </w:r>
      <w:proofErr w:type="spellStart"/>
      <w:r w:rsidRPr="006C438D">
        <w:rPr>
          <w:rFonts w:cs="Arial"/>
          <w:sz w:val="18"/>
          <w:szCs w:val="18"/>
        </w:rPr>
        <w:t>Sitionuevo</w:t>
      </w:r>
      <w:proofErr w:type="spellEnd"/>
      <w:r w:rsidRPr="006C438D">
        <w:rPr>
          <w:rFonts w:cs="Arial"/>
          <w:sz w:val="18"/>
          <w:szCs w:val="18"/>
        </w:rPr>
        <w:t xml:space="preserve">, El Retén, Remolino, Salamina, El Piñón, Cerro de San Antonio, Tenerife, </w:t>
      </w:r>
      <w:proofErr w:type="spellStart"/>
      <w:r w:rsidRPr="006C438D">
        <w:rPr>
          <w:rFonts w:cs="Arial"/>
          <w:sz w:val="18"/>
          <w:szCs w:val="18"/>
        </w:rPr>
        <w:t>Zapayán</w:t>
      </w:r>
      <w:proofErr w:type="spellEnd"/>
      <w:r w:rsidRPr="006C438D">
        <w:rPr>
          <w:rFonts w:cs="Arial"/>
          <w:sz w:val="18"/>
          <w:szCs w:val="18"/>
        </w:rPr>
        <w:t xml:space="preserve">, Concordia y Pedraza en el departamento de Magdalena; Valledupar, La Paz y Manaure en el departamento de Cesar; Calamar, San Estanislao, Soplaviento, </w:t>
      </w:r>
      <w:proofErr w:type="spellStart"/>
      <w:r w:rsidRPr="006C438D">
        <w:rPr>
          <w:rFonts w:cs="Arial"/>
          <w:sz w:val="18"/>
          <w:szCs w:val="18"/>
        </w:rPr>
        <w:t>Arroyohondo</w:t>
      </w:r>
      <w:proofErr w:type="spellEnd"/>
      <w:r w:rsidRPr="006C438D">
        <w:rPr>
          <w:rFonts w:cs="Arial"/>
          <w:sz w:val="18"/>
          <w:szCs w:val="18"/>
        </w:rPr>
        <w:t xml:space="preserve"> y San Cristóbal en el departamento de Bolívar</w:t>
      </w:r>
    </w:p>
  </w:footnote>
  <w:footnote w:id="2">
    <w:p w14:paraId="399ED14A" w14:textId="3100FDF8" w:rsidR="005A221E" w:rsidRDefault="005A221E" w:rsidP="002E2193">
      <w:pPr>
        <w:pStyle w:val="Textonotapie"/>
        <w:spacing w:before="0" w:after="0"/>
      </w:pPr>
      <w:r>
        <w:rPr>
          <w:rStyle w:val="Refdenotaalpie"/>
        </w:rPr>
        <w:footnoteRef/>
      </w:r>
      <w:r>
        <w:t xml:space="preserve"> </w:t>
      </w:r>
      <w:r w:rsidRPr="005026F3">
        <w:rPr>
          <w:rFonts w:ascii="Bookman Old Style" w:hAnsi="Bookman Old Style"/>
          <w:sz w:val="18"/>
          <w:szCs w:val="18"/>
        </w:rPr>
        <w:t>Este cargo fue aprobado mediante Resolución CREG 086 de 2004.</w:t>
      </w:r>
    </w:p>
  </w:footnote>
  <w:footnote w:id="3">
    <w:p w14:paraId="6292EF97" w14:textId="124ACFA5" w:rsidR="00DF7B3A" w:rsidRDefault="00DF7B3A" w:rsidP="00550515">
      <w:pPr>
        <w:pStyle w:val="Textonotapie"/>
        <w:spacing w:before="0" w:after="0"/>
        <w:rPr>
          <w:rFonts w:ascii="Bookman Old Style" w:hAnsi="Bookman Old Style"/>
          <w:sz w:val="18"/>
          <w:szCs w:val="18"/>
        </w:rPr>
      </w:pPr>
      <w:r w:rsidRPr="002E2193">
        <w:rPr>
          <w:rStyle w:val="Refdenotaalpie"/>
          <w:rFonts w:ascii="Bookman Old Style" w:hAnsi="Bookman Old Style"/>
          <w:sz w:val="18"/>
          <w:szCs w:val="18"/>
        </w:rPr>
        <w:footnoteRef/>
      </w:r>
      <w:r w:rsidRPr="002E2193">
        <w:rPr>
          <w:rFonts w:ascii="Bookman Old Style" w:hAnsi="Bookman Old Style"/>
          <w:sz w:val="18"/>
          <w:szCs w:val="18"/>
        </w:rPr>
        <w:t xml:space="preserve"> </w:t>
      </w:r>
      <w:r w:rsidR="00B34459" w:rsidRPr="002E2193">
        <w:rPr>
          <w:rFonts w:ascii="Bookman Old Style" w:hAnsi="Bookman Old Style"/>
          <w:sz w:val="18"/>
          <w:szCs w:val="18"/>
        </w:rPr>
        <w:t>El mencionado parágrafo dispone lo siguiente:</w:t>
      </w:r>
    </w:p>
    <w:p w14:paraId="5B0C9D92" w14:textId="77777777" w:rsidR="00550515" w:rsidRPr="002E2193" w:rsidRDefault="00550515">
      <w:pPr>
        <w:pStyle w:val="Textonotapie"/>
        <w:spacing w:before="0" w:after="0"/>
        <w:rPr>
          <w:rFonts w:ascii="Bookman Old Style" w:hAnsi="Bookman Old Style"/>
          <w:sz w:val="18"/>
          <w:szCs w:val="18"/>
        </w:rPr>
      </w:pPr>
    </w:p>
    <w:p w14:paraId="3F4792BA" w14:textId="3688DD1B" w:rsidR="00B34459" w:rsidRPr="002E2193" w:rsidRDefault="00B34459" w:rsidP="002E2193">
      <w:pPr>
        <w:shd w:val="clear" w:color="auto" w:fill="FFFFFF"/>
        <w:spacing w:before="0" w:after="0"/>
        <w:ind w:left="284"/>
        <w:rPr>
          <w:rFonts w:cs="Arial"/>
          <w:i/>
          <w:iCs/>
          <w:sz w:val="18"/>
          <w:szCs w:val="18"/>
          <w:lang w:val="es-CO" w:eastAsia="es-CO"/>
        </w:rPr>
      </w:pPr>
      <w:r w:rsidRPr="002E2193">
        <w:rPr>
          <w:rFonts w:cs="Arial"/>
          <w:b/>
          <w:bCs/>
          <w:i/>
          <w:iCs/>
          <w:sz w:val="18"/>
          <w:szCs w:val="18"/>
          <w:lang w:val="es-CO" w:eastAsia="es-CO"/>
        </w:rPr>
        <w:t>Parágrafo.</w:t>
      </w:r>
      <w:r w:rsidR="007C5BF3">
        <w:rPr>
          <w:rFonts w:cs="Arial"/>
          <w:b/>
          <w:bCs/>
          <w:i/>
          <w:iCs/>
          <w:sz w:val="18"/>
          <w:szCs w:val="18"/>
          <w:lang w:val="es-CO" w:eastAsia="es-CO"/>
        </w:rPr>
        <w:t xml:space="preserve"> </w:t>
      </w:r>
      <w:r w:rsidRPr="002E2193">
        <w:rPr>
          <w:rFonts w:cs="Arial"/>
          <w:i/>
          <w:iCs/>
          <w:sz w:val="18"/>
          <w:szCs w:val="18"/>
          <w:lang w:val="es-CO" w:eastAsia="es-CO"/>
        </w:rPr>
        <w:t xml:space="preserve">Los Distribuidores para quienes haya concluido su período tarifario deberán someter a aprobación de la Comisión el estudio de los cargos aplicables para el próximo Período Tarifario, sujetos a la metodología establecida en la presente Resolución, a más tardar, dentro de los dos meses siguientes a la </w:t>
      </w:r>
      <w:proofErr w:type="gramStart"/>
      <w:r w:rsidRPr="002E2193">
        <w:rPr>
          <w:rFonts w:cs="Arial"/>
          <w:i/>
          <w:iCs/>
          <w:sz w:val="18"/>
          <w:szCs w:val="18"/>
          <w:lang w:val="es-CO" w:eastAsia="es-CO"/>
        </w:rPr>
        <w:t>entrada en vigencia</w:t>
      </w:r>
      <w:proofErr w:type="gramEnd"/>
      <w:r w:rsidRPr="002E2193">
        <w:rPr>
          <w:rFonts w:cs="Arial"/>
          <w:i/>
          <w:iCs/>
          <w:sz w:val="18"/>
          <w:szCs w:val="18"/>
          <w:lang w:val="es-CO" w:eastAsia="es-CO"/>
        </w:rPr>
        <w:t xml:space="preserve"> de la presente Resolución, de conformidad con el siguiente cronograma:</w:t>
      </w:r>
    </w:p>
    <w:p w14:paraId="0D8EC80B" w14:textId="77777777" w:rsidR="00550515" w:rsidRDefault="00550515" w:rsidP="00550515">
      <w:pPr>
        <w:shd w:val="clear" w:color="auto" w:fill="FFFFFF"/>
        <w:spacing w:before="0" w:after="0"/>
        <w:ind w:left="284"/>
        <w:rPr>
          <w:rFonts w:cs="Arial"/>
          <w:i/>
          <w:iCs/>
          <w:sz w:val="18"/>
          <w:szCs w:val="18"/>
          <w:lang w:val="es-CO" w:eastAsia="es-CO"/>
        </w:rPr>
      </w:pPr>
    </w:p>
    <w:p w14:paraId="210B6A96" w14:textId="0E05BF76" w:rsidR="00B34459" w:rsidRPr="002E2193" w:rsidRDefault="00B34459" w:rsidP="002E2193">
      <w:pPr>
        <w:shd w:val="clear" w:color="auto" w:fill="FFFFFF"/>
        <w:spacing w:before="0" w:after="0"/>
        <w:ind w:left="284"/>
        <w:rPr>
          <w:rFonts w:cs="Arial"/>
          <w:i/>
          <w:iCs/>
          <w:sz w:val="18"/>
          <w:szCs w:val="18"/>
          <w:lang w:val="es-CO" w:eastAsia="es-CO"/>
        </w:rPr>
      </w:pPr>
      <w:r w:rsidRPr="002E2193">
        <w:rPr>
          <w:rFonts w:cs="Arial"/>
          <w:i/>
          <w:iCs/>
          <w:sz w:val="18"/>
          <w:szCs w:val="18"/>
          <w:lang w:val="es-CO" w:eastAsia="es-CO"/>
        </w:rPr>
        <w:t xml:space="preserve">a) Antes de finalizar el primer mes siguiente a la </w:t>
      </w:r>
      <w:proofErr w:type="gramStart"/>
      <w:r w:rsidRPr="002E2193">
        <w:rPr>
          <w:rFonts w:cs="Arial"/>
          <w:i/>
          <w:iCs/>
          <w:sz w:val="18"/>
          <w:szCs w:val="18"/>
          <w:lang w:val="es-CO" w:eastAsia="es-CO"/>
        </w:rPr>
        <w:t>entrada en vigencia</w:t>
      </w:r>
      <w:proofErr w:type="gramEnd"/>
      <w:r w:rsidRPr="002E2193">
        <w:rPr>
          <w:rFonts w:cs="Arial"/>
          <w:i/>
          <w:iCs/>
          <w:sz w:val="18"/>
          <w:szCs w:val="18"/>
          <w:lang w:val="es-CO" w:eastAsia="es-CO"/>
        </w:rPr>
        <w:t xml:space="preserve"> de la presente Resolución, los Distribuidores deberán entregar la información histórica a 31 de diciembre de 2002, correspondiente a la Inversión Existente y los gastos de AOM.</w:t>
      </w:r>
    </w:p>
    <w:p w14:paraId="592E5B08" w14:textId="77777777" w:rsidR="00550515" w:rsidRDefault="00550515" w:rsidP="00550515">
      <w:pPr>
        <w:shd w:val="clear" w:color="auto" w:fill="FFFFFF"/>
        <w:spacing w:before="0" w:after="0"/>
        <w:ind w:left="284"/>
        <w:rPr>
          <w:rFonts w:cs="Arial"/>
          <w:i/>
          <w:iCs/>
          <w:sz w:val="18"/>
          <w:szCs w:val="18"/>
          <w:lang w:val="es-CO" w:eastAsia="es-CO"/>
        </w:rPr>
      </w:pPr>
    </w:p>
    <w:p w14:paraId="3D1E43E8" w14:textId="399D0DFC" w:rsidR="00B34459" w:rsidRPr="002E2193" w:rsidRDefault="00B34459" w:rsidP="002E2193">
      <w:pPr>
        <w:shd w:val="clear" w:color="auto" w:fill="FFFFFF"/>
        <w:spacing w:before="0" w:after="0"/>
        <w:ind w:left="284"/>
        <w:rPr>
          <w:sz w:val="18"/>
          <w:szCs w:val="18"/>
        </w:rPr>
      </w:pPr>
      <w:r w:rsidRPr="002E2193">
        <w:rPr>
          <w:rFonts w:cs="Arial"/>
          <w:i/>
          <w:iCs/>
          <w:sz w:val="18"/>
          <w:szCs w:val="18"/>
          <w:lang w:val="es-CO" w:eastAsia="es-CO"/>
        </w:rPr>
        <w:t xml:space="preserve">b) Antes de finalizar el segundo mes siguiente a la </w:t>
      </w:r>
      <w:proofErr w:type="gramStart"/>
      <w:r w:rsidRPr="002E2193">
        <w:rPr>
          <w:rFonts w:cs="Arial"/>
          <w:i/>
          <w:iCs/>
          <w:sz w:val="18"/>
          <w:szCs w:val="18"/>
          <w:lang w:val="es-CO" w:eastAsia="es-CO"/>
        </w:rPr>
        <w:t>entrada en vigencia</w:t>
      </w:r>
      <w:proofErr w:type="gramEnd"/>
      <w:r w:rsidRPr="002E2193">
        <w:rPr>
          <w:rFonts w:cs="Arial"/>
          <w:i/>
          <w:iCs/>
          <w:sz w:val="18"/>
          <w:szCs w:val="18"/>
          <w:lang w:val="es-CO" w:eastAsia="es-CO"/>
        </w:rPr>
        <w:t xml:space="preserve"> de la presente Resolución, los Distribuidores deberán entregar la información restante necesaria para la determinación del Cargo de Distribución.</w:t>
      </w:r>
    </w:p>
  </w:footnote>
  <w:footnote w:id="4">
    <w:p w14:paraId="291084FB" w14:textId="65AC39AF" w:rsidR="008B35AB" w:rsidRDefault="00E220F8" w:rsidP="00B14F1F">
      <w:pPr>
        <w:spacing w:before="0" w:after="0"/>
        <w:rPr>
          <w:rFonts w:cs="Arial"/>
          <w:sz w:val="18"/>
          <w:szCs w:val="18"/>
        </w:rPr>
      </w:pPr>
      <w:r w:rsidRPr="002E2193">
        <w:rPr>
          <w:rStyle w:val="Refdenotaalpie"/>
          <w:rFonts w:cs="Arial"/>
          <w:sz w:val="18"/>
          <w:szCs w:val="18"/>
        </w:rPr>
        <w:footnoteRef/>
      </w:r>
      <w:r w:rsidRPr="002E2193">
        <w:rPr>
          <w:rFonts w:cs="Arial"/>
          <w:sz w:val="18"/>
          <w:szCs w:val="18"/>
        </w:rPr>
        <w:t xml:space="preserve"> El literal c) del numeral 9.5 del Artículo 9 de la Resolución CREG 202 de 2013 dispone lo siguiente:</w:t>
      </w:r>
    </w:p>
    <w:p w14:paraId="1B2DE231" w14:textId="77777777" w:rsidR="008B35AB" w:rsidRDefault="008B35AB" w:rsidP="00B14F1F">
      <w:pPr>
        <w:spacing w:before="0" w:after="0"/>
        <w:rPr>
          <w:rFonts w:cs="Arial"/>
          <w:sz w:val="18"/>
          <w:szCs w:val="18"/>
        </w:rPr>
      </w:pPr>
    </w:p>
    <w:p w14:paraId="0386F4FD" w14:textId="77777777" w:rsidR="00E220F8" w:rsidRPr="002E2193" w:rsidRDefault="00E220F8" w:rsidP="007B6AB8">
      <w:pPr>
        <w:spacing w:before="0" w:after="0"/>
        <w:ind w:left="284"/>
        <w:rPr>
          <w:rFonts w:cs="Arial"/>
          <w:i/>
          <w:iCs/>
          <w:sz w:val="18"/>
          <w:szCs w:val="18"/>
        </w:rPr>
      </w:pPr>
      <w:r w:rsidRPr="002E2193">
        <w:rPr>
          <w:rFonts w:cs="Arial"/>
          <w:b/>
          <w:i/>
          <w:iCs/>
          <w:sz w:val="18"/>
          <w:szCs w:val="18"/>
          <w:lang w:val="es-ES_tradnl"/>
        </w:rPr>
        <w:t xml:space="preserve">Programa de Nuevas Inversiones para Municipios Nuevos (IPNI): </w:t>
      </w:r>
      <w:r w:rsidRPr="002E2193">
        <w:rPr>
          <w:rFonts w:cs="Arial"/>
          <w:i/>
          <w:iCs/>
          <w:sz w:val="18"/>
          <w:szCs w:val="18"/>
          <w:lang w:val="es-ES_tradnl"/>
        </w:rPr>
        <w:t>Inversión a reconocer para el Programa de Nuevas Inversiones que se realizará en el Siguiente Período Tarifario. Esta deberá ser homologada a las Unidades Constructivas que se definan para el Siguiente Período Tarifario y valorada a los costos unitarios que se establecen en esta Resolución y que están definidos en el ANEXO 8. Esta inversión debe estar expresada a pesos de la Fecha Base.</w:t>
      </w:r>
    </w:p>
  </w:footnote>
  <w:footnote w:id="5">
    <w:p w14:paraId="3A4FD7EB" w14:textId="77777777" w:rsidR="00580EE3" w:rsidRPr="00453404" w:rsidRDefault="00580EE3" w:rsidP="00580EE3">
      <w:pPr>
        <w:pStyle w:val="Textonotapie"/>
        <w:spacing w:before="0" w:after="0"/>
        <w:rPr>
          <w:rFonts w:ascii="Bookman Old Style" w:hAnsi="Bookman Old Style" w:cs="Arial"/>
          <w:sz w:val="18"/>
          <w:szCs w:val="18"/>
        </w:rPr>
      </w:pPr>
      <w:r w:rsidRPr="00453404">
        <w:rPr>
          <w:rFonts w:ascii="Bookman Old Style" w:hAnsi="Bookman Old Style" w:cs="Arial"/>
          <w:sz w:val="18"/>
          <w:szCs w:val="18"/>
          <w:vertAlign w:val="superscript"/>
        </w:rPr>
        <w:footnoteRef/>
      </w:r>
      <w:r w:rsidRPr="00453404">
        <w:rPr>
          <w:rFonts w:ascii="Bookman Old Style" w:hAnsi="Bookman Old Style" w:cs="Arial"/>
          <w:sz w:val="18"/>
          <w:szCs w:val="18"/>
        </w:rPr>
        <w:t xml:space="preserve"> Ver entre otras las sentencias de la H. Corte Constitucional C-150 de 2003, C-1162 de 2000, C-186 de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EBFF" w14:textId="2EFCE6C9" w:rsidR="00F50B15" w:rsidRDefault="00F50B15" w:rsidP="00244BE4">
    <w:pPr>
      <w:spacing w:before="0" w:after="0"/>
      <w:jc w:val="center"/>
    </w:pPr>
  </w:p>
  <w:p w14:paraId="111974F3" w14:textId="381FAEFA" w:rsidR="00F50B15" w:rsidRPr="00951F79" w:rsidRDefault="00F50B15" w:rsidP="00244BE4">
    <w:pPr>
      <w:spacing w:before="0" w:after="0"/>
    </w:pPr>
    <w:r w:rsidRPr="00654384">
      <w:t>RESOLUCIÓN No.</w:t>
    </w:r>
    <w:r>
      <w:t xml:space="preserve"> </w:t>
    </w:r>
    <w:r w:rsidR="00C1452A" w:rsidRPr="00C1452A">
      <w:rPr>
        <w:b/>
        <w:bCs/>
        <w:u w:val="single"/>
      </w:rPr>
      <w:t>169</w:t>
    </w:r>
    <w:r w:rsidR="00C1452A">
      <w:t xml:space="preserve">   </w:t>
    </w:r>
    <w:r w:rsidRPr="00654384">
      <w:tab/>
    </w:r>
    <w:r>
      <w:t xml:space="preserve">DE </w:t>
    </w:r>
    <w:r w:rsidR="00C1452A" w:rsidRPr="00C1452A">
      <w:rPr>
        <w:b/>
        <w:bCs/>
        <w:u w:val="single"/>
      </w:rPr>
      <w:t xml:space="preserve">06 OCT. </w:t>
    </w:r>
    <w:proofErr w:type="gramStart"/>
    <w:r w:rsidR="00C1452A" w:rsidRPr="00C1452A">
      <w:rPr>
        <w:b/>
        <w:bCs/>
        <w:u w:val="single"/>
      </w:rPr>
      <w:t>2021</w:t>
    </w:r>
    <w:r w:rsidR="00C1452A">
      <w:t xml:space="preserve">  HO</w:t>
    </w:r>
    <w:r w:rsidRPr="00654384">
      <w:t>JA</w:t>
    </w:r>
    <w:proofErr w:type="gramEnd"/>
    <w:r w:rsidRPr="00654384">
      <w:t xml:space="preserve"> No. </w:t>
    </w:r>
    <w:r>
      <w:fldChar w:fldCharType="begin"/>
    </w:r>
    <w:r>
      <w:instrText xml:space="preserve"> PAGE   \* MERGEFORMAT </w:instrText>
    </w:r>
    <w:r>
      <w:fldChar w:fldCharType="separate"/>
    </w:r>
    <w:r>
      <w:rPr>
        <w:noProof/>
      </w:rPr>
      <w:t>61</w:t>
    </w:r>
    <w:r>
      <w:fldChar w:fldCharType="end"/>
    </w:r>
    <w:r w:rsidRPr="00654384">
      <w:t>/</w:t>
    </w:r>
    <w:r w:rsidR="00784C5A">
      <w:fldChar w:fldCharType="begin"/>
    </w:r>
    <w:r w:rsidR="00784C5A">
      <w:instrText xml:space="preserve"> NUMPAGES  \* MERGEFORMAT </w:instrText>
    </w:r>
    <w:r w:rsidR="00784C5A">
      <w:fldChar w:fldCharType="separate"/>
    </w:r>
    <w:r>
      <w:rPr>
        <w:noProof/>
      </w:rPr>
      <w:t>61</w:t>
    </w:r>
    <w:r w:rsidR="00784C5A">
      <w:rPr>
        <w:noProof/>
      </w:rPr>
      <w:fldChar w:fldCharType="end"/>
    </w:r>
  </w:p>
  <w:p w14:paraId="0A3457AF" w14:textId="27AA1CAD" w:rsidR="00F50B15" w:rsidRPr="007322C3" w:rsidRDefault="00F50B15" w:rsidP="002E2193">
    <w:pPr>
      <w:pBdr>
        <w:bottom w:val="single" w:sz="4" w:space="11" w:color="auto"/>
      </w:pBdr>
      <w:spacing w:after="0"/>
      <w:rPr>
        <w:rFonts w:cs="Arial"/>
        <w:i/>
        <w:color w:val="000000" w:themeColor="text1"/>
        <w:sz w:val="2"/>
        <w:szCs w:val="22"/>
        <w:lang w:eastAsia="es-CO"/>
      </w:rPr>
    </w:pPr>
    <w:r>
      <w:rPr>
        <w:noProof/>
        <w:lang w:val="es-CO" w:eastAsia="es-CO"/>
      </w:rPr>
      <mc:AlternateContent>
        <mc:Choice Requires="wps">
          <w:drawing>
            <wp:anchor distT="0" distB="0" distL="114300" distR="114300" simplePos="0" relativeHeight="251657216" behindDoc="0" locked="0" layoutInCell="1" allowOverlap="1" wp14:anchorId="6B2581F3" wp14:editId="18F7335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5BA0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r w:rsidR="001A487C" w:rsidRPr="006C438D">
      <w:rPr>
        <w:color w:val="000000" w:themeColor="text1"/>
        <w:sz w:val="22"/>
        <w:szCs w:val="22"/>
        <w:lang w:val="es-CO"/>
      </w:rPr>
      <w:t>Por la cual se resuelve recurso de reposición interpuesto por Promigas S.A. E.S.P. contra la Resolución CREG 210 de 2020, por la cual se decide la actuación administrativa iniciada en virtud de lo establecido en el Artículo 126 de la Ley 142 de 1994 para los cargos regulados establecidos mediante la Resolución CREG 198 de 2017, modificada por las Resoluciones CREG 018 de 2018 y CREG 127 de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D13C" w14:textId="69425454" w:rsidR="00F50B15" w:rsidRDefault="00F50B15" w:rsidP="002E2193">
    <w:pPr>
      <w:pStyle w:val="Encabezado"/>
      <w:tabs>
        <w:tab w:val="clear" w:pos="4252"/>
        <w:tab w:val="center" w:pos="4395"/>
      </w:tabs>
      <w:spacing w:before="0" w:after="0"/>
      <w:jc w:val="center"/>
      <w:rPr>
        <w:rFonts w:ascii="Arial" w:hAnsi="Arial" w:cs="Arial"/>
        <w:spacing w:val="20"/>
        <w:sz w:val="20"/>
      </w:rPr>
    </w:pPr>
    <w:r>
      <w:rPr>
        <w:rFonts w:ascii="Arial" w:hAnsi="Arial" w:cs="Arial"/>
        <w:spacing w:val="20"/>
        <w:sz w:val="20"/>
      </w:rPr>
      <w:t>República de Colombia</w:t>
    </w:r>
  </w:p>
  <w:p w14:paraId="43DAD51F" w14:textId="77777777" w:rsidR="00F50B15" w:rsidRDefault="00F50B15" w:rsidP="002E2193">
    <w:pPr>
      <w:pStyle w:val="Encabezado"/>
      <w:spacing w:before="0" w:after="0"/>
      <w:jc w:val="center"/>
      <w:rPr>
        <w:rFonts w:ascii="Arial" w:hAnsi="Arial" w:cs="Arial"/>
        <w:spacing w:val="20"/>
        <w:sz w:val="20"/>
      </w:rPr>
    </w:pPr>
  </w:p>
  <w:p w14:paraId="3D2ED66F" w14:textId="77777777" w:rsidR="00F50B15" w:rsidRDefault="00F50B15" w:rsidP="002E2193">
    <w:pPr>
      <w:pStyle w:val="Encabezado"/>
      <w:spacing w:before="0" w:after="0"/>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E78CE4B" wp14:editId="5B8EF69A">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B55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284"/>
        </w:tabs>
      </w:pPr>
    </w:lvl>
    <w:lvl w:ilvl="1">
      <w:start w:val="1"/>
      <w:numFmt w:val="decimal"/>
      <w:lvlText w:val="%2."/>
      <w:lvlJc w:val="left"/>
      <w:pPr>
        <w:tabs>
          <w:tab w:val="num" w:pos="1004"/>
        </w:tabs>
      </w:pPr>
    </w:lvl>
    <w:lvl w:ilvl="2">
      <w:start w:val="1"/>
      <w:numFmt w:val="decimal"/>
      <w:lvlText w:val="%3."/>
      <w:lvlJc w:val="left"/>
      <w:pPr>
        <w:tabs>
          <w:tab w:val="num" w:pos="1364"/>
        </w:tabs>
      </w:pPr>
    </w:lvl>
    <w:lvl w:ilvl="3">
      <w:start w:val="1"/>
      <w:numFmt w:val="decimal"/>
      <w:lvlText w:val="%4."/>
      <w:lvlJc w:val="left"/>
      <w:pPr>
        <w:tabs>
          <w:tab w:val="num" w:pos="1724"/>
        </w:tabs>
      </w:pPr>
    </w:lvl>
    <w:lvl w:ilvl="4">
      <w:start w:val="1"/>
      <w:numFmt w:val="decimal"/>
      <w:lvlText w:val="%5."/>
      <w:lvlJc w:val="left"/>
      <w:pPr>
        <w:tabs>
          <w:tab w:val="num" w:pos="2084"/>
        </w:tabs>
      </w:pPr>
    </w:lvl>
    <w:lvl w:ilvl="5">
      <w:start w:val="1"/>
      <w:numFmt w:val="decimal"/>
      <w:lvlText w:val="%6."/>
      <w:lvlJc w:val="left"/>
      <w:pPr>
        <w:tabs>
          <w:tab w:val="num" w:pos="2444"/>
        </w:tabs>
      </w:pPr>
    </w:lvl>
    <w:lvl w:ilvl="6">
      <w:start w:val="1"/>
      <w:numFmt w:val="decimal"/>
      <w:lvlText w:val="%7."/>
      <w:lvlJc w:val="left"/>
      <w:pPr>
        <w:tabs>
          <w:tab w:val="num" w:pos="2804"/>
        </w:tabs>
      </w:pPr>
    </w:lvl>
    <w:lvl w:ilvl="7">
      <w:start w:val="1"/>
      <w:numFmt w:val="decimal"/>
      <w:lvlText w:val="%8."/>
      <w:lvlJc w:val="left"/>
      <w:pPr>
        <w:tabs>
          <w:tab w:val="num" w:pos="3164"/>
        </w:tabs>
      </w:pPr>
    </w:lvl>
    <w:lvl w:ilvl="8">
      <w:start w:val="1"/>
      <w:numFmt w:val="decimal"/>
      <w:lvlText w:val="%9."/>
      <w:lvlJc w:val="left"/>
      <w:pPr>
        <w:tabs>
          <w:tab w:val="num" w:pos="3524"/>
        </w:tabs>
      </w:pPr>
    </w:lvl>
  </w:abstractNum>
  <w:abstractNum w:abstractNumId="1" w15:restartNumberingAfterBreak="0">
    <w:nsid w:val="00FA1C28"/>
    <w:multiLevelType w:val="hybridMultilevel"/>
    <w:tmpl w:val="CCD20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1A6998"/>
    <w:multiLevelType w:val="hybridMultilevel"/>
    <w:tmpl w:val="83CED812"/>
    <w:lvl w:ilvl="0" w:tplc="240A000D">
      <w:start w:val="1"/>
      <w:numFmt w:val="bullet"/>
      <w:lvlText w:val=""/>
      <w:lvlJc w:val="left"/>
      <w:pPr>
        <w:ind w:left="1428" w:hanging="720"/>
      </w:pPr>
      <w:rPr>
        <w:rFonts w:ascii="Wingdings" w:hAnsi="Wingding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5292F89"/>
    <w:multiLevelType w:val="hybridMultilevel"/>
    <w:tmpl w:val="B1023242"/>
    <w:lvl w:ilvl="0" w:tplc="639E412C">
      <w:start w:val="1"/>
      <w:numFmt w:val="bullet"/>
      <w:lvlText w:val=""/>
      <w:lvlJc w:val="left"/>
      <w:pPr>
        <w:tabs>
          <w:tab w:val="num" w:pos="720"/>
        </w:tabs>
        <w:ind w:left="720" w:hanging="360"/>
      </w:pPr>
      <w:rPr>
        <w:rFonts w:ascii="Wingdings" w:hAnsi="Wingdings" w:hint="default"/>
      </w:rPr>
    </w:lvl>
    <w:lvl w:ilvl="1" w:tplc="84CABC84" w:tentative="1">
      <w:start w:val="1"/>
      <w:numFmt w:val="bullet"/>
      <w:lvlText w:val=""/>
      <w:lvlJc w:val="left"/>
      <w:pPr>
        <w:tabs>
          <w:tab w:val="num" w:pos="1440"/>
        </w:tabs>
        <w:ind w:left="1440" w:hanging="360"/>
      </w:pPr>
      <w:rPr>
        <w:rFonts w:ascii="Wingdings" w:hAnsi="Wingdings" w:hint="default"/>
      </w:rPr>
    </w:lvl>
    <w:lvl w:ilvl="2" w:tplc="9542A332" w:tentative="1">
      <w:start w:val="1"/>
      <w:numFmt w:val="bullet"/>
      <w:lvlText w:val=""/>
      <w:lvlJc w:val="left"/>
      <w:pPr>
        <w:tabs>
          <w:tab w:val="num" w:pos="2160"/>
        </w:tabs>
        <w:ind w:left="2160" w:hanging="360"/>
      </w:pPr>
      <w:rPr>
        <w:rFonts w:ascii="Wingdings" w:hAnsi="Wingdings" w:hint="default"/>
      </w:rPr>
    </w:lvl>
    <w:lvl w:ilvl="3" w:tplc="4874F42A" w:tentative="1">
      <w:start w:val="1"/>
      <w:numFmt w:val="bullet"/>
      <w:lvlText w:val=""/>
      <w:lvlJc w:val="left"/>
      <w:pPr>
        <w:tabs>
          <w:tab w:val="num" w:pos="2880"/>
        </w:tabs>
        <w:ind w:left="2880" w:hanging="360"/>
      </w:pPr>
      <w:rPr>
        <w:rFonts w:ascii="Wingdings" w:hAnsi="Wingdings" w:hint="default"/>
      </w:rPr>
    </w:lvl>
    <w:lvl w:ilvl="4" w:tplc="B6EE7B16" w:tentative="1">
      <w:start w:val="1"/>
      <w:numFmt w:val="bullet"/>
      <w:lvlText w:val=""/>
      <w:lvlJc w:val="left"/>
      <w:pPr>
        <w:tabs>
          <w:tab w:val="num" w:pos="3600"/>
        </w:tabs>
        <w:ind w:left="3600" w:hanging="360"/>
      </w:pPr>
      <w:rPr>
        <w:rFonts w:ascii="Wingdings" w:hAnsi="Wingdings" w:hint="default"/>
      </w:rPr>
    </w:lvl>
    <w:lvl w:ilvl="5" w:tplc="8E5E2564" w:tentative="1">
      <w:start w:val="1"/>
      <w:numFmt w:val="bullet"/>
      <w:lvlText w:val=""/>
      <w:lvlJc w:val="left"/>
      <w:pPr>
        <w:tabs>
          <w:tab w:val="num" w:pos="4320"/>
        </w:tabs>
        <w:ind w:left="4320" w:hanging="360"/>
      </w:pPr>
      <w:rPr>
        <w:rFonts w:ascii="Wingdings" w:hAnsi="Wingdings" w:hint="default"/>
      </w:rPr>
    </w:lvl>
    <w:lvl w:ilvl="6" w:tplc="F5764AC0" w:tentative="1">
      <w:start w:val="1"/>
      <w:numFmt w:val="bullet"/>
      <w:lvlText w:val=""/>
      <w:lvlJc w:val="left"/>
      <w:pPr>
        <w:tabs>
          <w:tab w:val="num" w:pos="5040"/>
        </w:tabs>
        <w:ind w:left="5040" w:hanging="360"/>
      </w:pPr>
      <w:rPr>
        <w:rFonts w:ascii="Wingdings" w:hAnsi="Wingdings" w:hint="default"/>
      </w:rPr>
    </w:lvl>
    <w:lvl w:ilvl="7" w:tplc="18EA213E" w:tentative="1">
      <w:start w:val="1"/>
      <w:numFmt w:val="bullet"/>
      <w:lvlText w:val=""/>
      <w:lvlJc w:val="left"/>
      <w:pPr>
        <w:tabs>
          <w:tab w:val="num" w:pos="5760"/>
        </w:tabs>
        <w:ind w:left="5760" w:hanging="360"/>
      </w:pPr>
      <w:rPr>
        <w:rFonts w:ascii="Wingdings" w:hAnsi="Wingdings" w:hint="default"/>
      </w:rPr>
    </w:lvl>
    <w:lvl w:ilvl="8" w:tplc="9634BD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63797"/>
    <w:multiLevelType w:val="hybridMultilevel"/>
    <w:tmpl w:val="45009E5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4F449C"/>
    <w:multiLevelType w:val="multilevel"/>
    <w:tmpl w:val="B6CAF22C"/>
    <w:lvl w:ilvl="0">
      <w:start w:val="2"/>
      <w:numFmt w:val="decimal"/>
      <w:lvlText w:val="%1."/>
      <w:lvlJc w:val="left"/>
      <w:pPr>
        <w:ind w:left="450" w:hanging="45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6B63771"/>
    <w:multiLevelType w:val="hybridMultilevel"/>
    <w:tmpl w:val="AF1A15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6C27E76"/>
    <w:multiLevelType w:val="hybridMultilevel"/>
    <w:tmpl w:val="61CC33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9E84BF5"/>
    <w:multiLevelType w:val="multilevel"/>
    <w:tmpl w:val="6CB28386"/>
    <w:lvl w:ilvl="0">
      <w:start w:val="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0ADE2A84"/>
    <w:multiLevelType w:val="hybridMultilevel"/>
    <w:tmpl w:val="FA4CD004"/>
    <w:lvl w:ilvl="0" w:tplc="A1E6A2DA">
      <w:start w:val="1"/>
      <w:numFmt w:val="decimal"/>
      <w:lvlText w:val="%1."/>
      <w:lvlJc w:val="left"/>
      <w:pPr>
        <w:ind w:left="720" w:hanging="360"/>
      </w:pPr>
      <w:rPr>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B4E5415"/>
    <w:multiLevelType w:val="hybridMultilevel"/>
    <w:tmpl w:val="5AF00F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C8D2463"/>
    <w:multiLevelType w:val="hybridMultilevel"/>
    <w:tmpl w:val="7BAE1EC0"/>
    <w:lvl w:ilvl="0" w:tplc="5966116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0E241C72"/>
    <w:multiLevelType w:val="hybridMultilevel"/>
    <w:tmpl w:val="9E269818"/>
    <w:lvl w:ilvl="0" w:tplc="A1E6A2DA">
      <w:start w:val="1"/>
      <w:numFmt w:val="decimal"/>
      <w:lvlText w:val="%1."/>
      <w:lvlJc w:val="left"/>
      <w:pPr>
        <w:ind w:left="720" w:hanging="360"/>
      </w:pPr>
      <w:rPr>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1A650C7"/>
    <w:multiLevelType w:val="multilevel"/>
    <w:tmpl w:val="0DCCBC0C"/>
    <w:lvl w:ilvl="0">
      <w:start w:val="1"/>
      <w:numFmt w:val="decimal"/>
      <w:pStyle w:val="Ttulo"/>
      <w:lvlText w:val="%1."/>
      <w:lvlJc w:val="left"/>
      <w:pPr>
        <w:ind w:left="360" w:hanging="360"/>
      </w:pPr>
      <w:rPr>
        <w:rFonts w:hint="default"/>
        <w:b/>
        <w:bCs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1BE4B16"/>
    <w:multiLevelType w:val="hybridMultilevel"/>
    <w:tmpl w:val="D8D884B6"/>
    <w:lvl w:ilvl="0" w:tplc="D6C61632">
      <w:start w:val="3"/>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16" w15:restartNumberingAfterBreak="0">
    <w:nsid w:val="1CEC3F1D"/>
    <w:multiLevelType w:val="hybridMultilevel"/>
    <w:tmpl w:val="E334C004"/>
    <w:lvl w:ilvl="0" w:tplc="F9B8C60A">
      <w:start w:val="1"/>
      <w:numFmt w:val="bullet"/>
      <w:lvlText w:val=""/>
      <w:lvlJc w:val="left"/>
      <w:pPr>
        <w:tabs>
          <w:tab w:val="num" w:pos="720"/>
        </w:tabs>
        <w:ind w:left="720" w:hanging="360"/>
      </w:pPr>
      <w:rPr>
        <w:rFonts w:ascii="Wingdings" w:hAnsi="Wingdings" w:hint="default"/>
      </w:rPr>
    </w:lvl>
    <w:lvl w:ilvl="1" w:tplc="F084AE60" w:tentative="1">
      <w:start w:val="1"/>
      <w:numFmt w:val="bullet"/>
      <w:lvlText w:val=""/>
      <w:lvlJc w:val="left"/>
      <w:pPr>
        <w:tabs>
          <w:tab w:val="num" w:pos="1440"/>
        </w:tabs>
        <w:ind w:left="1440" w:hanging="360"/>
      </w:pPr>
      <w:rPr>
        <w:rFonts w:ascii="Wingdings" w:hAnsi="Wingdings" w:hint="default"/>
      </w:rPr>
    </w:lvl>
    <w:lvl w:ilvl="2" w:tplc="26C22CE0" w:tentative="1">
      <w:start w:val="1"/>
      <w:numFmt w:val="bullet"/>
      <w:lvlText w:val=""/>
      <w:lvlJc w:val="left"/>
      <w:pPr>
        <w:tabs>
          <w:tab w:val="num" w:pos="2160"/>
        </w:tabs>
        <w:ind w:left="2160" w:hanging="360"/>
      </w:pPr>
      <w:rPr>
        <w:rFonts w:ascii="Wingdings" w:hAnsi="Wingdings" w:hint="default"/>
      </w:rPr>
    </w:lvl>
    <w:lvl w:ilvl="3" w:tplc="02FCF270" w:tentative="1">
      <w:start w:val="1"/>
      <w:numFmt w:val="bullet"/>
      <w:lvlText w:val=""/>
      <w:lvlJc w:val="left"/>
      <w:pPr>
        <w:tabs>
          <w:tab w:val="num" w:pos="2880"/>
        </w:tabs>
        <w:ind w:left="2880" w:hanging="360"/>
      </w:pPr>
      <w:rPr>
        <w:rFonts w:ascii="Wingdings" w:hAnsi="Wingdings" w:hint="default"/>
      </w:rPr>
    </w:lvl>
    <w:lvl w:ilvl="4" w:tplc="4F2829A8" w:tentative="1">
      <w:start w:val="1"/>
      <w:numFmt w:val="bullet"/>
      <w:lvlText w:val=""/>
      <w:lvlJc w:val="left"/>
      <w:pPr>
        <w:tabs>
          <w:tab w:val="num" w:pos="3600"/>
        </w:tabs>
        <w:ind w:left="3600" w:hanging="360"/>
      </w:pPr>
      <w:rPr>
        <w:rFonts w:ascii="Wingdings" w:hAnsi="Wingdings" w:hint="default"/>
      </w:rPr>
    </w:lvl>
    <w:lvl w:ilvl="5" w:tplc="917E2A9C" w:tentative="1">
      <w:start w:val="1"/>
      <w:numFmt w:val="bullet"/>
      <w:lvlText w:val=""/>
      <w:lvlJc w:val="left"/>
      <w:pPr>
        <w:tabs>
          <w:tab w:val="num" w:pos="4320"/>
        </w:tabs>
        <w:ind w:left="4320" w:hanging="360"/>
      </w:pPr>
      <w:rPr>
        <w:rFonts w:ascii="Wingdings" w:hAnsi="Wingdings" w:hint="default"/>
      </w:rPr>
    </w:lvl>
    <w:lvl w:ilvl="6" w:tplc="070EE682" w:tentative="1">
      <w:start w:val="1"/>
      <w:numFmt w:val="bullet"/>
      <w:lvlText w:val=""/>
      <w:lvlJc w:val="left"/>
      <w:pPr>
        <w:tabs>
          <w:tab w:val="num" w:pos="5040"/>
        </w:tabs>
        <w:ind w:left="5040" w:hanging="360"/>
      </w:pPr>
      <w:rPr>
        <w:rFonts w:ascii="Wingdings" w:hAnsi="Wingdings" w:hint="default"/>
      </w:rPr>
    </w:lvl>
    <w:lvl w:ilvl="7" w:tplc="BF0239E8" w:tentative="1">
      <w:start w:val="1"/>
      <w:numFmt w:val="bullet"/>
      <w:lvlText w:val=""/>
      <w:lvlJc w:val="left"/>
      <w:pPr>
        <w:tabs>
          <w:tab w:val="num" w:pos="5760"/>
        </w:tabs>
        <w:ind w:left="5760" w:hanging="360"/>
      </w:pPr>
      <w:rPr>
        <w:rFonts w:ascii="Wingdings" w:hAnsi="Wingdings" w:hint="default"/>
      </w:rPr>
    </w:lvl>
    <w:lvl w:ilvl="8" w:tplc="E1A0529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355797"/>
    <w:multiLevelType w:val="hybridMultilevel"/>
    <w:tmpl w:val="026AE2E4"/>
    <w:lvl w:ilvl="0" w:tplc="858CD0F6">
      <w:start w:val="3"/>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AB1C92"/>
    <w:multiLevelType w:val="multilevel"/>
    <w:tmpl w:val="3918AEAA"/>
    <w:lvl w:ilvl="0">
      <w:start w:val="2"/>
      <w:numFmt w:val="decimal"/>
      <w:lvlText w:val="%1."/>
      <w:lvlJc w:val="left"/>
      <w:pPr>
        <w:ind w:left="450" w:hanging="450"/>
      </w:pPr>
      <w:rPr>
        <w:rFonts w:hint="default"/>
        <w:b/>
        <w:bCs w:val="0"/>
      </w:rPr>
    </w:lvl>
    <w:lvl w:ilvl="1">
      <w:start w:val="1"/>
      <w:numFmt w:val="decimal"/>
      <w:pStyle w:val="Ttulo2"/>
      <w:lvlText w:val="%1.%2."/>
      <w:lvlJc w:val="left"/>
      <w:pPr>
        <w:ind w:left="720" w:hanging="720"/>
      </w:pPr>
      <w:rPr>
        <w:rFonts w:hint="default"/>
        <w:b/>
        <w:bCs/>
      </w:rPr>
    </w:lvl>
    <w:lvl w:ilvl="2">
      <w:start w:val="1"/>
      <w:numFmt w:val="decimal"/>
      <w:pStyle w:val="Ttulo3"/>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6A12426"/>
    <w:multiLevelType w:val="hybridMultilevel"/>
    <w:tmpl w:val="4EC656B8"/>
    <w:lvl w:ilvl="0" w:tplc="412236C4">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26CC20CB"/>
    <w:multiLevelType w:val="hybridMultilevel"/>
    <w:tmpl w:val="03E02278"/>
    <w:lvl w:ilvl="0" w:tplc="FB0466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6D73908"/>
    <w:multiLevelType w:val="hybridMultilevel"/>
    <w:tmpl w:val="FC3C20C6"/>
    <w:lvl w:ilvl="0" w:tplc="583435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71931BA"/>
    <w:multiLevelType w:val="multilevel"/>
    <w:tmpl w:val="E642F06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7B14F4"/>
    <w:multiLevelType w:val="multilevel"/>
    <w:tmpl w:val="513865D2"/>
    <w:name w:val="Lista4"/>
    <w:lvl w:ilvl="0">
      <w:start w:val="1"/>
      <w:numFmt w:val="decimal"/>
      <w:pStyle w:val="Ttulo1"/>
      <w:lvlText w:val="%1."/>
      <w:lvlJc w:val="left"/>
      <w:pPr>
        <w:ind w:left="360" w:hanging="360"/>
      </w:pPr>
      <w:rPr>
        <w:rFonts w:hint="default"/>
        <w:b/>
        <w:bCs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4"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2DF541ED"/>
    <w:multiLevelType w:val="hybridMultilevel"/>
    <w:tmpl w:val="B5DC2DF4"/>
    <w:lvl w:ilvl="0" w:tplc="240A0011">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6" w15:restartNumberingAfterBreak="0">
    <w:nsid w:val="2E0E1087"/>
    <w:multiLevelType w:val="hybridMultilevel"/>
    <w:tmpl w:val="9F60C034"/>
    <w:lvl w:ilvl="0" w:tplc="64B010B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2FA8723C"/>
    <w:multiLevelType w:val="hybridMultilevel"/>
    <w:tmpl w:val="526A02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29" w15:restartNumberingAfterBreak="0">
    <w:nsid w:val="36CB5859"/>
    <w:multiLevelType w:val="hybridMultilevel"/>
    <w:tmpl w:val="F11C4032"/>
    <w:lvl w:ilvl="0" w:tplc="240A0017">
      <w:start w:val="1"/>
      <w:numFmt w:val="lowerLetter"/>
      <w:lvlText w:val="%1)"/>
      <w:lvlJc w:val="left"/>
      <w:pPr>
        <w:ind w:left="578" w:hanging="360"/>
      </w:pPr>
    </w:lvl>
    <w:lvl w:ilvl="1" w:tplc="5388E8AC">
      <w:start w:val="1"/>
      <w:numFmt w:val="decimal"/>
      <w:lvlText w:val="%2."/>
      <w:lvlJc w:val="left"/>
      <w:pPr>
        <w:ind w:left="1373" w:hanging="435"/>
      </w:pPr>
      <w:rPr>
        <w:rFonts w:hint="default"/>
        <w:lang w:val="es-ES"/>
      </w:r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0" w15:restartNumberingAfterBreak="0">
    <w:nsid w:val="3761348B"/>
    <w:multiLevelType w:val="hybridMultilevel"/>
    <w:tmpl w:val="01DCC994"/>
    <w:lvl w:ilvl="0" w:tplc="BD8ACD2C">
      <w:start w:val="1"/>
      <w:numFmt w:val="lowerLetter"/>
      <w:lvlText w:val="%1)"/>
      <w:lvlJc w:val="left"/>
      <w:pPr>
        <w:tabs>
          <w:tab w:val="num" w:pos="738"/>
        </w:tabs>
        <w:ind w:left="738" w:hanging="454"/>
      </w:pPr>
      <w:rPr>
        <w:rFonts w:ascii="Bookman Old Style" w:hAnsi="Bookman Old Style" w:hint="default"/>
        <w:b/>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7C832EF"/>
    <w:multiLevelType w:val="hybridMultilevel"/>
    <w:tmpl w:val="943AF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7DA6379"/>
    <w:multiLevelType w:val="hybridMultilevel"/>
    <w:tmpl w:val="AF1C560C"/>
    <w:lvl w:ilvl="0" w:tplc="DAA81838">
      <w:start w:val="1"/>
      <w:numFmt w:val="decimal"/>
      <w:lvlText w:val="%1."/>
      <w:lvlJc w:val="left"/>
      <w:pPr>
        <w:ind w:left="502" w:hanging="360"/>
      </w:pPr>
      <w:rPr>
        <w:rFonts w:ascii="Century Gothic" w:hAnsi="Century Gothic" w:hint="default"/>
        <w:b w:val="0"/>
        <w:color w:val="auto"/>
        <w:sz w:val="24"/>
        <w:szCs w:val="24"/>
      </w:rPr>
    </w:lvl>
    <w:lvl w:ilvl="1" w:tplc="6F2C4B96">
      <w:start w:val="1"/>
      <w:numFmt w:val="lowerLetter"/>
      <w:lvlText w:val="%2."/>
      <w:lvlJc w:val="left"/>
      <w:pPr>
        <w:ind w:left="1222" w:hanging="360"/>
      </w:pPr>
      <w:rPr>
        <w:b/>
      </w:r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3" w15:restartNumberingAfterBreak="0">
    <w:nsid w:val="380B391A"/>
    <w:multiLevelType w:val="multilevel"/>
    <w:tmpl w:val="AE8A6CC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8A60351"/>
    <w:multiLevelType w:val="hybridMultilevel"/>
    <w:tmpl w:val="F560238A"/>
    <w:lvl w:ilvl="0" w:tplc="240A0001">
      <w:start w:val="1"/>
      <w:numFmt w:val="bullet"/>
      <w:lvlText w:val=""/>
      <w:lvlJc w:val="left"/>
      <w:pPr>
        <w:ind w:left="218" w:hanging="360"/>
      </w:pPr>
      <w:rPr>
        <w:rFonts w:ascii="Symbol" w:hAnsi="Symbol"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35" w15:restartNumberingAfterBreak="0">
    <w:nsid w:val="38D041EE"/>
    <w:multiLevelType w:val="hybridMultilevel"/>
    <w:tmpl w:val="08EA5780"/>
    <w:lvl w:ilvl="0" w:tplc="CE32EE5C">
      <w:start w:val="1"/>
      <w:numFmt w:val="decimal"/>
      <w:lvlText w:val="Artículo %1."/>
      <w:lvlJc w:val="left"/>
      <w:pPr>
        <w:ind w:left="0" w:firstLine="0"/>
      </w:pPr>
      <w:rPr>
        <w:rFonts w:hint="default"/>
        <w:b/>
        <w:sz w:val="24"/>
        <w:szCs w:val="24"/>
      </w:rPr>
    </w:lvl>
    <w:lvl w:ilvl="1" w:tplc="0C0A0001">
      <w:start w:val="1"/>
      <w:numFmt w:val="bullet"/>
      <w:lvlText w:val=""/>
      <w:lvlJc w:val="left"/>
      <w:pPr>
        <w:tabs>
          <w:tab w:val="num" w:pos="229"/>
        </w:tabs>
        <w:ind w:left="229" w:hanging="360"/>
      </w:pPr>
      <w:rPr>
        <w:rFonts w:ascii="Symbol" w:hAnsi="Symbol" w:hint="default"/>
        <w:b/>
        <w:sz w:val="24"/>
        <w:szCs w:val="24"/>
      </w:rPr>
    </w:lvl>
    <w:lvl w:ilvl="2" w:tplc="48B6F048">
      <w:start w:val="1"/>
      <w:numFmt w:val="lowerRoman"/>
      <w:lvlText w:val="%3)"/>
      <w:lvlJc w:val="left"/>
      <w:pPr>
        <w:tabs>
          <w:tab w:val="num" w:pos="-851"/>
        </w:tabs>
        <w:ind w:left="-284" w:hanging="567"/>
      </w:pPr>
      <w:rPr>
        <w:rFonts w:hint="default"/>
        <w:b/>
        <w:sz w:val="24"/>
        <w:szCs w:val="24"/>
      </w:rPr>
    </w:lvl>
    <w:lvl w:ilvl="3" w:tplc="0C0A000F">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36" w15:restartNumberingAfterBreak="0">
    <w:nsid w:val="395C4675"/>
    <w:multiLevelType w:val="hybridMultilevel"/>
    <w:tmpl w:val="61E022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B2B224F"/>
    <w:multiLevelType w:val="hybridMultilevel"/>
    <w:tmpl w:val="B74EB4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B3B1569"/>
    <w:multiLevelType w:val="hybridMultilevel"/>
    <w:tmpl w:val="A254F50A"/>
    <w:lvl w:ilvl="0" w:tplc="E6EA48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BEF0853"/>
    <w:multiLevelType w:val="hybridMultilevel"/>
    <w:tmpl w:val="00C002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E7B3574"/>
    <w:multiLevelType w:val="hybridMultilevel"/>
    <w:tmpl w:val="4210E2EE"/>
    <w:lvl w:ilvl="0" w:tplc="CD5A8C5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2" w15:restartNumberingAfterBreak="0">
    <w:nsid w:val="40E70CD2"/>
    <w:multiLevelType w:val="hybridMultilevel"/>
    <w:tmpl w:val="76A661EE"/>
    <w:lvl w:ilvl="0" w:tplc="035673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41981E5A"/>
    <w:multiLevelType w:val="multilevel"/>
    <w:tmpl w:val="D2B0621C"/>
    <w:lvl w:ilvl="0">
      <w:start w:val="3"/>
      <w:numFmt w:val="decimal"/>
      <w:lvlText w:val="%1."/>
      <w:lvlJc w:val="left"/>
      <w:pPr>
        <w:ind w:left="720" w:hanging="720"/>
      </w:pPr>
      <w:rPr>
        <w:rFonts w:hint="default"/>
      </w:rPr>
    </w:lvl>
    <w:lvl w:ilvl="1">
      <w:start w:val="1"/>
      <w:numFmt w:val="decimal"/>
      <w:lvlText w:val="%1.%2."/>
      <w:lvlJc w:val="left"/>
      <w:pPr>
        <w:ind w:left="960" w:hanging="960"/>
      </w:pPr>
      <w:rPr>
        <w:rFonts w:hint="default"/>
        <w:b/>
        <w:bCs/>
      </w:rPr>
    </w:lvl>
    <w:lvl w:ilvl="2">
      <w:start w:val="1"/>
      <w:numFmt w:val="decimal"/>
      <w:lvlText w:val="%1.%2.%3."/>
      <w:lvlJc w:val="left"/>
      <w:pPr>
        <w:ind w:left="960" w:hanging="960"/>
      </w:pPr>
      <w:rPr>
        <w:rFonts w:hint="default"/>
      </w:rPr>
    </w:lvl>
    <w:lvl w:ilvl="3">
      <w:start w:val="1"/>
      <w:numFmt w:val="decimal"/>
      <w:lvlText w:val="%1.%2.%3.%4."/>
      <w:lvlJc w:val="left"/>
      <w:pPr>
        <w:ind w:left="1320" w:hanging="1320"/>
      </w:pPr>
      <w:rPr>
        <w:rFonts w:hint="default"/>
      </w:rPr>
    </w:lvl>
    <w:lvl w:ilvl="4">
      <w:start w:val="1"/>
      <w:numFmt w:val="decimal"/>
      <w:lvlText w:val="%1.%2.%3.%4.%5."/>
      <w:lvlJc w:val="left"/>
      <w:pPr>
        <w:ind w:left="1680" w:hanging="1680"/>
      </w:pPr>
      <w:rPr>
        <w:rFonts w:hint="default"/>
      </w:rPr>
    </w:lvl>
    <w:lvl w:ilvl="5">
      <w:start w:val="1"/>
      <w:numFmt w:val="decimal"/>
      <w:lvlText w:val="%1.%2.%3.%4.%5.%6."/>
      <w:lvlJc w:val="left"/>
      <w:pPr>
        <w:ind w:left="1680" w:hanging="1680"/>
      </w:pPr>
      <w:rPr>
        <w:rFonts w:hint="default"/>
      </w:rPr>
    </w:lvl>
    <w:lvl w:ilvl="6">
      <w:start w:val="1"/>
      <w:numFmt w:val="decimal"/>
      <w:lvlText w:val="%1.%2.%3.%4.%5.%6.%7."/>
      <w:lvlJc w:val="left"/>
      <w:pPr>
        <w:ind w:left="2040" w:hanging="2040"/>
      </w:pPr>
      <w:rPr>
        <w:rFonts w:hint="default"/>
      </w:rPr>
    </w:lvl>
    <w:lvl w:ilvl="7">
      <w:start w:val="1"/>
      <w:numFmt w:val="decimal"/>
      <w:lvlText w:val="%1.%2.%3.%4.%5.%6.%7.%8."/>
      <w:lvlJc w:val="left"/>
      <w:pPr>
        <w:ind w:left="2400" w:hanging="2400"/>
      </w:pPr>
      <w:rPr>
        <w:rFonts w:hint="default"/>
      </w:rPr>
    </w:lvl>
    <w:lvl w:ilvl="8">
      <w:start w:val="1"/>
      <w:numFmt w:val="decimal"/>
      <w:lvlText w:val="%1.%2.%3.%4.%5.%6.%7.%8.%9."/>
      <w:lvlJc w:val="left"/>
      <w:pPr>
        <w:ind w:left="2400" w:hanging="2400"/>
      </w:pPr>
      <w:rPr>
        <w:rFonts w:hint="default"/>
      </w:rPr>
    </w:lvl>
  </w:abstractNum>
  <w:abstractNum w:abstractNumId="44" w15:restartNumberingAfterBreak="0">
    <w:nsid w:val="436F302F"/>
    <w:multiLevelType w:val="multilevel"/>
    <w:tmpl w:val="2594EA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3CE0A99"/>
    <w:multiLevelType w:val="hybridMultilevel"/>
    <w:tmpl w:val="A432A6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4F35060"/>
    <w:multiLevelType w:val="hybridMultilevel"/>
    <w:tmpl w:val="79C03DCE"/>
    <w:lvl w:ilvl="0" w:tplc="A5181B80">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45FA5174"/>
    <w:multiLevelType w:val="hybridMultilevel"/>
    <w:tmpl w:val="9844F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6AA1FE2"/>
    <w:multiLevelType w:val="hybridMultilevel"/>
    <w:tmpl w:val="BEA8E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46FF6D5E"/>
    <w:multiLevelType w:val="hybridMultilevel"/>
    <w:tmpl w:val="A6B87F1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47AF4C80"/>
    <w:multiLevelType w:val="hybridMultilevel"/>
    <w:tmpl w:val="5030BA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9644E3D"/>
    <w:multiLevelType w:val="hybridMultilevel"/>
    <w:tmpl w:val="CF7687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CF761D4"/>
    <w:multiLevelType w:val="hybridMultilevel"/>
    <w:tmpl w:val="2EB8A2A0"/>
    <w:lvl w:ilvl="0" w:tplc="1324B22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3" w15:restartNumberingAfterBreak="0">
    <w:nsid w:val="4F7341DB"/>
    <w:multiLevelType w:val="hybridMultilevel"/>
    <w:tmpl w:val="48CA0012"/>
    <w:lvl w:ilvl="0" w:tplc="2292C0DA">
      <w:start w:val="1"/>
      <w:numFmt w:val="bullet"/>
      <w:lvlText w:val=""/>
      <w:lvlJc w:val="left"/>
      <w:pPr>
        <w:tabs>
          <w:tab w:val="num" w:pos="720"/>
        </w:tabs>
        <w:ind w:left="720" w:hanging="360"/>
      </w:pPr>
      <w:rPr>
        <w:rFonts w:ascii="Wingdings" w:hAnsi="Wingdings" w:hint="default"/>
      </w:rPr>
    </w:lvl>
    <w:lvl w:ilvl="1" w:tplc="22E63B18" w:tentative="1">
      <w:start w:val="1"/>
      <w:numFmt w:val="bullet"/>
      <w:lvlText w:val=""/>
      <w:lvlJc w:val="left"/>
      <w:pPr>
        <w:tabs>
          <w:tab w:val="num" w:pos="1440"/>
        </w:tabs>
        <w:ind w:left="1440" w:hanging="360"/>
      </w:pPr>
      <w:rPr>
        <w:rFonts w:ascii="Wingdings" w:hAnsi="Wingdings" w:hint="default"/>
      </w:rPr>
    </w:lvl>
    <w:lvl w:ilvl="2" w:tplc="785CCE96" w:tentative="1">
      <w:start w:val="1"/>
      <w:numFmt w:val="bullet"/>
      <w:lvlText w:val=""/>
      <w:lvlJc w:val="left"/>
      <w:pPr>
        <w:tabs>
          <w:tab w:val="num" w:pos="2160"/>
        </w:tabs>
        <w:ind w:left="2160" w:hanging="360"/>
      </w:pPr>
      <w:rPr>
        <w:rFonts w:ascii="Wingdings" w:hAnsi="Wingdings" w:hint="default"/>
      </w:rPr>
    </w:lvl>
    <w:lvl w:ilvl="3" w:tplc="D2A223F4" w:tentative="1">
      <w:start w:val="1"/>
      <w:numFmt w:val="bullet"/>
      <w:lvlText w:val=""/>
      <w:lvlJc w:val="left"/>
      <w:pPr>
        <w:tabs>
          <w:tab w:val="num" w:pos="2880"/>
        </w:tabs>
        <w:ind w:left="2880" w:hanging="360"/>
      </w:pPr>
      <w:rPr>
        <w:rFonts w:ascii="Wingdings" w:hAnsi="Wingdings" w:hint="default"/>
      </w:rPr>
    </w:lvl>
    <w:lvl w:ilvl="4" w:tplc="B03EC548" w:tentative="1">
      <w:start w:val="1"/>
      <w:numFmt w:val="bullet"/>
      <w:lvlText w:val=""/>
      <w:lvlJc w:val="left"/>
      <w:pPr>
        <w:tabs>
          <w:tab w:val="num" w:pos="3600"/>
        </w:tabs>
        <w:ind w:left="3600" w:hanging="360"/>
      </w:pPr>
      <w:rPr>
        <w:rFonts w:ascii="Wingdings" w:hAnsi="Wingdings" w:hint="default"/>
      </w:rPr>
    </w:lvl>
    <w:lvl w:ilvl="5" w:tplc="D45C4434" w:tentative="1">
      <w:start w:val="1"/>
      <w:numFmt w:val="bullet"/>
      <w:lvlText w:val=""/>
      <w:lvlJc w:val="left"/>
      <w:pPr>
        <w:tabs>
          <w:tab w:val="num" w:pos="4320"/>
        </w:tabs>
        <w:ind w:left="4320" w:hanging="360"/>
      </w:pPr>
      <w:rPr>
        <w:rFonts w:ascii="Wingdings" w:hAnsi="Wingdings" w:hint="default"/>
      </w:rPr>
    </w:lvl>
    <w:lvl w:ilvl="6" w:tplc="CE9EFE3E" w:tentative="1">
      <w:start w:val="1"/>
      <w:numFmt w:val="bullet"/>
      <w:lvlText w:val=""/>
      <w:lvlJc w:val="left"/>
      <w:pPr>
        <w:tabs>
          <w:tab w:val="num" w:pos="5040"/>
        </w:tabs>
        <w:ind w:left="5040" w:hanging="360"/>
      </w:pPr>
      <w:rPr>
        <w:rFonts w:ascii="Wingdings" w:hAnsi="Wingdings" w:hint="default"/>
      </w:rPr>
    </w:lvl>
    <w:lvl w:ilvl="7" w:tplc="2A7E7D0C" w:tentative="1">
      <w:start w:val="1"/>
      <w:numFmt w:val="bullet"/>
      <w:lvlText w:val=""/>
      <w:lvlJc w:val="left"/>
      <w:pPr>
        <w:tabs>
          <w:tab w:val="num" w:pos="5760"/>
        </w:tabs>
        <w:ind w:left="5760" w:hanging="360"/>
      </w:pPr>
      <w:rPr>
        <w:rFonts w:ascii="Wingdings" w:hAnsi="Wingdings" w:hint="default"/>
      </w:rPr>
    </w:lvl>
    <w:lvl w:ilvl="8" w:tplc="9F26E5E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06D2BE8"/>
    <w:multiLevelType w:val="hybridMultilevel"/>
    <w:tmpl w:val="053402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5" w15:restartNumberingAfterBreak="0">
    <w:nsid w:val="529E3216"/>
    <w:multiLevelType w:val="hybridMultilevel"/>
    <w:tmpl w:val="ACB4F412"/>
    <w:lvl w:ilvl="0" w:tplc="CF08EB48">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56"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57" w15:restartNumberingAfterBreak="0">
    <w:nsid w:val="56AD725F"/>
    <w:multiLevelType w:val="hybridMultilevel"/>
    <w:tmpl w:val="2D1A8F74"/>
    <w:lvl w:ilvl="0" w:tplc="AD008A46">
      <w:start w:val="1"/>
      <w:numFmt w:val="decimal"/>
      <w:lvlText w:val="%1."/>
      <w:lvlJc w:val="left"/>
      <w:pPr>
        <w:ind w:left="862" w:hanging="360"/>
      </w:pPr>
      <w:rPr>
        <w:rFonts w:hint="default"/>
      </w:rPr>
    </w:lvl>
    <w:lvl w:ilvl="1" w:tplc="240A0019">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8" w15:restartNumberingAfterBreak="0">
    <w:nsid w:val="5B4770EB"/>
    <w:multiLevelType w:val="hybridMultilevel"/>
    <w:tmpl w:val="0242E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5D6A7D5E"/>
    <w:multiLevelType w:val="hybridMultilevel"/>
    <w:tmpl w:val="455AFCB8"/>
    <w:lvl w:ilvl="0" w:tplc="D97C28A8">
      <w:numFmt w:val="bullet"/>
      <w:lvlText w:val="-"/>
      <w:lvlJc w:val="left"/>
      <w:pPr>
        <w:ind w:left="720" w:hanging="360"/>
      </w:pPr>
      <w:rPr>
        <w:rFonts w:ascii="Arial" w:eastAsiaTheme="minorHAnsi" w:hAnsi="Arial"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5F6C7D4A"/>
    <w:multiLevelType w:val="hybridMultilevel"/>
    <w:tmpl w:val="CBBC78FC"/>
    <w:lvl w:ilvl="0" w:tplc="A3FA278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1" w15:restartNumberingAfterBreak="0">
    <w:nsid w:val="63667A67"/>
    <w:multiLevelType w:val="hybridMultilevel"/>
    <w:tmpl w:val="BCA0EF8A"/>
    <w:lvl w:ilvl="0" w:tplc="027E1CFA">
      <w:start w:val="1"/>
      <w:numFmt w:val="bullet"/>
      <w:lvlText w:val=""/>
      <w:lvlJc w:val="left"/>
      <w:pPr>
        <w:ind w:left="720" w:hanging="360"/>
      </w:pPr>
      <w:rPr>
        <w:rFonts w:ascii="Wingdings" w:hAnsi="Wingdings" w:hint="default"/>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63C71DB2"/>
    <w:multiLevelType w:val="hybridMultilevel"/>
    <w:tmpl w:val="5AF00F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59F5349"/>
    <w:multiLevelType w:val="hybridMultilevel"/>
    <w:tmpl w:val="AC0CE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664C33ED"/>
    <w:multiLevelType w:val="hybridMultilevel"/>
    <w:tmpl w:val="9A648B90"/>
    <w:lvl w:ilvl="0" w:tplc="916AFA9A">
      <w:start w:val="8"/>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66922B04"/>
    <w:multiLevelType w:val="hybridMultilevel"/>
    <w:tmpl w:val="15EEA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67" w15:restartNumberingAfterBreak="0">
    <w:nsid w:val="69A060C9"/>
    <w:multiLevelType w:val="hybridMultilevel"/>
    <w:tmpl w:val="AC9083A4"/>
    <w:lvl w:ilvl="0" w:tplc="B906971C">
      <w:start w:val="3"/>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69B64248"/>
    <w:multiLevelType w:val="multilevel"/>
    <w:tmpl w:val="6F8246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B3633BE"/>
    <w:multiLevelType w:val="hybridMultilevel"/>
    <w:tmpl w:val="41A259BA"/>
    <w:lvl w:ilvl="0" w:tplc="6F7C7C18">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6EC2467E"/>
    <w:multiLevelType w:val="hybridMultilevel"/>
    <w:tmpl w:val="A76A1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71423989"/>
    <w:multiLevelType w:val="hybridMultilevel"/>
    <w:tmpl w:val="91828A22"/>
    <w:lvl w:ilvl="0" w:tplc="D6588504">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72" w15:restartNumberingAfterBreak="0">
    <w:nsid w:val="73432BD8"/>
    <w:multiLevelType w:val="hybridMultilevel"/>
    <w:tmpl w:val="7E0857EC"/>
    <w:lvl w:ilvl="0" w:tplc="AC409332">
      <w:start w:val="1"/>
      <w:numFmt w:val="decimal"/>
      <w:pStyle w:val="ARTICULOS"/>
      <w:lvlText w:val="Artículo %1."/>
      <w:lvlJc w:val="left"/>
      <w:pPr>
        <w:ind w:left="360"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F4E8F414">
      <w:start w:val="1"/>
      <w:numFmt w:val="lowerRoman"/>
      <w:lvlText w:val="%4)"/>
      <w:lvlJc w:val="left"/>
      <w:pPr>
        <w:ind w:left="185" w:hanging="720"/>
      </w:pPr>
      <w:rPr>
        <w:rFonts w:hint="default"/>
      </w:r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73" w15:restartNumberingAfterBreak="0">
    <w:nsid w:val="73BE05E8"/>
    <w:multiLevelType w:val="hybridMultilevel"/>
    <w:tmpl w:val="4ED6C2D8"/>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4" w15:restartNumberingAfterBreak="0">
    <w:nsid w:val="74DF5C53"/>
    <w:multiLevelType w:val="hybridMultilevel"/>
    <w:tmpl w:val="A378E32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75" w15:restartNumberingAfterBreak="0">
    <w:nsid w:val="77B819FE"/>
    <w:multiLevelType w:val="hybridMultilevel"/>
    <w:tmpl w:val="49D6EB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79D47E77"/>
    <w:multiLevelType w:val="hybridMultilevel"/>
    <w:tmpl w:val="63F08A9C"/>
    <w:lvl w:ilvl="0" w:tplc="EC181890">
      <w:start w:val="1"/>
      <w:numFmt w:val="decimal"/>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7CE35D29"/>
    <w:multiLevelType w:val="hybridMultilevel"/>
    <w:tmpl w:val="E146D3E4"/>
    <w:lvl w:ilvl="0" w:tplc="3E2454A0">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E76570C"/>
    <w:multiLevelType w:val="hybridMultilevel"/>
    <w:tmpl w:val="357AE624"/>
    <w:lvl w:ilvl="0" w:tplc="A5E253D2">
      <w:start w:val="1"/>
      <w:numFmt w:val="decimal"/>
      <w:lvlText w:val="%1)"/>
      <w:lvlJc w:val="left"/>
      <w:pPr>
        <w:ind w:left="1287" w:hanging="360"/>
      </w:pPr>
      <w:rPr>
        <w:b/>
        <w:bCs/>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num w:numId="1">
    <w:abstractNumId w:val="15"/>
  </w:num>
  <w:num w:numId="2">
    <w:abstractNumId w:val="23"/>
  </w:num>
  <w:num w:numId="3">
    <w:abstractNumId w:val="66"/>
  </w:num>
  <w:num w:numId="4">
    <w:abstractNumId w:val="0"/>
  </w:num>
  <w:num w:numId="5">
    <w:abstractNumId w:val="72"/>
  </w:num>
  <w:num w:numId="6">
    <w:abstractNumId w:val="41"/>
  </w:num>
  <w:num w:numId="7">
    <w:abstractNumId w:val="29"/>
  </w:num>
  <w:num w:numId="8">
    <w:abstractNumId w:val="73"/>
  </w:num>
  <w:num w:numId="9">
    <w:abstractNumId w:val="1"/>
  </w:num>
  <w:num w:numId="10">
    <w:abstractNumId w:val="63"/>
  </w:num>
  <w:num w:numId="11">
    <w:abstractNumId w:val="34"/>
  </w:num>
  <w:num w:numId="12">
    <w:abstractNumId w:val="74"/>
  </w:num>
  <w:num w:numId="13">
    <w:abstractNumId w:val="11"/>
  </w:num>
  <w:num w:numId="14">
    <w:abstractNumId w:val="55"/>
  </w:num>
  <w:num w:numId="15">
    <w:abstractNumId w:val="71"/>
  </w:num>
  <w:num w:numId="16">
    <w:abstractNumId w:val="32"/>
  </w:num>
  <w:num w:numId="17">
    <w:abstractNumId w:val="61"/>
  </w:num>
  <w:num w:numId="18">
    <w:abstractNumId w:val="57"/>
  </w:num>
  <w:num w:numId="19">
    <w:abstractNumId w:val="15"/>
  </w:num>
  <w:num w:numId="20">
    <w:abstractNumId w:val="28"/>
  </w:num>
  <w:num w:numId="21">
    <w:abstractNumId w:val="46"/>
  </w:num>
  <w:num w:numId="22">
    <w:abstractNumId w:val="35"/>
  </w:num>
  <w:num w:numId="23">
    <w:abstractNumId w:val="24"/>
  </w:num>
  <w:num w:numId="24">
    <w:abstractNumId w:val="76"/>
  </w:num>
  <w:num w:numId="25">
    <w:abstractNumId w:val="20"/>
  </w:num>
  <w:num w:numId="26">
    <w:abstractNumId w:val="77"/>
  </w:num>
  <w:num w:numId="27">
    <w:abstractNumId w:val="69"/>
  </w:num>
  <w:num w:numId="28">
    <w:abstractNumId w:val="45"/>
  </w:num>
  <w:num w:numId="29">
    <w:abstractNumId w:val="68"/>
  </w:num>
  <w:num w:numId="30">
    <w:abstractNumId w:val="54"/>
  </w:num>
  <w:num w:numId="31">
    <w:abstractNumId w:val="6"/>
  </w:num>
  <w:num w:numId="32">
    <w:abstractNumId w:val="75"/>
  </w:num>
  <w:num w:numId="33">
    <w:abstractNumId w:val="65"/>
  </w:num>
  <w:num w:numId="34">
    <w:abstractNumId w:val="31"/>
  </w:num>
  <w:num w:numId="35">
    <w:abstractNumId w:val="78"/>
  </w:num>
  <w:num w:numId="36">
    <w:abstractNumId w:val="26"/>
  </w:num>
  <w:num w:numId="37">
    <w:abstractNumId w:val="23"/>
  </w:num>
  <w:num w:numId="38">
    <w:abstractNumId w:val="23"/>
  </w:num>
  <w:num w:numId="39">
    <w:abstractNumId w:val="23"/>
  </w:num>
  <w:num w:numId="40">
    <w:abstractNumId w:val="58"/>
  </w:num>
  <w:num w:numId="41">
    <w:abstractNumId w:val="27"/>
  </w:num>
  <w:num w:numId="42">
    <w:abstractNumId w:val="12"/>
  </w:num>
  <w:num w:numId="43">
    <w:abstractNumId w:val="15"/>
  </w:num>
  <w:num w:numId="44">
    <w:abstractNumId w:val="15"/>
  </w:num>
  <w:num w:numId="45">
    <w:abstractNumId w:val="9"/>
  </w:num>
  <w:num w:numId="46">
    <w:abstractNumId w:val="15"/>
  </w:num>
  <w:num w:numId="47">
    <w:abstractNumId w:val="15"/>
  </w:num>
  <w:num w:numId="48">
    <w:abstractNumId w:val="60"/>
  </w:num>
  <w:num w:numId="49">
    <w:abstractNumId w:val="37"/>
  </w:num>
  <w:num w:numId="50">
    <w:abstractNumId w:val="15"/>
  </w:num>
  <w:num w:numId="51">
    <w:abstractNumId w:val="15"/>
  </w:num>
  <w:num w:numId="52">
    <w:abstractNumId w:val="59"/>
  </w:num>
  <w:num w:numId="53">
    <w:abstractNumId w:val="64"/>
  </w:num>
  <w:num w:numId="54">
    <w:abstractNumId w:val="7"/>
  </w:num>
  <w:num w:numId="55">
    <w:abstractNumId w:val="36"/>
  </w:num>
  <w:num w:numId="56">
    <w:abstractNumId w:val="2"/>
  </w:num>
  <w:num w:numId="57">
    <w:abstractNumId w:val="17"/>
  </w:num>
  <w:num w:numId="58">
    <w:abstractNumId w:val="14"/>
  </w:num>
  <w:num w:numId="59">
    <w:abstractNumId w:val="67"/>
  </w:num>
  <w:num w:numId="60">
    <w:abstractNumId w:val="16"/>
  </w:num>
  <w:num w:numId="61">
    <w:abstractNumId w:val="3"/>
  </w:num>
  <w:num w:numId="62">
    <w:abstractNumId w:val="23"/>
  </w:num>
  <w:num w:numId="63">
    <w:abstractNumId w:val="33"/>
  </w:num>
  <w:num w:numId="64">
    <w:abstractNumId w:val="23"/>
  </w:num>
  <w:num w:numId="65">
    <w:abstractNumId w:val="8"/>
  </w:num>
  <w:num w:numId="66">
    <w:abstractNumId w:val="23"/>
  </w:num>
  <w:num w:numId="67">
    <w:abstractNumId w:val="23"/>
  </w:num>
  <w:num w:numId="68">
    <w:abstractNumId w:val="15"/>
  </w:num>
  <w:num w:numId="69">
    <w:abstractNumId w:val="15"/>
  </w:num>
  <w:num w:numId="70">
    <w:abstractNumId w:val="23"/>
  </w:num>
  <w:num w:numId="71">
    <w:abstractNumId w:val="23"/>
  </w:num>
  <w:num w:numId="72">
    <w:abstractNumId w:val="23"/>
  </w:num>
  <w:num w:numId="73">
    <w:abstractNumId w:val="48"/>
  </w:num>
  <w:num w:numId="74">
    <w:abstractNumId w:val="15"/>
  </w:num>
  <w:num w:numId="75">
    <w:abstractNumId w:val="39"/>
  </w:num>
  <w:num w:numId="76">
    <w:abstractNumId w:val="18"/>
  </w:num>
  <w:num w:numId="77">
    <w:abstractNumId w:val="23"/>
  </w:num>
  <w:num w:numId="78">
    <w:abstractNumId w:val="15"/>
  </w:num>
  <w:num w:numId="79">
    <w:abstractNumId w:val="15"/>
  </w:num>
  <w:num w:numId="80">
    <w:abstractNumId w:val="13"/>
  </w:num>
  <w:num w:numId="81">
    <w:abstractNumId w:val="5"/>
  </w:num>
  <w:num w:numId="82">
    <w:abstractNumId w:val="22"/>
  </w:num>
  <w:num w:numId="83">
    <w:abstractNumId w:val="43"/>
  </w:num>
  <w:num w:numId="84">
    <w:abstractNumId w:val="18"/>
  </w:num>
  <w:num w:numId="85">
    <w:abstractNumId w:val="18"/>
  </w:num>
  <w:num w:numId="86">
    <w:abstractNumId w:val="18"/>
  </w:num>
  <w:num w:numId="87">
    <w:abstractNumId w:val="18"/>
  </w:num>
  <w:num w:numId="88">
    <w:abstractNumId w:val="18"/>
  </w:num>
  <w:num w:numId="89">
    <w:abstractNumId w:val="18"/>
  </w:num>
  <w:num w:numId="90">
    <w:abstractNumId w:val="4"/>
  </w:num>
  <w:num w:numId="91">
    <w:abstractNumId w:val="42"/>
  </w:num>
  <w:num w:numId="92">
    <w:abstractNumId w:val="15"/>
  </w:num>
  <w:num w:numId="93">
    <w:abstractNumId w:val="18"/>
    <w:lvlOverride w:ilvl="0">
      <w:startOverride w:val="3"/>
    </w:lvlOverride>
    <w:lvlOverride w:ilvl="1">
      <w:startOverride w:val="1"/>
    </w:lvlOverride>
  </w:num>
  <w:num w:numId="94">
    <w:abstractNumId w:val="18"/>
    <w:lvlOverride w:ilvl="0">
      <w:startOverride w:val="3"/>
    </w:lvlOverride>
    <w:lvlOverride w:ilvl="1">
      <w:startOverride w:val="1"/>
    </w:lvlOverride>
  </w:num>
  <w:num w:numId="95">
    <w:abstractNumId w:val="13"/>
  </w:num>
  <w:num w:numId="96">
    <w:abstractNumId w:val="30"/>
  </w:num>
  <w:num w:numId="97">
    <w:abstractNumId w:val="70"/>
  </w:num>
  <w:num w:numId="98">
    <w:abstractNumId w:val="51"/>
  </w:num>
  <w:num w:numId="99">
    <w:abstractNumId w:val="21"/>
  </w:num>
  <w:num w:numId="100">
    <w:abstractNumId w:val="49"/>
  </w:num>
  <w:num w:numId="101">
    <w:abstractNumId w:val="19"/>
  </w:num>
  <w:num w:numId="102">
    <w:abstractNumId w:val="52"/>
  </w:num>
  <w:num w:numId="103">
    <w:abstractNumId w:val="25"/>
  </w:num>
  <w:num w:numId="104">
    <w:abstractNumId w:val="44"/>
  </w:num>
  <w:num w:numId="105">
    <w:abstractNumId w:val="47"/>
  </w:num>
  <w:num w:numId="106">
    <w:abstractNumId w:val="10"/>
  </w:num>
  <w:num w:numId="107">
    <w:abstractNumId w:val="50"/>
  </w:num>
  <w:num w:numId="108">
    <w:abstractNumId w:val="62"/>
  </w:num>
  <w:num w:numId="109">
    <w:abstractNumId w:val="38"/>
  </w:num>
  <w:num w:numId="110">
    <w:abstractNumId w:val="5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301E"/>
    <w:rsid w:val="00003378"/>
    <w:rsid w:val="000048EA"/>
    <w:rsid w:val="00004A40"/>
    <w:rsid w:val="00005A39"/>
    <w:rsid w:val="000060FC"/>
    <w:rsid w:val="00006AE2"/>
    <w:rsid w:val="000076A1"/>
    <w:rsid w:val="00011C4F"/>
    <w:rsid w:val="00012259"/>
    <w:rsid w:val="000129C8"/>
    <w:rsid w:val="00013D35"/>
    <w:rsid w:val="00014029"/>
    <w:rsid w:val="0001433F"/>
    <w:rsid w:val="00015866"/>
    <w:rsid w:val="00015DF8"/>
    <w:rsid w:val="00015F62"/>
    <w:rsid w:val="00017B98"/>
    <w:rsid w:val="000215A3"/>
    <w:rsid w:val="000219EA"/>
    <w:rsid w:val="00022584"/>
    <w:rsid w:val="000231ED"/>
    <w:rsid w:val="000243B2"/>
    <w:rsid w:val="0002492F"/>
    <w:rsid w:val="00024BD1"/>
    <w:rsid w:val="00025383"/>
    <w:rsid w:val="0002558A"/>
    <w:rsid w:val="000255B8"/>
    <w:rsid w:val="00025A27"/>
    <w:rsid w:val="00026817"/>
    <w:rsid w:val="000268CA"/>
    <w:rsid w:val="00026C9C"/>
    <w:rsid w:val="000311AA"/>
    <w:rsid w:val="00034654"/>
    <w:rsid w:val="00034BC6"/>
    <w:rsid w:val="00034BE7"/>
    <w:rsid w:val="00034E5D"/>
    <w:rsid w:val="00035307"/>
    <w:rsid w:val="00035A34"/>
    <w:rsid w:val="00035C6D"/>
    <w:rsid w:val="00036588"/>
    <w:rsid w:val="0003722E"/>
    <w:rsid w:val="000374B1"/>
    <w:rsid w:val="000415ED"/>
    <w:rsid w:val="00041F99"/>
    <w:rsid w:val="000420E7"/>
    <w:rsid w:val="00043C5E"/>
    <w:rsid w:val="00043E01"/>
    <w:rsid w:val="000441F4"/>
    <w:rsid w:val="000460BA"/>
    <w:rsid w:val="00046944"/>
    <w:rsid w:val="000518A2"/>
    <w:rsid w:val="0005295B"/>
    <w:rsid w:val="00052A6F"/>
    <w:rsid w:val="00052ED2"/>
    <w:rsid w:val="00052ED5"/>
    <w:rsid w:val="000530CB"/>
    <w:rsid w:val="0005390B"/>
    <w:rsid w:val="00055332"/>
    <w:rsid w:val="00057118"/>
    <w:rsid w:val="000601A6"/>
    <w:rsid w:val="00060850"/>
    <w:rsid w:val="00062140"/>
    <w:rsid w:val="0006344B"/>
    <w:rsid w:val="00063657"/>
    <w:rsid w:val="0006392E"/>
    <w:rsid w:val="0006438C"/>
    <w:rsid w:val="00065597"/>
    <w:rsid w:val="000664BE"/>
    <w:rsid w:val="0006766F"/>
    <w:rsid w:val="00067956"/>
    <w:rsid w:val="00070CA9"/>
    <w:rsid w:val="00074207"/>
    <w:rsid w:val="00074909"/>
    <w:rsid w:val="00075DEB"/>
    <w:rsid w:val="00076680"/>
    <w:rsid w:val="00077C46"/>
    <w:rsid w:val="00077F81"/>
    <w:rsid w:val="0008060F"/>
    <w:rsid w:val="0008073E"/>
    <w:rsid w:val="00081148"/>
    <w:rsid w:val="000813E1"/>
    <w:rsid w:val="00081C3A"/>
    <w:rsid w:val="0008241C"/>
    <w:rsid w:val="000848B1"/>
    <w:rsid w:val="00085730"/>
    <w:rsid w:val="0008637D"/>
    <w:rsid w:val="00087C38"/>
    <w:rsid w:val="00087DB0"/>
    <w:rsid w:val="00090F1A"/>
    <w:rsid w:val="00091CDB"/>
    <w:rsid w:val="000936D5"/>
    <w:rsid w:val="0009495E"/>
    <w:rsid w:val="00094F3D"/>
    <w:rsid w:val="0009527B"/>
    <w:rsid w:val="0009605F"/>
    <w:rsid w:val="000968F6"/>
    <w:rsid w:val="00096A9C"/>
    <w:rsid w:val="0009701C"/>
    <w:rsid w:val="00097901"/>
    <w:rsid w:val="000A0372"/>
    <w:rsid w:val="000A0894"/>
    <w:rsid w:val="000A19AC"/>
    <w:rsid w:val="000A3D48"/>
    <w:rsid w:val="000A45B0"/>
    <w:rsid w:val="000A532F"/>
    <w:rsid w:val="000A53D6"/>
    <w:rsid w:val="000A70B2"/>
    <w:rsid w:val="000A75B4"/>
    <w:rsid w:val="000B0060"/>
    <w:rsid w:val="000B1330"/>
    <w:rsid w:val="000B21D1"/>
    <w:rsid w:val="000B22DD"/>
    <w:rsid w:val="000B3222"/>
    <w:rsid w:val="000B4314"/>
    <w:rsid w:val="000B4986"/>
    <w:rsid w:val="000B50FA"/>
    <w:rsid w:val="000B74D6"/>
    <w:rsid w:val="000B762B"/>
    <w:rsid w:val="000B79CF"/>
    <w:rsid w:val="000C0CB5"/>
    <w:rsid w:val="000C1403"/>
    <w:rsid w:val="000C144A"/>
    <w:rsid w:val="000C2461"/>
    <w:rsid w:val="000C3C8D"/>
    <w:rsid w:val="000C3E6D"/>
    <w:rsid w:val="000C3FCE"/>
    <w:rsid w:val="000C3FE5"/>
    <w:rsid w:val="000C42BA"/>
    <w:rsid w:val="000C4938"/>
    <w:rsid w:val="000C51B4"/>
    <w:rsid w:val="000C5469"/>
    <w:rsid w:val="000C5F78"/>
    <w:rsid w:val="000C74AB"/>
    <w:rsid w:val="000D0DDF"/>
    <w:rsid w:val="000D0F33"/>
    <w:rsid w:val="000D26F8"/>
    <w:rsid w:val="000D2E59"/>
    <w:rsid w:val="000D379A"/>
    <w:rsid w:val="000D5DB5"/>
    <w:rsid w:val="000D5E0D"/>
    <w:rsid w:val="000D6799"/>
    <w:rsid w:val="000D71EF"/>
    <w:rsid w:val="000D7692"/>
    <w:rsid w:val="000E0B2A"/>
    <w:rsid w:val="000E1218"/>
    <w:rsid w:val="000E1E62"/>
    <w:rsid w:val="000E2BEB"/>
    <w:rsid w:val="000E32C4"/>
    <w:rsid w:val="000E36FE"/>
    <w:rsid w:val="000E3F68"/>
    <w:rsid w:val="000E5356"/>
    <w:rsid w:val="000E5A29"/>
    <w:rsid w:val="000E5EB3"/>
    <w:rsid w:val="000E5F6D"/>
    <w:rsid w:val="000E651D"/>
    <w:rsid w:val="000F00CF"/>
    <w:rsid w:val="000F0D98"/>
    <w:rsid w:val="000F2B5F"/>
    <w:rsid w:val="000F33DD"/>
    <w:rsid w:val="000F3E32"/>
    <w:rsid w:val="000F491A"/>
    <w:rsid w:val="000F5209"/>
    <w:rsid w:val="000F57BD"/>
    <w:rsid w:val="000F5893"/>
    <w:rsid w:val="000F73E0"/>
    <w:rsid w:val="000F79D4"/>
    <w:rsid w:val="0010053B"/>
    <w:rsid w:val="00100E45"/>
    <w:rsid w:val="0010324C"/>
    <w:rsid w:val="00103B01"/>
    <w:rsid w:val="001041F0"/>
    <w:rsid w:val="00105843"/>
    <w:rsid w:val="00106B6A"/>
    <w:rsid w:val="00110116"/>
    <w:rsid w:val="00112812"/>
    <w:rsid w:val="00113281"/>
    <w:rsid w:val="0011457E"/>
    <w:rsid w:val="001174BA"/>
    <w:rsid w:val="001201DF"/>
    <w:rsid w:val="0012084D"/>
    <w:rsid w:val="001216BB"/>
    <w:rsid w:val="0012332D"/>
    <w:rsid w:val="00123463"/>
    <w:rsid w:val="00124570"/>
    <w:rsid w:val="001247C9"/>
    <w:rsid w:val="001264D6"/>
    <w:rsid w:val="00126C44"/>
    <w:rsid w:val="00130FE7"/>
    <w:rsid w:val="00131BAC"/>
    <w:rsid w:val="0013266F"/>
    <w:rsid w:val="00133D31"/>
    <w:rsid w:val="0013462E"/>
    <w:rsid w:val="00134D29"/>
    <w:rsid w:val="00135826"/>
    <w:rsid w:val="001405C6"/>
    <w:rsid w:val="00140B61"/>
    <w:rsid w:val="00141013"/>
    <w:rsid w:val="0014135D"/>
    <w:rsid w:val="001429FF"/>
    <w:rsid w:val="00142A87"/>
    <w:rsid w:val="00145D69"/>
    <w:rsid w:val="00147552"/>
    <w:rsid w:val="00147A1A"/>
    <w:rsid w:val="00150B5E"/>
    <w:rsid w:val="00151BA7"/>
    <w:rsid w:val="00151FAB"/>
    <w:rsid w:val="00154358"/>
    <w:rsid w:val="00156638"/>
    <w:rsid w:val="00156A56"/>
    <w:rsid w:val="001571F1"/>
    <w:rsid w:val="00157F76"/>
    <w:rsid w:val="00157FA9"/>
    <w:rsid w:val="00161232"/>
    <w:rsid w:val="0016136A"/>
    <w:rsid w:val="00161DA3"/>
    <w:rsid w:val="00164890"/>
    <w:rsid w:val="00166359"/>
    <w:rsid w:val="00166ACB"/>
    <w:rsid w:val="001673F3"/>
    <w:rsid w:val="00170081"/>
    <w:rsid w:val="00171062"/>
    <w:rsid w:val="0017239D"/>
    <w:rsid w:val="001738A5"/>
    <w:rsid w:val="00173EA4"/>
    <w:rsid w:val="001744C6"/>
    <w:rsid w:val="001757BF"/>
    <w:rsid w:val="001801CB"/>
    <w:rsid w:val="0018068E"/>
    <w:rsid w:val="00181562"/>
    <w:rsid w:val="00181647"/>
    <w:rsid w:val="00183EF6"/>
    <w:rsid w:val="001842A1"/>
    <w:rsid w:val="00185A3F"/>
    <w:rsid w:val="00185C03"/>
    <w:rsid w:val="00185CF9"/>
    <w:rsid w:val="001860F2"/>
    <w:rsid w:val="00192447"/>
    <w:rsid w:val="00192CBF"/>
    <w:rsid w:val="00192FF1"/>
    <w:rsid w:val="00193A7C"/>
    <w:rsid w:val="001966B3"/>
    <w:rsid w:val="00197C3A"/>
    <w:rsid w:val="00197FE5"/>
    <w:rsid w:val="001A0B9C"/>
    <w:rsid w:val="001A286F"/>
    <w:rsid w:val="001A3F8D"/>
    <w:rsid w:val="001A43EE"/>
    <w:rsid w:val="001A487C"/>
    <w:rsid w:val="001A5F1B"/>
    <w:rsid w:val="001A605E"/>
    <w:rsid w:val="001A7727"/>
    <w:rsid w:val="001B1783"/>
    <w:rsid w:val="001B199D"/>
    <w:rsid w:val="001B1C22"/>
    <w:rsid w:val="001B1D44"/>
    <w:rsid w:val="001B320C"/>
    <w:rsid w:val="001B34C6"/>
    <w:rsid w:val="001B4A0F"/>
    <w:rsid w:val="001B5461"/>
    <w:rsid w:val="001B5724"/>
    <w:rsid w:val="001B5858"/>
    <w:rsid w:val="001B6BF4"/>
    <w:rsid w:val="001B7BC9"/>
    <w:rsid w:val="001C0A31"/>
    <w:rsid w:val="001C151B"/>
    <w:rsid w:val="001C1C88"/>
    <w:rsid w:val="001C295A"/>
    <w:rsid w:val="001C2BFD"/>
    <w:rsid w:val="001C408F"/>
    <w:rsid w:val="001C550A"/>
    <w:rsid w:val="001C5796"/>
    <w:rsid w:val="001C74B8"/>
    <w:rsid w:val="001D2A82"/>
    <w:rsid w:val="001D30B4"/>
    <w:rsid w:val="001D3341"/>
    <w:rsid w:val="001D3AFD"/>
    <w:rsid w:val="001D3BCE"/>
    <w:rsid w:val="001D3C42"/>
    <w:rsid w:val="001D4581"/>
    <w:rsid w:val="001D4617"/>
    <w:rsid w:val="001D4B7D"/>
    <w:rsid w:val="001D5C2B"/>
    <w:rsid w:val="001D64B9"/>
    <w:rsid w:val="001D6D84"/>
    <w:rsid w:val="001D6DDB"/>
    <w:rsid w:val="001D7832"/>
    <w:rsid w:val="001D7BB5"/>
    <w:rsid w:val="001E055C"/>
    <w:rsid w:val="001E1054"/>
    <w:rsid w:val="001E149E"/>
    <w:rsid w:val="001E30A0"/>
    <w:rsid w:val="001E32E4"/>
    <w:rsid w:val="001E3ECA"/>
    <w:rsid w:val="001E45E6"/>
    <w:rsid w:val="001E6D73"/>
    <w:rsid w:val="001F11F3"/>
    <w:rsid w:val="001F23EA"/>
    <w:rsid w:val="001F2AE0"/>
    <w:rsid w:val="001F2DCB"/>
    <w:rsid w:val="001F4C41"/>
    <w:rsid w:val="001F57D8"/>
    <w:rsid w:val="001F5A9E"/>
    <w:rsid w:val="00200118"/>
    <w:rsid w:val="0020088C"/>
    <w:rsid w:val="00200A21"/>
    <w:rsid w:val="00201132"/>
    <w:rsid w:val="00201DCE"/>
    <w:rsid w:val="00203E0E"/>
    <w:rsid w:val="00204448"/>
    <w:rsid w:val="0020511E"/>
    <w:rsid w:val="00206745"/>
    <w:rsid w:val="00206B3F"/>
    <w:rsid w:val="00207957"/>
    <w:rsid w:val="00207FB5"/>
    <w:rsid w:val="00211ACD"/>
    <w:rsid w:val="00211D34"/>
    <w:rsid w:val="00214F04"/>
    <w:rsid w:val="00215055"/>
    <w:rsid w:val="0021539F"/>
    <w:rsid w:val="0021615F"/>
    <w:rsid w:val="0021771B"/>
    <w:rsid w:val="002228C5"/>
    <w:rsid w:val="00224F0F"/>
    <w:rsid w:val="002303D7"/>
    <w:rsid w:val="00233088"/>
    <w:rsid w:val="00233B70"/>
    <w:rsid w:val="00233E48"/>
    <w:rsid w:val="00234FA4"/>
    <w:rsid w:val="00235233"/>
    <w:rsid w:val="002353E9"/>
    <w:rsid w:val="00237137"/>
    <w:rsid w:val="002378D1"/>
    <w:rsid w:val="002425E8"/>
    <w:rsid w:val="00242FBD"/>
    <w:rsid w:val="00243910"/>
    <w:rsid w:val="002439AE"/>
    <w:rsid w:val="00244BE4"/>
    <w:rsid w:val="00244C41"/>
    <w:rsid w:val="00245157"/>
    <w:rsid w:val="00245573"/>
    <w:rsid w:val="00246E4D"/>
    <w:rsid w:val="002500B3"/>
    <w:rsid w:val="002506F8"/>
    <w:rsid w:val="00252AB9"/>
    <w:rsid w:val="00253FDD"/>
    <w:rsid w:val="002540A4"/>
    <w:rsid w:val="00254C48"/>
    <w:rsid w:val="00256813"/>
    <w:rsid w:val="0025681C"/>
    <w:rsid w:val="00256899"/>
    <w:rsid w:val="00257CC4"/>
    <w:rsid w:val="00257D02"/>
    <w:rsid w:val="002601A2"/>
    <w:rsid w:val="00260C4A"/>
    <w:rsid w:val="00261214"/>
    <w:rsid w:val="00261453"/>
    <w:rsid w:val="002627BB"/>
    <w:rsid w:val="00263754"/>
    <w:rsid w:val="0026478E"/>
    <w:rsid w:val="00264A3A"/>
    <w:rsid w:val="00265E3D"/>
    <w:rsid w:val="00266858"/>
    <w:rsid w:val="00266CD6"/>
    <w:rsid w:val="00270B82"/>
    <w:rsid w:val="00271214"/>
    <w:rsid w:val="002724C3"/>
    <w:rsid w:val="00272807"/>
    <w:rsid w:val="002743F8"/>
    <w:rsid w:val="00274C96"/>
    <w:rsid w:val="00276370"/>
    <w:rsid w:val="00280E18"/>
    <w:rsid w:val="0028105C"/>
    <w:rsid w:val="0028197A"/>
    <w:rsid w:val="00282A18"/>
    <w:rsid w:val="00282BC9"/>
    <w:rsid w:val="002851F5"/>
    <w:rsid w:val="00287267"/>
    <w:rsid w:val="002878B8"/>
    <w:rsid w:val="00287E85"/>
    <w:rsid w:val="0029107B"/>
    <w:rsid w:val="002932E5"/>
    <w:rsid w:val="00294352"/>
    <w:rsid w:val="00294B39"/>
    <w:rsid w:val="00295163"/>
    <w:rsid w:val="0029606C"/>
    <w:rsid w:val="002966A2"/>
    <w:rsid w:val="0029733A"/>
    <w:rsid w:val="002A0346"/>
    <w:rsid w:val="002A218B"/>
    <w:rsid w:val="002A224C"/>
    <w:rsid w:val="002A5E83"/>
    <w:rsid w:val="002A650B"/>
    <w:rsid w:val="002A758A"/>
    <w:rsid w:val="002A77CA"/>
    <w:rsid w:val="002A7BB0"/>
    <w:rsid w:val="002A7F2D"/>
    <w:rsid w:val="002B0FF7"/>
    <w:rsid w:val="002B11E2"/>
    <w:rsid w:val="002B14FB"/>
    <w:rsid w:val="002B15C5"/>
    <w:rsid w:val="002B17C1"/>
    <w:rsid w:val="002B1A59"/>
    <w:rsid w:val="002B1DBF"/>
    <w:rsid w:val="002B24B8"/>
    <w:rsid w:val="002B4552"/>
    <w:rsid w:val="002B524E"/>
    <w:rsid w:val="002B54AB"/>
    <w:rsid w:val="002C0B85"/>
    <w:rsid w:val="002C1FDB"/>
    <w:rsid w:val="002C22DF"/>
    <w:rsid w:val="002C2647"/>
    <w:rsid w:val="002C2EF2"/>
    <w:rsid w:val="002C2FC7"/>
    <w:rsid w:val="002C3F5B"/>
    <w:rsid w:val="002C6070"/>
    <w:rsid w:val="002C6551"/>
    <w:rsid w:val="002C69F9"/>
    <w:rsid w:val="002C6D5B"/>
    <w:rsid w:val="002C703C"/>
    <w:rsid w:val="002D0535"/>
    <w:rsid w:val="002D26E5"/>
    <w:rsid w:val="002D2F18"/>
    <w:rsid w:val="002D32BA"/>
    <w:rsid w:val="002D3307"/>
    <w:rsid w:val="002D3AE9"/>
    <w:rsid w:val="002D61A2"/>
    <w:rsid w:val="002D62B0"/>
    <w:rsid w:val="002D682B"/>
    <w:rsid w:val="002D732C"/>
    <w:rsid w:val="002D739B"/>
    <w:rsid w:val="002D76F7"/>
    <w:rsid w:val="002E17DA"/>
    <w:rsid w:val="002E2193"/>
    <w:rsid w:val="002E2E97"/>
    <w:rsid w:val="002E7121"/>
    <w:rsid w:val="002E7458"/>
    <w:rsid w:val="002F046F"/>
    <w:rsid w:val="002F0734"/>
    <w:rsid w:val="002F28C3"/>
    <w:rsid w:val="002F2B56"/>
    <w:rsid w:val="002F3647"/>
    <w:rsid w:val="002F46E7"/>
    <w:rsid w:val="002F5392"/>
    <w:rsid w:val="002F5FEA"/>
    <w:rsid w:val="002F6AD5"/>
    <w:rsid w:val="002F7A73"/>
    <w:rsid w:val="002F7CCE"/>
    <w:rsid w:val="003024FD"/>
    <w:rsid w:val="003028B5"/>
    <w:rsid w:val="00303AC0"/>
    <w:rsid w:val="00304699"/>
    <w:rsid w:val="00305DBE"/>
    <w:rsid w:val="00306735"/>
    <w:rsid w:val="003079EF"/>
    <w:rsid w:val="00307CCC"/>
    <w:rsid w:val="003101DA"/>
    <w:rsid w:val="00311A43"/>
    <w:rsid w:val="00311F4A"/>
    <w:rsid w:val="00312A9F"/>
    <w:rsid w:val="00314757"/>
    <w:rsid w:val="00317570"/>
    <w:rsid w:val="00317C0A"/>
    <w:rsid w:val="003211CE"/>
    <w:rsid w:val="00321AD1"/>
    <w:rsid w:val="003227EA"/>
    <w:rsid w:val="00322E0B"/>
    <w:rsid w:val="00323B16"/>
    <w:rsid w:val="00324224"/>
    <w:rsid w:val="0032487A"/>
    <w:rsid w:val="00325645"/>
    <w:rsid w:val="00325C70"/>
    <w:rsid w:val="00325CD5"/>
    <w:rsid w:val="00326A1C"/>
    <w:rsid w:val="0032724E"/>
    <w:rsid w:val="003309AB"/>
    <w:rsid w:val="003314E6"/>
    <w:rsid w:val="00331649"/>
    <w:rsid w:val="00331841"/>
    <w:rsid w:val="00332059"/>
    <w:rsid w:val="003325DF"/>
    <w:rsid w:val="00335051"/>
    <w:rsid w:val="00335F08"/>
    <w:rsid w:val="003362D1"/>
    <w:rsid w:val="0033641C"/>
    <w:rsid w:val="00336526"/>
    <w:rsid w:val="00336A64"/>
    <w:rsid w:val="00336D10"/>
    <w:rsid w:val="00341540"/>
    <w:rsid w:val="00341ABB"/>
    <w:rsid w:val="003433E7"/>
    <w:rsid w:val="00343A69"/>
    <w:rsid w:val="00343A7B"/>
    <w:rsid w:val="00344752"/>
    <w:rsid w:val="00344C09"/>
    <w:rsid w:val="00345C36"/>
    <w:rsid w:val="0034651C"/>
    <w:rsid w:val="0034745E"/>
    <w:rsid w:val="0035186E"/>
    <w:rsid w:val="00351B01"/>
    <w:rsid w:val="00351BBC"/>
    <w:rsid w:val="00352A53"/>
    <w:rsid w:val="00352A5A"/>
    <w:rsid w:val="00352C44"/>
    <w:rsid w:val="0035307C"/>
    <w:rsid w:val="0035403A"/>
    <w:rsid w:val="003542CD"/>
    <w:rsid w:val="003565E6"/>
    <w:rsid w:val="0036120B"/>
    <w:rsid w:val="00361F09"/>
    <w:rsid w:val="00362E29"/>
    <w:rsid w:val="003637C0"/>
    <w:rsid w:val="0036394B"/>
    <w:rsid w:val="00363E76"/>
    <w:rsid w:val="00365365"/>
    <w:rsid w:val="0036679F"/>
    <w:rsid w:val="00367332"/>
    <w:rsid w:val="00367409"/>
    <w:rsid w:val="003709B5"/>
    <w:rsid w:val="00373685"/>
    <w:rsid w:val="0037396A"/>
    <w:rsid w:val="00374686"/>
    <w:rsid w:val="00374808"/>
    <w:rsid w:val="003759C2"/>
    <w:rsid w:val="003802B9"/>
    <w:rsid w:val="00380507"/>
    <w:rsid w:val="00380C48"/>
    <w:rsid w:val="00381C0A"/>
    <w:rsid w:val="00382160"/>
    <w:rsid w:val="003826FA"/>
    <w:rsid w:val="00382D23"/>
    <w:rsid w:val="0038322E"/>
    <w:rsid w:val="00383445"/>
    <w:rsid w:val="00384C6E"/>
    <w:rsid w:val="0038553D"/>
    <w:rsid w:val="003912BA"/>
    <w:rsid w:val="00391E07"/>
    <w:rsid w:val="003920BD"/>
    <w:rsid w:val="003926B8"/>
    <w:rsid w:val="00392B2A"/>
    <w:rsid w:val="00393568"/>
    <w:rsid w:val="00393E33"/>
    <w:rsid w:val="0039487C"/>
    <w:rsid w:val="00394FAF"/>
    <w:rsid w:val="0039541D"/>
    <w:rsid w:val="00395CB5"/>
    <w:rsid w:val="003964AB"/>
    <w:rsid w:val="00397365"/>
    <w:rsid w:val="003A0884"/>
    <w:rsid w:val="003A24E6"/>
    <w:rsid w:val="003A2FA1"/>
    <w:rsid w:val="003A31F6"/>
    <w:rsid w:val="003A36AA"/>
    <w:rsid w:val="003A409A"/>
    <w:rsid w:val="003A5616"/>
    <w:rsid w:val="003B1172"/>
    <w:rsid w:val="003B1610"/>
    <w:rsid w:val="003B266C"/>
    <w:rsid w:val="003B526C"/>
    <w:rsid w:val="003B6479"/>
    <w:rsid w:val="003B6BFC"/>
    <w:rsid w:val="003B6E2F"/>
    <w:rsid w:val="003B6F96"/>
    <w:rsid w:val="003B7A92"/>
    <w:rsid w:val="003C04C7"/>
    <w:rsid w:val="003C0E64"/>
    <w:rsid w:val="003C0EB2"/>
    <w:rsid w:val="003C0EEF"/>
    <w:rsid w:val="003C3289"/>
    <w:rsid w:val="003C3447"/>
    <w:rsid w:val="003C6793"/>
    <w:rsid w:val="003C6F26"/>
    <w:rsid w:val="003D076C"/>
    <w:rsid w:val="003D13AC"/>
    <w:rsid w:val="003D17C3"/>
    <w:rsid w:val="003D2D4C"/>
    <w:rsid w:val="003D2E55"/>
    <w:rsid w:val="003D2F5A"/>
    <w:rsid w:val="003D5117"/>
    <w:rsid w:val="003D5E9F"/>
    <w:rsid w:val="003D5FD3"/>
    <w:rsid w:val="003D68BD"/>
    <w:rsid w:val="003D6DC0"/>
    <w:rsid w:val="003D701C"/>
    <w:rsid w:val="003D7B03"/>
    <w:rsid w:val="003D7BD8"/>
    <w:rsid w:val="003E0FC6"/>
    <w:rsid w:val="003E1172"/>
    <w:rsid w:val="003E1453"/>
    <w:rsid w:val="003E2001"/>
    <w:rsid w:val="003E2D76"/>
    <w:rsid w:val="003E315C"/>
    <w:rsid w:val="003E32D4"/>
    <w:rsid w:val="003E4001"/>
    <w:rsid w:val="003E4464"/>
    <w:rsid w:val="003E45D3"/>
    <w:rsid w:val="003E54A1"/>
    <w:rsid w:val="003E7721"/>
    <w:rsid w:val="003E78D5"/>
    <w:rsid w:val="003F08D3"/>
    <w:rsid w:val="003F09B1"/>
    <w:rsid w:val="003F0E9A"/>
    <w:rsid w:val="003F0F2F"/>
    <w:rsid w:val="003F25E1"/>
    <w:rsid w:val="003F33C5"/>
    <w:rsid w:val="003F3566"/>
    <w:rsid w:val="003F4405"/>
    <w:rsid w:val="003F5346"/>
    <w:rsid w:val="003F6B78"/>
    <w:rsid w:val="003F6E9A"/>
    <w:rsid w:val="003F7625"/>
    <w:rsid w:val="003F7F7D"/>
    <w:rsid w:val="004005D7"/>
    <w:rsid w:val="00401DA0"/>
    <w:rsid w:val="00402B5C"/>
    <w:rsid w:val="004030EE"/>
    <w:rsid w:val="00403F0E"/>
    <w:rsid w:val="0040530C"/>
    <w:rsid w:val="00405460"/>
    <w:rsid w:val="00407966"/>
    <w:rsid w:val="0041002E"/>
    <w:rsid w:val="004103C7"/>
    <w:rsid w:val="00410F51"/>
    <w:rsid w:val="004137B3"/>
    <w:rsid w:val="00413A60"/>
    <w:rsid w:val="00414C3D"/>
    <w:rsid w:val="00414D91"/>
    <w:rsid w:val="004150D8"/>
    <w:rsid w:val="0041566A"/>
    <w:rsid w:val="00415BAB"/>
    <w:rsid w:val="00415ED2"/>
    <w:rsid w:val="00416BFA"/>
    <w:rsid w:val="00416F4F"/>
    <w:rsid w:val="00417513"/>
    <w:rsid w:val="004200E7"/>
    <w:rsid w:val="004201F6"/>
    <w:rsid w:val="00420485"/>
    <w:rsid w:val="0042068C"/>
    <w:rsid w:val="004209B0"/>
    <w:rsid w:val="00420F49"/>
    <w:rsid w:val="00421273"/>
    <w:rsid w:val="00421665"/>
    <w:rsid w:val="0042494B"/>
    <w:rsid w:val="00424BD7"/>
    <w:rsid w:val="004254FE"/>
    <w:rsid w:val="00427D4F"/>
    <w:rsid w:val="00427F65"/>
    <w:rsid w:val="00430E07"/>
    <w:rsid w:val="00431503"/>
    <w:rsid w:val="00435C49"/>
    <w:rsid w:val="00435E51"/>
    <w:rsid w:val="00440E71"/>
    <w:rsid w:val="00443AB7"/>
    <w:rsid w:val="00445665"/>
    <w:rsid w:val="00446253"/>
    <w:rsid w:val="00446E84"/>
    <w:rsid w:val="00450BCF"/>
    <w:rsid w:val="0045135E"/>
    <w:rsid w:val="004530CE"/>
    <w:rsid w:val="00453404"/>
    <w:rsid w:val="004537A3"/>
    <w:rsid w:val="00454193"/>
    <w:rsid w:val="004548C3"/>
    <w:rsid w:val="004548CE"/>
    <w:rsid w:val="00454917"/>
    <w:rsid w:val="00455C01"/>
    <w:rsid w:val="0045700A"/>
    <w:rsid w:val="00457622"/>
    <w:rsid w:val="00460FB8"/>
    <w:rsid w:val="004635AB"/>
    <w:rsid w:val="004639BD"/>
    <w:rsid w:val="00464424"/>
    <w:rsid w:val="0046528E"/>
    <w:rsid w:val="00467C1D"/>
    <w:rsid w:val="0047017F"/>
    <w:rsid w:val="004704C3"/>
    <w:rsid w:val="00470C20"/>
    <w:rsid w:val="0047122B"/>
    <w:rsid w:val="004728F5"/>
    <w:rsid w:val="00473B7A"/>
    <w:rsid w:val="00474219"/>
    <w:rsid w:val="00474932"/>
    <w:rsid w:val="00475A0B"/>
    <w:rsid w:val="00475B57"/>
    <w:rsid w:val="00477E32"/>
    <w:rsid w:val="00481379"/>
    <w:rsid w:val="00483B33"/>
    <w:rsid w:val="004845D1"/>
    <w:rsid w:val="00484DCC"/>
    <w:rsid w:val="00486FEC"/>
    <w:rsid w:val="004878A9"/>
    <w:rsid w:val="00491084"/>
    <w:rsid w:val="004912CF"/>
    <w:rsid w:val="00492F71"/>
    <w:rsid w:val="004935FA"/>
    <w:rsid w:val="00494832"/>
    <w:rsid w:val="004960E9"/>
    <w:rsid w:val="0049775B"/>
    <w:rsid w:val="0049776F"/>
    <w:rsid w:val="004A2E88"/>
    <w:rsid w:val="004A42D1"/>
    <w:rsid w:val="004A4EE5"/>
    <w:rsid w:val="004A5028"/>
    <w:rsid w:val="004A5305"/>
    <w:rsid w:val="004A7377"/>
    <w:rsid w:val="004B3FA4"/>
    <w:rsid w:val="004B6E3E"/>
    <w:rsid w:val="004B7CAE"/>
    <w:rsid w:val="004C0057"/>
    <w:rsid w:val="004C257C"/>
    <w:rsid w:val="004C26D4"/>
    <w:rsid w:val="004C3D91"/>
    <w:rsid w:val="004C4A3E"/>
    <w:rsid w:val="004C68AC"/>
    <w:rsid w:val="004C7F74"/>
    <w:rsid w:val="004D0274"/>
    <w:rsid w:val="004D0FFE"/>
    <w:rsid w:val="004D2A86"/>
    <w:rsid w:val="004D32BB"/>
    <w:rsid w:val="004D33F2"/>
    <w:rsid w:val="004D7634"/>
    <w:rsid w:val="004E04D5"/>
    <w:rsid w:val="004E07E5"/>
    <w:rsid w:val="004E1FCC"/>
    <w:rsid w:val="004E30B0"/>
    <w:rsid w:val="004E3E9E"/>
    <w:rsid w:val="004E44AA"/>
    <w:rsid w:val="004E4FBF"/>
    <w:rsid w:val="004E7FF7"/>
    <w:rsid w:val="004F0700"/>
    <w:rsid w:val="004F2AC4"/>
    <w:rsid w:val="004F4D9E"/>
    <w:rsid w:val="004F5148"/>
    <w:rsid w:val="004F64D0"/>
    <w:rsid w:val="004F6D80"/>
    <w:rsid w:val="004F6DA2"/>
    <w:rsid w:val="004F6DF7"/>
    <w:rsid w:val="004F7234"/>
    <w:rsid w:val="004F7AFB"/>
    <w:rsid w:val="005000EA"/>
    <w:rsid w:val="00500551"/>
    <w:rsid w:val="005017EF"/>
    <w:rsid w:val="00501938"/>
    <w:rsid w:val="005019A8"/>
    <w:rsid w:val="00503C58"/>
    <w:rsid w:val="005040AF"/>
    <w:rsid w:val="00505480"/>
    <w:rsid w:val="00506841"/>
    <w:rsid w:val="0050746A"/>
    <w:rsid w:val="00511123"/>
    <w:rsid w:val="0051169D"/>
    <w:rsid w:val="00514D8F"/>
    <w:rsid w:val="00515AAC"/>
    <w:rsid w:val="00515D6F"/>
    <w:rsid w:val="00515EE5"/>
    <w:rsid w:val="005206AE"/>
    <w:rsid w:val="00521746"/>
    <w:rsid w:val="00524FC7"/>
    <w:rsid w:val="005250E9"/>
    <w:rsid w:val="00526C0D"/>
    <w:rsid w:val="005273CE"/>
    <w:rsid w:val="005300D3"/>
    <w:rsid w:val="00531296"/>
    <w:rsid w:val="005351A7"/>
    <w:rsid w:val="00536B01"/>
    <w:rsid w:val="00543F2C"/>
    <w:rsid w:val="00544F82"/>
    <w:rsid w:val="0054530F"/>
    <w:rsid w:val="00545458"/>
    <w:rsid w:val="00545CFC"/>
    <w:rsid w:val="00550373"/>
    <w:rsid w:val="00550515"/>
    <w:rsid w:val="00550944"/>
    <w:rsid w:val="00551CE8"/>
    <w:rsid w:val="00553553"/>
    <w:rsid w:val="0055451C"/>
    <w:rsid w:val="005547FB"/>
    <w:rsid w:val="00554B0B"/>
    <w:rsid w:val="00555064"/>
    <w:rsid w:val="00555B74"/>
    <w:rsid w:val="00557B82"/>
    <w:rsid w:val="0056027A"/>
    <w:rsid w:val="00560E14"/>
    <w:rsid w:val="00561C4C"/>
    <w:rsid w:val="00562232"/>
    <w:rsid w:val="00562A4C"/>
    <w:rsid w:val="00562DBA"/>
    <w:rsid w:val="005663AB"/>
    <w:rsid w:val="00567238"/>
    <w:rsid w:val="00570DFA"/>
    <w:rsid w:val="00571925"/>
    <w:rsid w:val="005720AE"/>
    <w:rsid w:val="0057328F"/>
    <w:rsid w:val="00575F06"/>
    <w:rsid w:val="005760AF"/>
    <w:rsid w:val="005768B3"/>
    <w:rsid w:val="005773BB"/>
    <w:rsid w:val="0057750C"/>
    <w:rsid w:val="00577D90"/>
    <w:rsid w:val="00580984"/>
    <w:rsid w:val="00580EE3"/>
    <w:rsid w:val="00581E88"/>
    <w:rsid w:val="0058379F"/>
    <w:rsid w:val="00585233"/>
    <w:rsid w:val="00585785"/>
    <w:rsid w:val="00586B4D"/>
    <w:rsid w:val="005878CE"/>
    <w:rsid w:val="00591DB9"/>
    <w:rsid w:val="00592314"/>
    <w:rsid w:val="00592C65"/>
    <w:rsid w:val="00593C4F"/>
    <w:rsid w:val="005946A8"/>
    <w:rsid w:val="00596AE2"/>
    <w:rsid w:val="00597D1C"/>
    <w:rsid w:val="005A0C10"/>
    <w:rsid w:val="005A1EF3"/>
    <w:rsid w:val="005A221E"/>
    <w:rsid w:val="005A25CF"/>
    <w:rsid w:val="005A4407"/>
    <w:rsid w:val="005A4987"/>
    <w:rsid w:val="005A4D16"/>
    <w:rsid w:val="005A4EE8"/>
    <w:rsid w:val="005A5806"/>
    <w:rsid w:val="005A58B4"/>
    <w:rsid w:val="005A59EF"/>
    <w:rsid w:val="005A6826"/>
    <w:rsid w:val="005A6A35"/>
    <w:rsid w:val="005A7083"/>
    <w:rsid w:val="005A71BF"/>
    <w:rsid w:val="005B0B1C"/>
    <w:rsid w:val="005B328C"/>
    <w:rsid w:val="005B4B4D"/>
    <w:rsid w:val="005B4E8B"/>
    <w:rsid w:val="005B59FE"/>
    <w:rsid w:val="005B7692"/>
    <w:rsid w:val="005C0F38"/>
    <w:rsid w:val="005C15DD"/>
    <w:rsid w:val="005C3F86"/>
    <w:rsid w:val="005C4074"/>
    <w:rsid w:val="005C44D1"/>
    <w:rsid w:val="005C4F79"/>
    <w:rsid w:val="005C4FCB"/>
    <w:rsid w:val="005C5D52"/>
    <w:rsid w:val="005C5DFC"/>
    <w:rsid w:val="005D0BE0"/>
    <w:rsid w:val="005D0C92"/>
    <w:rsid w:val="005D19FB"/>
    <w:rsid w:val="005D38FF"/>
    <w:rsid w:val="005D4829"/>
    <w:rsid w:val="005D504A"/>
    <w:rsid w:val="005D50D3"/>
    <w:rsid w:val="005D6AA4"/>
    <w:rsid w:val="005D6DAB"/>
    <w:rsid w:val="005D760C"/>
    <w:rsid w:val="005D77A0"/>
    <w:rsid w:val="005D7A02"/>
    <w:rsid w:val="005E0517"/>
    <w:rsid w:val="005E3B33"/>
    <w:rsid w:val="005E45C6"/>
    <w:rsid w:val="005E4904"/>
    <w:rsid w:val="005E5E84"/>
    <w:rsid w:val="005E61BF"/>
    <w:rsid w:val="005E76DE"/>
    <w:rsid w:val="005E77E8"/>
    <w:rsid w:val="005E78FD"/>
    <w:rsid w:val="005E7F93"/>
    <w:rsid w:val="005F18D4"/>
    <w:rsid w:val="005F3FC4"/>
    <w:rsid w:val="005F4B79"/>
    <w:rsid w:val="005F56CA"/>
    <w:rsid w:val="00601A79"/>
    <w:rsid w:val="00602F7C"/>
    <w:rsid w:val="0060434D"/>
    <w:rsid w:val="0061004C"/>
    <w:rsid w:val="00610AA4"/>
    <w:rsid w:val="00610DB9"/>
    <w:rsid w:val="00610FA8"/>
    <w:rsid w:val="006114D0"/>
    <w:rsid w:val="0061655C"/>
    <w:rsid w:val="00616E51"/>
    <w:rsid w:val="006201A0"/>
    <w:rsid w:val="00620617"/>
    <w:rsid w:val="006210CE"/>
    <w:rsid w:val="006214E3"/>
    <w:rsid w:val="006215F9"/>
    <w:rsid w:val="0062166A"/>
    <w:rsid w:val="00622293"/>
    <w:rsid w:val="00624271"/>
    <w:rsid w:val="00624D14"/>
    <w:rsid w:val="0062581C"/>
    <w:rsid w:val="006259BC"/>
    <w:rsid w:val="00625DC6"/>
    <w:rsid w:val="006273D5"/>
    <w:rsid w:val="00627748"/>
    <w:rsid w:val="0062775C"/>
    <w:rsid w:val="006310BE"/>
    <w:rsid w:val="00632D4A"/>
    <w:rsid w:val="00634793"/>
    <w:rsid w:val="00635DE0"/>
    <w:rsid w:val="0063769C"/>
    <w:rsid w:val="00641794"/>
    <w:rsid w:val="00641B6D"/>
    <w:rsid w:val="00641C47"/>
    <w:rsid w:val="00642CF9"/>
    <w:rsid w:val="006452BD"/>
    <w:rsid w:val="00645492"/>
    <w:rsid w:val="006455A1"/>
    <w:rsid w:val="00646D62"/>
    <w:rsid w:val="00650AEC"/>
    <w:rsid w:val="00650CAE"/>
    <w:rsid w:val="00650E2A"/>
    <w:rsid w:val="00651267"/>
    <w:rsid w:val="00651821"/>
    <w:rsid w:val="00651D35"/>
    <w:rsid w:val="006520F6"/>
    <w:rsid w:val="006522A1"/>
    <w:rsid w:val="0065317C"/>
    <w:rsid w:val="006534DB"/>
    <w:rsid w:val="00654087"/>
    <w:rsid w:val="00654384"/>
    <w:rsid w:val="0065620D"/>
    <w:rsid w:val="00660F3C"/>
    <w:rsid w:val="006623C5"/>
    <w:rsid w:val="00662B72"/>
    <w:rsid w:val="006638A9"/>
    <w:rsid w:val="00664E94"/>
    <w:rsid w:val="00665510"/>
    <w:rsid w:val="006667A8"/>
    <w:rsid w:val="006675CD"/>
    <w:rsid w:val="006708B8"/>
    <w:rsid w:val="00671139"/>
    <w:rsid w:val="00672340"/>
    <w:rsid w:val="00673AD7"/>
    <w:rsid w:val="00673C93"/>
    <w:rsid w:val="0067437A"/>
    <w:rsid w:val="00674CDC"/>
    <w:rsid w:val="006769C2"/>
    <w:rsid w:val="006769CC"/>
    <w:rsid w:val="00677513"/>
    <w:rsid w:val="006803A2"/>
    <w:rsid w:val="006810E7"/>
    <w:rsid w:val="00681C32"/>
    <w:rsid w:val="0068310C"/>
    <w:rsid w:val="00683685"/>
    <w:rsid w:val="00683BA7"/>
    <w:rsid w:val="00683DFB"/>
    <w:rsid w:val="00684818"/>
    <w:rsid w:val="00684D9B"/>
    <w:rsid w:val="006851DE"/>
    <w:rsid w:val="0068684F"/>
    <w:rsid w:val="006873BD"/>
    <w:rsid w:val="00687DAF"/>
    <w:rsid w:val="006912DD"/>
    <w:rsid w:val="0069304E"/>
    <w:rsid w:val="0069351E"/>
    <w:rsid w:val="00694EBF"/>
    <w:rsid w:val="006962EC"/>
    <w:rsid w:val="00696CCE"/>
    <w:rsid w:val="006970D1"/>
    <w:rsid w:val="00697556"/>
    <w:rsid w:val="00697BA7"/>
    <w:rsid w:val="006A1F7B"/>
    <w:rsid w:val="006A217C"/>
    <w:rsid w:val="006A31C5"/>
    <w:rsid w:val="006A3714"/>
    <w:rsid w:val="006A645B"/>
    <w:rsid w:val="006A6D70"/>
    <w:rsid w:val="006B07C5"/>
    <w:rsid w:val="006B0FB1"/>
    <w:rsid w:val="006B1416"/>
    <w:rsid w:val="006B1EB4"/>
    <w:rsid w:val="006B24CA"/>
    <w:rsid w:val="006B26D6"/>
    <w:rsid w:val="006B2BC3"/>
    <w:rsid w:val="006B34BE"/>
    <w:rsid w:val="006B35EC"/>
    <w:rsid w:val="006B3D8F"/>
    <w:rsid w:val="006B4527"/>
    <w:rsid w:val="006B4C2B"/>
    <w:rsid w:val="006B5AA2"/>
    <w:rsid w:val="006B5C31"/>
    <w:rsid w:val="006B6D47"/>
    <w:rsid w:val="006B6E68"/>
    <w:rsid w:val="006B70A9"/>
    <w:rsid w:val="006B7216"/>
    <w:rsid w:val="006B7362"/>
    <w:rsid w:val="006C1836"/>
    <w:rsid w:val="006C3B56"/>
    <w:rsid w:val="006C3E82"/>
    <w:rsid w:val="006C438D"/>
    <w:rsid w:val="006C443E"/>
    <w:rsid w:val="006C46F3"/>
    <w:rsid w:val="006C472C"/>
    <w:rsid w:val="006C58BE"/>
    <w:rsid w:val="006C61B0"/>
    <w:rsid w:val="006D0C9D"/>
    <w:rsid w:val="006D0E6A"/>
    <w:rsid w:val="006D1171"/>
    <w:rsid w:val="006D1E4E"/>
    <w:rsid w:val="006D45D3"/>
    <w:rsid w:val="006D4FE7"/>
    <w:rsid w:val="006D5C71"/>
    <w:rsid w:val="006D66C3"/>
    <w:rsid w:val="006D7121"/>
    <w:rsid w:val="006D79F0"/>
    <w:rsid w:val="006D7BFD"/>
    <w:rsid w:val="006E1005"/>
    <w:rsid w:val="006E2CAB"/>
    <w:rsid w:val="006E38D9"/>
    <w:rsid w:val="006E49EB"/>
    <w:rsid w:val="006E56AD"/>
    <w:rsid w:val="006E5715"/>
    <w:rsid w:val="006E6B81"/>
    <w:rsid w:val="006F012A"/>
    <w:rsid w:val="006F04A0"/>
    <w:rsid w:val="006F106D"/>
    <w:rsid w:val="006F1199"/>
    <w:rsid w:val="006F1BBE"/>
    <w:rsid w:val="006F204A"/>
    <w:rsid w:val="006F3618"/>
    <w:rsid w:val="006F3939"/>
    <w:rsid w:val="006F3FF5"/>
    <w:rsid w:val="006F46C7"/>
    <w:rsid w:val="006F5A2C"/>
    <w:rsid w:val="006F6D95"/>
    <w:rsid w:val="006F6EF2"/>
    <w:rsid w:val="00701ACB"/>
    <w:rsid w:val="00704D95"/>
    <w:rsid w:val="00705E61"/>
    <w:rsid w:val="00705F34"/>
    <w:rsid w:val="00706F13"/>
    <w:rsid w:val="007072E8"/>
    <w:rsid w:val="00711826"/>
    <w:rsid w:val="00711906"/>
    <w:rsid w:val="00711ABF"/>
    <w:rsid w:val="00713159"/>
    <w:rsid w:val="00714098"/>
    <w:rsid w:val="00714F3C"/>
    <w:rsid w:val="00715725"/>
    <w:rsid w:val="0071579D"/>
    <w:rsid w:val="00715944"/>
    <w:rsid w:val="007159D8"/>
    <w:rsid w:val="0071618D"/>
    <w:rsid w:val="00716318"/>
    <w:rsid w:val="00716E31"/>
    <w:rsid w:val="00717DD5"/>
    <w:rsid w:val="00721200"/>
    <w:rsid w:val="0072152E"/>
    <w:rsid w:val="0072266A"/>
    <w:rsid w:val="007229A5"/>
    <w:rsid w:val="00725FA4"/>
    <w:rsid w:val="0072677D"/>
    <w:rsid w:val="007270DD"/>
    <w:rsid w:val="00730815"/>
    <w:rsid w:val="007322C3"/>
    <w:rsid w:val="00732F79"/>
    <w:rsid w:val="007334F6"/>
    <w:rsid w:val="00733D92"/>
    <w:rsid w:val="0073443E"/>
    <w:rsid w:val="007354A4"/>
    <w:rsid w:val="00735950"/>
    <w:rsid w:val="0073734F"/>
    <w:rsid w:val="00737B45"/>
    <w:rsid w:val="00740446"/>
    <w:rsid w:val="0074085A"/>
    <w:rsid w:val="00741FA3"/>
    <w:rsid w:val="007438A9"/>
    <w:rsid w:val="00743A31"/>
    <w:rsid w:val="007444DA"/>
    <w:rsid w:val="0074491E"/>
    <w:rsid w:val="00744930"/>
    <w:rsid w:val="00744D22"/>
    <w:rsid w:val="0074540E"/>
    <w:rsid w:val="007477C5"/>
    <w:rsid w:val="00747E9B"/>
    <w:rsid w:val="00752C21"/>
    <w:rsid w:val="00754CAC"/>
    <w:rsid w:val="00756AAD"/>
    <w:rsid w:val="007571D6"/>
    <w:rsid w:val="00757209"/>
    <w:rsid w:val="0075761D"/>
    <w:rsid w:val="00757909"/>
    <w:rsid w:val="0076094E"/>
    <w:rsid w:val="007616CB"/>
    <w:rsid w:val="007625DB"/>
    <w:rsid w:val="00762703"/>
    <w:rsid w:val="00764374"/>
    <w:rsid w:val="00765E52"/>
    <w:rsid w:val="00766F89"/>
    <w:rsid w:val="00767652"/>
    <w:rsid w:val="007707BB"/>
    <w:rsid w:val="00770DED"/>
    <w:rsid w:val="00774308"/>
    <w:rsid w:val="0077482C"/>
    <w:rsid w:val="0077547C"/>
    <w:rsid w:val="00775964"/>
    <w:rsid w:val="00776376"/>
    <w:rsid w:val="007769DE"/>
    <w:rsid w:val="007806AE"/>
    <w:rsid w:val="00780763"/>
    <w:rsid w:val="00780870"/>
    <w:rsid w:val="00780E04"/>
    <w:rsid w:val="0078136C"/>
    <w:rsid w:val="00781CF1"/>
    <w:rsid w:val="0078219F"/>
    <w:rsid w:val="00782AEB"/>
    <w:rsid w:val="00782B20"/>
    <w:rsid w:val="0078352C"/>
    <w:rsid w:val="00784C5A"/>
    <w:rsid w:val="00785FEB"/>
    <w:rsid w:val="0078639B"/>
    <w:rsid w:val="007918F6"/>
    <w:rsid w:val="00792CF7"/>
    <w:rsid w:val="0079362E"/>
    <w:rsid w:val="00793C67"/>
    <w:rsid w:val="00794B85"/>
    <w:rsid w:val="00795BFB"/>
    <w:rsid w:val="00795D6A"/>
    <w:rsid w:val="00795DF7"/>
    <w:rsid w:val="007960A5"/>
    <w:rsid w:val="00797101"/>
    <w:rsid w:val="007975C8"/>
    <w:rsid w:val="007A04DE"/>
    <w:rsid w:val="007A2965"/>
    <w:rsid w:val="007A402B"/>
    <w:rsid w:val="007A5682"/>
    <w:rsid w:val="007A6817"/>
    <w:rsid w:val="007A684D"/>
    <w:rsid w:val="007A7305"/>
    <w:rsid w:val="007B176C"/>
    <w:rsid w:val="007B2760"/>
    <w:rsid w:val="007B2BF9"/>
    <w:rsid w:val="007B2DF1"/>
    <w:rsid w:val="007B4F8C"/>
    <w:rsid w:val="007B5736"/>
    <w:rsid w:val="007B6364"/>
    <w:rsid w:val="007B6678"/>
    <w:rsid w:val="007B6AB8"/>
    <w:rsid w:val="007B7B7A"/>
    <w:rsid w:val="007C0224"/>
    <w:rsid w:val="007C23A4"/>
    <w:rsid w:val="007C33FA"/>
    <w:rsid w:val="007C38DD"/>
    <w:rsid w:val="007C3EB5"/>
    <w:rsid w:val="007C4249"/>
    <w:rsid w:val="007C4FF4"/>
    <w:rsid w:val="007C5BF3"/>
    <w:rsid w:val="007C5F83"/>
    <w:rsid w:val="007C6F4E"/>
    <w:rsid w:val="007C7F65"/>
    <w:rsid w:val="007D130C"/>
    <w:rsid w:val="007D1BC5"/>
    <w:rsid w:val="007D2405"/>
    <w:rsid w:val="007D2758"/>
    <w:rsid w:val="007D41E8"/>
    <w:rsid w:val="007D4A8E"/>
    <w:rsid w:val="007D61B2"/>
    <w:rsid w:val="007D7982"/>
    <w:rsid w:val="007D7C05"/>
    <w:rsid w:val="007E0CAD"/>
    <w:rsid w:val="007E2215"/>
    <w:rsid w:val="007E2815"/>
    <w:rsid w:val="007E4BED"/>
    <w:rsid w:val="007E505A"/>
    <w:rsid w:val="007E5BBF"/>
    <w:rsid w:val="007E5DB6"/>
    <w:rsid w:val="007E6E52"/>
    <w:rsid w:val="007E746A"/>
    <w:rsid w:val="007E7AD1"/>
    <w:rsid w:val="007F05BB"/>
    <w:rsid w:val="007F1077"/>
    <w:rsid w:val="007F1E88"/>
    <w:rsid w:val="007F23BC"/>
    <w:rsid w:val="007F2485"/>
    <w:rsid w:val="007F3525"/>
    <w:rsid w:val="007F4339"/>
    <w:rsid w:val="007F5241"/>
    <w:rsid w:val="007F6132"/>
    <w:rsid w:val="007F630B"/>
    <w:rsid w:val="007F66DE"/>
    <w:rsid w:val="007F6BE0"/>
    <w:rsid w:val="008000A9"/>
    <w:rsid w:val="008002A1"/>
    <w:rsid w:val="0080129A"/>
    <w:rsid w:val="00801B7D"/>
    <w:rsid w:val="00801BF5"/>
    <w:rsid w:val="00802CD6"/>
    <w:rsid w:val="00804D1A"/>
    <w:rsid w:val="0080548A"/>
    <w:rsid w:val="00806C01"/>
    <w:rsid w:val="00807962"/>
    <w:rsid w:val="00810806"/>
    <w:rsid w:val="00810E7B"/>
    <w:rsid w:val="00811667"/>
    <w:rsid w:val="0081199F"/>
    <w:rsid w:val="00813A56"/>
    <w:rsid w:val="00813EB2"/>
    <w:rsid w:val="008148CC"/>
    <w:rsid w:val="008153F2"/>
    <w:rsid w:val="00816A9A"/>
    <w:rsid w:val="008207F3"/>
    <w:rsid w:val="008211A4"/>
    <w:rsid w:val="00821C68"/>
    <w:rsid w:val="0082392D"/>
    <w:rsid w:val="00823D3A"/>
    <w:rsid w:val="00824044"/>
    <w:rsid w:val="00825E3F"/>
    <w:rsid w:val="00826FBD"/>
    <w:rsid w:val="00832864"/>
    <w:rsid w:val="008331B3"/>
    <w:rsid w:val="008337DA"/>
    <w:rsid w:val="00833B11"/>
    <w:rsid w:val="00834279"/>
    <w:rsid w:val="008349EB"/>
    <w:rsid w:val="00834C11"/>
    <w:rsid w:val="00834C1F"/>
    <w:rsid w:val="00836BE4"/>
    <w:rsid w:val="00840655"/>
    <w:rsid w:val="00841BF0"/>
    <w:rsid w:val="00842A1F"/>
    <w:rsid w:val="0084486F"/>
    <w:rsid w:val="008456C9"/>
    <w:rsid w:val="008471D0"/>
    <w:rsid w:val="00847E62"/>
    <w:rsid w:val="00851C80"/>
    <w:rsid w:val="00851DF7"/>
    <w:rsid w:val="0085270D"/>
    <w:rsid w:val="00853259"/>
    <w:rsid w:val="008537B3"/>
    <w:rsid w:val="00853F19"/>
    <w:rsid w:val="0085619D"/>
    <w:rsid w:val="00856377"/>
    <w:rsid w:val="00856CFB"/>
    <w:rsid w:val="008602D2"/>
    <w:rsid w:val="00862017"/>
    <w:rsid w:val="00863487"/>
    <w:rsid w:val="00865B7B"/>
    <w:rsid w:val="00865BDC"/>
    <w:rsid w:val="0086630D"/>
    <w:rsid w:val="008724B7"/>
    <w:rsid w:val="00873150"/>
    <w:rsid w:val="00873167"/>
    <w:rsid w:val="008736B8"/>
    <w:rsid w:val="008739E1"/>
    <w:rsid w:val="00873B79"/>
    <w:rsid w:val="00875D73"/>
    <w:rsid w:val="00875E17"/>
    <w:rsid w:val="0087657D"/>
    <w:rsid w:val="008772B9"/>
    <w:rsid w:val="008803A1"/>
    <w:rsid w:val="008807D5"/>
    <w:rsid w:val="00880832"/>
    <w:rsid w:val="00880F16"/>
    <w:rsid w:val="008825D6"/>
    <w:rsid w:val="008858DB"/>
    <w:rsid w:val="00886316"/>
    <w:rsid w:val="008864E8"/>
    <w:rsid w:val="00886EE1"/>
    <w:rsid w:val="0088727D"/>
    <w:rsid w:val="00887803"/>
    <w:rsid w:val="00887AE1"/>
    <w:rsid w:val="00891130"/>
    <w:rsid w:val="008917E3"/>
    <w:rsid w:val="0089196A"/>
    <w:rsid w:val="00891D7F"/>
    <w:rsid w:val="00892684"/>
    <w:rsid w:val="00892ED6"/>
    <w:rsid w:val="00893618"/>
    <w:rsid w:val="00896D4B"/>
    <w:rsid w:val="0089774F"/>
    <w:rsid w:val="00897C75"/>
    <w:rsid w:val="008A0808"/>
    <w:rsid w:val="008A0DDE"/>
    <w:rsid w:val="008A28B2"/>
    <w:rsid w:val="008A2B3C"/>
    <w:rsid w:val="008A33A4"/>
    <w:rsid w:val="008A5CED"/>
    <w:rsid w:val="008A7457"/>
    <w:rsid w:val="008A7CFD"/>
    <w:rsid w:val="008A7D26"/>
    <w:rsid w:val="008B3445"/>
    <w:rsid w:val="008B35AB"/>
    <w:rsid w:val="008B41E3"/>
    <w:rsid w:val="008B5790"/>
    <w:rsid w:val="008B5C7C"/>
    <w:rsid w:val="008B5CEF"/>
    <w:rsid w:val="008B6054"/>
    <w:rsid w:val="008B75D3"/>
    <w:rsid w:val="008C081C"/>
    <w:rsid w:val="008C1130"/>
    <w:rsid w:val="008C1CFA"/>
    <w:rsid w:val="008C1EE7"/>
    <w:rsid w:val="008C27CD"/>
    <w:rsid w:val="008C2DE8"/>
    <w:rsid w:val="008C3AF5"/>
    <w:rsid w:val="008C7623"/>
    <w:rsid w:val="008D0A20"/>
    <w:rsid w:val="008D12FB"/>
    <w:rsid w:val="008D18E6"/>
    <w:rsid w:val="008D1F7F"/>
    <w:rsid w:val="008D3297"/>
    <w:rsid w:val="008D51F7"/>
    <w:rsid w:val="008D5344"/>
    <w:rsid w:val="008D64AD"/>
    <w:rsid w:val="008D6DB6"/>
    <w:rsid w:val="008D7A9B"/>
    <w:rsid w:val="008E5DA9"/>
    <w:rsid w:val="008E5FDA"/>
    <w:rsid w:val="008E6E30"/>
    <w:rsid w:val="008E729E"/>
    <w:rsid w:val="008E76AC"/>
    <w:rsid w:val="008E7A61"/>
    <w:rsid w:val="008E7B34"/>
    <w:rsid w:val="008F008C"/>
    <w:rsid w:val="008F07E0"/>
    <w:rsid w:val="008F1B31"/>
    <w:rsid w:val="008F1F96"/>
    <w:rsid w:val="008F21F6"/>
    <w:rsid w:val="008F2A7A"/>
    <w:rsid w:val="008F53E4"/>
    <w:rsid w:val="008F576D"/>
    <w:rsid w:val="008F6530"/>
    <w:rsid w:val="008F7228"/>
    <w:rsid w:val="008F7235"/>
    <w:rsid w:val="00900465"/>
    <w:rsid w:val="00900978"/>
    <w:rsid w:val="00900EDD"/>
    <w:rsid w:val="00901CB6"/>
    <w:rsid w:val="00901D69"/>
    <w:rsid w:val="00902A5F"/>
    <w:rsid w:val="00903DA6"/>
    <w:rsid w:val="00904CC9"/>
    <w:rsid w:val="009058AC"/>
    <w:rsid w:val="009065D7"/>
    <w:rsid w:val="0090780F"/>
    <w:rsid w:val="00910F6E"/>
    <w:rsid w:val="00911077"/>
    <w:rsid w:val="009115EA"/>
    <w:rsid w:val="00911BEF"/>
    <w:rsid w:val="00911C43"/>
    <w:rsid w:val="00911FBC"/>
    <w:rsid w:val="009137C4"/>
    <w:rsid w:val="00914B91"/>
    <w:rsid w:val="00915E66"/>
    <w:rsid w:val="00916B58"/>
    <w:rsid w:val="00917411"/>
    <w:rsid w:val="009177C5"/>
    <w:rsid w:val="00917D56"/>
    <w:rsid w:val="00917F16"/>
    <w:rsid w:val="00920351"/>
    <w:rsid w:val="009203BE"/>
    <w:rsid w:val="0092073E"/>
    <w:rsid w:val="009209CD"/>
    <w:rsid w:val="00922C35"/>
    <w:rsid w:val="00922DE7"/>
    <w:rsid w:val="00922F8A"/>
    <w:rsid w:val="00924577"/>
    <w:rsid w:val="0092493C"/>
    <w:rsid w:val="00924C63"/>
    <w:rsid w:val="00925F47"/>
    <w:rsid w:val="00927791"/>
    <w:rsid w:val="00927863"/>
    <w:rsid w:val="00930376"/>
    <w:rsid w:val="009305E2"/>
    <w:rsid w:val="00930626"/>
    <w:rsid w:val="00933462"/>
    <w:rsid w:val="00934E08"/>
    <w:rsid w:val="00935002"/>
    <w:rsid w:val="0093586F"/>
    <w:rsid w:val="00936E85"/>
    <w:rsid w:val="00940F72"/>
    <w:rsid w:val="00943065"/>
    <w:rsid w:val="0094377D"/>
    <w:rsid w:val="00944C8F"/>
    <w:rsid w:val="00945F27"/>
    <w:rsid w:val="0095005B"/>
    <w:rsid w:val="00950C01"/>
    <w:rsid w:val="00951890"/>
    <w:rsid w:val="00951F79"/>
    <w:rsid w:val="0095358A"/>
    <w:rsid w:val="00953B91"/>
    <w:rsid w:val="009567A5"/>
    <w:rsid w:val="009576D6"/>
    <w:rsid w:val="00957706"/>
    <w:rsid w:val="009623EE"/>
    <w:rsid w:val="00963284"/>
    <w:rsid w:val="0096357F"/>
    <w:rsid w:val="0096589A"/>
    <w:rsid w:val="00965BF5"/>
    <w:rsid w:val="00965D8A"/>
    <w:rsid w:val="00965E02"/>
    <w:rsid w:val="0096603E"/>
    <w:rsid w:val="0096678F"/>
    <w:rsid w:val="00966D40"/>
    <w:rsid w:val="00966F93"/>
    <w:rsid w:val="00967E17"/>
    <w:rsid w:val="00967F2C"/>
    <w:rsid w:val="009705F1"/>
    <w:rsid w:val="009713DD"/>
    <w:rsid w:val="00971B70"/>
    <w:rsid w:val="00972417"/>
    <w:rsid w:val="00973190"/>
    <w:rsid w:val="0097369A"/>
    <w:rsid w:val="00973D60"/>
    <w:rsid w:val="00974AB5"/>
    <w:rsid w:val="00975BAB"/>
    <w:rsid w:val="00976F2C"/>
    <w:rsid w:val="0097734D"/>
    <w:rsid w:val="0098066D"/>
    <w:rsid w:val="009814CA"/>
    <w:rsid w:val="0098150B"/>
    <w:rsid w:val="00983C37"/>
    <w:rsid w:val="0098565E"/>
    <w:rsid w:val="009859AA"/>
    <w:rsid w:val="0098706D"/>
    <w:rsid w:val="009870E8"/>
    <w:rsid w:val="00990D8D"/>
    <w:rsid w:val="009914BC"/>
    <w:rsid w:val="009914CE"/>
    <w:rsid w:val="00991C16"/>
    <w:rsid w:val="0099208B"/>
    <w:rsid w:val="00993023"/>
    <w:rsid w:val="009935FB"/>
    <w:rsid w:val="009942AD"/>
    <w:rsid w:val="00995914"/>
    <w:rsid w:val="009A025A"/>
    <w:rsid w:val="009A0AD6"/>
    <w:rsid w:val="009A0C26"/>
    <w:rsid w:val="009A1782"/>
    <w:rsid w:val="009A22C0"/>
    <w:rsid w:val="009A4C05"/>
    <w:rsid w:val="009A5519"/>
    <w:rsid w:val="009A5AF6"/>
    <w:rsid w:val="009B14FE"/>
    <w:rsid w:val="009B2BB5"/>
    <w:rsid w:val="009B2EC6"/>
    <w:rsid w:val="009B4867"/>
    <w:rsid w:val="009B65A5"/>
    <w:rsid w:val="009B6C98"/>
    <w:rsid w:val="009C02C5"/>
    <w:rsid w:val="009C06EB"/>
    <w:rsid w:val="009C3879"/>
    <w:rsid w:val="009C4735"/>
    <w:rsid w:val="009C5D49"/>
    <w:rsid w:val="009C637D"/>
    <w:rsid w:val="009C78F2"/>
    <w:rsid w:val="009C7DEF"/>
    <w:rsid w:val="009D36EB"/>
    <w:rsid w:val="009D3C1F"/>
    <w:rsid w:val="009D3EA5"/>
    <w:rsid w:val="009D4A99"/>
    <w:rsid w:val="009D507F"/>
    <w:rsid w:val="009D7667"/>
    <w:rsid w:val="009E1848"/>
    <w:rsid w:val="009E3EB5"/>
    <w:rsid w:val="009E480B"/>
    <w:rsid w:val="009E4825"/>
    <w:rsid w:val="009E4C68"/>
    <w:rsid w:val="009E4D64"/>
    <w:rsid w:val="009E6CF7"/>
    <w:rsid w:val="009E7A33"/>
    <w:rsid w:val="009E7D5E"/>
    <w:rsid w:val="009F00DE"/>
    <w:rsid w:val="009F1639"/>
    <w:rsid w:val="009F2623"/>
    <w:rsid w:val="009F3314"/>
    <w:rsid w:val="009F4A54"/>
    <w:rsid w:val="009F4BEC"/>
    <w:rsid w:val="009F5BFE"/>
    <w:rsid w:val="009F5D1F"/>
    <w:rsid w:val="00A01161"/>
    <w:rsid w:val="00A02A71"/>
    <w:rsid w:val="00A02BCE"/>
    <w:rsid w:val="00A040D8"/>
    <w:rsid w:val="00A041BE"/>
    <w:rsid w:val="00A04597"/>
    <w:rsid w:val="00A06314"/>
    <w:rsid w:val="00A10DFD"/>
    <w:rsid w:val="00A113E6"/>
    <w:rsid w:val="00A1284B"/>
    <w:rsid w:val="00A12BAF"/>
    <w:rsid w:val="00A12D51"/>
    <w:rsid w:val="00A13409"/>
    <w:rsid w:val="00A13D26"/>
    <w:rsid w:val="00A23681"/>
    <w:rsid w:val="00A23708"/>
    <w:rsid w:val="00A25B4A"/>
    <w:rsid w:val="00A25FD7"/>
    <w:rsid w:val="00A30A5D"/>
    <w:rsid w:val="00A30F37"/>
    <w:rsid w:val="00A32A1B"/>
    <w:rsid w:val="00A341A5"/>
    <w:rsid w:val="00A35C84"/>
    <w:rsid w:val="00A36E12"/>
    <w:rsid w:val="00A40A79"/>
    <w:rsid w:val="00A414B1"/>
    <w:rsid w:val="00A424C6"/>
    <w:rsid w:val="00A43033"/>
    <w:rsid w:val="00A436D4"/>
    <w:rsid w:val="00A437AE"/>
    <w:rsid w:val="00A43AFF"/>
    <w:rsid w:val="00A43E22"/>
    <w:rsid w:val="00A441E9"/>
    <w:rsid w:val="00A45935"/>
    <w:rsid w:val="00A466BC"/>
    <w:rsid w:val="00A511C6"/>
    <w:rsid w:val="00A52CC2"/>
    <w:rsid w:val="00A52D54"/>
    <w:rsid w:val="00A557AE"/>
    <w:rsid w:val="00A55A9E"/>
    <w:rsid w:val="00A56020"/>
    <w:rsid w:val="00A57405"/>
    <w:rsid w:val="00A57BFE"/>
    <w:rsid w:val="00A605F8"/>
    <w:rsid w:val="00A606AA"/>
    <w:rsid w:val="00A61366"/>
    <w:rsid w:val="00A62F0C"/>
    <w:rsid w:val="00A631EF"/>
    <w:rsid w:val="00A63269"/>
    <w:rsid w:val="00A66667"/>
    <w:rsid w:val="00A66A75"/>
    <w:rsid w:val="00A70F06"/>
    <w:rsid w:val="00A72161"/>
    <w:rsid w:val="00A74736"/>
    <w:rsid w:val="00A75E17"/>
    <w:rsid w:val="00A768E5"/>
    <w:rsid w:val="00A77056"/>
    <w:rsid w:val="00A7793A"/>
    <w:rsid w:val="00A80287"/>
    <w:rsid w:val="00A818AC"/>
    <w:rsid w:val="00A8650D"/>
    <w:rsid w:val="00A86E42"/>
    <w:rsid w:val="00A871A0"/>
    <w:rsid w:val="00A908AC"/>
    <w:rsid w:val="00A90CD2"/>
    <w:rsid w:val="00A90CFB"/>
    <w:rsid w:val="00A90DA9"/>
    <w:rsid w:val="00A90DEE"/>
    <w:rsid w:val="00A90FE6"/>
    <w:rsid w:val="00A911FF"/>
    <w:rsid w:val="00A91D88"/>
    <w:rsid w:val="00A91FBA"/>
    <w:rsid w:val="00A92338"/>
    <w:rsid w:val="00A92997"/>
    <w:rsid w:val="00A9400E"/>
    <w:rsid w:val="00A94C83"/>
    <w:rsid w:val="00A97314"/>
    <w:rsid w:val="00AA07A0"/>
    <w:rsid w:val="00AA1211"/>
    <w:rsid w:val="00AA1E00"/>
    <w:rsid w:val="00AA2A02"/>
    <w:rsid w:val="00AA32AF"/>
    <w:rsid w:val="00AA3EA3"/>
    <w:rsid w:val="00AA510B"/>
    <w:rsid w:val="00AA683A"/>
    <w:rsid w:val="00AB1BDB"/>
    <w:rsid w:val="00AB29FD"/>
    <w:rsid w:val="00AB6AC0"/>
    <w:rsid w:val="00AB6CA7"/>
    <w:rsid w:val="00AB6DAC"/>
    <w:rsid w:val="00AB735C"/>
    <w:rsid w:val="00AC074B"/>
    <w:rsid w:val="00AC0E28"/>
    <w:rsid w:val="00AC320B"/>
    <w:rsid w:val="00AC327F"/>
    <w:rsid w:val="00AC51C0"/>
    <w:rsid w:val="00AC5DD0"/>
    <w:rsid w:val="00AC62D0"/>
    <w:rsid w:val="00AC658F"/>
    <w:rsid w:val="00AC778C"/>
    <w:rsid w:val="00AC7BF1"/>
    <w:rsid w:val="00AD01E4"/>
    <w:rsid w:val="00AD0858"/>
    <w:rsid w:val="00AD2DC0"/>
    <w:rsid w:val="00AD3172"/>
    <w:rsid w:val="00AD3208"/>
    <w:rsid w:val="00AD3BAA"/>
    <w:rsid w:val="00AD3D5D"/>
    <w:rsid w:val="00AD45DB"/>
    <w:rsid w:val="00AD4813"/>
    <w:rsid w:val="00AD586C"/>
    <w:rsid w:val="00AD5F70"/>
    <w:rsid w:val="00AD701B"/>
    <w:rsid w:val="00AE09AD"/>
    <w:rsid w:val="00AE1DAA"/>
    <w:rsid w:val="00AE28B0"/>
    <w:rsid w:val="00AE2DA6"/>
    <w:rsid w:val="00AE3404"/>
    <w:rsid w:val="00AE4D78"/>
    <w:rsid w:val="00AE6030"/>
    <w:rsid w:val="00AE6AA1"/>
    <w:rsid w:val="00AE7340"/>
    <w:rsid w:val="00AE78B8"/>
    <w:rsid w:val="00AF0AC9"/>
    <w:rsid w:val="00AF1BBD"/>
    <w:rsid w:val="00AF2454"/>
    <w:rsid w:val="00AF35CA"/>
    <w:rsid w:val="00AF60C3"/>
    <w:rsid w:val="00AF74CC"/>
    <w:rsid w:val="00B01CF9"/>
    <w:rsid w:val="00B02F53"/>
    <w:rsid w:val="00B03E6C"/>
    <w:rsid w:val="00B05886"/>
    <w:rsid w:val="00B059B8"/>
    <w:rsid w:val="00B06AA1"/>
    <w:rsid w:val="00B06DD5"/>
    <w:rsid w:val="00B072A9"/>
    <w:rsid w:val="00B07E92"/>
    <w:rsid w:val="00B10207"/>
    <w:rsid w:val="00B10C88"/>
    <w:rsid w:val="00B119BE"/>
    <w:rsid w:val="00B128A2"/>
    <w:rsid w:val="00B129BF"/>
    <w:rsid w:val="00B12C03"/>
    <w:rsid w:val="00B12DBC"/>
    <w:rsid w:val="00B137A8"/>
    <w:rsid w:val="00B141E7"/>
    <w:rsid w:val="00B14F1F"/>
    <w:rsid w:val="00B1698E"/>
    <w:rsid w:val="00B17C13"/>
    <w:rsid w:val="00B209CD"/>
    <w:rsid w:val="00B21DFC"/>
    <w:rsid w:val="00B22BC1"/>
    <w:rsid w:val="00B23256"/>
    <w:rsid w:val="00B233A6"/>
    <w:rsid w:val="00B23E48"/>
    <w:rsid w:val="00B24CB2"/>
    <w:rsid w:val="00B25FC8"/>
    <w:rsid w:val="00B26857"/>
    <w:rsid w:val="00B268AD"/>
    <w:rsid w:val="00B2784A"/>
    <w:rsid w:val="00B31264"/>
    <w:rsid w:val="00B320B2"/>
    <w:rsid w:val="00B320E5"/>
    <w:rsid w:val="00B32F0B"/>
    <w:rsid w:val="00B33384"/>
    <w:rsid w:val="00B33FD6"/>
    <w:rsid w:val="00B34417"/>
    <w:rsid w:val="00B34459"/>
    <w:rsid w:val="00B34B6E"/>
    <w:rsid w:val="00B34F49"/>
    <w:rsid w:val="00B351B4"/>
    <w:rsid w:val="00B36068"/>
    <w:rsid w:val="00B372BD"/>
    <w:rsid w:val="00B40A9C"/>
    <w:rsid w:val="00B40AAB"/>
    <w:rsid w:val="00B41127"/>
    <w:rsid w:val="00B41280"/>
    <w:rsid w:val="00B41596"/>
    <w:rsid w:val="00B42966"/>
    <w:rsid w:val="00B42AA5"/>
    <w:rsid w:val="00B43FB5"/>
    <w:rsid w:val="00B443E6"/>
    <w:rsid w:val="00B451B4"/>
    <w:rsid w:val="00B4663C"/>
    <w:rsid w:val="00B4672B"/>
    <w:rsid w:val="00B4685A"/>
    <w:rsid w:val="00B46BCA"/>
    <w:rsid w:val="00B476F0"/>
    <w:rsid w:val="00B47DEA"/>
    <w:rsid w:val="00B501D7"/>
    <w:rsid w:val="00B51749"/>
    <w:rsid w:val="00B55009"/>
    <w:rsid w:val="00B5504C"/>
    <w:rsid w:val="00B557CB"/>
    <w:rsid w:val="00B56352"/>
    <w:rsid w:val="00B5658A"/>
    <w:rsid w:val="00B6051B"/>
    <w:rsid w:val="00B60EFD"/>
    <w:rsid w:val="00B61797"/>
    <w:rsid w:val="00B622C4"/>
    <w:rsid w:val="00B62BC1"/>
    <w:rsid w:val="00B62DF4"/>
    <w:rsid w:val="00B62EC7"/>
    <w:rsid w:val="00B62EEB"/>
    <w:rsid w:val="00B65019"/>
    <w:rsid w:val="00B656D1"/>
    <w:rsid w:val="00B65C81"/>
    <w:rsid w:val="00B66917"/>
    <w:rsid w:val="00B67F27"/>
    <w:rsid w:val="00B70D45"/>
    <w:rsid w:val="00B70D76"/>
    <w:rsid w:val="00B710AA"/>
    <w:rsid w:val="00B71383"/>
    <w:rsid w:val="00B72B94"/>
    <w:rsid w:val="00B7456B"/>
    <w:rsid w:val="00B752CA"/>
    <w:rsid w:val="00B82C21"/>
    <w:rsid w:val="00B831D8"/>
    <w:rsid w:val="00B836ED"/>
    <w:rsid w:val="00B8422F"/>
    <w:rsid w:val="00B84B38"/>
    <w:rsid w:val="00B84D24"/>
    <w:rsid w:val="00B84DC4"/>
    <w:rsid w:val="00B84E38"/>
    <w:rsid w:val="00B858C2"/>
    <w:rsid w:val="00B8595D"/>
    <w:rsid w:val="00B8599E"/>
    <w:rsid w:val="00B85E34"/>
    <w:rsid w:val="00B86EA2"/>
    <w:rsid w:val="00B87806"/>
    <w:rsid w:val="00B87DD6"/>
    <w:rsid w:val="00B87EC9"/>
    <w:rsid w:val="00B9132F"/>
    <w:rsid w:val="00B91A16"/>
    <w:rsid w:val="00B93446"/>
    <w:rsid w:val="00B9536A"/>
    <w:rsid w:val="00B95605"/>
    <w:rsid w:val="00B95A29"/>
    <w:rsid w:val="00B95D61"/>
    <w:rsid w:val="00B95DAD"/>
    <w:rsid w:val="00BA1013"/>
    <w:rsid w:val="00BA1670"/>
    <w:rsid w:val="00BA3101"/>
    <w:rsid w:val="00BA3549"/>
    <w:rsid w:val="00BA3689"/>
    <w:rsid w:val="00BA4F5D"/>
    <w:rsid w:val="00BA7029"/>
    <w:rsid w:val="00BA727B"/>
    <w:rsid w:val="00BB1A14"/>
    <w:rsid w:val="00BB23B1"/>
    <w:rsid w:val="00BB2962"/>
    <w:rsid w:val="00BB53DC"/>
    <w:rsid w:val="00BC29A5"/>
    <w:rsid w:val="00BC2F0C"/>
    <w:rsid w:val="00BC38FD"/>
    <w:rsid w:val="00BC5F0E"/>
    <w:rsid w:val="00BC709E"/>
    <w:rsid w:val="00BC7112"/>
    <w:rsid w:val="00BC7CBE"/>
    <w:rsid w:val="00BD07EF"/>
    <w:rsid w:val="00BD246D"/>
    <w:rsid w:val="00BD26FC"/>
    <w:rsid w:val="00BD29D9"/>
    <w:rsid w:val="00BD4807"/>
    <w:rsid w:val="00BD4F60"/>
    <w:rsid w:val="00BD57A2"/>
    <w:rsid w:val="00BD630B"/>
    <w:rsid w:val="00BD7FFE"/>
    <w:rsid w:val="00BE2226"/>
    <w:rsid w:val="00BE24F6"/>
    <w:rsid w:val="00BE3919"/>
    <w:rsid w:val="00BE54C0"/>
    <w:rsid w:val="00BE6EBF"/>
    <w:rsid w:val="00BF09C9"/>
    <w:rsid w:val="00BF2AEA"/>
    <w:rsid w:val="00BF31B2"/>
    <w:rsid w:val="00BF55DD"/>
    <w:rsid w:val="00BF6660"/>
    <w:rsid w:val="00BF7116"/>
    <w:rsid w:val="00C0117C"/>
    <w:rsid w:val="00C01DF4"/>
    <w:rsid w:val="00C02AE1"/>
    <w:rsid w:val="00C03190"/>
    <w:rsid w:val="00C034CB"/>
    <w:rsid w:val="00C047C6"/>
    <w:rsid w:val="00C051A8"/>
    <w:rsid w:val="00C054BC"/>
    <w:rsid w:val="00C055B9"/>
    <w:rsid w:val="00C06239"/>
    <w:rsid w:val="00C06D8A"/>
    <w:rsid w:val="00C07890"/>
    <w:rsid w:val="00C07A7C"/>
    <w:rsid w:val="00C07C51"/>
    <w:rsid w:val="00C10A0A"/>
    <w:rsid w:val="00C12F6C"/>
    <w:rsid w:val="00C1381C"/>
    <w:rsid w:val="00C1452A"/>
    <w:rsid w:val="00C14C9E"/>
    <w:rsid w:val="00C14ECA"/>
    <w:rsid w:val="00C15026"/>
    <w:rsid w:val="00C155AF"/>
    <w:rsid w:val="00C15C5C"/>
    <w:rsid w:val="00C15CA2"/>
    <w:rsid w:val="00C167DA"/>
    <w:rsid w:val="00C17897"/>
    <w:rsid w:val="00C20555"/>
    <w:rsid w:val="00C20E2D"/>
    <w:rsid w:val="00C21B32"/>
    <w:rsid w:val="00C222A0"/>
    <w:rsid w:val="00C226DC"/>
    <w:rsid w:val="00C229DF"/>
    <w:rsid w:val="00C22D32"/>
    <w:rsid w:val="00C230CC"/>
    <w:rsid w:val="00C248E7"/>
    <w:rsid w:val="00C250D6"/>
    <w:rsid w:val="00C25AE3"/>
    <w:rsid w:val="00C26EA3"/>
    <w:rsid w:val="00C3180F"/>
    <w:rsid w:val="00C3270A"/>
    <w:rsid w:val="00C35206"/>
    <w:rsid w:val="00C35DB6"/>
    <w:rsid w:val="00C362FB"/>
    <w:rsid w:val="00C40072"/>
    <w:rsid w:val="00C40279"/>
    <w:rsid w:val="00C409D5"/>
    <w:rsid w:val="00C413B8"/>
    <w:rsid w:val="00C41A15"/>
    <w:rsid w:val="00C42900"/>
    <w:rsid w:val="00C432CB"/>
    <w:rsid w:val="00C4493B"/>
    <w:rsid w:val="00C44AE6"/>
    <w:rsid w:val="00C4558E"/>
    <w:rsid w:val="00C45948"/>
    <w:rsid w:val="00C46E7F"/>
    <w:rsid w:val="00C471D2"/>
    <w:rsid w:val="00C47956"/>
    <w:rsid w:val="00C514A7"/>
    <w:rsid w:val="00C516F4"/>
    <w:rsid w:val="00C5380E"/>
    <w:rsid w:val="00C54013"/>
    <w:rsid w:val="00C54B3D"/>
    <w:rsid w:val="00C54E2A"/>
    <w:rsid w:val="00C5647E"/>
    <w:rsid w:val="00C5738F"/>
    <w:rsid w:val="00C5764C"/>
    <w:rsid w:val="00C57C39"/>
    <w:rsid w:val="00C57D6B"/>
    <w:rsid w:val="00C602C2"/>
    <w:rsid w:val="00C60EDB"/>
    <w:rsid w:val="00C6234B"/>
    <w:rsid w:val="00C63EAE"/>
    <w:rsid w:val="00C64E68"/>
    <w:rsid w:val="00C66085"/>
    <w:rsid w:val="00C66BB7"/>
    <w:rsid w:val="00C708BE"/>
    <w:rsid w:val="00C7096A"/>
    <w:rsid w:val="00C70F9C"/>
    <w:rsid w:val="00C717F6"/>
    <w:rsid w:val="00C71E4A"/>
    <w:rsid w:val="00C73853"/>
    <w:rsid w:val="00C74F7A"/>
    <w:rsid w:val="00C7572C"/>
    <w:rsid w:val="00C7629F"/>
    <w:rsid w:val="00C776AD"/>
    <w:rsid w:val="00C776FB"/>
    <w:rsid w:val="00C8080C"/>
    <w:rsid w:val="00C853D5"/>
    <w:rsid w:val="00C85E9E"/>
    <w:rsid w:val="00C86000"/>
    <w:rsid w:val="00C8661B"/>
    <w:rsid w:val="00C91AD8"/>
    <w:rsid w:val="00C9246B"/>
    <w:rsid w:val="00C92C82"/>
    <w:rsid w:val="00C93D65"/>
    <w:rsid w:val="00C94907"/>
    <w:rsid w:val="00CA139A"/>
    <w:rsid w:val="00CA2047"/>
    <w:rsid w:val="00CA283D"/>
    <w:rsid w:val="00CA288B"/>
    <w:rsid w:val="00CA2899"/>
    <w:rsid w:val="00CA4552"/>
    <w:rsid w:val="00CA5FFD"/>
    <w:rsid w:val="00CA77FB"/>
    <w:rsid w:val="00CB149F"/>
    <w:rsid w:val="00CB379B"/>
    <w:rsid w:val="00CB3E6E"/>
    <w:rsid w:val="00CB4B5E"/>
    <w:rsid w:val="00CB58AA"/>
    <w:rsid w:val="00CB5BD2"/>
    <w:rsid w:val="00CB5DD0"/>
    <w:rsid w:val="00CB7DFD"/>
    <w:rsid w:val="00CB7E78"/>
    <w:rsid w:val="00CC031B"/>
    <w:rsid w:val="00CC12A1"/>
    <w:rsid w:val="00CC3BC8"/>
    <w:rsid w:val="00CC421D"/>
    <w:rsid w:val="00CC51D4"/>
    <w:rsid w:val="00CC5AFD"/>
    <w:rsid w:val="00CC5E54"/>
    <w:rsid w:val="00CC65DA"/>
    <w:rsid w:val="00CC66CE"/>
    <w:rsid w:val="00CC6C81"/>
    <w:rsid w:val="00CC7100"/>
    <w:rsid w:val="00CC7103"/>
    <w:rsid w:val="00CC79CB"/>
    <w:rsid w:val="00CD0A34"/>
    <w:rsid w:val="00CD33DE"/>
    <w:rsid w:val="00CD38A2"/>
    <w:rsid w:val="00CD3986"/>
    <w:rsid w:val="00CD46E1"/>
    <w:rsid w:val="00CD5B5D"/>
    <w:rsid w:val="00CD62A4"/>
    <w:rsid w:val="00CD7D34"/>
    <w:rsid w:val="00CE05B0"/>
    <w:rsid w:val="00CE08A9"/>
    <w:rsid w:val="00CE2650"/>
    <w:rsid w:val="00CE3D76"/>
    <w:rsid w:val="00CE4888"/>
    <w:rsid w:val="00CE4C66"/>
    <w:rsid w:val="00CE66F1"/>
    <w:rsid w:val="00CE6B11"/>
    <w:rsid w:val="00CE72DB"/>
    <w:rsid w:val="00CE742A"/>
    <w:rsid w:val="00CF080D"/>
    <w:rsid w:val="00CF0A6F"/>
    <w:rsid w:val="00CF0AE1"/>
    <w:rsid w:val="00CF10E6"/>
    <w:rsid w:val="00CF21B9"/>
    <w:rsid w:val="00CF372B"/>
    <w:rsid w:val="00CF4151"/>
    <w:rsid w:val="00CF43B6"/>
    <w:rsid w:val="00CF4B84"/>
    <w:rsid w:val="00CF51B3"/>
    <w:rsid w:val="00CF5B41"/>
    <w:rsid w:val="00CF61AD"/>
    <w:rsid w:val="00CF6BF9"/>
    <w:rsid w:val="00CF742D"/>
    <w:rsid w:val="00D008FB"/>
    <w:rsid w:val="00D01388"/>
    <w:rsid w:val="00D015AB"/>
    <w:rsid w:val="00D02CA4"/>
    <w:rsid w:val="00D0322B"/>
    <w:rsid w:val="00D03800"/>
    <w:rsid w:val="00D03988"/>
    <w:rsid w:val="00D03E7D"/>
    <w:rsid w:val="00D03FC4"/>
    <w:rsid w:val="00D0474A"/>
    <w:rsid w:val="00D05C48"/>
    <w:rsid w:val="00D065D3"/>
    <w:rsid w:val="00D1068C"/>
    <w:rsid w:val="00D10D2D"/>
    <w:rsid w:val="00D1168A"/>
    <w:rsid w:val="00D121EE"/>
    <w:rsid w:val="00D13B1E"/>
    <w:rsid w:val="00D14C94"/>
    <w:rsid w:val="00D14DDC"/>
    <w:rsid w:val="00D1574C"/>
    <w:rsid w:val="00D177DE"/>
    <w:rsid w:val="00D17B38"/>
    <w:rsid w:val="00D21071"/>
    <w:rsid w:val="00D214FB"/>
    <w:rsid w:val="00D22A91"/>
    <w:rsid w:val="00D2340E"/>
    <w:rsid w:val="00D2342A"/>
    <w:rsid w:val="00D31885"/>
    <w:rsid w:val="00D321FC"/>
    <w:rsid w:val="00D32A00"/>
    <w:rsid w:val="00D32E64"/>
    <w:rsid w:val="00D3320A"/>
    <w:rsid w:val="00D342A6"/>
    <w:rsid w:val="00D34E4D"/>
    <w:rsid w:val="00D37A93"/>
    <w:rsid w:val="00D40548"/>
    <w:rsid w:val="00D42B36"/>
    <w:rsid w:val="00D43426"/>
    <w:rsid w:val="00D43BCA"/>
    <w:rsid w:val="00D43C54"/>
    <w:rsid w:val="00D45184"/>
    <w:rsid w:val="00D46377"/>
    <w:rsid w:val="00D464BF"/>
    <w:rsid w:val="00D476F6"/>
    <w:rsid w:val="00D50E11"/>
    <w:rsid w:val="00D53E26"/>
    <w:rsid w:val="00D53FC3"/>
    <w:rsid w:val="00D552EE"/>
    <w:rsid w:val="00D56930"/>
    <w:rsid w:val="00D609FF"/>
    <w:rsid w:val="00D619A0"/>
    <w:rsid w:val="00D640E8"/>
    <w:rsid w:val="00D65922"/>
    <w:rsid w:val="00D65F93"/>
    <w:rsid w:val="00D660BB"/>
    <w:rsid w:val="00D66A43"/>
    <w:rsid w:val="00D66E22"/>
    <w:rsid w:val="00D70D08"/>
    <w:rsid w:val="00D719CE"/>
    <w:rsid w:val="00D72240"/>
    <w:rsid w:val="00D72A11"/>
    <w:rsid w:val="00D731DC"/>
    <w:rsid w:val="00D749EF"/>
    <w:rsid w:val="00D74EB6"/>
    <w:rsid w:val="00D75857"/>
    <w:rsid w:val="00D7773E"/>
    <w:rsid w:val="00D77D3E"/>
    <w:rsid w:val="00D77F9F"/>
    <w:rsid w:val="00D80D23"/>
    <w:rsid w:val="00D8270E"/>
    <w:rsid w:val="00D828B6"/>
    <w:rsid w:val="00D84B7C"/>
    <w:rsid w:val="00D851CB"/>
    <w:rsid w:val="00D85A1F"/>
    <w:rsid w:val="00D8606F"/>
    <w:rsid w:val="00D86AE8"/>
    <w:rsid w:val="00D9049B"/>
    <w:rsid w:val="00D920AD"/>
    <w:rsid w:val="00D93345"/>
    <w:rsid w:val="00D93413"/>
    <w:rsid w:val="00D9443C"/>
    <w:rsid w:val="00D95B90"/>
    <w:rsid w:val="00D966EE"/>
    <w:rsid w:val="00D96C98"/>
    <w:rsid w:val="00DA0DEE"/>
    <w:rsid w:val="00DA0E3E"/>
    <w:rsid w:val="00DA18BA"/>
    <w:rsid w:val="00DA1B57"/>
    <w:rsid w:val="00DA294E"/>
    <w:rsid w:val="00DA3BA5"/>
    <w:rsid w:val="00DA6669"/>
    <w:rsid w:val="00DA6A9C"/>
    <w:rsid w:val="00DB3415"/>
    <w:rsid w:val="00DB4FDE"/>
    <w:rsid w:val="00DB4FE2"/>
    <w:rsid w:val="00DB54A9"/>
    <w:rsid w:val="00DB58A8"/>
    <w:rsid w:val="00DB6249"/>
    <w:rsid w:val="00DB71A0"/>
    <w:rsid w:val="00DB7AA9"/>
    <w:rsid w:val="00DC07BE"/>
    <w:rsid w:val="00DC205B"/>
    <w:rsid w:val="00DC226B"/>
    <w:rsid w:val="00DC5147"/>
    <w:rsid w:val="00DC7148"/>
    <w:rsid w:val="00DC77E4"/>
    <w:rsid w:val="00DC7BD4"/>
    <w:rsid w:val="00DC7D39"/>
    <w:rsid w:val="00DD233B"/>
    <w:rsid w:val="00DD36A3"/>
    <w:rsid w:val="00DD3B2F"/>
    <w:rsid w:val="00DD46C0"/>
    <w:rsid w:val="00DD4F0E"/>
    <w:rsid w:val="00DD4FE2"/>
    <w:rsid w:val="00DD580C"/>
    <w:rsid w:val="00DD6645"/>
    <w:rsid w:val="00DD70C7"/>
    <w:rsid w:val="00DE14C7"/>
    <w:rsid w:val="00DE1BA1"/>
    <w:rsid w:val="00DE1D9D"/>
    <w:rsid w:val="00DE1E21"/>
    <w:rsid w:val="00DE1FE7"/>
    <w:rsid w:val="00DE2A1F"/>
    <w:rsid w:val="00DE2C85"/>
    <w:rsid w:val="00DE3579"/>
    <w:rsid w:val="00DE3846"/>
    <w:rsid w:val="00DE3F7C"/>
    <w:rsid w:val="00DE53B8"/>
    <w:rsid w:val="00DE62E3"/>
    <w:rsid w:val="00DE6830"/>
    <w:rsid w:val="00DF11ED"/>
    <w:rsid w:val="00DF24F7"/>
    <w:rsid w:val="00DF40E1"/>
    <w:rsid w:val="00DF40E2"/>
    <w:rsid w:val="00DF72DF"/>
    <w:rsid w:val="00DF7B3A"/>
    <w:rsid w:val="00E00441"/>
    <w:rsid w:val="00E00B38"/>
    <w:rsid w:val="00E0115B"/>
    <w:rsid w:val="00E02D66"/>
    <w:rsid w:val="00E031CE"/>
    <w:rsid w:val="00E05E0A"/>
    <w:rsid w:val="00E065A7"/>
    <w:rsid w:val="00E06E15"/>
    <w:rsid w:val="00E076C2"/>
    <w:rsid w:val="00E076E0"/>
    <w:rsid w:val="00E10FB2"/>
    <w:rsid w:val="00E11D4B"/>
    <w:rsid w:val="00E1254B"/>
    <w:rsid w:val="00E125C4"/>
    <w:rsid w:val="00E13B65"/>
    <w:rsid w:val="00E13E57"/>
    <w:rsid w:val="00E14C4F"/>
    <w:rsid w:val="00E154A2"/>
    <w:rsid w:val="00E16329"/>
    <w:rsid w:val="00E16FA0"/>
    <w:rsid w:val="00E213CE"/>
    <w:rsid w:val="00E220F8"/>
    <w:rsid w:val="00E22B2B"/>
    <w:rsid w:val="00E234D0"/>
    <w:rsid w:val="00E2439D"/>
    <w:rsid w:val="00E256F7"/>
    <w:rsid w:val="00E262B6"/>
    <w:rsid w:val="00E26585"/>
    <w:rsid w:val="00E279B3"/>
    <w:rsid w:val="00E27C3F"/>
    <w:rsid w:val="00E305D1"/>
    <w:rsid w:val="00E32726"/>
    <w:rsid w:val="00E32742"/>
    <w:rsid w:val="00E332AC"/>
    <w:rsid w:val="00E40A11"/>
    <w:rsid w:val="00E410D7"/>
    <w:rsid w:val="00E412E6"/>
    <w:rsid w:val="00E413C0"/>
    <w:rsid w:val="00E41E7D"/>
    <w:rsid w:val="00E42045"/>
    <w:rsid w:val="00E42435"/>
    <w:rsid w:val="00E428D7"/>
    <w:rsid w:val="00E4335A"/>
    <w:rsid w:val="00E4407D"/>
    <w:rsid w:val="00E458FA"/>
    <w:rsid w:val="00E4774B"/>
    <w:rsid w:val="00E50D5D"/>
    <w:rsid w:val="00E510CB"/>
    <w:rsid w:val="00E5184F"/>
    <w:rsid w:val="00E52973"/>
    <w:rsid w:val="00E52F84"/>
    <w:rsid w:val="00E53300"/>
    <w:rsid w:val="00E534CF"/>
    <w:rsid w:val="00E540C9"/>
    <w:rsid w:val="00E5689C"/>
    <w:rsid w:val="00E57D23"/>
    <w:rsid w:val="00E601EE"/>
    <w:rsid w:val="00E638DD"/>
    <w:rsid w:val="00E63B7F"/>
    <w:rsid w:val="00E64B78"/>
    <w:rsid w:val="00E65102"/>
    <w:rsid w:val="00E653FD"/>
    <w:rsid w:val="00E6564C"/>
    <w:rsid w:val="00E65B06"/>
    <w:rsid w:val="00E65B25"/>
    <w:rsid w:val="00E65C61"/>
    <w:rsid w:val="00E65F07"/>
    <w:rsid w:val="00E67346"/>
    <w:rsid w:val="00E71B58"/>
    <w:rsid w:val="00E71DF5"/>
    <w:rsid w:val="00E72579"/>
    <w:rsid w:val="00E73F93"/>
    <w:rsid w:val="00E7418C"/>
    <w:rsid w:val="00E76169"/>
    <w:rsid w:val="00E7703D"/>
    <w:rsid w:val="00E772DB"/>
    <w:rsid w:val="00E777BD"/>
    <w:rsid w:val="00E77AB2"/>
    <w:rsid w:val="00E81CB4"/>
    <w:rsid w:val="00E81D80"/>
    <w:rsid w:val="00E826B9"/>
    <w:rsid w:val="00E83B1C"/>
    <w:rsid w:val="00E83C39"/>
    <w:rsid w:val="00E83F3B"/>
    <w:rsid w:val="00E846E8"/>
    <w:rsid w:val="00E84948"/>
    <w:rsid w:val="00E8585B"/>
    <w:rsid w:val="00E8637C"/>
    <w:rsid w:val="00E86F0D"/>
    <w:rsid w:val="00E9366D"/>
    <w:rsid w:val="00E93CEB"/>
    <w:rsid w:val="00E95177"/>
    <w:rsid w:val="00EA3476"/>
    <w:rsid w:val="00EA3F15"/>
    <w:rsid w:val="00EA460D"/>
    <w:rsid w:val="00EA4685"/>
    <w:rsid w:val="00EA5BFE"/>
    <w:rsid w:val="00EA6D5C"/>
    <w:rsid w:val="00EA748C"/>
    <w:rsid w:val="00EA7847"/>
    <w:rsid w:val="00EA7E8F"/>
    <w:rsid w:val="00EB0190"/>
    <w:rsid w:val="00EB12BB"/>
    <w:rsid w:val="00EB19ED"/>
    <w:rsid w:val="00EB26B1"/>
    <w:rsid w:val="00EB44D1"/>
    <w:rsid w:val="00EB4BEC"/>
    <w:rsid w:val="00EB6010"/>
    <w:rsid w:val="00EB67D3"/>
    <w:rsid w:val="00EC001B"/>
    <w:rsid w:val="00EC124F"/>
    <w:rsid w:val="00EC1C6F"/>
    <w:rsid w:val="00EC2904"/>
    <w:rsid w:val="00EC2F58"/>
    <w:rsid w:val="00EC3048"/>
    <w:rsid w:val="00EC3629"/>
    <w:rsid w:val="00EC60B9"/>
    <w:rsid w:val="00EC75CB"/>
    <w:rsid w:val="00EC7BA9"/>
    <w:rsid w:val="00ED06E0"/>
    <w:rsid w:val="00ED0DBC"/>
    <w:rsid w:val="00ED17AD"/>
    <w:rsid w:val="00ED2CF9"/>
    <w:rsid w:val="00ED3149"/>
    <w:rsid w:val="00ED3D79"/>
    <w:rsid w:val="00ED4BFD"/>
    <w:rsid w:val="00ED5E6B"/>
    <w:rsid w:val="00ED7FDF"/>
    <w:rsid w:val="00EE1647"/>
    <w:rsid w:val="00EE2224"/>
    <w:rsid w:val="00EE2E6E"/>
    <w:rsid w:val="00EE3022"/>
    <w:rsid w:val="00EE3642"/>
    <w:rsid w:val="00EE4140"/>
    <w:rsid w:val="00EE43DC"/>
    <w:rsid w:val="00EE47EC"/>
    <w:rsid w:val="00EE4D7B"/>
    <w:rsid w:val="00EE696A"/>
    <w:rsid w:val="00EE72F6"/>
    <w:rsid w:val="00EE7598"/>
    <w:rsid w:val="00EF0DCA"/>
    <w:rsid w:val="00EF1253"/>
    <w:rsid w:val="00EF13E6"/>
    <w:rsid w:val="00EF31CD"/>
    <w:rsid w:val="00EF33C6"/>
    <w:rsid w:val="00EF4209"/>
    <w:rsid w:val="00EF42B8"/>
    <w:rsid w:val="00EF6A8F"/>
    <w:rsid w:val="00EF708E"/>
    <w:rsid w:val="00EF756C"/>
    <w:rsid w:val="00F0063D"/>
    <w:rsid w:val="00F02BB6"/>
    <w:rsid w:val="00F02E27"/>
    <w:rsid w:val="00F02EF9"/>
    <w:rsid w:val="00F03968"/>
    <w:rsid w:val="00F04104"/>
    <w:rsid w:val="00F04218"/>
    <w:rsid w:val="00F0598A"/>
    <w:rsid w:val="00F06FB5"/>
    <w:rsid w:val="00F0759E"/>
    <w:rsid w:val="00F07A6B"/>
    <w:rsid w:val="00F07BAC"/>
    <w:rsid w:val="00F11C4C"/>
    <w:rsid w:val="00F13945"/>
    <w:rsid w:val="00F17F48"/>
    <w:rsid w:val="00F21867"/>
    <w:rsid w:val="00F21ACD"/>
    <w:rsid w:val="00F23129"/>
    <w:rsid w:val="00F232DB"/>
    <w:rsid w:val="00F23C30"/>
    <w:rsid w:val="00F240AD"/>
    <w:rsid w:val="00F24613"/>
    <w:rsid w:val="00F26878"/>
    <w:rsid w:val="00F27942"/>
    <w:rsid w:val="00F27D3F"/>
    <w:rsid w:val="00F30E09"/>
    <w:rsid w:val="00F31016"/>
    <w:rsid w:val="00F31A43"/>
    <w:rsid w:val="00F32364"/>
    <w:rsid w:val="00F3375C"/>
    <w:rsid w:val="00F34B0D"/>
    <w:rsid w:val="00F35842"/>
    <w:rsid w:val="00F377B1"/>
    <w:rsid w:val="00F379EF"/>
    <w:rsid w:val="00F37DBD"/>
    <w:rsid w:val="00F41724"/>
    <w:rsid w:val="00F42986"/>
    <w:rsid w:val="00F457F5"/>
    <w:rsid w:val="00F4580D"/>
    <w:rsid w:val="00F463F7"/>
    <w:rsid w:val="00F4739B"/>
    <w:rsid w:val="00F504CB"/>
    <w:rsid w:val="00F50B15"/>
    <w:rsid w:val="00F50B3D"/>
    <w:rsid w:val="00F51168"/>
    <w:rsid w:val="00F52C0F"/>
    <w:rsid w:val="00F53121"/>
    <w:rsid w:val="00F541F5"/>
    <w:rsid w:val="00F54316"/>
    <w:rsid w:val="00F5453C"/>
    <w:rsid w:val="00F56426"/>
    <w:rsid w:val="00F61A53"/>
    <w:rsid w:val="00F63351"/>
    <w:rsid w:val="00F63BFB"/>
    <w:rsid w:val="00F64922"/>
    <w:rsid w:val="00F65B15"/>
    <w:rsid w:val="00F665DA"/>
    <w:rsid w:val="00F722B5"/>
    <w:rsid w:val="00F72A9D"/>
    <w:rsid w:val="00F72B30"/>
    <w:rsid w:val="00F761E6"/>
    <w:rsid w:val="00F76A67"/>
    <w:rsid w:val="00F775E4"/>
    <w:rsid w:val="00F805F9"/>
    <w:rsid w:val="00F818B1"/>
    <w:rsid w:val="00F82139"/>
    <w:rsid w:val="00F821A3"/>
    <w:rsid w:val="00F82507"/>
    <w:rsid w:val="00F84563"/>
    <w:rsid w:val="00F84C1A"/>
    <w:rsid w:val="00F85E9C"/>
    <w:rsid w:val="00F85FD4"/>
    <w:rsid w:val="00F87591"/>
    <w:rsid w:val="00F87A14"/>
    <w:rsid w:val="00F91C8A"/>
    <w:rsid w:val="00F91CE2"/>
    <w:rsid w:val="00F925E3"/>
    <w:rsid w:val="00F926AB"/>
    <w:rsid w:val="00F9278A"/>
    <w:rsid w:val="00F9314A"/>
    <w:rsid w:val="00F9331C"/>
    <w:rsid w:val="00F941C7"/>
    <w:rsid w:val="00F94DF4"/>
    <w:rsid w:val="00F9681D"/>
    <w:rsid w:val="00F96BFF"/>
    <w:rsid w:val="00F97464"/>
    <w:rsid w:val="00FA0EA8"/>
    <w:rsid w:val="00FA136B"/>
    <w:rsid w:val="00FA16D0"/>
    <w:rsid w:val="00FA25BE"/>
    <w:rsid w:val="00FA26B0"/>
    <w:rsid w:val="00FA5128"/>
    <w:rsid w:val="00FA5DD3"/>
    <w:rsid w:val="00FA6056"/>
    <w:rsid w:val="00FA6B24"/>
    <w:rsid w:val="00FA7D71"/>
    <w:rsid w:val="00FB1540"/>
    <w:rsid w:val="00FB1FA4"/>
    <w:rsid w:val="00FB2B63"/>
    <w:rsid w:val="00FB5259"/>
    <w:rsid w:val="00FB53C4"/>
    <w:rsid w:val="00FB63BF"/>
    <w:rsid w:val="00FB6555"/>
    <w:rsid w:val="00FB669C"/>
    <w:rsid w:val="00FB6885"/>
    <w:rsid w:val="00FC0232"/>
    <w:rsid w:val="00FC0C9A"/>
    <w:rsid w:val="00FC1353"/>
    <w:rsid w:val="00FC3B38"/>
    <w:rsid w:val="00FC40ED"/>
    <w:rsid w:val="00FC53E2"/>
    <w:rsid w:val="00FC53EA"/>
    <w:rsid w:val="00FC58EF"/>
    <w:rsid w:val="00FC62E7"/>
    <w:rsid w:val="00FC634D"/>
    <w:rsid w:val="00FC64AC"/>
    <w:rsid w:val="00FC7571"/>
    <w:rsid w:val="00FD0BBF"/>
    <w:rsid w:val="00FD1995"/>
    <w:rsid w:val="00FD33DF"/>
    <w:rsid w:val="00FD4202"/>
    <w:rsid w:val="00FD45AA"/>
    <w:rsid w:val="00FD65B1"/>
    <w:rsid w:val="00FD69B8"/>
    <w:rsid w:val="00FD711F"/>
    <w:rsid w:val="00FD75C9"/>
    <w:rsid w:val="00FD7FC5"/>
    <w:rsid w:val="00FE02A1"/>
    <w:rsid w:val="00FE1AE6"/>
    <w:rsid w:val="00FE2AC3"/>
    <w:rsid w:val="00FE37C1"/>
    <w:rsid w:val="00FE39D7"/>
    <w:rsid w:val="00FE537B"/>
    <w:rsid w:val="00FE5EDC"/>
    <w:rsid w:val="00FF04C6"/>
    <w:rsid w:val="00FF06AF"/>
    <w:rsid w:val="00FF1AE0"/>
    <w:rsid w:val="00FF205A"/>
    <w:rsid w:val="00FF37A0"/>
    <w:rsid w:val="00FF5A2E"/>
    <w:rsid w:val="00FF5D28"/>
    <w:rsid w:val="00FF6C44"/>
    <w:rsid w:val="00FF6E5A"/>
    <w:rsid w:val="00FF7483"/>
    <w:rsid w:val="00FF7C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F8519E5"/>
  <w15:docId w15:val="{FBB3A09E-40EC-40DF-857E-DDC4A00C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20"/>
    <w:pPr>
      <w:spacing w:before="240" w:after="240"/>
      <w:jc w:val="both"/>
    </w:pPr>
    <w:rPr>
      <w:rFonts w:ascii="Bookman Old Style" w:hAnsi="Bookman Old Style"/>
      <w:sz w:val="24"/>
      <w:szCs w:val="24"/>
      <w:lang w:val="es-ES" w:eastAsia="es-ES"/>
    </w:rPr>
  </w:style>
  <w:style w:type="paragraph" w:styleId="Ttulo1">
    <w:name w:val="heading 1"/>
    <w:basedOn w:val="Prrafodelista"/>
    <w:next w:val="Normal"/>
    <w:link w:val="Ttulo1Car"/>
    <w:uiPriority w:val="9"/>
    <w:qFormat/>
    <w:rsid w:val="0033641C"/>
    <w:pPr>
      <w:keepNext/>
      <w:numPr>
        <w:numId w:val="2"/>
      </w:numPr>
      <w:spacing w:before="120"/>
      <w:outlineLvl w:val="0"/>
    </w:pPr>
    <w:rPr>
      <w:b/>
      <w:spacing w:val="4"/>
      <w:sz w:val="24"/>
      <w:szCs w:val="24"/>
      <w:lang w:val="es-ES"/>
    </w:rPr>
  </w:style>
  <w:style w:type="paragraph" w:styleId="Ttulo2">
    <w:name w:val="heading 2"/>
    <w:basedOn w:val="Prrafodelista"/>
    <w:next w:val="Normal"/>
    <w:link w:val="Ttulo2Car"/>
    <w:autoRedefine/>
    <w:qFormat/>
    <w:rsid w:val="0034651C"/>
    <w:pPr>
      <w:keepNext/>
      <w:numPr>
        <w:ilvl w:val="1"/>
        <w:numId w:val="76"/>
      </w:numPr>
      <w:autoSpaceDE w:val="0"/>
      <w:autoSpaceDN w:val="0"/>
      <w:adjustRightInd w:val="0"/>
      <w:outlineLvl w:val="1"/>
    </w:pPr>
    <w:rPr>
      <w:rFonts w:cs="Tahoma,Bold"/>
      <w:b/>
      <w:bCs/>
      <w:sz w:val="24"/>
      <w:szCs w:val="24"/>
      <w:lang w:eastAsia="es-CO"/>
    </w:r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rsid w:val="00795BFB"/>
    <w:pPr>
      <w:numPr>
        <w:ilvl w:val="5"/>
        <w:numId w:val="2"/>
      </w:numPr>
      <w:spacing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405C6"/>
    <w:pPr>
      <w:numPr>
        <w:numId w:val="1"/>
      </w:numPr>
    </w:pPr>
    <w:rPr>
      <w:sz w:val="20"/>
      <w:szCs w:val="20"/>
      <w:lang w:val="es-CO"/>
    </w:rPr>
  </w:style>
  <w:style w:type="character" w:customStyle="1" w:styleId="PrrafodelistaCar">
    <w:name w:val="Párrafo de lista Car"/>
    <w:link w:val="Prrafodelista"/>
    <w:uiPriority w:val="34"/>
    <w:rsid w:val="001405C6"/>
    <w:rPr>
      <w:rFonts w:ascii="Bookman Old Style" w:hAnsi="Bookman Old Style"/>
      <w:lang w:eastAsia="es-ES"/>
    </w:rPr>
  </w:style>
  <w:style w:type="character" w:customStyle="1" w:styleId="Ttulo1Car">
    <w:name w:val="Título 1 Car"/>
    <w:link w:val="Ttulo1"/>
    <w:uiPriority w:val="9"/>
    <w:rsid w:val="00BB53DC"/>
    <w:rPr>
      <w:rFonts w:ascii="Bookman Old Style" w:hAnsi="Bookman Old Style"/>
      <w:b/>
      <w:spacing w:val="4"/>
      <w:sz w:val="24"/>
      <w:szCs w:val="24"/>
      <w:lang w:val="es-ES" w:eastAsia="es-ES"/>
    </w:rPr>
  </w:style>
  <w:style w:type="character" w:customStyle="1" w:styleId="Ttulo2Car">
    <w:name w:val="Título 2 Car"/>
    <w:link w:val="Ttulo2"/>
    <w:rsid w:val="0034651C"/>
    <w:rPr>
      <w:rFonts w:ascii="Bookman Old Style" w:hAnsi="Bookman Old Style" w:cs="Tahoma,Bold"/>
      <w:b/>
      <w:bCs/>
      <w:sz w:val="24"/>
      <w:szCs w:val="24"/>
    </w:rPr>
  </w:style>
  <w:style w:type="character" w:customStyle="1" w:styleId="Ttulo3Car">
    <w:name w:val="Título 3 Car"/>
    <w:link w:val="Ttulo3"/>
    <w:uiPriority w:val="9"/>
    <w:rsid w:val="00E213CE"/>
    <w:rPr>
      <w:rFonts w:ascii="Bookman Old Style" w:hAnsi="Bookman Old Style"/>
      <w:b/>
      <w:spacing w:val="4"/>
      <w:sz w:val="24"/>
      <w:szCs w:val="24"/>
      <w:lang w:val="es-ES"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tulo6Car">
    <w:name w:val="Título 6 Car"/>
    <w:link w:val="Ttulo6"/>
    <w:uiPriority w:val="9"/>
    <w:rsid w:val="00795BFB"/>
    <w:rPr>
      <w:rFonts w:ascii="Calibri" w:hAnsi="Calibri"/>
      <w:b/>
      <w:bCs/>
      <w:sz w:val="22"/>
      <w:szCs w:val="22"/>
      <w:lang w:val="es-ES" w:eastAsia="es-ES"/>
    </w:rPr>
  </w:style>
  <w:style w:type="character" w:customStyle="1" w:styleId="Ttulo7Car">
    <w:name w:val="Título 7 Car"/>
    <w:link w:val="Ttulo7"/>
    <w:uiPriority w:val="9"/>
    <w:rsid w:val="006E56AD"/>
    <w:rPr>
      <w:rFonts w:ascii="Arial" w:hAnsi="Arial"/>
      <w:b/>
      <w:sz w:val="22"/>
      <w:lang w:eastAsia="es-ES"/>
    </w:rPr>
  </w:style>
  <w:style w:type="character" w:customStyle="1" w:styleId="Ttulo8Car">
    <w:name w:val="Título 8 Car"/>
    <w:link w:val="Ttulo8"/>
    <w:uiPriority w:val="9"/>
    <w:rsid w:val="006E56AD"/>
    <w:rPr>
      <w:rFonts w:ascii="Arial" w:hAnsi="Arial" w:cs="Arial"/>
      <w:b/>
      <w:sz w:val="22"/>
      <w:lang w:eastAsia="es-ES"/>
    </w:rPr>
  </w:style>
  <w:style w:type="character" w:customStyle="1" w:styleId="Ttulo9Car">
    <w:name w:val="Título 9 Car"/>
    <w:link w:val="Ttulo9"/>
    <w:rsid w:val="006E56AD"/>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character" w:customStyle="1" w:styleId="PiedepginaCar">
    <w:name w:val="Pie de página Car"/>
    <w:link w:val="Piedepgina"/>
    <w:uiPriority w:val="99"/>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Ttulo1"/>
    <w:link w:val="TtuloCar"/>
    <w:qFormat/>
    <w:rsid w:val="003D13AC"/>
    <w:pPr>
      <w:numPr>
        <w:numId w:val="80"/>
      </w:numPr>
      <w:spacing w:before="360"/>
    </w:pPr>
  </w:style>
  <w:style w:type="character" w:customStyle="1" w:styleId="TtuloCar">
    <w:name w:val="Título Car"/>
    <w:link w:val="Ttulo"/>
    <w:rsid w:val="003D13AC"/>
    <w:rPr>
      <w:rFonts w:ascii="Bookman Old Style" w:hAnsi="Bookman Old Style"/>
      <w:b/>
      <w:spacing w:val="4"/>
      <w:sz w:val="24"/>
      <w:szCs w:val="24"/>
      <w:lang w:val="es-ES" w:eastAsia="es-ES"/>
    </w:rPr>
  </w:style>
  <w:style w:type="paragraph" w:styleId="TDC1">
    <w:name w:val="toc 1"/>
    <w:basedOn w:val="Normal"/>
    <w:next w:val="Normal"/>
    <w:autoRedefine/>
    <w:uiPriority w:val="39"/>
    <w:qFormat/>
    <w:rsid w:val="003E78D5"/>
    <w:pPr>
      <w:tabs>
        <w:tab w:val="left" w:pos="709"/>
        <w:tab w:val="left" w:pos="1701"/>
        <w:tab w:val="right" w:leader="dot" w:pos="9356"/>
      </w:tabs>
    </w:pPr>
    <w:rPr>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link w:val="DescripcinCar"/>
    <w:uiPriority w:val="35"/>
    <w:qFormat/>
    <w:rsid w:val="00CC3BC8"/>
    <w:pPr>
      <w:widowControl w:val="0"/>
      <w:adjustRightInd w:val="0"/>
      <w:spacing w:before="120" w:after="120" w:line="360" w:lineRule="atLeast"/>
      <w:jc w:val="center"/>
      <w:textAlignment w:val="baseline"/>
    </w:pPr>
    <w:rPr>
      <w:sz w:val="20"/>
      <w:szCs w:val="20"/>
    </w:rPr>
  </w:style>
  <w:style w:type="character" w:customStyle="1" w:styleId="DescripcinCar">
    <w:name w:val="Descripción Car"/>
    <w:link w:val="Descripcin"/>
    <w:uiPriority w:val="35"/>
    <w:rsid w:val="00CC3BC8"/>
    <w:rPr>
      <w:rFonts w:ascii="Bookman Old Style" w:hAnsi="Bookman Old Style"/>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ArtculoCar">
    <w:name w:val="Artículo Car"/>
    <w:rsid w:val="00D96C98"/>
    <w:rPr>
      <w:rFonts w:ascii="Bookman Old Style" w:hAnsi="Bookman Old Style" w:cs="Arial"/>
      <w:sz w:val="24"/>
      <w:szCs w:val="24"/>
      <w:lang w:val="en-US" w:eastAsia="es-ES"/>
    </w:rPr>
  </w:style>
  <w:style w:type="character" w:styleId="Hipervnculo">
    <w:name w:val="Hyperlink"/>
    <w:uiPriority w:val="99"/>
    <w:rsid w:val="006E56AD"/>
    <w:rPr>
      <w:color w:val="0000FF"/>
      <w:u w:val="single"/>
    </w:rPr>
  </w:style>
  <w:style w:type="character" w:styleId="Hipervnculovisitado">
    <w:name w:val="FollowedHyperlink"/>
    <w:rsid w:val="006E56AD"/>
    <w:rPr>
      <w:color w:val="800080"/>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6E56AD"/>
    <w:pPr>
      <w:spacing w:before="160" w:after="160"/>
    </w:pPr>
    <w:rPr>
      <w:rFonts w:ascii="Arial" w:hAnsi="Arial"/>
      <w:sz w:val="22"/>
      <w:szCs w:val="20"/>
      <w:lang w:val="es-CO"/>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6E56AD"/>
    <w:rPr>
      <w:rFonts w:ascii="Arial" w:eastAsia="Calibri" w:hAnsi="Arial" w:cs="Arial"/>
      <w:i/>
      <w:iCs/>
      <w:color w:val="000000"/>
      <w:szCs w:val="22"/>
      <w:lang w:val="es-CO" w:eastAsia="en-US"/>
    </w:rPr>
  </w:style>
  <w:style w:type="character" w:styleId="Refdecomentario">
    <w:name w:val="annotation reference"/>
    <w:uiPriority w:val="99"/>
    <w:semiHidden/>
    <w:unhideWhenUsed/>
    <w:rsid w:val="006E56AD"/>
    <w:rPr>
      <w:sz w:val="16"/>
      <w:szCs w:val="16"/>
    </w:rPr>
  </w:style>
  <w:style w:type="paragraph" w:styleId="Textocomentario">
    <w:name w:val="annotation text"/>
    <w:basedOn w:val="Normal"/>
    <w:link w:val="TextocomentarioCar"/>
    <w:uiPriority w:val="99"/>
    <w:unhideWhenUsed/>
    <w:rsid w:val="006E56AD"/>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6E56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6E56AD"/>
    <w:rPr>
      <w:b/>
      <w:bCs/>
    </w:rPr>
  </w:style>
  <w:style w:type="character" w:customStyle="1" w:styleId="AsuntodelcomentarioCar">
    <w:name w:val="Asunto del comentario Car"/>
    <w:link w:val="Asuntodelcomentario"/>
    <w:uiPriority w:val="99"/>
    <w:semiHidden/>
    <w:rsid w:val="006E56AD"/>
    <w:rPr>
      <w:rFonts w:ascii="Arial" w:hAnsi="Arial"/>
      <w:b/>
      <w:bCs/>
      <w:lang w:val="es-CO"/>
    </w:rPr>
  </w:style>
  <w:style w:type="character" w:styleId="Textoennegrita">
    <w:name w:val="Strong"/>
    <w:uiPriority w:val="22"/>
    <w:qFormat/>
    <w:rsid w:val="006E56AD"/>
    <w:rPr>
      <w:b/>
      <w:bCs/>
    </w:rPr>
  </w:style>
  <w:style w:type="paragraph" w:styleId="Ttulo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pPr>
    <w:rPr>
      <w:rFonts w:cs="Arial"/>
      <w:bCs/>
      <w:spacing w:val="-4"/>
    </w:rPr>
  </w:style>
  <w:style w:type="character" w:styleId="Textodelmarcadordeposicin">
    <w:name w:val="Placeholder Text"/>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link w:val="Listaletras"/>
    <w:rsid w:val="008207F3"/>
    <w:rPr>
      <w:rFonts w:ascii="Bookman Old Style" w:hAnsi="Bookman Old Style"/>
      <w:b w:val="0"/>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rsid w:val="008207F3"/>
    <w:rPr>
      <w:sz w:val="16"/>
    </w:rPr>
  </w:style>
  <w:style w:type="paragraph" w:customStyle="1" w:styleId="Heading">
    <w:name w:val="Heading"/>
    <w:basedOn w:val="Normal"/>
    <w:next w:val="Textoindependiente"/>
    <w:rsid w:val="008207F3"/>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8207F3"/>
    <w:rPr>
      <w:rFonts w:ascii="Arial" w:hAnsi="Arial" w:cs="Arial"/>
      <w:b w:val="0"/>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9F5D1F"/>
    <w:rPr>
      <w:rFonts w:ascii="Bookman Old Style" w:hAnsi="Bookman Old Style"/>
      <w:sz w:val="24"/>
      <w:szCs w:val="24"/>
      <w:lang w:val="es-ES" w:eastAsia="es-ES"/>
    </w:rPr>
  </w:style>
  <w:style w:type="paragraph" w:customStyle="1" w:styleId="c92">
    <w:name w:val="c92"/>
    <w:basedOn w:val="Normal"/>
    <w:uiPriority w:val="99"/>
    <w:rsid w:val="0080129A"/>
    <w:pPr>
      <w:widowControl w:val="0"/>
      <w:autoSpaceDE w:val="0"/>
      <w:autoSpaceDN w:val="0"/>
      <w:adjustRightInd w:val="0"/>
      <w:spacing w:line="240" w:lineRule="atLeast"/>
      <w:jc w:val="center"/>
    </w:pPr>
    <w:rPr>
      <w:rFonts w:ascii="Times New Roman" w:hAnsi="Times New Roman"/>
      <w:lang w:val="en-US" w:eastAsia="es-CO"/>
    </w:rPr>
  </w:style>
  <w:style w:type="paragraph" w:customStyle="1" w:styleId="p93">
    <w:name w:val="p93"/>
    <w:basedOn w:val="Normal"/>
    <w:uiPriority w:val="99"/>
    <w:rsid w:val="0080129A"/>
    <w:pPr>
      <w:widowControl w:val="0"/>
      <w:tabs>
        <w:tab w:val="left" w:pos="3526"/>
      </w:tabs>
      <w:autoSpaceDE w:val="0"/>
      <w:autoSpaceDN w:val="0"/>
      <w:adjustRightInd w:val="0"/>
      <w:spacing w:line="240" w:lineRule="atLeast"/>
      <w:ind w:left="726"/>
      <w:jc w:val="left"/>
    </w:pPr>
    <w:rPr>
      <w:rFonts w:ascii="Times New Roman" w:hAnsi="Times New Roman"/>
      <w:lang w:val="en-US" w:eastAsia="es-CO"/>
    </w:rPr>
  </w:style>
  <w:style w:type="paragraph" w:customStyle="1" w:styleId="Estilo3">
    <w:name w:val="Estilo3"/>
    <w:basedOn w:val="Ttulo"/>
    <w:qFormat/>
    <w:rsid w:val="006C1836"/>
    <w:pPr>
      <w:jc w:val="left"/>
    </w:pPr>
    <w:rPr>
      <w:b w:val="0"/>
      <w:bCs/>
      <w:sz w:val="22"/>
      <w:szCs w:val="20"/>
      <w:lang w:val="es-ES_tradnl" w:eastAsia="es-CO"/>
    </w:rPr>
  </w:style>
  <w:style w:type="paragraph" w:customStyle="1" w:styleId="Estilo5">
    <w:name w:val="Estilo5"/>
    <w:basedOn w:val="Estilo1"/>
    <w:qFormat/>
    <w:rsid w:val="006C1836"/>
    <w:pPr>
      <w:keepNext/>
      <w:numPr>
        <w:numId w:val="3"/>
      </w:numPr>
      <w:shd w:val="clear" w:color="auto" w:fill="auto"/>
      <w:spacing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Vietaletra">
    <w:name w:val="Viñeta letra"/>
    <w:basedOn w:val="Normal"/>
    <w:next w:val="Normal"/>
    <w:rsid w:val="00632D4A"/>
    <w:pPr>
      <w:numPr>
        <w:numId w:val="4"/>
      </w:numPr>
      <w:suppressAutoHyphens/>
      <w:overflowPunct w:val="0"/>
      <w:autoSpaceDE w:val="0"/>
      <w:textAlignment w:val="baseline"/>
    </w:pPr>
    <w:rPr>
      <w:rFonts w:ascii="Arial" w:hAnsi="Arial"/>
      <w:szCs w:val="20"/>
      <w:lang w:val="es-ES_tradnl" w:eastAsia="ar-SA"/>
    </w:rPr>
  </w:style>
  <w:style w:type="paragraph" w:customStyle="1" w:styleId="ARTICULOS">
    <w:name w:val="ARTICULOS"/>
    <w:basedOn w:val="TDC1"/>
    <w:link w:val="ARTICULOSCar"/>
    <w:qFormat/>
    <w:rsid w:val="008E7A61"/>
    <w:pPr>
      <w:widowControl w:val="0"/>
      <w:numPr>
        <w:numId w:val="5"/>
      </w:numPr>
      <w:adjustRightInd w:val="0"/>
      <w:ind w:left="0" w:firstLine="0"/>
      <w:textAlignment w:val="baseline"/>
    </w:pPr>
    <w:rPr>
      <w:bCs/>
      <w:lang w:val="x-none" w:eastAsia="x-none"/>
    </w:rPr>
  </w:style>
  <w:style w:type="character" w:customStyle="1" w:styleId="ARTICULOSCar">
    <w:name w:val="ARTICULOS Car"/>
    <w:link w:val="ARTICULOS"/>
    <w:rsid w:val="008E7A61"/>
    <w:rPr>
      <w:rFonts w:ascii="Bookman Old Style" w:hAnsi="Bookman Old Style"/>
      <w:bCs/>
      <w:noProof/>
      <w:sz w:val="24"/>
      <w:szCs w:val="24"/>
      <w:lang w:val="x-none" w:eastAsia="x-none"/>
    </w:rPr>
  </w:style>
  <w:style w:type="paragraph" w:customStyle="1" w:styleId="doctor">
    <w:name w:val="doctor"/>
    <w:basedOn w:val="Textoindependiente"/>
    <w:rsid w:val="005000EA"/>
    <w:pPr>
      <w:jc w:val="both"/>
    </w:pPr>
    <w:rPr>
      <w:b w:val="0"/>
      <w:bCs w:val="0"/>
      <w:spacing w:val="-5"/>
      <w:szCs w:val="20"/>
      <w:lang w:val="es-CO" w:eastAsia="en-US"/>
    </w:rPr>
  </w:style>
  <w:style w:type="paragraph" w:customStyle="1" w:styleId="Default">
    <w:name w:val="Default"/>
    <w:rsid w:val="005000EA"/>
    <w:pPr>
      <w:autoSpaceDE w:val="0"/>
      <w:autoSpaceDN w:val="0"/>
      <w:adjustRightInd w:val="0"/>
    </w:pPr>
    <w:rPr>
      <w:rFonts w:ascii="Calibri" w:hAnsi="Calibri" w:cs="Calibri"/>
      <w:color w:val="000000"/>
      <w:sz w:val="24"/>
      <w:szCs w:val="24"/>
    </w:rPr>
  </w:style>
  <w:style w:type="paragraph" w:customStyle="1" w:styleId="pa8">
    <w:name w:val="pa8"/>
    <w:basedOn w:val="Normal"/>
    <w:rsid w:val="00077F81"/>
    <w:pPr>
      <w:spacing w:before="100" w:beforeAutospacing="1" w:after="100" w:afterAutospacing="1"/>
      <w:jc w:val="left"/>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681">
      <w:bodyDiv w:val="1"/>
      <w:marLeft w:val="0"/>
      <w:marRight w:val="0"/>
      <w:marTop w:val="0"/>
      <w:marBottom w:val="0"/>
      <w:divBdr>
        <w:top w:val="none" w:sz="0" w:space="0" w:color="auto"/>
        <w:left w:val="none" w:sz="0" w:space="0" w:color="auto"/>
        <w:bottom w:val="none" w:sz="0" w:space="0" w:color="auto"/>
        <w:right w:val="none" w:sz="0" w:space="0" w:color="auto"/>
      </w:divBdr>
    </w:div>
    <w:div w:id="96142390">
      <w:bodyDiv w:val="1"/>
      <w:marLeft w:val="0"/>
      <w:marRight w:val="0"/>
      <w:marTop w:val="0"/>
      <w:marBottom w:val="0"/>
      <w:divBdr>
        <w:top w:val="none" w:sz="0" w:space="0" w:color="auto"/>
        <w:left w:val="none" w:sz="0" w:space="0" w:color="auto"/>
        <w:bottom w:val="none" w:sz="0" w:space="0" w:color="auto"/>
        <w:right w:val="none" w:sz="0" w:space="0" w:color="auto"/>
      </w:divBdr>
    </w:div>
    <w:div w:id="161316793">
      <w:bodyDiv w:val="1"/>
      <w:marLeft w:val="0"/>
      <w:marRight w:val="0"/>
      <w:marTop w:val="0"/>
      <w:marBottom w:val="0"/>
      <w:divBdr>
        <w:top w:val="none" w:sz="0" w:space="0" w:color="auto"/>
        <w:left w:val="none" w:sz="0" w:space="0" w:color="auto"/>
        <w:bottom w:val="none" w:sz="0" w:space="0" w:color="auto"/>
        <w:right w:val="none" w:sz="0" w:space="0" w:color="auto"/>
      </w:divBdr>
    </w:div>
    <w:div w:id="208348107">
      <w:bodyDiv w:val="1"/>
      <w:marLeft w:val="0"/>
      <w:marRight w:val="0"/>
      <w:marTop w:val="0"/>
      <w:marBottom w:val="0"/>
      <w:divBdr>
        <w:top w:val="none" w:sz="0" w:space="0" w:color="auto"/>
        <w:left w:val="none" w:sz="0" w:space="0" w:color="auto"/>
        <w:bottom w:val="none" w:sz="0" w:space="0" w:color="auto"/>
        <w:right w:val="none" w:sz="0" w:space="0" w:color="auto"/>
      </w:divBdr>
    </w:div>
    <w:div w:id="243610836">
      <w:bodyDiv w:val="1"/>
      <w:marLeft w:val="0"/>
      <w:marRight w:val="0"/>
      <w:marTop w:val="0"/>
      <w:marBottom w:val="0"/>
      <w:divBdr>
        <w:top w:val="none" w:sz="0" w:space="0" w:color="auto"/>
        <w:left w:val="none" w:sz="0" w:space="0" w:color="auto"/>
        <w:bottom w:val="none" w:sz="0" w:space="0" w:color="auto"/>
        <w:right w:val="none" w:sz="0" w:space="0" w:color="auto"/>
      </w:divBdr>
    </w:div>
    <w:div w:id="275721217">
      <w:bodyDiv w:val="1"/>
      <w:marLeft w:val="0"/>
      <w:marRight w:val="0"/>
      <w:marTop w:val="0"/>
      <w:marBottom w:val="0"/>
      <w:divBdr>
        <w:top w:val="none" w:sz="0" w:space="0" w:color="auto"/>
        <w:left w:val="none" w:sz="0" w:space="0" w:color="auto"/>
        <w:bottom w:val="none" w:sz="0" w:space="0" w:color="auto"/>
        <w:right w:val="none" w:sz="0" w:space="0" w:color="auto"/>
      </w:divBdr>
    </w:div>
    <w:div w:id="278998291">
      <w:bodyDiv w:val="1"/>
      <w:marLeft w:val="0"/>
      <w:marRight w:val="0"/>
      <w:marTop w:val="0"/>
      <w:marBottom w:val="0"/>
      <w:divBdr>
        <w:top w:val="none" w:sz="0" w:space="0" w:color="auto"/>
        <w:left w:val="none" w:sz="0" w:space="0" w:color="auto"/>
        <w:bottom w:val="none" w:sz="0" w:space="0" w:color="auto"/>
        <w:right w:val="none" w:sz="0" w:space="0" w:color="auto"/>
      </w:divBdr>
    </w:div>
    <w:div w:id="307631487">
      <w:bodyDiv w:val="1"/>
      <w:marLeft w:val="0"/>
      <w:marRight w:val="0"/>
      <w:marTop w:val="0"/>
      <w:marBottom w:val="0"/>
      <w:divBdr>
        <w:top w:val="none" w:sz="0" w:space="0" w:color="auto"/>
        <w:left w:val="none" w:sz="0" w:space="0" w:color="auto"/>
        <w:bottom w:val="none" w:sz="0" w:space="0" w:color="auto"/>
        <w:right w:val="none" w:sz="0" w:space="0" w:color="auto"/>
      </w:divBdr>
    </w:div>
    <w:div w:id="350645083">
      <w:bodyDiv w:val="1"/>
      <w:marLeft w:val="0"/>
      <w:marRight w:val="0"/>
      <w:marTop w:val="0"/>
      <w:marBottom w:val="0"/>
      <w:divBdr>
        <w:top w:val="none" w:sz="0" w:space="0" w:color="auto"/>
        <w:left w:val="none" w:sz="0" w:space="0" w:color="auto"/>
        <w:bottom w:val="none" w:sz="0" w:space="0" w:color="auto"/>
        <w:right w:val="none" w:sz="0" w:space="0" w:color="auto"/>
      </w:divBdr>
    </w:div>
    <w:div w:id="351611725">
      <w:bodyDiv w:val="1"/>
      <w:marLeft w:val="0"/>
      <w:marRight w:val="0"/>
      <w:marTop w:val="0"/>
      <w:marBottom w:val="0"/>
      <w:divBdr>
        <w:top w:val="none" w:sz="0" w:space="0" w:color="auto"/>
        <w:left w:val="none" w:sz="0" w:space="0" w:color="auto"/>
        <w:bottom w:val="none" w:sz="0" w:space="0" w:color="auto"/>
        <w:right w:val="none" w:sz="0" w:space="0" w:color="auto"/>
      </w:divBdr>
      <w:divsChild>
        <w:div w:id="2049794953">
          <w:marLeft w:val="0"/>
          <w:marRight w:val="0"/>
          <w:marTop w:val="0"/>
          <w:marBottom w:val="240"/>
          <w:divBdr>
            <w:top w:val="none" w:sz="0" w:space="0" w:color="auto"/>
            <w:left w:val="none" w:sz="0" w:space="0" w:color="auto"/>
            <w:bottom w:val="none" w:sz="0" w:space="0" w:color="auto"/>
            <w:right w:val="none" w:sz="0" w:space="0" w:color="auto"/>
          </w:divBdr>
        </w:div>
        <w:div w:id="1188568572">
          <w:marLeft w:val="0"/>
          <w:marRight w:val="0"/>
          <w:marTop w:val="0"/>
          <w:marBottom w:val="240"/>
          <w:divBdr>
            <w:top w:val="none" w:sz="0" w:space="0" w:color="auto"/>
            <w:left w:val="none" w:sz="0" w:space="0" w:color="auto"/>
            <w:bottom w:val="none" w:sz="0" w:space="0" w:color="auto"/>
            <w:right w:val="none" w:sz="0" w:space="0" w:color="auto"/>
          </w:divBdr>
        </w:div>
        <w:div w:id="1109005214">
          <w:marLeft w:val="0"/>
          <w:marRight w:val="0"/>
          <w:marTop w:val="0"/>
          <w:marBottom w:val="240"/>
          <w:divBdr>
            <w:top w:val="none" w:sz="0" w:space="0" w:color="auto"/>
            <w:left w:val="none" w:sz="0" w:space="0" w:color="auto"/>
            <w:bottom w:val="none" w:sz="0" w:space="0" w:color="auto"/>
            <w:right w:val="none" w:sz="0" w:space="0" w:color="auto"/>
          </w:divBdr>
        </w:div>
      </w:divsChild>
    </w:div>
    <w:div w:id="522716389">
      <w:bodyDiv w:val="1"/>
      <w:marLeft w:val="0"/>
      <w:marRight w:val="0"/>
      <w:marTop w:val="0"/>
      <w:marBottom w:val="0"/>
      <w:divBdr>
        <w:top w:val="none" w:sz="0" w:space="0" w:color="auto"/>
        <w:left w:val="none" w:sz="0" w:space="0" w:color="auto"/>
        <w:bottom w:val="none" w:sz="0" w:space="0" w:color="auto"/>
        <w:right w:val="none" w:sz="0" w:space="0" w:color="auto"/>
      </w:divBdr>
      <w:divsChild>
        <w:div w:id="979265634">
          <w:marLeft w:val="0"/>
          <w:marRight w:val="0"/>
          <w:marTop w:val="0"/>
          <w:marBottom w:val="0"/>
          <w:divBdr>
            <w:top w:val="none" w:sz="0" w:space="0" w:color="auto"/>
            <w:left w:val="none" w:sz="0" w:space="0" w:color="auto"/>
            <w:bottom w:val="none" w:sz="0" w:space="0" w:color="auto"/>
            <w:right w:val="none" w:sz="0" w:space="0" w:color="auto"/>
          </w:divBdr>
          <w:divsChild>
            <w:div w:id="11341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6997">
      <w:bodyDiv w:val="1"/>
      <w:marLeft w:val="0"/>
      <w:marRight w:val="0"/>
      <w:marTop w:val="0"/>
      <w:marBottom w:val="0"/>
      <w:divBdr>
        <w:top w:val="none" w:sz="0" w:space="0" w:color="auto"/>
        <w:left w:val="none" w:sz="0" w:space="0" w:color="auto"/>
        <w:bottom w:val="none" w:sz="0" w:space="0" w:color="auto"/>
        <w:right w:val="none" w:sz="0" w:space="0" w:color="auto"/>
      </w:divBdr>
    </w:div>
    <w:div w:id="555361687">
      <w:bodyDiv w:val="1"/>
      <w:marLeft w:val="0"/>
      <w:marRight w:val="0"/>
      <w:marTop w:val="0"/>
      <w:marBottom w:val="0"/>
      <w:divBdr>
        <w:top w:val="none" w:sz="0" w:space="0" w:color="auto"/>
        <w:left w:val="none" w:sz="0" w:space="0" w:color="auto"/>
        <w:bottom w:val="none" w:sz="0" w:space="0" w:color="auto"/>
        <w:right w:val="none" w:sz="0" w:space="0" w:color="auto"/>
      </w:divBdr>
    </w:div>
    <w:div w:id="568465118">
      <w:bodyDiv w:val="1"/>
      <w:marLeft w:val="0"/>
      <w:marRight w:val="0"/>
      <w:marTop w:val="0"/>
      <w:marBottom w:val="0"/>
      <w:divBdr>
        <w:top w:val="none" w:sz="0" w:space="0" w:color="auto"/>
        <w:left w:val="none" w:sz="0" w:space="0" w:color="auto"/>
        <w:bottom w:val="none" w:sz="0" w:space="0" w:color="auto"/>
        <w:right w:val="none" w:sz="0" w:space="0" w:color="auto"/>
      </w:divBdr>
    </w:div>
    <w:div w:id="574703770">
      <w:bodyDiv w:val="1"/>
      <w:marLeft w:val="0"/>
      <w:marRight w:val="0"/>
      <w:marTop w:val="0"/>
      <w:marBottom w:val="0"/>
      <w:divBdr>
        <w:top w:val="none" w:sz="0" w:space="0" w:color="auto"/>
        <w:left w:val="none" w:sz="0" w:space="0" w:color="auto"/>
        <w:bottom w:val="none" w:sz="0" w:space="0" w:color="auto"/>
        <w:right w:val="none" w:sz="0" w:space="0" w:color="auto"/>
      </w:divBdr>
    </w:div>
    <w:div w:id="602954487">
      <w:bodyDiv w:val="1"/>
      <w:marLeft w:val="0"/>
      <w:marRight w:val="0"/>
      <w:marTop w:val="0"/>
      <w:marBottom w:val="0"/>
      <w:divBdr>
        <w:top w:val="none" w:sz="0" w:space="0" w:color="auto"/>
        <w:left w:val="none" w:sz="0" w:space="0" w:color="auto"/>
        <w:bottom w:val="none" w:sz="0" w:space="0" w:color="auto"/>
        <w:right w:val="none" w:sz="0" w:space="0" w:color="auto"/>
      </w:divBdr>
      <w:divsChild>
        <w:div w:id="1441142706">
          <w:marLeft w:val="0"/>
          <w:marRight w:val="0"/>
          <w:marTop w:val="0"/>
          <w:marBottom w:val="0"/>
          <w:divBdr>
            <w:top w:val="none" w:sz="0" w:space="0" w:color="auto"/>
            <w:left w:val="none" w:sz="0" w:space="0" w:color="auto"/>
            <w:bottom w:val="none" w:sz="0" w:space="0" w:color="auto"/>
            <w:right w:val="none" w:sz="0" w:space="0" w:color="auto"/>
          </w:divBdr>
          <w:divsChild>
            <w:div w:id="19693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0572">
      <w:bodyDiv w:val="1"/>
      <w:marLeft w:val="0"/>
      <w:marRight w:val="0"/>
      <w:marTop w:val="0"/>
      <w:marBottom w:val="0"/>
      <w:divBdr>
        <w:top w:val="none" w:sz="0" w:space="0" w:color="auto"/>
        <w:left w:val="none" w:sz="0" w:space="0" w:color="auto"/>
        <w:bottom w:val="none" w:sz="0" w:space="0" w:color="auto"/>
        <w:right w:val="none" w:sz="0" w:space="0" w:color="auto"/>
      </w:divBdr>
    </w:div>
    <w:div w:id="628820978">
      <w:bodyDiv w:val="1"/>
      <w:marLeft w:val="0"/>
      <w:marRight w:val="0"/>
      <w:marTop w:val="0"/>
      <w:marBottom w:val="0"/>
      <w:divBdr>
        <w:top w:val="none" w:sz="0" w:space="0" w:color="auto"/>
        <w:left w:val="none" w:sz="0" w:space="0" w:color="auto"/>
        <w:bottom w:val="none" w:sz="0" w:space="0" w:color="auto"/>
        <w:right w:val="none" w:sz="0" w:space="0" w:color="auto"/>
      </w:divBdr>
    </w:div>
    <w:div w:id="653068047">
      <w:bodyDiv w:val="1"/>
      <w:marLeft w:val="0"/>
      <w:marRight w:val="0"/>
      <w:marTop w:val="0"/>
      <w:marBottom w:val="0"/>
      <w:divBdr>
        <w:top w:val="none" w:sz="0" w:space="0" w:color="auto"/>
        <w:left w:val="none" w:sz="0" w:space="0" w:color="auto"/>
        <w:bottom w:val="none" w:sz="0" w:space="0" w:color="auto"/>
        <w:right w:val="none" w:sz="0" w:space="0" w:color="auto"/>
      </w:divBdr>
    </w:div>
    <w:div w:id="739134086">
      <w:bodyDiv w:val="1"/>
      <w:marLeft w:val="0"/>
      <w:marRight w:val="0"/>
      <w:marTop w:val="0"/>
      <w:marBottom w:val="0"/>
      <w:divBdr>
        <w:top w:val="none" w:sz="0" w:space="0" w:color="auto"/>
        <w:left w:val="none" w:sz="0" w:space="0" w:color="auto"/>
        <w:bottom w:val="none" w:sz="0" w:space="0" w:color="auto"/>
        <w:right w:val="none" w:sz="0" w:space="0" w:color="auto"/>
      </w:divBdr>
    </w:div>
    <w:div w:id="770856182">
      <w:bodyDiv w:val="1"/>
      <w:marLeft w:val="0"/>
      <w:marRight w:val="0"/>
      <w:marTop w:val="0"/>
      <w:marBottom w:val="0"/>
      <w:divBdr>
        <w:top w:val="none" w:sz="0" w:space="0" w:color="auto"/>
        <w:left w:val="none" w:sz="0" w:space="0" w:color="auto"/>
        <w:bottom w:val="none" w:sz="0" w:space="0" w:color="auto"/>
        <w:right w:val="none" w:sz="0" w:space="0" w:color="auto"/>
      </w:divBdr>
    </w:div>
    <w:div w:id="832598390">
      <w:bodyDiv w:val="1"/>
      <w:marLeft w:val="0"/>
      <w:marRight w:val="0"/>
      <w:marTop w:val="0"/>
      <w:marBottom w:val="0"/>
      <w:divBdr>
        <w:top w:val="none" w:sz="0" w:space="0" w:color="auto"/>
        <w:left w:val="none" w:sz="0" w:space="0" w:color="auto"/>
        <w:bottom w:val="none" w:sz="0" w:space="0" w:color="auto"/>
        <w:right w:val="none" w:sz="0" w:space="0" w:color="auto"/>
      </w:divBdr>
    </w:div>
    <w:div w:id="873034135">
      <w:bodyDiv w:val="1"/>
      <w:marLeft w:val="0"/>
      <w:marRight w:val="0"/>
      <w:marTop w:val="0"/>
      <w:marBottom w:val="0"/>
      <w:divBdr>
        <w:top w:val="none" w:sz="0" w:space="0" w:color="auto"/>
        <w:left w:val="none" w:sz="0" w:space="0" w:color="auto"/>
        <w:bottom w:val="none" w:sz="0" w:space="0" w:color="auto"/>
        <w:right w:val="none" w:sz="0" w:space="0" w:color="auto"/>
      </w:divBdr>
    </w:div>
    <w:div w:id="950667598">
      <w:bodyDiv w:val="1"/>
      <w:marLeft w:val="0"/>
      <w:marRight w:val="0"/>
      <w:marTop w:val="0"/>
      <w:marBottom w:val="0"/>
      <w:divBdr>
        <w:top w:val="none" w:sz="0" w:space="0" w:color="auto"/>
        <w:left w:val="none" w:sz="0" w:space="0" w:color="auto"/>
        <w:bottom w:val="none" w:sz="0" w:space="0" w:color="auto"/>
        <w:right w:val="none" w:sz="0" w:space="0" w:color="auto"/>
      </w:divBdr>
      <w:divsChild>
        <w:div w:id="125782679">
          <w:marLeft w:val="706"/>
          <w:marRight w:val="0"/>
          <w:marTop w:val="0"/>
          <w:marBottom w:val="240"/>
          <w:divBdr>
            <w:top w:val="none" w:sz="0" w:space="0" w:color="auto"/>
            <w:left w:val="none" w:sz="0" w:space="0" w:color="auto"/>
            <w:bottom w:val="none" w:sz="0" w:space="0" w:color="auto"/>
            <w:right w:val="none" w:sz="0" w:space="0" w:color="auto"/>
          </w:divBdr>
        </w:div>
        <w:div w:id="1658804721">
          <w:marLeft w:val="706"/>
          <w:marRight w:val="0"/>
          <w:marTop w:val="0"/>
          <w:marBottom w:val="240"/>
          <w:divBdr>
            <w:top w:val="none" w:sz="0" w:space="0" w:color="auto"/>
            <w:left w:val="none" w:sz="0" w:space="0" w:color="auto"/>
            <w:bottom w:val="none" w:sz="0" w:space="0" w:color="auto"/>
            <w:right w:val="none" w:sz="0" w:space="0" w:color="auto"/>
          </w:divBdr>
        </w:div>
        <w:div w:id="394670732">
          <w:marLeft w:val="706"/>
          <w:marRight w:val="0"/>
          <w:marTop w:val="0"/>
          <w:marBottom w:val="240"/>
          <w:divBdr>
            <w:top w:val="none" w:sz="0" w:space="0" w:color="auto"/>
            <w:left w:val="none" w:sz="0" w:space="0" w:color="auto"/>
            <w:bottom w:val="none" w:sz="0" w:space="0" w:color="auto"/>
            <w:right w:val="none" w:sz="0" w:space="0" w:color="auto"/>
          </w:divBdr>
        </w:div>
        <w:div w:id="1148746080">
          <w:marLeft w:val="706"/>
          <w:marRight w:val="0"/>
          <w:marTop w:val="0"/>
          <w:marBottom w:val="240"/>
          <w:divBdr>
            <w:top w:val="none" w:sz="0" w:space="0" w:color="auto"/>
            <w:left w:val="none" w:sz="0" w:space="0" w:color="auto"/>
            <w:bottom w:val="none" w:sz="0" w:space="0" w:color="auto"/>
            <w:right w:val="none" w:sz="0" w:space="0" w:color="auto"/>
          </w:divBdr>
        </w:div>
        <w:div w:id="490634771">
          <w:marLeft w:val="706"/>
          <w:marRight w:val="0"/>
          <w:marTop w:val="0"/>
          <w:marBottom w:val="240"/>
          <w:divBdr>
            <w:top w:val="none" w:sz="0" w:space="0" w:color="auto"/>
            <w:left w:val="none" w:sz="0" w:space="0" w:color="auto"/>
            <w:bottom w:val="none" w:sz="0" w:space="0" w:color="auto"/>
            <w:right w:val="none" w:sz="0" w:space="0" w:color="auto"/>
          </w:divBdr>
        </w:div>
        <w:div w:id="1839609444">
          <w:marLeft w:val="706"/>
          <w:marRight w:val="0"/>
          <w:marTop w:val="0"/>
          <w:marBottom w:val="240"/>
          <w:divBdr>
            <w:top w:val="none" w:sz="0" w:space="0" w:color="auto"/>
            <w:left w:val="none" w:sz="0" w:space="0" w:color="auto"/>
            <w:bottom w:val="none" w:sz="0" w:space="0" w:color="auto"/>
            <w:right w:val="none" w:sz="0" w:space="0" w:color="auto"/>
          </w:divBdr>
        </w:div>
      </w:divsChild>
    </w:div>
    <w:div w:id="974604246">
      <w:bodyDiv w:val="1"/>
      <w:marLeft w:val="0"/>
      <w:marRight w:val="0"/>
      <w:marTop w:val="0"/>
      <w:marBottom w:val="0"/>
      <w:divBdr>
        <w:top w:val="none" w:sz="0" w:space="0" w:color="auto"/>
        <w:left w:val="none" w:sz="0" w:space="0" w:color="auto"/>
        <w:bottom w:val="none" w:sz="0" w:space="0" w:color="auto"/>
        <w:right w:val="none" w:sz="0" w:space="0" w:color="auto"/>
      </w:divBdr>
    </w:div>
    <w:div w:id="1021737835">
      <w:bodyDiv w:val="1"/>
      <w:marLeft w:val="0"/>
      <w:marRight w:val="0"/>
      <w:marTop w:val="0"/>
      <w:marBottom w:val="0"/>
      <w:divBdr>
        <w:top w:val="none" w:sz="0" w:space="0" w:color="auto"/>
        <w:left w:val="none" w:sz="0" w:space="0" w:color="auto"/>
        <w:bottom w:val="none" w:sz="0" w:space="0" w:color="auto"/>
        <w:right w:val="none" w:sz="0" w:space="0" w:color="auto"/>
      </w:divBdr>
    </w:div>
    <w:div w:id="1122263499">
      <w:bodyDiv w:val="1"/>
      <w:marLeft w:val="0"/>
      <w:marRight w:val="0"/>
      <w:marTop w:val="0"/>
      <w:marBottom w:val="0"/>
      <w:divBdr>
        <w:top w:val="none" w:sz="0" w:space="0" w:color="auto"/>
        <w:left w:val="none" w:sz="0" w:space="0" w:color="auto"/>
        <w:bottom w:val="none" w:sz="0" w:space="0" w:color="auto"/>
        <w:right w:val="none" w:sz="0" w:space="0" w:color="auto"/>
      </w:divBdr>
    </w:div>
    <w:div w:id="1126654776">
      <w:bodyDiv w:val="1"/>
      <w:marLeft w:val="0"/>
      <w:marRight w:val="0"/>
      <w:marTop w:val="0"/>
      <w:marBottom w:val="0"/>
      <w:divBdr>
        <w:top w:val="none" w:sz="0" w:space="0" w:color="auto"/>
        <w:left w:val="none" w:sz="0" w:space="0" w:color="auto"/>
        <w:bottom w:val="none" w:sz="0" w:space="0" w:color="auto"/>
        <w:right w:val="none" w:sz="0" w:space="0" w:color="auto"/>
      </w:divBdr>
    </w:div>
    <w:div w:id="1133668306">
      <w:bodyDiv w:val="1"/>
      <w:marLeft w:val="0"/>
      <w:marRight w:val="0"/>
      <w:marTop w:val="0"/>
      <w:marBottom w:val="0"/>
      <w:divBdr>
        <w:top w:val="none" w:sz="0" w:space="0" w:color="auto"/>
        <w:left w:val="none" w:sz="0" w:space="0" w:color="auto"/>
        <w:bottom w:val="none" w:sz="0" w:space="0" w:color="auto"/>
        <w:right w:val="none" w:sz="0" w:space="0" w:color="auto"/>
      </w:divBdr>
    </w:div>
    <w:div w:id="1143308031">
      <w:bodyDiv w:val="1"/>
      <w:marLeft w:val="0"/>
      <w:marRight w:val="0"/>
      <w:marTop w:val="0"/>
      <w:marBottom w:val="0"/>
      <w:divBdr>
        <w:top w:val="none" w:sz="0" w:space="0" w:color="auto"/>
        <w:left w:val="none" w:sz="0" w:space="0" w:color="auto"/>
        <w:bottom w:val="none" w:sz="0" w:space="0" w:color="auto"/>
        <w:right w:val="none" w:sz="0" w:space="0" w:color="auto"/>
      </w:divBdr>
    </w:div>
    <w:div w:id="1168786193">
      <w:bodyDiv w:val="1"/>
      <w:marLeft w:val="0"/>
      <w:marRight w:val="0"/>
      <w:marTop w:val="0"/>
      <w:marBottom w:val="0"/>
      <w:divBdr>
        <w:top w:val="none" w:sz="0" w:space="0" w:color="auto"/>
        <w:left w:val="none" w:sz="0" w:space="0" w:color="auto"/>
        <w:bottom w:val="none" w:sz="0" w:space="0" w:color="auto"/>
        <w:right w:val="none" w:sz="0" w:space="0" w:color="auto"/>
      </w:divBdr>
    </w:div>
    <w:div w:id="1173452776">
      <w:bodyDiv w:val="1"/>
      <w:marLeft w:val="0"/>
      <w:marRight w:val="0"/>
      <w:marTop w:val="0"/>
      <w:marBottom w:val="0"/>
      <w:divBdr>
        <w:top w:val="none" w:sz="0" w:space="0" w:color="auto"/>
        <w:left w:val="none" w:sz="0" w:space="0" w:color="auto"/>
        <w:bottom w:val="none" w:sz="0" w:space="0" w:color="auto"/>
        <w:right w:val="none" w:sz="0" w:space="0" w:color="auto"/>
      </w:divBdr>
    </w:div>
    <w:div w:id="1187207916">
      <w:bodyDiv w:val="1"/>
      <w:marLeft w:val="0"/>
      <w:marRight w:val="0"/>
      <w:marTop w:val="0"/>
      <w:marBottom w:val="0"/>
      <w:divBdr>
        <w:top w:val="none" w:sz="0" w:space="0" w:color="auto"/>
        <w:left w:val="none" w:sz="0" w:space="0" w:color="auto"/>
        <w:bottom w:val="none" w:sz="0" w:space="0" w:color="auto"/>
        <w:right w:val="none" w:sz="0" w:space="0" w:color="auto"/>
      </w:divBdr>
    </w:div>
    <w:div w:id="1198392691">
      <w:bodyDiv w:val="1"/>
      <w:marLeft w:val="0"/>
      <w:marRight w:val="0"/>
      <w:marTop w:val="0"/>
      <w:marBottom w:val="0"/>
      <w:divBdr>
        <w:top w:val="none" w:sz="0" w:space="0" w:color="auto"/>
        <w:left w:val="none" w:sz="0" w:space="0" w:color="auto"/>
        <w:bottom w:val="none" w:sz="0" w:space="0" w:color="auto"/>
        <w:right w:val="none" w:sz="0" w:space="0" w:color="auto"/>
      </w:divBdr>
    </w:div>
    <w:div w:id="1259749486">
      <w:bodyDiv w:val="1"/>
      <w:marLeft w:val="0"/>
      <w:marRight w:val="0"/>
      <w:marTop w:val="0"/>
      <w:marBottom w:val="0"/>
      <w:divBdr>
        <w:top w:val="none" w:sz="0" w:space="0" w:color="auto"/>
        <w:left w:val="none" w:sz="0" w:space="0" w:color="auto"/>
        <w:bottom w:val="none" w:sz="0" w:space="0" w:color="auto"/>
        <w:right w:val="none" w:sz="0" w:space="0" w:color="auto"/>
      </w:divBdr>
    </w:div>
    <w:div w:id="1292059383">
      <w:bodyDiv w:val="1"/>
      <w:marLeft w:val="0"/>
      <w:marRight w:val="0"/>
      <w:marTop w:val="0"/>
      <w:marBottom w:val="0"/>
      <w:divBdr>
        <w:top w:val="none" w:sz="0" w:space="0" w:color="auto"/>
        <w:left w:val="none" w:sz="0" w:space="0" w:color="auto"/>
        <w:bottom w:val="none" w:sz="0" w:space="0" w:color="auto"/>
        <w:right w:val="none" w:sz="0" w:space="0" w:color="auto"/>
      </w:divBdr>
    </w:div>
    <w:div w:id="1329943155">
      <w:bodyDiv w:val="1"/>
      <w:marLeft w:val="0"/>
      <w:marRight w:val="0"/>
      <w:marTop w:val="0"/>
      <w:marBottom w:val="0"/>
      <w:divBdr>
        <w:top w:val="none" w:sz="0" w:space="0" w:color="auto"/>
        <w:left w:val="none" w:sz="0" w:space="0" w:color="auto"/>
        <w:bottom w:val="none" w:sz="0" w:space="0" w:color="auto"/>
        <w:right w:val="none" w:sz="0" w:space="0" w:color="auto"/>
      </w:divBdr>
    </w:div>
    <w:div w:id="1360817578">
      <w:bodyDiv w:val="1"/>
      <w:marLeft w:val="0"/>
      <w:marRight w:val="0"/>
      <w:marTop w:val="0"/>
      <w:marBottom w:val="0"/>
      <w:divBdr>
        <w:top w:val="none" w:sz="0" w:space="0" w:color="auto"/>
        <w:left w:val="none" w:sz="0" w:space="0" w:color="auto"/>
        <w:bottom w:val="none" w:sz="0" w:space="0" w:color="auto"/>
        <w:right w:val="none" w:sz="0" w:space="0" w:color="auto"/>
      </w:divBdr>
    </w:div>
    <w:div w:id="1363020092">
      <w:bodyDiv w:val="1"/>
      <w:marLeft w:val="0"/>
      <w:marRight w:val="0"/>
      <w:marTop w:val="0"/>
      <w:marBottom w:val="0"/>
      <w:divBdr>
        <w:top w:val="none" w:sz="0" w:space="0" w:color="auto"/>
        <w:left w:val="none" w:sz="0" w:space="0" w:color="auto"/>
        <w:bottom w:val="none" w:sz="0" w:space="0" w:color="auto"/>
        <w:right w:val="none" w:sz="0" w:space="0" w:color="auto"/>
      </w:divBdr>
    </w:div>
    <w:div w:id="1467040022">
      <w:bodyDiv w:val="1"/>
      <w:marLeft w:val="0"/>
      <w:marRight w:val="0"/>
      <w:marTop w:val="0"/>
      <w:marBottom w:val="0"/>
      <w:divBdr>
        <w:top w:val="none" w:sz="0" w:space="0" w:color="auto"/>
        <w:left w:val="none" w:sz="0" w:space="0" w:color="auto"/>
        <w:bottom w:val="none" w:sz="0" w:space="0" w:color="auto"/>
        <w:right w:val="none" w:sz="0" w:space="0" w:color="auto"/>
      </w:divBdr>
    </w:div>
    <w:div w:id="1479423350">
      <w:bodyDiv w:val="1"/>
      <w:marLeft w:val="0"/>
      <w:marRight w:val="0"/>
      <w:marTop w:val="0"/>
      <w:marBottom w:val="0"/>
      <w:divBdr>
        <w:top w:val="none" w:sz="0" w:space="0" w:color="auto"/>
        <w:left w:val="none" w:sz="0" w:space="0" w:color="auto"/>
        <w:bottom w:val="none" w:sz="0" w:space="0" w:color="auto"/>
        <w:right w:val="none" w:sz="0" w:space="0" w:color="auto"/>
      </w:divBdr>
    </w:div>
    <w:div w:id="1514106952">
      <w:bodyDiv w:val="1"/>
      <w:marLeft w:val="0"/>
      <w:marRight w:val="0"/>
      <w:marTop w:val="0"/>
      <w:marBottom w:val="0"/>
      <w:divBdr>
        <w:top w:val="none" w:sz="0" w:space="0" w:color="auto"/>
        <w:left w:val="none" w:sz="0" w:space="0" w:color="auto"/>
        <w:bottom w:val="none" w:sz="0" w:space="0" w:color="auto"/>
        <w:right w:val="none" w:sz="0" w:space="0" w:color="auto"/>
      </w:divBdr>
    </w:div>
    <w:div w:id="1521309138">
      <w:bodyDiv w:val="1"/>
      <w:marLeft w:val="0"/>
      <w:marRight w:val="0"/>
      <w:marTop w:val="0"/>
      <w:marBottom w:val="0"/>
      <w:divBdr>
        <w:top w:val="none" w:sz="0" w:space="0" w:color="auto"/>
        <w:left w:val="none" w:sz="0" w:space="0" w:color="auto"/>
        <w:bottom w:val="none" w:sz="0" w:space="0" w:color="auto"/>
        <w:right w:val="none" w:sz="0" w:space="0" w:color="auto"/>
      </w:divBdr>
    </w:div>
    <w:div w:id="1591308016">
      <w:bodyDiv w:val="1"/>
      <w:marLeft w:val="0"/>
      <w:marRight w:val="0"/>
      <w:marTop w:val="0"/>
      <w:marBottom w:val="0"/>
      <w:divBdr>
        <w:top w:val="none" w:sz="0" w:space="0" w:color="auto"/>
        <w:left w:val="none" w:sz="0" w:space="0" w:color="auto"/>
        <w:bottom w:val="none" w:sz="0" w:space="0" w:color="auto"/>
        <w:right w:val="none" w:sz="0" w:space="0" w:color="auto"/>
      </w:divBdr>
    </w:div>
    <w:div w:id="1596553034">
      <w:bodyDiv w:val="1"/>
      <w:marLeft w:val="0"/>
      <w:marRight w:val="0"/>
      <w:marTop w:val="0"/>
      <w:marBottom w:val="0"/>
      <w:divBdr>
        <w:top w:val="none" w:sz="0" w:space="0" w:color="auto"/>
        <w:left w:val="none" w:sz="0" w:space="0" w:color="auto"/>
        <w:bottom w:val="none" w:sz="0" w:space="0" w:color="auto"/>
        <w:right w:val="none" w:sz="0" w:space="0" w:color="auto"/>
      </w:divBdr>
    </w:div>
    <w:div w:id="1625648364">
      <w:bodyDiv w:val="1"/>
      <w:marLeft w:val="0"/>
      <w:marRight w:val="0"/>
      <w:marTop w:val="0"/>
      <w:marBottom w:val="0"/>
      <w:divBdr>
        <w:top w:val="none" w:sz="0" w:space="0" w:color="auto"/>
        <w:left w:val="none" w:sz="0" w:space="0" w:color="auto"/>
        <w:bottom w:val="none" w:sz="0" w:space="0" w:color="auto"/>
        <w:right w:val="none" w:sz="0" w:space="0" w:color="auto"/>
      </w:divBdr>
    </w:div>
    <w:div w:id="1667510549">
      <w:bodyDiv w:val="1"/>
      <w:marLeft w:val="0"/>
      <w:marRight w:val="0"/>
      <w:marTop w:val="0"/>
      <w:marBottom w:val="0"/>
      <w:divBdr>
        <w:top w:val="none" w:sz="0" w:space="0" w:color="auto"/>
        <w:left w:val="none" w:sz="0" w:space="0" w:color="auto"/>
        <w:bottom w:val="none" w:sz="0" w:space="0" w:color="auto"/>
        <w:right w:val="none" w:sz="0" w:space="0" w:color="auto"/>
      </w:divBdr>
    </w:div>
    <w:div w:id="1699895468">
      <w:bodyDiv w:val="1"/>
      <w:marLeft w:val="0"/>
      <w:marRight w:val="0"/>
      <w:marTop w:val="0"/>
      <w:marBottom w:val="0"/>
      <w:divBdr>
        <w:top w:val="none" w:sz="0" w:space="0" w:color="auto"/>
        <w:left w:val="none" w:sz="0" w:space="0" w:color="auto"/>
        <w:bottom w:val="none" w:sz="0" w:space="0" w:color="auto"/>
        <w:right w:val="none" w:sz="0" w:space="0" w:color="auto"/>
      </w:divBdr>
    </w:div>
    <w:div w:id="1715957887">
      <w:bodyDiv w:val="1"/>
      <w:marLeft w:val="0"/>
      <w:marRight w:val="0"/>
      <w:marTop w:val="0"/>
      <w:marBottom w:val="0"/>
      <w:divBdr>
        <w:top w:val="none" w:sz="0" w:space="0" w:color="auto"/>
        <w:left w:val="none" w:sz="0" w:space="0" w:color="auto"/>
        <w:bottom w:val="none" w:sz="0" w:space="0" w:color="auto"/>
        <w:right w:val="none" w:sz="0" w:space="0" w:color="auto"/>
      </w:divBdr>
    </w:div>
    <w:div w:id="1743481006">
      <w:bodyDiv w:val="1"/>
      <w:marLeft w:val="0"/>
      <w:marRight w:val="0"/>
      <w:marTop w:val="0"/>
      <w:marBottom w:val="0"/>
      <w:divBdr>
        <w:top w:val="none" w:sz="0" w:space="0" w:color="auto"/>
        <w:left w:val="none" w:sz="0" w:space="0" w:color="auto"/>
        <w:bottom w:val="none" w:sz="0" w:space="0" w:color="auto"/>
        <w:right w:val="none" w:sz="0" w:space="0" w:color="auto"/>
      </w:divBdr>
    </w:div>
    <w:div w:id="1790784269">
      <w:bodyDiv w:val="1"/>
      <w:marLeft w:val="0"/>
      <w:marRight w:val="0"/>
      <w:marTop w:val="0"/>
      <w:marBottom w:val="0"/>
      <w:divBdr>
        <w:top w:val="none" w:sz="0" w:space="0" w:color="auto"/>
        <w:left w:val="none" w:sz="0" w:space="0" w:color="auto"/>
        <w:bottom w:val="none" w:sz="0" w:space="0" w:color="auto"/>
        <w:right w:val="none" w:sz="0" w:space="0" w:color="auto"/>
      </w:divBdr>
    </w:div>
    <w:div w:id="1821115843">
      <w:bodyDiv w:val="1"/>
      <w:marLeft w:val="0"/>
      <w:marRight w:val="0"/>
      <w:marTop w:val="0"/>
      <w:marBottom w:val="0"/>
      <w:divBdr>
        <w:top w:val="none" w:sz="0" w:space="0" w:color="auto"/>
        <w:left w:val="none" w:sz="0" w:space="0" w:color="auto"/>
        <w:bottom w:val="none" w:sz="0" w:space="0" w:color="auto"/>
        <w:right w:val="none" w:sz="0" w:space="0" w:color="auto"/>
      </w:divBdr>
    </w:div>
    <w:div w:id="1846167698">
      <w:bodyDiv w:val="1"/>
      <w:marLeft w:val="0"/>
      <w:marRight w:val="0"/>
      <w:marTop w:val="0"/>
      <w:marBottom w:val="0"/>
      <w:divBdr>
        <w:top w:val="none" w:sz="0" w:space="0" w:color="auto"/>
        <w:left w:val="none" w:sz="0" w:space="0" w:color="auto"/>
        <w:bottom w:val="none" w:sz="0" w:space="0" w:color="auto"/>
        <w:right w:val="none" w:sz="0" w:space="0" w:color="auto"/>
      </w:divBdr>
    </w:div>
    <w:div w:id="1864630839">
      <w:bodyDiv w:val="1"/>
      <w:marLeft w:val="0"/>
      <w:marRight w:val="0"/>
      <w:marTop w:val="0"/>
      <w:marBottom w:val="0"/>
      <w:divBdr>
        <w:top w:val="none" w:sz="0" w:space="0" w:color="auto"/>
        <w:left w:val="none" w:sz="0" w:space="0" w:color="auto"/>
        <w:bottom w:val="none" w:sz="0" w:space="0" w:color="auto"/>
        <w:right w:val="none" w:sz="0" w:space="0" w:color="auto"/>
      </w:divBdr>
    </w:div>
    <w:div w:id="1930038973">
      <w:bodyDiv w:val="1"/>
      <w:marLeft w:val="0"/>
      <w:marRight w:val="0"/>
      <w:marTop w:val="0"/>
      <w:marBottom w:val="0"/>
      <w:divBdr>
        <w:top w:val="none" w:sz="0" w:space="0" w:color="auto"/>
        <w:left w:val="none" w:sz="0" w:space="0" w:color="auto"/>
        <w:bottom w:val="none" w:sz="0" w:space="0" w:color="auto"/>
        <w:right w:val="none" w:sz="0" w:space="0" w:color="auto"/>
      </w:divBdr>
    </w:div>
    <w:div w:id="1931936130">
      <w:bodyDiv w:val="1"/>
      <w:marLeft w:val="0"/>
      <w:marRight w:val="0"/>
      <w:marTop w:val="0"/>
      <w:marBottom w:val="0"/>
      <w:divBdr>
        <w:top w:val="none" w:sz="0" w:space="0" w:color="auto"/>
        <w:left w:val="none" w:sz="0" w:space="0" w:color="auto"/>
        <w:bottom w:val="none" w:sz="0" w:space="0" w:color="auto"/>
        <w:right w:val="none" w:sz="0" w:space="0" w:color="auto"/>
      </w:divBdr>
    </w:div>
    <w:div w:id="1932885887">
      <w:bodyDiv w:val="1"/>
      <w:marLeft w:val="0"/>
      <w:marRight w:val="0"/>
      <w:marTop w:val="0"/>
      <w:marBottom w:val="0"/>
      <w:divBdr>
        <w:top w:val="none" w:sz="0" w:space="0" w:color="auto"/>
        <w:left w:val="none" w:sz="0" w:space="0" w:color="auto"/>
        <w:bottom w:val="none" w:sz="0" w:space="0" w:color="auto"/>
        <w:right w:val="none" w:sz="0" w:space="0" w:color="auto"/>
      </w:divBdr>
    </w:div>
    <w:div w:id="1933202133">
      <w:bodyDiv w:val="1"/>
      <w:marLeft w:val="0"/>
      <w:marRight w:val="0"/>
      <w:marTop w:val="0"/>
      <w:marBottom w:val="0"/>
      <w:divBdr>
        <w:top w:val="none" w:sz="0" w:space="0" w:color="auto"/>
        <w:left w:val="none" w:sz="0" w:space="0" w:color="auto"/>
        <w:bottom w:val="none" w:sz="0" w:space="0" w:color="auto"/>
        <w:right w:val="none" w:sz="0" w:space="0" w:color="auto"/>
      </w:divBdr>
    </w:div>
    <w:div w:id="1946379631">
      <w:bodyDiv w:val="1"/>
      <w:marLeft w:val="0"/>
      <w:marRight w:val="0"/>
      <w:marTop w:val="0"/>
      <w:marBottom w:val="0"/>
      <w:divBdr>
        <w:top w:val="none" w:sz="0" w:space="0" w:color="auto"/>
        <w:left w:val="none" w:sz="0" w:space="0" w:color="auto"/>
        <w:bottom w:val="none" w:sz="0" w:space="0" w:color="auto"/>
        <w:right w:val="none" w:sz="0" w:space="0" w:color="auto"/>
      </w:divBdr>
    </w:div>
    <w:div w:id="1992444746">
      <w:bodyDiv w:val="1"/>
      <w:marLeft w:val="0"/>
      <w:marRight w:val="0"/>
      <w:marTop w:val="0"/>
      <w:marBottom w:val="0"/>
      <w:divBdr>
        <w:top w:val="none" w:sz="0" w:space="0" w:color="auto"/>
        <w:left w:val="none" w:sz="0" w:space="0" w:color="auto"/>
        <w:bottom w:val="none" w:sz="0" w:space="0" w:color="auto"/>
        <w:right w:val="none" w:sz="0" w:space="0" w:color="auto"/>
      </w:divBdr>
    </w:div>
    <w:div w:id="201222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B13B-0B9D-481D-A360-26D782E0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23</Pages>
  <Words>11174</Words>
  <Characters>58634</Characters>
  <Application>Microsoft Office Word</Application>
  <DocSecurity>0</DocSecurity>
  <Lines>488</Lines>
  <Paragraphs>139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2021-10-11T20:44:00Z</cp:lastPrinted>
  <dcterms:created xsi:type="dcterms:W3CDTF">2021-11-04T21:33:00Z</dcterms:created>
  <dcterms:modified xsi:type="dcterms:W3CDTF">2021-11-04T21:33:00Z</dcterms:modified>
</cp:coreProperties>
</file>