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21AE0" w14:textId="1D3A15B0" w:rsidR="008B64FE" w:rsidRDefault="008834A0" w:rsidP="008B64FE">
      <w:pPr>
        <w:pStyle w:val="Encabezado"/>
        <w:tabs>
          <w:tab w:val="clear" w:pos="8504"/>
          <w:tab w:val="left" w:pos="0"/>
          <w:tab w:val="right" w:pos="9356"/>
        </w:tabs>
        <w:spacing w:before="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3.05pt;width:52.5pt;height:48.75pt;z-index:251658240" fillcolor="#0c9">
            <v:imagedata r:id="rId11" o:title=""/>
          </v:shape>
          <o:OLEObject Type="Embed" ProgID="PBrush" ShapeID="_x0000_s1026" DrawAspect="Content" ObjectID="_1653988576" r:id="rId12"/>
        </w:object>
      </w:r>
    </w:p>
    <w:p w14:paraId="4BFCBBDF" w14:textId="37679E8B" w:rsidR="00CA77FB" w:rsidRPr="00BF69C9" w:rsidRDefault="00CA77FB" w:rsidP="008B64FE">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39C03CFE"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25BE0DE3" w:rsidR="00CA77FB" w:rsidRDefault="00CA77FB" w:rsidP="006C6950">
      <w:pPr>
        <w:pStyle w:val="Ttulo5"/>
        <w:tabs>
          <w:tab w:val="left" w:pos="0"/>
          <w:tab w:val="right" w:pos="9356"/>
        </w:tabs>
        <w:spacing w:before="240" w:after="0"/>
        <w:rPr>
          <w:rFonts w:ascii="Bookman Old Style" w:hAnsi="Bookman Old Style"/>
          <w:sz w:val="24"/>
          <w:szCs w:val="24"/>
        </w:rPr>
      </w:pPr>
      <w:r w:rsidRPr="00BF69C9">
        <w:rPr>
          <w:rFonts w:ascii="Bookman Old Style" w:hAnsi="Bookman Old Style"/>
          <w:sz w:val="24"/>
          <w:szCs w:val="24"/>
        </w:rPr>
        <w:t xml:space="preserve">RESOLUCIÓN No. </w:t>
      </w:r>
      <w:r w:rsidR="006C6950" w:rsidRPr="006C6950">
        <w:rPr>
          <w:rFonts w:ascii="Bookman Old Style" w:hAnsi="Bookman Old Style"/>
          <w:sz w:val="32"/>
          <w:szCs w:val="32"/>
        </w:rPr>
        <w:t>119</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57229">
        <w:rPr>
          <w:rFonts w:ascii="Bookman Old Style" w:hAnsi="Bookman Old Style"/>
          <w:sz w:val="24"/>
          <w:szCs w:val="24"/>
        </w:rPr>
        <w:t>20</w:t>
      </w:r>
    </w:p>
    <w:p w14:paraId="4E7274EE" w14:textId="77777777" w:rsidR="008B64FE" w:rsidRDefault="008B64FE" w:rsidP="008B64FE">
      <w:pPr>
        <w:pStyle w:val="Ttulo3"/>
        <w:tabs>
          <w:tab w:val="left" w:pos="0"/>
          <w:tab w:val="right" w:pos="9356"/>
        </w:tabs>
        <w:spacing w:before="0" w:after="0"/>
        <w:rPr>
          <w:rFonts w:ascii="Bookman Old Style" w:hAnsi="Bookman Old Style"/>
          <w:b w:val="0"/>
          <w:szCs w:val="24"/>
        </w:rPr>
      </w:pPr>
      <w:r>
        <w:rPr>
          <w:rFonts w:ascii="Bookman Old Style" w:hAnsi="Bookman Old Style"/>
          <w:b w:val="0"/>
          <w:szCs w:val="24"/>
        </w:rPr>
        <w:t xml:space="preserve"> </w:t>
      </w:r>
    </w:p>
    <w:p w14:paraId="1339ABB4" w14:textId="448F746E" w:rsidR="00CA77FB" w:rsidRDefault="00CA77FB" w:rsidP="008B64FE">
      <w:pPr>
        <w:pStyle w:val="Ttulo3"/>
        <w:tabs>
          <w:tab w:val="left" w:pos="0"/>
          <w:tab w:val="right" w:pos="9356"/>
        </w:tabs>
        <w:spacing w:before="0" w:after="0"/>
        <w:rPr>
          <w:rFonts w:ascii="Bookman Old Style" w:hAnsi="Bookman Old Style"/>
          <w:b w:val="0"/>
          <w:szCs w:val="24"/>
        </w:rPr>
      </w:pPr>
      <w:proofErr w:type="gramStart"/>
      <w:r w:rsidRPr="00BF69C9">
        <w:rPr>
          <w:rFonts w:ascii="Bookman Old Style" w:hAnsi="Bookman Old Style"/>
          <w:b w:val="0"/>
          <w:szCs w:val="24"/>
        </w:rPr>
        <w:t xml:space="preserve">(  </w:t>
      </w:r>
      <w:r w:rsidR="008B64FE" w:rsidRPr="008B64FE">
        <w:rPr>
          <w:rFonts w:ascii="Bookman Old Style" w:hAnsi="Bookman Old Style"/>
          <w:bCs/>
          <w:sz w:val="32"/>
          <w:szCs w:val="32"/>
        </w:rPr>
        <w:t>12</w:t>
      </w:r>
      <w:proofErr w:type="gramEnd"/>
      <w:r w:rsidR="008B64FE" w:rsidRPr="008B64FE">
        <w:rPr>
          <w:rFonts w:ascii="Bookman Old Style" w:hAnsi="Bookman Old Style"/>
          <w:bCs/>
          <w:sz w:val="32"/>
          <w:szCs w:val="32"/>
        </w:rPr>
        <w:t xml:space="preserve"> JUN. 2020</w:t>
      </w:r>
      <w:r w:rsidR="008B64FE">
        <w:rPr>
          <w:rFonts w:ascii="Bookman Old Style" w:hAnsi="Bookman Old Style"/>
          <w:b w:val="0"/>
          <w:szCs w:val="24"/>
        </w:rPr>
        <w:t xml:space="preserve"> </w:t>
      </w:r>
      <w:r w:rsidRPr="00BF69C9">
        <w:rPr>
          <w:rFonts w:ascii="Bookman Old Style" w:hAnsi="Bookman Old Style"/>
          <w:b w:val="0"/>
          <w:szCs w:val="24"/>
        </w:rPr>
        <w:t xml:space="preserve"> )</w:t>
      </w:r>
    </w:p>
    <w:p w14:paraId="1BC66930" w14:textId="77777777" w:rsidR="008B64FE" w:rsidRPr="008B64FE" w:rsidRDefault="008B64FE" w:rsidP="008B64FE">
      <w:pPr>
        <w:rPr>
          <w:lang w:val="es-ES_tradnl"/>
        </w:rPr>
      </w:pPr>
    </w:p>
    <w:p w14:paraId="267CC799" w14:textId="4650E937" w:rsidR="00D76752" w:rsidRPr="00BF69C9" w:rsidRDefault="0036353C" w:rsidP="001A7613">
      <w:pPr>
        <w:spacing w:before="0" w:after="360"/>
        <w:jc w:val="center"/>
      </w:pPr>
      <w:bookmarkStart w:id="1" w:name="_Hlk40892539"/>
      <w:r w:rsidRPr="0036353C">
        <w:t>Por la cual se resuelve</w:t>
      </w:r>
      <w:r w:rsidR="001B7111">
        <w:t>n los</w:t>
      </w:r>
      <w:r w:rsidRPr="0036353C">
        <w:t xml:space="preserve"> recurso</w:t>
      </w:r>
      <w:r w:rsidR="001B7111">
        <w:t>s</w:t>
      </w:r>
      <w:r w:rsidRPr="0036353C">
        <w:t xml:space="preserve"> de reposición interpuesto</w:t>
      </w:r>
      <w:r w:rsidR="001B7111">
        <w:t>s</w:t>
      </w:r>
      <w:r w:rsidRPr="0036353C">
        <w:t xml:space="preserve"> contra la Resolución CREG 1</w:t>
      </w:r>
      <w:r>
        <w:t>77</w:t>
      </w:r>
      <w:r w:rsidRPr="0036353C">
        <w:t xml:space="preserve"> de 2019</w:t>
      </w:r>
      <w:bookmarkEnd w:id="1"/>
      <w:r w:rsidR="00741ECE" w:rsidRPr="00741ECE">
        <w:t xml:space="preserve"> </w:t>
      </w:r>
      <w:r w:rsidR="008F1BAB">
        <w:t xml:space="preserve">que aprobó las variables requeridas para calcular los ingresos de la actividad de distribución de energía eléctrica de </w:t>
      </w:r>
      <w:r w:rsidR="00741ECE" w:rsidRPr="0036353C">
        <w:t>la Empresa de Energía de</w:t>
      </w:r>
      <w:r w:rsidR="00741ECE">
        <w:t xml:space="preserve"> Boyacá</w:t>
      </w:r>
      <w:r w:rsidR="00741ECE" w:rsidRPr="0036353C">
        <w:t xml:space="preserve"> S.A. E.S.P.</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016BC984" w14:textId="49570D57" w:rsidR="00C40B13" w:rsidRDefault="00C40B13" w:rsidP="00C40B13">
      <w:r>
        <w:t>Mediante la Resolución CREG 1</w:t>
      </w:r>
      <w:r w:rsidR="0036353C">
        <w:t>77</w:t>
      </w:r>
      <w:r>
        <w:t xml:space="preserve"> de 2019 se aprobaron las variables necesarias para calcular los ingresos y cargos asociados con la actividad de distribución de energía eléctrica para el mercado de comercialización atendido por </w:t>
      </w:r>
      <w:r w:rsidR="0036353C">
        <w:t>la Empresa de Energía de Boyacá</w:t>
      </w:r>
      <w:r>
        <w:t xml:space="preserve"> S.A. E.S.P. </w:t>
      </w:r>
    </w:p>
    <w:p w14:paraId="1F1E8DD8" w14:textId="4C41BC3E" w:rsidR="00C40B13" w:rsidRDefault="00C40B13" w:rsidP="00C40B13">
      <w:r>
        <w:t>En el documento 1</w:t>
      </w:r>
      <w:r w:rsidR="0036353C">
        <w:t>14</w:t>
      </w:r>
      <w:r>
        <w:t xml:space="preserve"> de 2019 se encuentra el soporte de dicha resolución, donde se incluyen los criterios de revisión de la información, las bases de datos y los cálculos empleados por la Comisión para definir las variables aprobadas en la Resolución CREG 1</w:t>
      </w:r>
      <w:r w:rsidR="0036353C">
        <w:t>77</w:t>
      </w:r>
      <w:r>
        <w:t xml:space="preserve"> de 2019.</w:t>
      </w:r>
    </w:p>
    <w:p w14:paraId="2605CC3D" w14:textId="72626238" w:rsidR="00C40B13" w:rsidRDefault="00340FAB" w:rsidP="00C40B13">
      <w:r>
        <w:t>La Empresa de Energía de Boyacá S.A. E.S.P., EBSA, mediante comunicación con radicado CREG E</w:t>
      </w:r>
      <w:r>
        <w:noBreakHyphen/>
        <w:t>2019</w:t>
      </w:r>
      <w:r>
        <w:noBreakHyphen/>
        <w:t>013774,</w:t>
      </w:r>
      <w:r w:rsidR="007B0112">
        <w:t xml:space="preserve"> aclarada con </w:t>
      </w:r>
      <w:r w:rsidR="00E0206C">
        <w:t xml:space="preserve">la </w:t>
      </w:r>
      <w:r w:rsidR="007B0112">
        <w:t>c</w:t>
      </w:r>
      <w:r w:rsidR="00226598">
        <w:t xml:space="preserve">omunicación </w:t>
      </w:r>
      <w:r w:rsidR="00E0206C">
        <w:t xml:space="preserve">con radicado CREG </w:t>
      </w:r>
      <w:r w:rsidR="00226598">
        <w:t>E</w:t>
      </w:r>
      <w:r w:rsidR="00E0206C">
        <w:noBreakHyphen/>
      </w:r>
      <w:r w:rsidR="00226598">
        <w:t>2020-000315,</w:t>
      </w:r>
      <w:r>
        <w:t xml:space="preserve"> presentó recurso de reposición contra la Resolución CREG 177 de 2019</w:t>
      </w:r>
      <w:r w:rsidR="00020389">
        <w:t>, en el que</w:t>
      </w:r>
      <w:r w:rsidR="002126A9">
        <w:t xml:space="preserve"> describe</w:t>
      </w:r>
      <w:r w:rsidR="00C40B13">
        <w:t xml:space="preserve"> los antecedentes, </w:t>
      </w:r>
      <w:r w:rsidR="00F508BA">
        <w:t xml:space="preserve">los fundamentos del recurso, </w:t>
      </w:r>
      <w:r w:rsidR="00C40B13">
        <w:t>las razones de inconformidad y la pretensi</w:t>
      </w:r>
      <w:r w:rsidR="003B7971">
        <w:t>ón</w:t>
      </w:r>
      <w:r w:rsidR="00C40B13">
        <w:t xml:space="preserve"> </w:t>
      </w:r>
      <w:r w:rsidR="00727455">
        <w:t>principal</w:t>
      </w:r>
      <w:r w:rsidR="00C40B13">
        <w:t>. Esta última se trascribe a continuación:</w:t>
      </w:r>
    </w:p>
    <w:p w14:paraId="02F6523E" w14:textId="3CB7ABC6" w:rsidR="003B7971" w:rsidRPr="003B7971" w:rsidRDefault="003B7971" w:rsidP="003B7971">
      <w:pPr>
        <w:ind w:left="567"/>
        <w:rPr>
          <w:i/>
          <w:iCs/>
          <w:spacing w:val="-3"/>
          <w:sz w:val="22"/>
          <w:szCs w:val="22"/>
        </w:rPr>
      </w:pPr>
      <w:r w:rsidRPr="003B7971">
        <w:rPr>
          <w:i/>
          <w:iCs/>
          <w:spacing w:val="-3"/>
          <w:sz w:val="22"/>
          <w:szCs w:val="22"/>
        </w:rPr>
        <w:t>En virtud a los argumentos expuestos en este escrito solicitamos modificar parcialmente la Resoluci</w:t>
      </w:r>
      <w:r>
        <w:rPr>
          <w:i/>
          <w:iCs/>
          <w:spacing w:val="-3"/>
          <w:sz w:val="22"/>
          <w:szCs w:val="22"/>
        </w:rPr>
        <w:t>ó</w:t>
      </w:r>
      <w:r w:rsidRPr="003B7971">
        <w:rPr>
          <w:i/>
          <w:iCs/>
          <w:spacing w:val="-3"/>
          <w:sz w:val="22"/>
          <w:szCs w:val="22"/>
        </w:rPr>
        <w:t>n No. 177 del 5 de diciembre de 2019, `por la cual se aprueban las variables necesarias para calcular los ingresos y cargos asociados con la actividad de distribu</w:t>
      </w:r>
      <w:r>
        <w:rPr>
          <w:i/>
          <w:iCs/>
          <w:spacing w:val="-3"/>
          <w:sz w:val="22"/>
          <w:szCs w:val="22"/>
        </w:rPr>
        <w:t>c</w:t>
      </w:r>
      <w:r w:rsidRPr="003B7971">
        <w:rPr>
          <w:i/>
          <w:iCs/>
          <w:spacing w:val="-3"/>
          <w:sz w:val="22"/>
          <w:szCs w:val="22"/>
        </w:rPr>
        <w:t>i</w:t>
      </w:r>
      <w:r>
        <w:rPr>
          <w:i/>
          <w:iCs/>
          <w:spacing w:val="-3"/>
          <w:sz w:val="22"/>
          <w:szCs w:val="22"/>
        </w:rPr>
        <w:t>ó</w:t>
      </w:r>
      <w:r w:rsidRPr="003B7971">
        <w:rPr>
          <w:i/>
          <w:iCs/>
          <w:spacing w:val="-3"/>
          <w:sz w:val="22"/>
          <w:szCs w:val="22"/>
        </w:rPr>
        <w:t>n de energ</w:t>
      </w:r>
      <w:r>
        <w:rPr>
          <w:i/>
          <w:iCs/>
          <w:spacing w:val="-3"/>
          <w:sz w:val="22"/>
          <w:szCs w:val="22"/>
        </w:rPr>
        <w:t>í</w:t>
      </w:r>
      <w:r w:rsidRPr="003B7971">
        <w:rPr>
          <w:i/>
          <w:iCs/>
          <w:spacing w:val="-3"/>
          <w:sz w:val="22"/>
          <w:szCs w:val="22"/>
        </w:rPr>
        <w:t>a el</w:t>
      </w:r>
      <w:r>
        <w:rPr>
          <w:i/>
          <w:iCs/>
          <w:spacing w:val="-3"/>
          <w:sz w:val="22"/>
          <w:szCs w:val="22"/>
        </w:rPr>
        <w:t>é</w:t>
      </w:r>
      <w:r w:rsidRPr="003B7971">
        <w:rPr>
          <w:i/>
          <w:iCs/>
          <w:spacing w:val="-3"/>
          <w:sz w:val="22"/>
          <w:szCs w:val="22"/>
        </w:rPr>
        <w:t>ctrica para el mercado de comercializaci</w:t>
      </w:r>
      <w:r>
        <w:rPr>
          <w:i/>
          <w:iCs/>
          <w:spacing w:val="-3"/>
          <w:sz w:val="22"/>
          <w:szCs w:val="22"/>
        </w:rPr>
        <w:t>ó</w:t>
      </w:r>
      <w:r w:rsidRPr="003B7971">
        <w:rPr>
          <w:i/>
          <w:iCs/>
          <w:spacing w:val="-3"/>
          <w:sz w:val="22"/>
          <w:szCs w:val="22"/>
        </w:rPr>
        <w:t>n atendido per la Empresa de Energía de Boya</w:t>
      </w:r>
      <w:r>
        <w:rPr>
          <w:i/>
          <w:iCs/>
          <w:spacing w:val="-3"/>
          <w:sz w:val="22"/>
          <w:szCs w:val="22"/>
        </w:rPr>
        <w:t>cá</w:t>
      </w:r>
      <w:r w:rsidRPr="003B7971">
        <w:rPr>
          <w:i/>
          <w:iCs/>
          <w:spacing w:val="-3"/>
          <w:sz w:val="22"/>
          <w:szCs w:val="22"/>
        </w:rPr>
        <w:t xml:space="preserve"> S</w:t>
      </w:r>
      <w:r>
        <w:rPr>
          <w:i/>
          <w:iCs/>
          <w:spacing w:val="-3"/>
          <w:sz w:val="22"/>
          <w:szCs w:val="22"/>
        </w:rPr>
        <w:t>.</w:t>
      </w:r>
      <w:r w:rsidRPr="003B7971">
        <w:rPr>
          <w:i/>
          <w:iCs/>
          <w:spacing w:val="-3"/>
          <w:sz w:val="22"/>
          <w:szCs w:val="22"/>
        </w:rPr>
        <w:t>A. E</w:t>
      </w:r>
      <w:r>
        <w:rPr>
          <w:i/>
          <w:iCs/>
          <w:spacing w:val="-3"/>
          <w:sz w:val="22"/>
          <w:szCs w:val="22"/>
        </w:rPr>
        <w:t>.</w:t>
      </w:r>
      <w:r w:rsidRPr="003B7971">
        <w:rPr>
          <w:i/>
          <w:iCs/>
          <w:spacing w:val="-3"/>
          <w:sz w:val="22"/>
          <w:szCs w:val="22"/>
        </w:rPr>
        <w:t>S.P"</w:t>
      </w:r>
      <w:r>
        <w:rPr>
          <w:i/>
          <w:iCs/>
          <w:spacing w:val="-3"/>
          <w:sz w:val="22"/>
          <w:szCs w:val="22"/>
        </w:rPr>
        <w:t xml:space="preserve"> </w:t>
      </w:r>
      <w:r w:rsidRPr="003B7971">
        <w:rPr>
          <w:i/>
          <w:iCs/>
          <w:spacing w:val="-3"/>
          <w:sz w:val="22"/>
          <w:szCs w:val="22"/>
        </w:rPr>
        <w:t>en los t</w:t>
      </w:r>
      <w:r>
        <w:rPr>
          <w:i/>
          <w:iCs/>
          <w:spacing w:val="-3"/>
          <w:sz w:val="22"/>
          <w:szCs w:val="22"/>
        </w:rPr>
        <w:t>é</w:t>
      </w:r>
      <w:r w:rsidRPr="003B7971">
        <w:rPr>
          <w:i/>
          <w:iCs/>
          <w:spacing w:val="-3"/>
          <w:sz w:val="22"/>
          <w:szCs w:val="22"/>
        </w:rPr>
        <w:t>rminos expuestos en el presente recurso, y que en todo lo dem</w:t>
      </w:r>
      <w:r>
        <w:rPr>
          <w:i/>
          <w:iCs/>
          <w:spacing w:val="-3"/>
          <w:sz w:val="22"/>
          <w:szCs w:val="22"/>
        </w:rPr>
        <w:t>á</w:t>
      </w:r>
      <w:r w:rsidRPr="003B7971">
        <w:rPr>
          <w:i/>
          <w:iCs/>
          <w:spacing w:val="-3"/>
          <w:sz w:val="22"/>
          <w:szCs w:val="22"/>
        </w:rPr>
        <w:t>s la misma se mantenga ina</w:t>
      </w:r>
      <w:r>
        <w:rPr>
          <w:i/>
          <w:iCs/>
          <w:spacing w:val="-3"/>
          <w:sz w:val="22"/>
          <w:szCs w:val="22"/>
        </w:rPr>
        <w:t>l</w:t>
      </w:r>
      <w:r w:rsidRPr="003B7971">
        <w:rPr>
          <w:i/>
          <w:iCs/>
          <w:spacing w:val="-3"/>
          <w:sz w:val="22"/>
          <w:szCs w:val="22"/>
        </w:rPr>
        <w:t>terada.</w:t>
      </w:r>
    </w:p>
    <w:p w14:paraId="2E149989" w14:textId="28A936C5" w:rsidR="003B7971" w:rsidRDefault="003B7971" w:rsidP="003B7971">
      <w:pPr>
        <w:ind w:left="567"/>
        <w:rPr>
          <w:i/>
          <w:iCs/>
          <w:spacing w:val="-3"/>
          <w:sz w:val="22"/>
          <w:szCs w:val="22"/>
        </w:rPr>
      </w:pPr>
      <w:r w:rsidRPr="003B7971">
        <w:rPr>
          <w:i/>
          <w:iCs/>
          <w:spacing w:val="-3"/>
          <w:sz w:val="22"/>
          <w:szCs w:val="22"/>
        </w:rPr>
        <w:t>Por otra parte, solicitamos respetuosamente a la CREG tomar en consideraci</w:t>
      </w:r>
      <w:r>
        <w:rPr>
          <w:i/>
          <w:iCs/>
          <w:spacing w:val="-3"/>
          <w:sz w:val="22"/>
          <w:szCs w:val="22"/>
        </w:rPr>
        <w:t>ó</w:t>
      </w:r>
      <w:r w:rsidRPr="003B7971">
        <w:rPr>
          <w:i/>
          <w:iCs/>
          <w:spacing w:val="-3"/>
          <w:sz w:val="22"/>
          <w:szCs w:val="22"/>
        </w:rPr>
        <w:t>n todos los alcances (comunicaciones, informa</w:t>
      </w:r>
      <w:r>
        <w:rPr>
          <w:i/>
          <w:iCs/>
          <w:spacing w:val="-3"/>
          <w:sz w:val="22"/>
          <w:szCs w:val="22"/>
        </w:rPr>
        <w:t>c</w:t>
      </w:r>
      <w:r w:rsidRPr="003B7971">
        <w:rPr>
          <w:i/>
          <w:iCs/>
          <w:spacing w:val="-3"/>
          <w:sz w:val="22"/>
          <w:szCs w:val="22"/>
        </w:rPr>
        <w:t>i</w:t>
      </w:r>
      <w:r>
        <w:rPr>
          <w:i/>
          <w:iCs/>
          <w:spacing w:val="-3"/>
          <w:sz w:val="22"/>
          <w:szCs w:val="22"/>
        </w:rPr>
        <w:t>ó</w:t>
      </w:r>
      <w:r w:rsidRPr="003B7971">
        <w:rPr>
          <w:i/>
          <w:iCs/>
          <w:spacing w:val="-3"/>
          <w:sz w:val="22"/>
          <w:szCs w:val="22"/>
        </w:rPr>
        <w:t>n adicional, aclaraciones, recurso, etc.) efectuados a la solicitud de ingresos los cuales fueron presentados por EBSA durante todo el proceso de la actua</w:t>
      </w:r>
      <w:r>
        <w:rPr>
          <w:i/>
          <w:iCs/>
          <w:spacing w:val="-3"/>
          <w:sz w:val="22"/>
          <w:szCs w:val="22"/>
        </w:rPr>
        <w:t>c</w:t>
      </w:r>
      <w:r w:rsidRPr="003B7971">
        <w:rPr>
          <w:i/>
          <w:iCs/>
          <w:spacing w:val="-3"/>
          <w:sz w:val="22"/>
          <w:szCs w:val="22"/>
        </w:rPr>
        <w:t>i</w:t>
      </w:r>
      <w:r>
        <w:rPr>
          <w:i/>
          <w:iCs/>
          <w:spacing w:val="-3"/>
          <w:sz w:val="22"/>
          <w:szCs w:val="22"/>
        </w:rPr>
        <w:t>ó</w:t>
      </w:r>
      <w:r w:rsidRPr="003B7971">
        <w:rPr>
          <w:i/>
          <w:iCs/>
          <w:spacing w:val="-3"/>
          <w:sz w:val="22"/>
          <w:szCs w:val="22"/>
        </w:rPr>
        <w:t>n administrativa expediente n</w:t>
      </w:r>
      <w:r>
        <w:rPr>
          <w:i/>
          <w:iCs/>
          <w:spacing w:val="-3"/>
          <w:sz w:val="22"/>
          <w:szCs w:val="22"/>
        </w:rPr>
        <w:t>úm</w:t>
      </w:r>
      <w:r w:rsidRPr="003B7971">
        <w:rPr>
          <w:i/>
          <w:iCs/>
          <w:spacing w:val="-3"/>
          <w:sz w:val="22"/>
          <w:szCs w:val="22"/>
        </w:rPr>
        <w:t>ero 2018-0150</w:t>
      </w:r>
    </w:p>
    <w:p w14:paraId="1B2ACB9E" w14:textId="7CE9FFC2" w:rsidR="009A5C33" w:rsidRDefault="009A5C33" w:rsidP="009A5C33">
      <w:r>
        <w:rPr>
          <w:spacing w:val="-3"/>
        </w:rPr>
        <w:lastRenderedPageBreak/>
        <w:t>Por su parte la empresa D</w:t>
      </w:r>
      <w:r>
        <w:t>iaco, aceptada como tercero interesado en esta actuación mediante auto de abril de 2019, presentó recurso de reposición contra la Resolución CREG 177 de 2019</w:t>
      </w:r>
      <w:r w:rsidR="00E0206C">
        <w:t>,</w:t>
      </w:r>
      <w:r>
        <w:t xml:space="preserve"> </w:t>
      </w:r>
      <w:r w:rsidR="00554CCF">
        <w:t>mediante</w:t>
      </w:r>
      <w:r>
        <w:t xml:space="preserve"> comunicación con radicado CREG E</w:t>
      </w:r>
      <w:r>
        <w:noBreakHyphen/>
        <w:t>2019</w:t>
      </w:r>
      <w:r>
        <w:noBreakHyphen/>
        <w:t xml:space="preserve">014254. </w:t>
      </w:r>
    </w:p>
    <w:p w14:paraId="332D3AB2" w14:textId="67F065A2" w:rsidR="00CA7025" w:rsidRDefault="00CA7025" w:rsidP="008B64FE">
      <w:pPr>
        <w:spacing w:after="0"/>
      </w:pPr>
      <w:r w:rsidRPr="00D10C65">
        <w:t xml:space="preserve">A </w:t>
      </w:r>
      <w:r>
        <w:t xml:space="preserve">continuación, se presenta el análisis de la Comisión sobre </w:t>
      </w:r>
      <w:r w:rsidR="006163A0">
        <w:t>la pretensión del recurso</w:t>
      </w:r>
      <w:r w:rsidR="00340FAB">
        <w:t xml:space="preserve"> de la EBSA</w:t>
      </w:r>
      <w:r w:rsidR="00EA4C8C">
        <w:t xml:space="preserve"> </w:t>
      </w:r>
      <w:r w:rsidR="009A5C33">
        <w:t>y, posteriormente, el análisis sobre el recurso de Diaco</w:t>
      </w:r>
      <w:r>
        <w:t>.</w:t>
      </w:r>
    </w:p>
    <w:p w14:paraId="132AC62B" w14:textId="77777777" w:rsidR="00E0206C" w:rsidRDefault="00E0206C" w:rsidP="004D2D7F">
      <w:pPr>
        <w:spacing w:before="0"/>
        <w:rPr>
          <w:b/>
          <w:bCs/>
        </w:rPr>
      </w:pPr>
    </w:p>
    <w:p w14:paraId="0A8D391C" w14:textId="770EF06F" w:rsidR="00F20574" w:rsidRDefault="00F20574" w:rsidP="00CA7025">
      <w:r>
        <w:rPr>
          <w:b/>
          <w:bCs/>
        </w:rPr>
        <w:t>A</w:t>
      </w:r>
      <w:r w:rsidRPr="00E12C23">
        <w:rPr>
          <w:b/>
          <w:bCs/>
        </w:rPr>
        <w:t xml:space="preserve">. Recurso de </w:t>
      </w:r>
      <w:r>
        <w:rPr>
          <w:b/>
          <w:bCs/>
        </w:rPr>
        <w:t>EBSA</w:t>
      </w:r>
    </w:p>
    <w:p w14:paraId="353451C0" w14:textId="318D1078" w:rsidR="00221B7B" w:rsidRDefault="00796336" w:rsidP="002A7D62">
      <w:pPr>
        <w:rPr>
          <w:b/>
          <w:bCs/>
          <w:spacing w:val="-3"/>
        </w:rPr>
      </w:pPr>
      <w:r>
        <w:rPr>
          <w:b/>
          <w:bCs/>
          <w:spacing w:val="-3"/>
        </w:rPr>
        <w:t>Solicitud</w:t>
      </w:r>
      <w:r w:rsidR="00221B7B">
        <w:rPr>
          <w:b/>
          <w:bCs/>
          <w:spacing w:val="-3"/>
        </w:rPr>
        <w:t xml:space="preserve"> </w:t>
      </w:r>
      <w:r w:rsidR="00221B7B" w:rsidRPr="00221B7B">
        <w:rPr>
          <w:b/>
          <w:bCs/>
          <w:spacing w:val="-3"/>
        </w:rPr>
        <w:t>1.</w:t>
      </w:r>
      <w:r w:rsidR="00221B7B">
        <w:rPr>
          <w:b/>
          <w:bCs/>
          <w:spacing w:val="-3"/>
        </w:rPr>
        <w:t xml:space="preserve"> Activos. </w:t>
      </w:r>
      <w:r w:rsidR="00221B7B" w:rsidRPr="00221B7B">
        <w:rPr>
          <w:spacing w:val="-3"/>
        </w:rPr>
        <w:t xml:space="preserve">El OR solicita el reconocimiento de </w:t>
      </w:r>
      <w:r w:rsidR="00235105">
        <w:rPr>
          <w:spacing w:val="-3"/>
        </w:rPr>
        <w:t xml:space="preserve">algunos de los </w:t>
      </w:r>
      <w:r w:rsidR="00221B7B" w:rsidRPr="00221B7B">
        <w:rPr>
          <w:spacing w:val="-3"/>
        </w:rPr>
        <w:t>activos</w:t>
      </w:r>
      <w:r w:rsidR="00235105">
        <w:rPr>
          <w:spacing w:val="-3"/>
        </w:rPr>
        <w:t xml:space="preserve"> que fueron negados en la Resolución CREG 177 de 2019</w:t>
      </w:r>
      <w:r w:rsidR="00221B7B">
        <w:rPr>
          <w:spacing w:val="-3"/>
        </w:rPr>
        <w:t>.</w:t>
      </w:r>
      <w:r w:rsidR="00235105">
        <w:rPr>
          <w:spacing w:val="-3"/>
        </w:rPr>
        <w:t xml:space="preserve"> Sobre esta solicitud el OR argumenta lo siguiente:</w:t>
      </w:r>
    </w:p>
    <w:p w14:paraId="24BA18AF" w14:textId="45F97041" w:rsidR="008034DB" w:rsidRDefault="00221B7B" w:rsidP="00DC4616">
      <w:pPr>
        <w:keepNext/>
        <w:ind w:left="567"/>
        <w:rPr>
          <w:b/>
          <w:bCs/>
          <w:i/>
          <w:iCs/>
          <w:spacing w:val="-3"/>
          <w:sz w:val="22"/>
          <w:szCs w:val="22"/>
        </w:rPr>
      </w:pPr>
      <w:r w:rsidRPr="008034DB">
        <w:rPr>
          <w:b/>
          <w:bCs/>
          <w:i/>
          <w:iCs/>
          <w:spacing w:val="-3"/>
          <w:sz w:val="22"/>
          <w:szCs w:val="22"/>
        </w:rPr>
        <w:t>1.1 Inventario Base Regulatoria de Activos Inicial</w:t>
      </w:r>
      <w:r w:rsidR="00C41CD2" w:rsidRPr="008034DB">
        <w:rPr>
          <w:b/>
          <w:bCs/>
          <w:i/>
          <w:iCs/>
          <w:spacing w:val="-3"/>
          <w:sz w:val="22"/>
          <w:szCs w:val="22"/>
        </w:rPr>
        <w:t xml:space="preserve"> </w:t>
      </w:r>
    </w:p>
    <w:p w14:paraId="0D544429" w14:textId="61D5F4AC" w:rsidR="008034DB" w:rsidRPr="008034DB" w:rsidRDefault="008034DB" w:rsidP="00DC4616">
      <w:pPr>
        <w:keepNext/>
        <w:ind w:left="567"/>
        <w:rPr>
          <w:i/>
          <w:iCs/>
          <w:spacing w:val="-3"/>
          <w:sz w:val="22"/>
          <w:szCs w:val="22"/>
        </w:rPr>
      </w:pPr>
      <w:r w:rsidRPr="008034DB">
        <w:rPr>
          <w:i/>
          <w:iCs/>
          <w:spacing w:val="-3"/>
          <w:sz w:val="22"/>
          <w:szCs w:val="22"/>
        </w:rPr>
        <w:t>(…)</w:t>
      </w:r>
    </w:p>
    <w:p w14:paraId="51928FE4" w14:textId="0BBDA5E3" w:rsidR="00221B7B" w:rsidRPr="008034DB" w:rsidRDefault="00221B7B" w:rsidP="00DC4616">
      <w:pPr>
        <w:keepNext/>
        <w:ind w:left="567"/>
        <w:rPr>
          <w:b/>
          <w:bCs/>
          <w:i/>
          <w:iCs/>
          <w:spacing w:val="-3"/>
          <w:sz w:val="22"/>
          <w:szCs w:val="22"/>
        </w:rPr>
      </w:pPr>
      <w:r w:rsidRPr="008034DB">
        <w:rPr>
          <w:b/>
          <w:bCs/>
          <w:i/>
          <w:iCs/>
          <w:spacing w:val="-3"/>
          <w:sz w:val="22"/>
          <w:szCs w:val="22"/>
        </w:rPr>
        <w:t>1.1.1 Reconocimiento de activos de nivel de tensi</w:t>
      </w:r>
      <w:r w:rsidR="008034DB" w:rsidRPr="008034DB">
        <w:rPr>
          <w:b/>
          <w:bCs/>
          <w:i/>
          <w:iCs/>
          <w:spacing w:val="-3"/>
          <w:sz w:val="22"/>
          <w:szCs w:val="22"/>
        </w:rPr>
        <w:t>ó</w:t>
      </w:r>
      <w:r w:rsidRPr="008034DB">
        <w:rPr>
          <w:b/>
          <w:bCs/>
          <w:i/>
          <w:iCs/>
          <w:spacing w:val="-3"/>
          <w:sz w:val="22"/>
          <w:szCs w:val="22"/>
        </w:rPr>
        <w:t>n 4</w:t>
      </w:r>
      <w:r w:rsidR="00924417" w:rsidRPr="008034DB">
        <w:rPr>
          <w:b/>
          <w:bCs/>
          <w:i/>
          <w:iCs/>
          <w:spacing w:val="-3"/>
          <w:sz w:val="22"/>
          <w:szCs w:val="22"/>
        </w:rPr>
        <w:t xml:space="preserve">. </w:t>
      </w:r>
    </w:p>
    <w:p w14:paraId="0B8F2262" w14:textId="2708007F" w:rsidR="00924417" w:rsidRDefault="00924417" w:rsidP="00DC4616">
      <w:pPr>
        <w:keepNext/>
        <w:ind w:left="567"/>
        <w:rPr>
          <w:i/>
          <w:iCs/>
          <w:spacing w:val="-3"/>
          <w:sz w:val="22"/>
          <w:szCs w:val="22"/>
        </w:rPr>
      </w:pPr>
      <w:r w:rsidRPr="00235105">
        <w:rPr>
          <w:i/>
          <w:iCs/>
          <w:spacing w:val="-3"/>
          <w:sz w:val="22"/>
          <w:szCs w:val="22"/>
        </w:rPr>
        <w:t>(…)</w:t>
      </w:r>
    </w:p>
    <w:p w14:paraId="7907BFCE" w14:textId="4300B629" w:rsidR="008034DB" w:rsidRPr="008034DB" w:rsidRDefault="008034DB" w:rsidP="00DC4616">
      <w:pPr>
        <w:keepNext/>
        <w:ind w:left="567"/>
        <w:rPr>
          <w:b/>
          <w:bCs/>
          <w:i/>
          <w:iCs/>
          <w:spacing w:val="-3"/>
          <w:sz w:val="22"/>
          <w:szCs w:val="22"/>
        </w:rPr>
      </w:pPr>
      <w:r w:rsidRPr="008034DB">
        <w:rPr>
          <w:b/>
          <w:bCs/>
          <w:i/>
          <w:iCs/>
          <w:spacing w:val="-3"/>
          <w:sz w:val="22"/>
          <w:szCs w:val="22"/>
        </w:rPr>
        <w:t>A. Reconocimiento activos CRINR</w:t>
      </w:r>
    </w:p>
    <w:p w14:paraId="3996522D" w14:textId="2B8AA047" w:rsidR="00924417" w:rsidRDefault="00924417" w:rsidP="00235105">
      <w:pPr>
        <w:ind w:left="567"/>
        <w:rPr>
          <w:i/>
          <w:iCs/>
          <w:spacing w:val="-3"/>
          <w:sz w:val="22"/>
          <w:szCs w:val="22"/>
        </w:rPr>
      </w:pPr>
      <w:r w:rsidRPr="00235105">
        <w:rPr>
          <w:i/>
          <w:iCs/>
          <w:spacing w:val="-3"/>
          <w:sz w:val="22"/>
          <w:szCs w:val="22"/>
        </w:rPr>
        <w:t xml:space="preserve">Algunos activos clasificados como CRINR (construidos antes de 2008 pero los </w:t>
      </w:r>
      <w:r w:rsidR="00CF581F">
        <w:rPr>
          <w:i/>
          <w:iCs/>
          <w:spacing w:val="-3"/>
          <w:sz w:val="22"/>
          <w:szCs w:val="22"/>
        </w:rPr>
        <w:t>cu</w:t>
      </w:r>
      <w:r w:rsidRPr="00235105">
        <w:rPr>
          <w:i/>
          <w:iCs/>
          <w:spacing w:val="-3"/>
          <w:sz w:val="22"/>
          <w:szCs w:val="22"/>
        </w:rPr>
        <w:t xml:space="preserve">ales no se incorporaron en la base de activos remunerados en aplicación de la Resolución </w:t>
      </w:r>
      <w:r w:rsidR="00CF581F">
        <w:rPr>
          <w:i/>
          <w:iCs/>
          <w:spacing w:val="-3"/>
          <w:sz w:val="22"/>
          <w:szCs w:val="22"/>
        </w:rPr>
        <w:t>C</w:t>
      </w:r>
      <w:r w:rsidRPr="00235105">
        <w:rPr>
          <w:i/>
          <w:iCs/>
          <w:spacing w:val="-3"/>
          <w:sz w:val="22"/>
          <w:szCs w:val="22"/>
        </w:rPr>
        <w:t>REG 097 de 2008) no fueron reconocidos por la CREG pues, seg</w:t>
      </w:r>
      <w:r w:rsidR="00235105" w:rsidRPr="00235105">
        <w:rPr>
          <w:i/>
          <w:iCs/>
          <w:spacing w:val="-3"/>
          <w:sz w:val="22"/>
          <w:szCs w:val="22"/>
        </w:rPr>
        <w:t>ú</w:t>
      </w:r>
      <w:r w:rsidRPr="00235105">
        <w:rPr>
          <w:i/>
          <w:iCs/>
          <w:spacing w:val="-3"/>
          <w:sz w:val="22"/>
          <w:szCs w:val="22"/>
        </w:rPr>
        <w:t>n la entidad, los mismos deben contar con concepto de aprobaci</w:t>
      </w:r>
      <w:r w:rsidR="00235105" w:rsidRPr="00235105">
        <w:rPr>
          <w:i/>
          <w:iCs/>
          <w:spacing w:val="-3"/>
          <w:sz w:val="22"/>
          <w:szCs w:val="22"/>
        </w:rPr>
        <w:t>ó</w:t>
      </w:r>
      <w:r w:rsidRPr="00235105">
        <w:rPr>
          <w:i/>
          <w:iCs/>
          <w:spacing w:val="-3"/>
          <w:sz w:val="22"/>
          <w:szCs w:val="22"/>
        </w:rPr>
        <w:t>n previo de la Unidad de Planeaci</w:t>
      </w:r>
      <w:r w:rsidR="00235105" w:rsidRPr="00235105">
        <w:rPr>
          <w:i/>
          <w:iCs/>
          <w:spacing w:val="-3"/>
          <w:sz w:val="22"/>
          <w:szCs w:val="22"/>
        </w:rPr>
        <w:t>ó</w:t>
      </w:r>
      <w:r w:rsidRPr="00235105">
        <w:rPr>
          <w:i/>
          <w:iCs/>
          <w:spacing w:val="-3"/>
          <w:sz w:val="22"/>
          <w:szCs w:val="22"/>
        </w:rPr>
        <w:t>n Miner</w:t>
      </w:r>
      <w:r w:rsidR="00235105" w:rsidRPr="00235105">
        <w:rPr>
          <w:i/>
          <w:iCs/>
          <w:spacing w:val="-3"/>
          <w:sz w:val="22"/>
          <w:szCs w:val="22"/>
        </w:rPr>
        <w:t>o</w:t>
      </w:r>
      <w:r w:rsidRPr="00235105">
        <w:rPr>
          <w:i/>
          <w:iCs/>
          <w:spacing w:val="-3"/>
          <w:sz w:val="22"/>
          <w:szCs w:val="22"/>
        </w:rPr>
        <w:t xml:space="preserve"> Energ</w:t>
      </w:r>
      <w:r w:rsidR="00235105" w:rsidRPr="00235105">
        <w:rPr>
          <w:i/>
          <w:iCs/>
          <w:spacing w:val="-3"/>
          <w:sz w:val="22"/>
          <w:szCs w:val="22"/>
        </w:rPr>
        <w:t>é</w:t>
      </w:r>
      <w:r w:rsidRPr="00235105">
        <w:rPr>
          <w:i/>
          <w:iCs/>
          <w:spacing w:val="-3"/>
          <w:sz w:val="22"/>
          <w:szCs w:val="22"/>
        </w:rPr>
        <w:t>tica ("UPME").</w:t>
      </w:r>
    </w:p>
    <w:p w14:paraId="25158A6A" w14:textId="55223952" w:rsidR="00235105" w:rsidRPr="00235105" w:rsidRDefault="00235105" w:rsidP="00235105">
      <w:pPr>
        <w:ind w:left="567"/>
        <w:rPr>
          <w:i/>
          <w:iCs/>
          <w:spacing w:val="-3"/>
          <w:sz w:val="22"/>
          <w:szCs w:val="22"/>
        </w:rPr>
      </w:pPr>
      <w:r w:rsidRPr="00235105">
        <w:rPr>
          <w:i/>
          <w:iCs/>
          <w:spacing w:val="-3"/>
          <w:sz w:val="22"/>
          <w:szCs w:val="22"/>
        </w:rPr>
        <w:t>Al respecto, respetuosamente EBSA solicita que los activos CRINR s</w:t>
      </w:r>
      <w:r w:rsidR="00CF581F">
        <w:rPr>
          <w:i/>
          <w:iCs/>
          <w:spacing w:val="-3"/>
          <w:sz w:val="22"/>
          <w:szCs w:val="22"/>
        </w:rPr>
        <w:t>í</w:t>
      </w:r>
      <w:r w:rsidRPr="00235105">
        <w:rPr>
          <w:i/>
          <w:iCs/>
          <w:spacing w:val="-3"/>
          <w:sz w:val="22"/>
          <w:szCs w:val="22"/>
        </w:rPr>
        <w:t xml:space="preserve"> se</w:t>
      </w:r>
      <w:r>
        <w:rPr>
          <w:i/>
          <w:iCs/>
          <w:spacing w:val="-3"/>
          <w:sz w:val="22"/>
          <w:szCs w:val="22"/>
        </w:rPr>
        <w:t>a</w:t>
      </w:r>
      <w:r w:rsidRPr="00235105">
        <w:rPr>
          <w:i/>
          <w:iCs/>
          <w:spacing w:val="-3"/>
          <w:sz w:val="22"/>
          <w:szCs w:val="22"/>
        </w:rPr>
        <w:t>n tenidos en cuenta e incorporados en la base de activos remunerados por lo siguiente:</w:t>
      </w:r>
    </w:p>
    <w:p w14:paraId="7CFF8C7A" w14:textId="37982CDB" w:rsidR="00235105" w:rsidRDefault="00235105" w:rsidP="00235105">
      <w:pPr>
        <w:ind w:left="567"/>
        <w:rPr>
          <w:i/>
          <w:iCs/>
          <w:spacing w:val="-3"/>
          <w:sz w:val="22"/>
          <w:szCs w:val="22"/>
        </w:rPr>
      </w:pPr>
      <w:r w:rsidRPr="00235105">
        <w:rPr>
          <w:i/>
          <w:iCs/>
          <w:spacing w:val="-3"/>
          <w:sz w:val="22"/>
          <w:szCs w:val="22"/>
        </w:rPr>
        <w:t>i.</w:t>
      </w:r>
      <w:r>
        <w:rPr>
          <w:i/>
          <w:iCs/>
          <w:spacing w:val="-3"/>
          <w:sz w:val="22"/>
          <w:szCs w:val="22"/>
        </w:rPr>
        <w:t xml:space="preserve"> </w:t>
      </w:r>
      <w:r w:rsidRPr="00235105">
        <w:rPr>
          <w:i/>
          <w:iCs/>
          <w:spacing w:val="-3"/>
          <w:sz w:val="22"/>
          <w:szCs w:val="22"/>
          <w:u w:val="single"/>
        </w:rPr>
        <w:t>Inexistencia del requisito legal (aprobación UPME) al m</w:t>
      </w:r>
      <w:r w:rsidR="00CF581F">
        <w:rPr>
          <w:i/>
          <w:iCs/>
          <w:spacing w:val="-3"/>
          <w:sz w:val="22"/>
          <w:szCs w:val="22"/>
          <w:u w:val="single"/>
        </w:rPr>
        <w:t>o</w:t>
      </w:r>
      <w:r w:rsidRPr="00235105">
        <w:rPr>
          <w:i/>
          <w:iCs/>
          <w:spacing w:val="-3"/>
          <w:sz w:val="22"/>
          <w:szCs w:val="22"/>
          <w:u w:val="single"/>
        </w:rPr>
        <w:t>mento de construcción de los activos</w:t>
      </w:r>
      <w:r w:rsidRPr="00235105">
        <w:rPr>
          <w:i/>
          <w:iCs/>
          <w:spacing w:val="-3"/>
          <w:sz w:val="22"/>
          <w:szCs w:val="22"/>
        </w:rPr>
        <w:t>: Al moment</w:t>
      </w:r>
      <w:r>
        <w:rPr>
          <w:i/>
          <w:iCs/>
          <w:spacing w:val="-3"/>
          <w:sz w:val="22"/>
          <w:szCs w:val="22"/>
        </w:rPr>
        <w:t>o</w:t>
      </w:r>
      <w:r w:rsidRPr="00235105">
        <w:rPr>
          <w:i/>
          <w:iCs/>
          <w:spacing w:val="-3"/>
          <w:sz w:val="22"/>
          <w:szCs w:val="22"/>
        </w:rPr>
        <w:t xml:space="preserve"> de la construc</w:t>
      </w:r>
      <w:r>
        <w:rPr>
          <w:i/>
          <w:iCs/>
          <w:spacing w:val="-3"/>
          <w:sz w:val="22"/>
          <w:szCs w:val="22"/>
        </w:rPr>
        <w:t>c</w:t>
      </w:r>
      <w:r w:rsidRPr="00235105">
        <w:rPr>
          <w:i/>
          <w:iCs/>
          <w:spacing w:val="-3"/>
          <w:sz w:val="22"/>
          <w:szCs w:val="22"/>
        </w:rPr>
        <w:t>i</w:t>
      </w:r>
      <w:r>
        <w:rPr>
          <w:i/>
          <w:iCs/>
          <w:spacing w:val="-3"/>
          <w:sz w:val="22"/>
          <w:szCs w:val="22"/>
        </w:rPr>
        <w:t>ó</w:t>
      </w:r>
      <w:r w:rsidRPr="00235105">
        <w:rPr>
          <w:i/>
          <w:iCs/>
          <w:spacing w:val="-3"/>
          <w:sz w:val="22"/>
          <w:szCs w:val="22"/>
        </w:rPr>
        <w:t>n de estos activos (antes de 2008) la regula</w:t>
      </w:r>
      <w:r>
        <w:rPr>
          <w:i/>
          <w:iCs/>
          <w:spacing w:val="-3"/>
          <w:sz w:val="22"/>
          <w:szCs w:val="22"/>
        </w:rPr>
        <w:t>c</w:t>
      </w:r>
      <w:r w:rsidRPr="00235105">
        <w:rPr>
          <w:i/>
          <w:iCs/>
          <w:spacing w:val="-3"/>
          <w:sz w:val="22"/>
          <w:szCs w:val="22"/>
        </w:rPr>
        <w:t>i</w:t>
      </w:r>
      <w:r>
        <w:rPr>
          <w:i/>
          <w:iCs/>
          <w:spacing w:val="-3"/>
          <w:sz w:val="22"/>
          <w:szCs w:val="22"/>
        </w:rPr>
        <w:t>ó</w:t>
      </w:r>
      <w:r w:rsidRPr="00235105">
        <w:rPr>
          <w:i/>
          <w:iCs/>
          <w:spacing w:val="-3"/>
          <w:sz w:val="22"/>
          <w:szCs w:val="22"/>
        </w:rPr>
        <w:t>n aplicable no exig</w:t>
      </w:r>
      <w:r>
        <w:rPr>
          <w:i/>
          <w:iCs/>
          <w:spacing w:val="-3"/>
          <w:sz w:val="22"/>
          <w:szCs w:val="22"/>
        </w:rPr>
        <w:t>í</w:t>
      </w:r>
      <w:r w:rsidRPr="00235105">
        <w:rPr>
          <w:i/>
          <w:iCs/>
          <w:spacing w:val="-3"/>
          <w:sz w:val="22"/>
          <w:szCs w:val="22"/>
        </w:rPr>
        <w:t>a que estos activos contaran con aprobaci</w:t>
      </w:r>
      <w:r>
        <w:rPr>
          <w:i/>
          <w:iCs/>
          <w:spacing w:val="-3"/>
          <w:sz w:val="22"/>
          <w:szCs w:val="22"/>
        </w:rPr>
        <w:t>ó</w:t>
      </w:r>
      <w:r w:rsidRPr="00235105">
        <w:rPr>
          <w:i/>
          <w:iCs/>
          <w:spacing w:val="-3"/>
          <w:sz w:val="22"/>
          <w:szCs w:val="22"/>
        </w:rPr>
        <w:t xml:space="preserve">n por parte de </w:t>
      </w:r>
      <w:r>
        <w:rPr>
          <w:i/>
          <w:iCs/>
          <w:spacing w:val="-3"/>
          <w:sz w:val="22"/>
          <w:szCs w:val="22"/>
        </w:rPr>
        <w:t>l</w:t>
      </w:r>
      <w:r w:rsidRPr="00235105">
        <w:rPr>
          <w:i/>
          <w:iCs/>
          <w:spacing w:val="-3"/>
          <w:sz w:val="22"/>
          <w:szCs w:val="22"/>
        </w:rPr>
        <w:t>a UPME. Por ende, no es posible solicitar a la EBSA actualmente el cumplimiento de un requerimiento legal que no se encontraba vigente ni era contemplado p</w:t>
      </w:r>
      <w:r w:rsidR="00CF581F">
        <w:rPr>
          <w:i/>
          <w:iCs/>
          <w:spacing w:val="-3"/>
          <w:sz w:val="22"/>
          <w:szCs w:val="22"/>
        </w:rPr>
        <w:t>o</w:t>
      </w:r>
      <w:r w:rsidRPr="00235105">
        <w:rPr>
          <w:i/>
          <w:iCs/>
          <w:spacing w:val="-3"/>
          <w:sz w:val="22"/>
          <w:szCs w:val="22"/>
        </w:rPr>
        <w:t>r la legis</w:t>
      </w:r>
      <w:r>
        <w:rPr>
          <w:i/>
          <w:iCs/>
          <w:spacing w:val="-3"/>
          <w:sz w:val="22"/>
          <w:szCs w:val="22"/>
        </w:rPr>
        <w:t>l</w:t>
      </w:r>
      <w:r w:rsidRPr="00235105">
        <w:rPr>
          <w:i/>
          <w:iCs/>
          <w:spacing w:val="-3"/>
          <w:sz w:val="22"/>
          <w:szCs w:val="22"/>
        </w:rPr>
        <w:t>aci</w:t>
      </w:r>
      <w:r>
        <w:rPr>
          <w:i/>
          <w:iCs/>
          <w:spacing w:val="-3"/>
          <w:sz w:val="22"/>
          <w:szCs w:val="22"/>
        </w:rPr>
        <w:t>ó</w:t>
      </w:r>
      <w:r w:rsidRPr="00235105">
        <w:rPr>
          <w:i/>
          <w:iCs/>
          <w:spacing w:val="-3"/>
          <w:sz w:val="22"/>
          <w:szCs w:val="22"/>
        </w:rPr>
        <w:t xml:space="preserve">n al </w:t>
      </w:r>
      <w:r>
        <w:rPr>
          <w:i/>
          <w:iCs/>
          <w:spacing w:val="-3"/>
          <w:sz w:val="22"/>
          <w:szCs w:val="22"/>
        </w:rPr>
        <w:t>m</w:t>
      </w:r>
      <w:r w:rsidRPr="00235105">
        <w:rPr>
          <w:i/>
          <w:iCs/>
          <w:spacing w:val="-3"/>
          <w:sz w:val="22"/>
          <w:szCs w:val="22"/>
        </w:rPr>
        <w:t>omento de construc</w:t>
      </w:r>
      <w:r>
        <w:rPr>
          <w:i/>
          <w:iCs/>
          <w:spacing w:val="-3"/>
          <w:sz w:val="22"/>
          <w:szCs w:val="22"/>
        </w:rPr>
        <w:t>c</w:t>
      </w:r>
      <w:r w:rsidRPr="00235105">
        <w:rPr>
          <w:i/>
          <w:iCs/>
          <w:spacing w:val="-3"/>
          <w:sz w:val="22"/>
          <w:szCs w:val="22"/>
        </w:rPr>
        <w:t>i</w:t>
      </w:r>
      <w:r>
        <w:rPr>
          <w:i/>
          <w:iCs/>
          <w:spacing w:val="-3"/>
          <w:sz w:val="22"/>
          <w:szCs w:val="22"/>
        </w:rPr>
        <w:t>ó</w:t>
      </w:r>
      <w:r w:rsidRPr="00235105">
        <w:rPr>
          <w:i/>
          <w:iCs/>
          <w:spacing w:val="-3"/>
          <w:sz w:val="22"/>
          <w:szCs w:val="22"/>
        </w:rPr>
        <w:t>n de los activos.</w:t>
      </w:r>
    </w:p>
    <w:p w14:paraId="2CF8DB72" w14:textId="5AE9B79C" w:rsidR="00235105" w:rsidRDefault="00235105" w:rsidP="00476E39">
      <w:pPr>
        <w:ind w:left="567"/>
        <w:rPr>
          <w:i/>
          <w:iCs/>
          <w:spacing w:val="-3"/>
          <w:sz w:val="22"/>
          <w:szCs w:val="22"/>
        </w:rPr>
      </w:pPr>
      <w:proofErr w:type="spellStart"/>
      <w:r>
        <w:rPr>
          <w:i/>
          <w:iCs/>
          <w:spacing w:val="-3"/>
          <w:sz w:val="22"/>
          <w:szCs w:val="22"/>
        </w:rPr>
        <w:t>ii</w:t>
      </w:r>
      <w:proofErr w:type="spellEnd"/>
      <w:r>
        <w:rPr>
          <w:i/>
          <w:iCs/>
          <w:spacing w:val="-3"/>
          <w:sz w:val="22"/>
          <w:szCs w:val="22"/>
        </w:rPr>
        <w:t xml:space="preserve">. </w:t>
      </w:r>
      <w:r w:rsidRPr="00235105">
        <w:rPr>
          <w:i/>
          <w:iCs/>
          <w:spacing w:val="-3"/>
          <w:sz w:val="22"/>
          <w:szCs w:val="22"/>
          <w:u w:val="single"/>
        </w:rPr>
        <w:t xml:space="preserve">Inexistencia del requisito legal (aprobación UPME) en la Resolución 015 de 2018: </w:t>
      </w:r>
      <w:r w:rsidRPr="00235105">
        <w:rPr>
          <w:i/>
          <w:iCs/>
          <w:spacing w:val="-3"/>
          <w:sz w:val="22"/>
          <w:szCs w:val="22"/>
        </w:rPr>
        <w:t>La Resoluci</w:t>
      </w:r>
      <w:r>
        <w:rPr>
          <w:i/>
          <w:iCs/>
          <w:spacing w:val="-3"/>
          <w:sz w:val="22"/>
          <w:szCs w:val="22"/>
        </w:rPr>
        <w:t>ó</w:t>
      </w:r>
      <w:r w:rsidRPr="00235105">
        <w:rPr>
          <w:i/>
          <w:iCs/>
          <w:spacing w:val="-3"/>
          <w:sz w:val="22"/>
          <w:szCs w:val="22"/>
        </w:rPr>
        <w:t>n 015 de 2018 no exige expresamente que este tipo de activos deban c</w:t>
      </w:r>
      <w:r>
        <w:rPr>
          <w:i/>
          <w:iCs/>
          <w:spacing w:val="-3"/>
          <w:sz w:val="22"/>
          <w:szCs w:val="22"/>
        </w:rPr>
        <w:t>o</w:t>
      </w:r>
      <w:r w:rsidRPr="00235105">
        <w:rPr>
          <w:i/>
          <w:iCs/>
          <w:spacing w:val="-3"/>
          <w:sz w:val="22"/>
          <w:szCs w:val="22"/>
        </w:rPr>
        <w:t>nt</w:t>
      </w:r>
      <w:r>
        <w:rPr>
          <w:i/>
          <w:iCs/>
          <w:spacing w:val="-3"/>
          <w:sz w:val="22"/>
          <w:szCs w:val="22"/>
        </w:rPr>
        <w:t>a</w:t>
      </w:r>
      <w:r w:rsidRPr="00235105">
        <w:rPr>
          <w:i/>
          <w:iCs/>
          <w:spacing w:val="-3"/>
          <w:sz w:val="22"/>
          <w:szCs w:val="22"/>
        </w:rPr>
        <w:t>r con un concepto favorable de la UPME para que los mismos se</w:t>
      </w:r>
      <w:r>
        <w:rPr>
          <w:i/>
          <w:iCs/>
          <w:spacing w:val="-3"/>
          <w:sz w:val="22"/>
          <w:szCs w:val="22"/>
        </w:rPr>
        <w:t>a</w:t>
      </w:r>
      <w:r w:rsidRPr="00235105">
        <w:rPr>
          <w:i/>
          <w:iCs/>
          <w:spacing w:val="-3"/>
          <w:sz w:val="22"/>
          <w:szCs w:val="22"/>
        </w:rPr>
        <w:t>n reconocidos dentro de la base de activos a remunerarse. Por el contrario, al revisarse la Resoluci</w:t>
      </w:r>
      <w:r>
        <w:rPr>
          <w:i/>
          <w:iCs/>
          <w:spacing w:val="-3"/>
          <w:sz w:val="22"/>
          <w:szCs w:val="22"/>
        </w:rPr>
        <w:t>ó</w:t>
      </w:r>
      <w:r w:rsidRPr="00235105">
        <w:rPr>
          <w:i/>
          <w:iCs/>
          <w:spacing w:val="-3"/>
          <w:sz w:val="22"/>
          <w:szCs w:val="22"/>
        </w:rPr>
        <w:t>n 015 de 2018 y, en particular su art</w:t>
      </w:r>
      <w:r>
        <w:rPr>
          <w:i/>
          <w:iCs/>
          <w:spacing w:val="-3"/>
          <w:sz w:val="22"/>
          <w:szCs w:val="22"/>
        </w:rPr>
        <w:t>í</w:t>
      </w:r>
      <w:r w:rsidRPr="00235105">
        <w:rPr>
          <w:i/>
          <w:iCs/>
          <w:spacing w:val="-3"/>
          <w:sz w:val="22"/>
          <w:szCs w:val="22"/>
        </w:rPr>
        <w:t>culo 4, se deduce que los requisitos par</w:t>
      </w:r>
      <w:r w:rsidR="00476E39">
        <w:rPr>
          <w:i/>
          <w:iCs/>
          <w:spacing w:val="-3"/>
          <w:sz w:val="22"/>
          <w:szCs w:val="22"/>
        </w:rPr>
        <w:t>a</w:t>
      </w:r>
      <w:r w:rsidRPr="00235105">
        <w:rPr>
          <w:i/>
          <w:iCs/>
          <w:spacing w:val="-3"/>
          <w:sz w:val="22"/>
          <w:szCs w:val="22"/>
        </w:rPr>
        <w:t xml:space="preserve"> el reconocimiento de estos activos es que los mismos (a) no se hayan tenido en cuenta para la base de la remunera</w:t>
      </w:r>
      <w:r>
        <w:rPr>
          <w:i/>
          <w:iCs/>
          <w:spacing w:val="-3"/>
          <w:sz w:val="22"/>
          <w:szCs w:val="22"/>
        </w:rPr>
        <w:t>c</w:t>
      </w:r>
      <w:r w:rsidRPr="00235105">
        <w:rPr>
          <w:i/>
          <w:iCs/>
          <w:spacing w:val="-3"/>
          <w:sz w:val="22"/>
          <w:szCs w:val="22"/>
        </w:rPr>
        <w:t>i</w:t>
      </w:r>
      <w:r>
        <w:rPr>
          <w:i/>
          <w:iCs/>
          <w:spacing w:val="-3"/>
          <w:sz w:val="22"/>
          <w:szCs w:val="22"/>
        </w:rPr>
        <w:t>ó</w:t>
      </w:r>
      <w:r w:rsidRPr="00235105">
        <w:rPr>
          <w:i/>
          <w:iCs/>
          <w:spacing w:val="-3"/>
          <w:sz w:val="22"/>
          <w:szCs w:val="22"/>
        </w:rPr>
        <w:t>n bajo la Resoluci</w:t>
      </w:r>
      <w:r>
        <w:rPr>
          <w:i/>
          <w:iCs/>
          <w:spacing w:val="-3"/>
          <w:sz w:val="22"/>
          <w:szCs w:val="22"/>
        </w:rPr>
        <w:t>ó</w:t>
      </w:r>
      <w:r w:rsidRPr="00235105">
        <w:rPr>
          <w:i/>
          <w:iCs/>
          <w:spacing w:val="-3"/>
          <w:sz w:val="22"/>
          <w:szCs w:val="22"/>
        </w:rPr>
        <w:t>n 097 de 2008 y (b) se encuentren operand</w:t>
      </w:r>
      <w:r w:rsidR="00476E39">
        <w:rPr>
          <w:i/>
          <w:iCs/>
          <w:spacing w:val="-3"/>
          <w:sz w:val="22"/>
          <w:szCs w:val="22"/>
        </w:rPr>
        <w:t>o</w:t>
      </w:r>
      <w:r w:rsidRPr="00235105">
        <w:rPr>
          <w:i/>
          <w:iCs/>
          <w:spacing w:val="-3"/>
          <w:sz w:val="22"/>
          <w:szCs w:val="22"/>
        </w:rPr>
        <w:t xml:space="preserve"> de forma</w:t>
      </w:r>
      <w:r w:rsidR="00476E39">
        <w:rPr>
          <w:i/>
          <w:iCs/>
          <w:spacing w:val="-3"/>
          <w:sz w:val="22"/>
          <w:szCs w:val="22"/>
        </w:rPr>
        <w:t xml:space="preserve"> </w:t>
      </w:r>
      <w:r w:rsidR="00476E39" w:rsidRPr="00476E39">
        <w:rPr>
          <w:i/>
          <w:iCs/>
          <w:spacing w:val="-3"/>
          <w:sz w:val="22"/>
          <w:szCs w:val="22"/>
        </w:rPr>
        <w:t xml:space="preserve">efectiva, sin que se encuentre referencia expresa a </w:t>
      </w:r>
      <w:r w:rsidR="00476E39">
        <w:rPr>
          <w:i/>
          <w:iCs/>
          <w:spacing w:val="-3"/>
          <w:sz w:val="22"/>
          <w:szCs w:val="22"/>
        </w:rPr>
        <w:t>l</w:t>
      </w:r>
      <w:r w:rsidR="00476E39" w:rsidRPr="00476E39">
        <w:rPr>
          <w:i/>
          <w:iCs/>
          <w:spacing w:val="-3"/>
          <w:sz w:val="22"/>
          <w:szCs w:val="22"/>
        </w:rPr>
        <w:t>a necesidad de contar con concepto</w:t>
      </w:r>
      <w:r w:rsidR="00476E39">
        <w:rPr>
          <w:i/>
          <w:iCs/>
          <w:spacing w:val="-3"/>
          <w:sz w:val="22"/>
          <w:szCs w:val="22"/>
        </w:rPr>
        <w:t xml:space="preserve"> </w:t>
      </w:r>
      <w:r w:rsidR="00476E39" w:rsidRPr="00476E39">
        <w:rPr>
          <w:i/>
          <w:iCs/>
          <w:spacing w:val="-3"/>
          <w:sz w:val="22"/>
          <w:szCs w:val="22"/>
        </w:rPr>
        <w:t>previo de la UPME frente a los mismos.</w:t>
      </w:r>
    </w:p>
    <w:p w14:paraId="54D1A3C2" w14:textId="0E8A6DDF" w:rsidR="00476E39" w:rsidRDefault="00476E39" w:rsidP="00476E39">
      <w:pPr>
        <w:ind w:left="567"/>
        <w:rPr>
          <w:i/>
          <w:iCs/>
          <w:spacing w:val="-3"/>
          <w:sz w:val="22"/>
          <w:szCs w:val="22"/>
        </w:rPr>
      </w:pPr>
      <w:proofErr w:type="spellStart"/>
      <w:r>
        <w:rPr>
          <w:i/>
          <w:iCs/>
          <w:spacing w:val="-3"/>
          <w:sz w:val="22"/>
          <w:szCs w:val="22"/>
        </w:rPr>
        <w:t>iii</w:t>
      </w:r>
      <w:proofErr w:type="spellEnd"/>
      <w:r>
        <w:rPr>
          <w:i/>
          <w:iCs/>
          <w:spacing w:val="-3"/>
          <w:sz w:val="22"/>
          <w:szCs w:val="22"/>
        </w:rPr>
        <w:t xml:space="preserve">. </w:t>
      </w:r>
      <w:r w:rsidRPr="00476E39">
        <w:rPr>
          <w:i/>
          <w:iCs/>
          <w:spacing w:val="-3"/>
          <w:sz w:val="22"/>
          <w:szCs w:val="22"/>
          <w:u w:val="single"/>
        </w:rPr>
        <w:t>La Resolución 015 de 2018 únicamente exige que los activos CRINR estén operando para su remuneración</w:t>
      </w:r>
      <w:r w:rsidRPr="00476E39">
        <w:rPr>
          <w:i/>
          <w:iCs/>
          <w:spacing w:val="-3"/>
          <w:sz w:val="22"/>
          <w:szCs w:val="22"/>
        </w:rPr>
        <w:t>: En estrecha relaci</w:t>
      </w:r>
      <w:r>
        <w:rPr>
          <w:i/>
          <w:iCs/>
          <w:spacing w:val="-3"/>
          <w:sz w:val="22"/>
          <w:szCs w:val="22"/>
        </w:rPr>
        <w:t>ó</w:t>
      </w:r>
      <w:r w:rsidRPr="00476E39">
        <w:rPr>
          <w:i/>
          <w:iCs/>
          <w:spacing w:val="-3"/>
          <w:sz w:val="22"/>
          <w:szCs w:val="22"/>
        </w:rPr>
        <w:t>n con el argumento incluido en el numeral (</w:t>
      </w:r>
      <w:proofErr w:type="spellStart"/>
      <w:r w:rsidRPr="00476E39">
        <w:rPr>
          <w:i/>
          <w:iCs/>
          <w:spacing w:val="-3"/>
          <w:sz w:val="22"/>
          <w:szCs w:val="22"/>
        </w:rPr>
        <w:t>ii</w:t>
      </w:r>
      <w:proofErr w:type="spellEnd"/>
      <w:r w:rsidRPr="00476E39">
        <w:rPr>
          <w:i/>
          <w:iCs/>
          <w:spacing w:val="-3"/>
          <w:sz w:val="22"/>
          <w:szCs w:val="22"/>
        </w:rPr>
        <w:t>) anterior, resaltamos que, para el reconocimiento de este tipo de activos CRINR en la base de activos de remuneraci</w:t>
      </w:r>
      <w:r>
        <w:rPr>
          <w:i/>
          <w:iCs/>
          <w:spacing w:val="-3"/>
          <w:sz w:val="22"/>
          <w:szCs w:val="22"/>
        </w:rPr>
        <w:t>ó</w:t>
      </w:r>
      <w:r w:rsidRPr="00476E39">
        <w:rPr>
          <w:i/>
          <w:iCs/>
          <w:spacing w:val="-3"/>
          <w:sz w:val="22"/>
          <w:szCs w:val="22"/>
        </w:rPr>
        <w:t>n, la Resoluci</w:t>
      </w:r>
      <w:r>
        <w:rPr>
          <w:i/>
          <w:iCs/>
          <w:spacing w:val="-3"/>
          <w:sz w:val="22"/>
          <w:szCs w:val="22"/>
        </w:rPr>
        <w:t>ó</w:t>
      </w:r>
      <w:r w:rsidRPr="00476E39">
        <w:rPr>
          <w:i/>
          <w:iCs/>
          <w:spacing w:val="-3"/>
          <w:sz w:val="22"/>
          <w:szCs w:val="22"/>
        </w:rPr>
        <w:t xml:space="preserve">n 015 de 2018 </w:t>
      </w:r>
      <w:r>
        <w:rPr>
          <w:i/>
          <w:iCs/>
          <w:spacing w:val="-3"/>
          <w:sz w:val="22"/>
          <w:szCs w:val="22"/>
        </w:rPr>
        <w:t>ú</w:t>
      </w:r>
      <w:r w:rsidRPr="00476E39">
        <w:rPr>
          <w:i/>
          <w:iCs/>
          <w:spacing w:val="-3"/>
          <w:sz w:val="22"/>
          <w:szCs w:val="22"/>
        </w:rPr>
        <w:t>nicamente exige que los mismos</w:t>
      </w:r>
      <w:r>
        <w:rPr>
          <w:i/>
          <w:iCs/>
          <w:spacing w:val="-3"/>
          <w:sz w:val="22"/>
          <w:szCs w:val="22"/>
        </w:rPr>
        <w:t xml:space="preserve"> </w:t>
      </w:r>
      <w:r w:rsidRPr="00476E39">
        <w:rPr>
          <w:i/>
          <w:iCs/>
          <w:spacing w:val="-3"/>
          <w:sz w:val="22"/>
          <w:szCs w:val="22"/>
        </w:rPr>
        <w:t>(a) no se hayan tenido en cuenta para la base de la remuneraci</w:t>
      </w:r>
      <w:r>
        <w:rPr>
          <w:i/>
          <w:iCs/>
          <w:spacing w:val="-3"/>
          <w:sz w:val="22"/>
          <w:szCs w:val="22"/>
        </w:rPr>
        <w:t>ó</w:t>
      </w:r>
      <w:r w:rsidRPr="00476E39">
        <w:rPr>
          <w:i/>
          <w:iCs/>
          <w:spacing w:val="-3"/>
          <w:sz w:val="22"/>
          <w:szCs w:val="22"/>
        </w:rPr>
        <w:t>n ba</w:t>
      </w:r>
      <w:r>
        <w:rPr>
          <w:i/>
          <w:iCs/>
          <w:spacing w:val="-3"/>
          <w:sz w:val="22"/>
          <w:szCs w:val="22"/>
        </w:rPr>
        <w:t>jo</w:t>
      </w:r>
      <w:r w:rsidRPr="00476E39">
        <w:rPr>
          <w:i/>
          <w:iCs/>
          <w:spacing w:val="-3"/>
          <w:sz w:val="22"/>
          <w:szCs w:val="22"/>
        </w:rPr>
        <w:t xml:space="preserve"> la Resoluci</w:t>
      </w:r>
      <w:r>
        <w:rPr>
          <w:i/>
          <w:iCs/>
          <w:spacing w:val="-3"/>
          <w:sz w:val="22"/>
          <w:szCs w:val="22"/>
        </w:rPr>
        <w:t>ó</w:t>
      </w:r>
      <w:r w:rsidRPr="00476E39">
        <w:rPr>
          <w:i/>
          <w:iCs/>
          <w:spacing w:val="-3"/>
          <w:sz w:val="22"/>
          <w:szCs w:val="22"/>
        </w:rPr>
        <w:t>n 097 de 2008 y (b) se encuentren operando de forma efectiva.</w:t>
      </w:r>
    </w:p>
    <w:p w14:paraId="4BAFB88E" w14:textId="2E5917EC" w:rsidR="00476E39" w:rsidRDefault="00476E39" w:rsidP="00476E39">
      <w:pPr>
        <w:ind w:left="567"/>
        <w:rPr>
          <w:i/>
          <w:iCs/>
          <w:spacing w:val="-3"/>
          <w:sz w:val="22"/>
          <w:szCs w:val="22"/>
        </w:rPr>
      </w:pPr>
      <w:proofErr w:type="spellStart"/>
      <w:r>
        <w:rPr>
          <w:i/>
          <w:iCs/>
          <w:spacing w:val="-3"/>
          <w:sz w:val="22"/>
          <w:szCs w:val="22"/>
        </w:rPr>
        <w:t>iv</w:t>
      </w:r>
      <w:proofErr w:type="spellEnd"/>
      <w:r>
        <w:rPr>
          <w:i/>
          <w:iCs/>
          <w:spacing w:val="-3"/>
          <w:sz w:val="22"/>
          <w:szCs w:val="22"/>
        </w:rPr>
        <w:t xml:space="preserve">. </w:t>
      </w:r>
      <w:r w:rsidRPr="00476E39">
        <w:rPr>
          <w:i/>
          <w:iCs/>
          <w:spacing w:val="-3"/>
          <w:sz w:val="22"/>
          <w:szCs w:val="22"/>
        </w:rPr>
        <w:t>Imposibilidad de dar cum</w:t>
      </w:r>
      <w:r>
        <w:rPr>
          <w:i/>
          <w:iCs/>
          <w:spacing w:val="-3"/>
          <w:sz w:val="22"/>
          <w:szCs w:val="22"/>
        </w:rPr>
        <w:t>p</w:t>
      </w:r>
      <w:r w:rsidRPr="00476E39">
        <w:rPr>
          <w:i/>
          <w:iCs/>
          <w:spacing w:val="-3"/>
          <w:sz w:val="22"/>
          <w:szCs w:val="22"/>
        </w:rPr>
        <w:t xml:space="preserve">limiento a la solicitud de la </w:t>
      </w:r>
      <w:r>
        <w:rPr>
          <w:i/>
          <w:iCs/>
          <w:spacing w:val="-3"/>
          <w:sz w:val="22"/>
          <w:szCs w:val="22"/>
        </w:rPr>
        <w:t>C</w:t>
      </w:r>
      <w:r w:rsidRPr="00476E39">
        <w:rPr>
          <w:i/>
          <w:iCs/>
          <w:spacing w:val="-3"/>
          <w:sz w:val="22"/>
          <w:szCs w:val="22"/>
        </w:rPr>
        <w:t xml:space="preserve">REG </w:t>
      </w:r>
      <w:r>
        <w:rPr>
          <w:i/>
          <w:iCs/>
          <w:spacing w:val="-3"/>
          <w:sz w:val="22"/>
          <w:szCs w:val="22"/>
        </w:rPr>
        <w:t>(</w:t>
      </w:r>
      <w:r w:rsidRPr="00476E39">
        <w:rPr>
          <w:i/>
          <w:iCs/>
          <w:spacing w:val="-3"/>
          <w:sz w:val="22"/>
          <w:szCs w:val="22"/>
        </w:rPr>
        <w:t>v.gr. obtener la aprobaci</w:t>
      </w:r>
      <w:r>
        <w:rPr>
          <w:i/>
          <w:iCs/>
          <w:spacing w:val="-3"/>
          <w:sz w:val="22"/>
          <w:szCs w:val="22"/>
        </w:rPr>
        <w:t>ó</w:t>
      </w:r>
      <w:r w:rsidRPr="00476E39">
        <w:rPr>
          <w:i/>
          <w:iCs/>
          <w:spacing w:val="-3"/>
          <w:sz w:val="22"/>
          <w:szCs w:val="22"/>
        </w:rPr>
        <w:t>n</w:t>
      </w:r>
      <w:r>
        <w:rPr>
          <w:i/>
          <w:iCs/>
          <w:spacing w:val="-3"/>
          <w:sz w:val="22"/>
          <w:szCs w:val="22"/>
        </w:rPr>
        <w:t xml:space="preserve"> </w:t>
      </w:r>
      <w:r w:rsidRPr="00476E39">
        <w:rPr>
          <w:i/>
          <w:iCs/>
          <w:spacing w:val="-3"/>
          <w:sz w:val="22"/>
          <w:szCs w:val="22"/>
        </w:rPr>
        <w:t xml:space="preserve">UPME): En todo caso, y no obstante no estando obligado a hacerlo, la EBSA, de forma diligente y atendiendo a las observaciones de la </w:t>
      </w:r>
      <w:r>
        <w:rPr>
          <w:i/>
          <w:iCs/>
          <w:spacing w:val="-3"/>
          <w:sz w:val="22"/>
          <w:szCs w:val="22"/>
        </w:rPr>
        <w:t>C</w:t>
      </w:r>
      <w:r w:rsidRPr="00476E39">
        <w:rPr>
          <w:i/>
          <w:iCs/>
          <w:spacing w:val="-3"/>
          <w:sz w:val="22"/>
          <w:szCs w:val="22"/>
        </w:rPr>
        <w:t>REG, si requiri</w:t>
      </w:r>
      <w:r>
        <w:rPr>
          <w:i/>
          <w:iCs/>
          <w:spacing w:val="-3"/>
          <w:sz w:val="22"/>
          <w:szCs w:val="22"/>
        </w:rPr>
        <w:t>ó</w:t>
      </w:r>
      <w:r w:rsidRPr="00476E39">
        <w:rPr>
          <w:i/>
          <w:iCs/>
          <w:spacing w:val="-3"/>
          <w:sz w:val="22"/>
          <w:szCs w:val="22"/>
        </w:rPr>
        <w:t xml:space="preserve"> </w:t>
      </w:r>
      <w:r w:rsidRPr="00476E39">
        <w:rPr>
          <w:i/>
          <w:iCs/>
          <w:spacing w:val="-3"/>
          <w:sz w:val="22"/>
          <w:szCs w:val="22"/>
        </w:rPr>
        <w:lastRenderedPageBreak/>
        <w:t>expresamente el concept</w:t>
      </w:r>
      <w:r>
        <w:rPr>
          <w:i/>
          <w:iCs/>
          <w:spacing w:val="-3"/>
          <w:sz w:val="22"/>
          <w:szCs w:val="22"/>
        </w:rPr>
        <w:t>o</w:t>
      </w:r>
      <w:r w:rsidRPr="00476E39">
        <w:rPr>
          <w:i/>
          <w:iCs/>
          <w:spacing w:val="-3"/>
          <w:sz w:val="22"/>
          <w:szCs w:val="22"/>
        </w:rPr>
        <w:t xml:space="preserve"> de UPME. Sin embargo, </w:t>
      </w:r>
      <w:r>
        <w:rPr>
          <w:i/>
          <w:iCs/>
          <w:spacing w:val="-3"/>
          <w:sz w:val="22"/>
          <w:szCs w:val="22"/>
        </w:rPr>
        <w:t>l</w:t>
      </w:r>
      <w:r w:rsidRPr="00476E39">
        <w:rPr>
          <w:i/>
          <w:iCs/>
          <w:spacing w:val="-3"/>
          <w:sz w:val="22"/>
          <w:szCs w:val="22"/>
        </w:rPr>
        <w:t>a UPME ya ha manifest</w:t>
      </w:r>
      <w:r>
        <w:rPr>
          <w:i/>
          <w:iCs/>
          <w:spacing w:val="-3"/>
          <w:sz w:val="22"/>
          <w:szCs w:val="22"/>
        </w:rPr>
        <w:t>a</w:t>
      </w:r>
      <w:r w:rsidRPr="00476E39">
        <w:rPr>
          <w:i/>
          <w:iCs/>
          <w:spacing w:val="-3"/>
          <w:sz w:val="22"/>
          <w:szCs w:val="22"/>
        </w:rPr>
        <w:t>d</w:t>
      </w:r>
      <w:r>
        <w:rPr>
          <w:i/>
          <w:iCs/>
          <w:spacing w:val="-3"/>
          <w:sz w:val="22"/>
          <w:szCs w:val="22"/>
        </w:rPr>
        <w:t>o</w:t>
      </w:r>
      <w:r w:rsidRPr="00476E39">
        <w:rPr>
          <w:i/>
          <w:iCs/>
          <w:spacing w:val="-3"/>
          <w:sz w:val="22"/>
          <w:szCs w:val="22"/>
        </w:rPr>
        <w:t xml:space="preserve"> que no emitir</w:t>
      </w:r>
      <w:r>
        <w:rPr>
          <w:i/>
          <w:iCs/>
          <w:spacing w:val="-3"/>
          <w:sz w:val="22"/>
          <w:szCs w:val="22"/>
        </w:rPr>
        <w:t>á</w:t>
      </w:r>
      <w:r w:rsidRPr="00476E39">
        <w:rPr>
          <w:i/>
          <w:iCs/>
          <w:spacing w:val="-3"/>
          <w:sz w:val="22"/>
          <w:szCs w:val="22"/>
        </w:rPr>
        <w:t xml:space="preserve"> concept</w:t>
      </w:r>
      <w:r>
        <w:rPr>
          <w:i/>
          <w:iCs/>
          <w:spacing w:val="-3"/>
          <w:sz w:val="22"/>
          <w:szCs w:val="22"/>
        </w:rPr>
        <w:t>o</w:t>
      </w:r>
      <w:r w:rsidRPr="00476E39">
        <w:rPr>
          <w:i/>
          <w:iCs/>
          <w:spacing w:val="-3"/>
          <w:sz w:val="22"/>
          <w:szCs w:val="22"/>
        </w:rPr>
        <w:t xml:space="preserve"> para este tipo de activos toda vez que (i) los activos ya est</w:t>
      </w:r>
      <w:r>
        <w:rPr>
          <w:i/>
          <w:iCs/>
          <w:spacing w:val="-3"/>
          <w:sz w:val="22"/>
          <w:szCs w:val="22"/>
        </w:rPr>
        <w:t>á</w:t>
      </w:r>
      <w:r w:rsidRPr="00476E39">
        <w:rPr>
          <w:i/>
          <w:iCs/>
          <w:spacing w:val="-3"/>
          <w:sz w:val="22"/>
          <w:szCs w:val="22"/>
        </w:rPr>
        <w:t>n en operaci</w:t>
      </w:r>
      <w:r>
        <w:rPr>
          <w:i/>
          <w:iCs/>
          <w:spacing w:val="-3"/>
          <w:sz w:val="22"/>
          <w:szCs w:val="22"/>
        </w:rPr>
        <w:t>ó</w:t>
      </w:r>
      <w:r w:rsidRPr="00476E39">
        <w:rPr>
          <w:i/>
          <w:iCs/>
          <w:spacing w:val="-3"/>
          <w:sz w:val="22"/>
          <w:szCs w:val="22"/>
        </w:rPr>
        <w:t>n; y (</w:t>
      </w:r>
      <w:proofErr w:type="spellStart"/>
      <w:r w:rsidRPr="00476E39">
        <w:rPr>
          <w:i/>
          <w:iCs/>
          <w:spacing w:val="-3"/>
          <w:sz w:val="22"/>
          <w:szCs w:val="22"/>
        </w:rPr>
        <w:t>ii</w:t>
      </w:r>
      <w:proofErr w:type="spellEnd"/>
      <w:r w:rsidRPr="00476E39">
        <w:rPr>
          <w:i/>
          <w:iCs/>
          <w:spacing w:val="-3"/>
          <w:sz w:val="22"/>
          <w:szCs w:val="22"/>
        </w:rPr>
        <w:t xml:space="preserve">) para </w:t>
      </w:r>
      <w:r>
        <w:rPr>
          <w:i/>
          <w:iCs/>
          <w:spacing w:val="-3"/>
          <w:sz w:val="22"/>
          <w:szCs w:val="22"/>
        </w:rPr>
        <w:t>l</w:t>
      </w:r>
      <w:r w:rsidRPr="00476E39">
        <w:rPr>
          <w:i/>
          <w:iCs/>
          <w:spacing w:val="-3"/>
          <w:sz w:val="22"/>
          <w:szCs w:val="22"/>
        </w:rPr>
        <w:t xml:space="preserve">a </w:t>
      </w:r>
      <w:r>
        <w:rPr>
          <w:i/>
          <w:iCs/>
          <w:spacing w:val="-3"/>
          <w:sz w:val="22"/>
          <w:szCs w:val="22"/>
        </w:rPr>
        <w:t>é</w:t>
      </w:r>
      <w:r w:rsidRPr="00476E39">
        <w:rPr>
          <w:i/>
          <w:iCs/>
          <w:spacing w:val="-3"/>
          <w:sz w:val="22"/>
          <w:szCs w:val="22"/>
        </w:rPr>
        <w:t>poca en la cual tales activos fueron construidos (antes de 2008), no se requer</w:t>
      </w:r>
      <w:r>
        <w:rPr>
          <w:i/>
          <w:iCs/>
          <w:spacing w:val="-3"/>
          <w:sz w:val="22"/>
          <w:szCs w:val="22"/>
        </w:rPr>
        <w:t>í</w:t>
      </w:r>
      <w:r w:rsidRPr="00476E39">
        <w:rPr>
          <w:i/>
          <w:iCs/>
          <w:spacing w:val="-3"/>
          <w:sz w:val="22"/>
          <w:szCs w:val="22"/>
        </w:rPr>
        <w:t>a legalmente de tal aprobaci</w:t>
      </w:r>
      <w:r>
        <w:rPr>
          <w:i/>
          <w:iCs/>
          <w:spacing w:val="-3"/>
          <w:sz w:val="22"/>
          <w:szCs w:val="22"/>
        </w:rPr>
        <w:t>ó</w:t>
      </w:r>
      <w:r w:rsidRPr="00476E39">
        <w:rPr>
          <w:i/>
          <w:iCs/>
          <w:spacing w:val="-3"/>
          <w:sz w:val="22"/>
          <w:szCs w:val="22"/>
        </w:rPr>
        <w:t>n de la UPME.</w:t>
      </w:r>
    </w:p>
    <w:p w14:paraId="2F387897" w14:textId="77A90071" w:rsidR="00FA6880" w:rsidRDefault="00FA6880" w:rsidP="003F3C3D">
      <w:pPr>
        <w:spacing w:before="240"/>
      </w:pPr>
      <w:r>
        <w:t xml:space="preserve">Con respecto a la solicitud del OR de reconocer los activos de nivel de tensión 4 clasificados dentro de la variable CRINR </w:t>
      </w:r>
      <w:r w:rsidR="00DF69AA">
        <w:t xml:space="preserve">que no cuentan con concepto de la UPME, </w:t>
      </w:r>
      <w:r>
        <w:t>y tras analizar los argumentos expuestos por la empresa, la CREG encuentra lo siguiente:</w:t>
      </w:r>
    </w:p>
    <w:p w14:paraId="24770AFB" w14:textId="77777777" w:rsidR="00FA6880" w:rsidRDefault="00FA6880" w:rsidP="00FA6880">
      <w:pPr>
        <w:pStyle w:val="Prrafodelista"/>
        <w:numPr>
          <w:ilvl w:val="0"/>
          <w:numId w:val="22"/>
        </w:numPr>
      </w:pPr>
      <w:r>
        <w:t>Es incorrecta la afirmación hecha por el OR con respecto a la inexistencia del requisito de aprobación por parte de la UPME con respecto a nuevos activos del nivel de tensión 4, ya que este requisito se encuentra en la regulación desde el año 2002, a través del artículo 6 de la Resolución CREG 082 de 2002, que se transcribe a continuación:</w:t>
      </w:r>
    </w:p>
    <w:p w14:paraId="05ECF5A9" w14:textId="77777777" w:rsidR="00FA6880" w:rsidRPr="00B01A30" w:rsidRDefault="00FA6880" w:rsidP="00FA6880">
      <w:pPr>
        <w:ind w:left="567"/>
        <w:rPr>
          <w:i/>
          <w:iCs/>
          <w:spacing w:val="-3"/>
          <w:sz w:val="22"/>
          <w:szCs w:val="22"/>
        </w:rPr>
      </w:pPr>
      <w:r w:rsidRPr="00B01A30">
        <w:rPr>
          <w:i/>
          <w:iCs/>
          <w:spacing w:val="-3"/>
          <w:sz w:val="22"/>
          <w:szCs w:val="22"/>
        </w:rPr>
        <w:t>Artículo 6º. Actualización de los cargos de los STR por puesta en servicio de nuevos activos. Cuando entren en operación nuevos activos de uso del Nivel de Tensión 4 o de conexión al STN durante el período tarifario, el Costo Anual por el uso de los activos del Nivel de Tensión 4 o el Costo Anual de los Activos de Conexión al STN, podrán ser revisados por la Comisión, para lo cual se deberá cumplir lo siguiente:</w:t>
      </w:r>
    </w:p>
    <w:p w14:paraId="6E9909E4" w14:textId="77777777" w:rsidR="00FA6880" w:rsidRPr="00B01A30" w:rsidRDefault="00FA6880" w:rsidP="00FA6880">
      <w:pPr>
        <w:ind w:left="567"/>
        <w:rPr>
          <w:i/>
          <w:iCs/>
          <w:spacing w:val="-3"/>
          <w:sz w:val="22"/>
          <w:szCs w:val="22"/>
        </w:rPr>
      </w:pPr>
      <w:r w:rsidRPr="00B01A30">
        <w:rPr>
          <w:i/>
          <w:iCs/>
          <w:spacing w:val="-3"/>
          <w:sz w:val="22"/>
          <w:szCs w:val="22"/>
        </w:rPr>
        <w:t>1. Que los proyectos de Conexión al STN hayan sido aprobados por la UPME y se haya suscrito el respectivo contrato de conexión, con sujeción a la regulación vigente.</w:t>
      </w:r>
    </w:p>
    <w:p w14:paraId="001D6432" w14:textId="77777777" w:rsidR="00FA6880" w:rsidRDefault="00FA6880" w:rsidP="00FA6880">
      <w:pPr>
        <w:ind w:left="567"/>
        <w:rPr>
          <w:i/>
          <w:iCs/>
          <w:spacing w:val="-3"/>
          <w:sz w:val="22"/>
          <w:szCs w:val="22"/>
        </w:rPr>
      </w:pPr>
      <w:r w:rsidRPr="00B01A30">
        <w:rPr>
          <w:i/>
          <w:iCs/>
          <w:spacing w:val="-3"/>
          <w:sz w:val="22"/>
          <w:szCs w:val="22"/>
        </w:rPr>
        <w:t>2. Que los proyectos relacionados con activos de uso del Nivel de Tensión 4, solicitados por un OR, hayan sido aprobados por la UPME de acuerdo con los criterios de expansión del Sistema Interconectado Nacional, adoptados por el Ministerio de Minas y Energía.</w:t>
      </w:r>
    </w:p>
    <w:p w14:paraId="572CF04D" w14:textId="223E03A7" w:rsidR="00FA6880" w:rsidRDefault="00FA6880" w:rsidP="00FA6880">
      <w:pPr>
        <w:pStyle w:val="Prrafodelista"/>
        <w:numPr>
          <w:ilvl w:val="0"/>
          <w:numId w:val="22"/>
        </w:numPr>
      </w:pPr>
      <w:r>
        <w:t xml:space="preserve">El concepto de la UPME, entidad responsable de la </w:t>
      </w:r>
      <w:r w:rsidRPr="0012205D">
        <w:t>planeación del SIN de acuerdo con lo establecido en el artículo 12 de la Ley 143 de 1994</w:t>
      </w:r>
      <w:r w:rsidR="00E0206C">
        <w:t>,</w:t>
      </w:r>
      <w:r>
        <w:t xml:space="preserve"> y la Resolución 181313 de 2002 del Ministerio de Minas y Energía, ha estado incluido en los últimos 18 años de aplicación de las metodologías tarifarias de la actividad de distribución expedidas por la CREG, incluyendo la contenida en la Resolución CREG 015 de 2018. Por esta razón</w:t>
      </w:r>
      <w:r w:rsidR="00E0206C">
        <w:t>,</w:t>
      </w:r>
      <w:r>
        <w:t xml:space="preserve"> la CREG no encuentra fundamento en el argumento expuesto por el recurrente en cuanto a que este requisito no es exigible al momento de incluir los activos del nivel de tensión 4 que el OR había dejado de incluir en el último inventario reportado a la CREG (año 2007).</w:t>
      </w:r>
    </w:p>
    <w:p w14:paraId="720BA3FB" w14:textId="1056B8A3" w:rsidR="00FA6880" w:rsidRDefault="00FA6880" w:rsidP="00FA6880">
      <w:r>
        <w:t xml:space="preserve">En conclusión, no se acepta la solicitud del OR de incluir en su inventario los activos de nivel de tensión 4, clasificados como CRINR, que no </w:t>
      </w:r>
      <w:r w:rsidR="00904082">
        <w:t xml:space="preserve">cuentan </w:t>
      </w:r>
      <w:r>
        <w:t>con la aprobación de la UPME.</w:t>
      </w:r>
    </w:p>
    <w:p w14:paraId="699A6B9C" w14:textId="0B9994A9" w:rsidR="002E6A36" w:rsidRDefault="002E6A36" w:rsidP="00DC4616">
      <w:pPr>
        <w:keepNext/>
        <w:ind w:left="567"/>
        <w:rPr>
          <w:b/>
          <w:bCs/>
          <w:i/>
          <w:iCs/>
          <w:spacing w:val="-3"/>
          <w:sz w:val="22"/>
          <w:szCs w:val="22"/>
        </w:rPr>
      </w:pPr>
      <w:r w:rsidRPr="002E6A36">
        <w:rPr>
          <w:b/>
          <w:bCs/>
          <w:i/>
          <w:iCs/>
          <w:spacing w:val="-3"/>
          <w:sz w:val="22"/>
          <w:szCs w:val="22"/>
        </w:rPr>
        <w:t>B: Reconocimiento activos CRIN</w:t>
      </w:r>
    </w:p>
    <w:p w14:paraId="36EA72ED" w14:textId="69F600A1" w:rsidR="002E6A36" w:rsidRPr="002E6A36" w:rsidRDefault="002E6A36" w:rsidP="002E6A36">
      <w:pPr>
        <w:ind w:left="567"/>
        <w:rPr>
          <w:i/>
          <w:iCs/>
          <w:spacing w:val="-3"/>
          <w:sz w:val="22"/>
          <w:szCs w:val="22"/>
        </w:rPr>
      </w:pPr>
      <w:r w:rsidRPr="002E6A36">
        <w:rPr>
          <w:i/>
          <w:iCs/>
          <w:spacing w:val="-3"/>
          <w:sz w:val="22"/>
          <w:szCs w:val="22"/>
        </w:rPr>
        <w:t>De otra parte, en el caso de las UC clasificadas como CRIN (entrada en operaci</w:t>
      </w:r>
      <w:r>
        <w:rPr>
          <w:i/>
          <w:iCs/>
          <w:spacing w:val="-3"/>
          <w:sz w:val="22"/>
          <w:szCs w:val="22"/>
        </w:rPr>
        <w:t>ó</w:t>
      </w:r>
      <w:r w:rsidRPr="002E6A36">
        <w:rPr>
          <w:i/>
          <w:iCs/>
          <w:spacing w:val="-3"/>
          <w:sz w:val="22"/>
          <w:szCs w:val="22"/>
        </w:rPr>
        <w:t xml:space="preserve">n entre 2008 </w:t>
      </w:r>
      <w:r>
        <w:rPr>
          <w:i/>
          <w:iCs/>
          <w:spacing w:val="-3"/>
          <w:sz w:val="22"/>
          <w:szCs w:val="22"/>
        </w:rPr>
        <w:t xml:space="preserve">- </w:t>
      </w:r>
      <w:r w:rsidRPr="002E6A36">
        <w:rPr>
          <w:i/>
          <w:iCs/>
          <w:spacing w:val="-3"/>
          <w:sz w:val="22"/>
          <w:szCs w:val="22"/>
        </w:rPr>
        <w:t>2017) EBSA solicita verificar</w:t>
      </w:r>
      <w:r>
        <w:rPr>
          <w:i/>
          <w:iCs/>
          <w:spacing w:val="-3"/>
          <w:sz w:val="22"/>
          <w:szCs w:val="22"/>
        </w:rPr>
        <w:t xml:space="preserve"> en</w:t>
      </w:r>
      <w:r w:rsidRPr="002E6A36">
        <w:rPr>
          <w:i/>
          <w:iCs/>
          <w:spacing w:val="-3"/>
          <w:sz w:val="22"/>
          <w:szCs w:val="22"/>
        </w:rPr>
        <w:t xml:space="preserve"> terreno que los activos son necesarios para </w:t>
      </w:r>
      <w:r>
        <w:rPr>
          <w:i/>
          <w:iCs/>
          <w:spacing w:val="-3"/>
          <w:sz w:val="22"/>
          <w:szCs w:val="22"/>
        </w:rPr>
        <w:t>l</w:t>
      </w:r>
      <w:r w:rsidRPr="002E6A36">
        <w:rPr>
          <w:i/>
          <w:iCs/>
          <w:spacing w:val="-3"/>
          <w:sz w:val="22"/>
          <w:szCs w:val="22"/>
        </w:rPr>
        <w:t xml:space="preserve">a </w:t>
      </w:r>
      <w:r>
        <w:rPr>
          <w:i/>
          <w:iCs/>
          <w:spacing w:val="-3"/>
          <w:sz w:val="22"/>
          <w:szCs w:val="22"/>
        </w:rPr>
        <w:t>ó</w:t>
      </w:r>
      <w:r w:rsidRPr="002E6A36">
        <w:rPr>
          <w:i/>
          <w:iCs/>
          <w:spacing w:val="-3"/>
          <w:sz w:val="22"/>
          <w:szCs w:val="22"/>
        </w:rPr>
        <w:t>ptima operaci</w:t>
      </w:r>
      <w:r>
        <w:rPr>
          <w:i/>
          <w:iCs/>
          <w:spacing w:val="-3"/>
          <w:sz w:val="22"/>
          <w:szCs w:val="22"/>
        </w:rPr>
        <w:t>ó</w:t>
      </w:r>
      <w:r w:rsidRPr="002E6A36">
        <w:rPr>
          <w:i/>
          <w:iCs/>
          <w:spacing w:val="-3"/>
          <w:sz w:val="22"/>
          <w:szCs w:val="22"/>
        </w:rPr>
        <w:t>n</w:t>
      </w:r>
      <w:r>
        <w:rPr>
          <w:i/>
          <w:iCs/>
          <w:spacing w:val="-3"/>
          <w:sz w:val="22"/>
          <w:szCs w:val="22"/>
        </w:rPr>
        <w:t xml:space="preserve"> </w:t>
      </w:r>
      <w:r w:rsidRPr="002E6A36">
        <w:rPr>
          <w:i/>
          <w:iCs/>
          <w:spacing w:val="-3"/>
          <w:sz w:val="22"/>
          <w:szCs w:val="22"/>
        </w:rPr>
        <w:t>del sistema dentro de los par</w:t>
      </w:r>
      <w:r>
        <w:rPr>
          <w:i/>
          <w:iCs/>
          <w:spacing w:val="-3"/>
          <w:sz w:val="22"/>
          <w:szCs w:val="22"/>
        </w:rPr>
        <w:t>á</w:t>
      </w:r>
      <w:r w:rsidRPr="002E6A36">
        <w:rPr>
          <w:i/>
          <w:iCs/>
          <w:spacing w:val="-3"/>
          <w:sz w:val="22"/>
          <w:szCs w:val="22"/>
        </w:rPr>
        <w:t>metros de confiabilidad, continuidad y seguridad requeridos y que</w:t>
      </w:r>
      <w:r>
        <w:rPr>
          <w:i/>
          <w:iCs/>
          <w:spacing w:val="-3"/>
          <w:sz w:val="22"/>
          <w:szCs w:val="22"/>
        </w:rPr>
        <w:t xml:space="preserve"> </w:t>
      </w:r>
      <w:r w:rsidRPr="002E6A36">
        <w:rPr>
          <w:i/>
          <w:iCs/>
          <w:spacing w:val="-3"/>
          <w:sz w:val="22"/>
          <w:szCs w:val="22"/>
        </w:rPr>
        <w:t>estos se encuentran operativos, par</w:t>
      </w:r>
      <w:r>
        <w:rPr>
          <w:i/>
          <w:iCs/>
          <w:spacing w:val="-3"/>
          <w:sz w:val="22"/>
          <w:szCs w:val="22"/>
        </w:rPr>
        <w:t>a</w:t>
      </w:r>
      <w:r w:rsidRPr="002E6A36">
        <w:rPr>
          <w:i/>
          <w:iCs/>
          <w:spacing w:val="-3"/>
          <w:sz w:val="22"/>
          <w:szCs w:val="22"/>
        </w:rPr>
        <w:t xml:space="preserve"> lo cual pone a disposici</w:t>
      </w:r>
      <w:r>
        <w:rPr>
          <w:i/>
          <w:iCs/>
          <w:spacing w:val="-3"/>
          <w:sz w:val="22"/>
          <w:szCs w:val="22"/>
        </w:rPr>
        <w:t>ó</w:t>
      </w:r>
      <w:r w:rsidRPr="002E6A36">
        <w:rPr>
          <w:i/>
          <w:iCs/>
          <w:spacing w:val="-3"/>
          <w:sz w:val="22"/>
          <w:szCs w:val="22"/>
        </w:rPr>
        <w:t xml:space="preserve">n de la </w:t>
      </w:r>
      <w:r>
        <w:rPr>
          <w:i/>
          <w:iCs/>
          <w:spacing w:val="-3"/>
          <w:sz w:val="22"/>
          <w:szCs w:val="22"/>
        </w:rPr>
        <w:t>C</w:t>
      </w:r>
      <w:r w:rsidRPr="002E6A36">
        <w:rPr>
          <w:i/>
          <w:iCs/>
          <w:spacing w:val="-3"/>
          <w:sz w:val="22"/>
          <w:szCs w:val="22"/>
        </w:rPr>
        <w:t>REG el personal necesario par</w:t>
      </w:r>
      <w:r>
        <w:rPr>
          <w:i/>
          <w:iCs/>
          <w:spacing w:val="-3"/>
          <w:sz w:val="22"/>
          <w:szCs w:val="22"/>
        </w:rPr>
        <w:t>a</w:t>
      </w:r>
      <w:r w:rsidRPr="002E6A36">
        <w:rPr>
          <w:i/>
          <w:iCs/>
          <w:spacing w:val="-3"/>
          <w:sz w:val="22"/>
          <w:szCs w:val="22"/>
        </w:rPr>
        <w:t xml:space="preserve"> atender la vis</w:t>
      </w:r>
      <w:r>
        <w:rPr>
          <w:i/>
          <w:iCs/>
          <w:spacing w:val="-3"/>
          <w:sz w:val="22"/>
          <w:szCs w:val="22"/>
        </w:rPr>
        <w:t>i</w:t>
      </w:r>
      <w:r w:rsidRPr="002E6A36">
        <w:rPr>
          <w:i/>
          <w:iCs/>
          <w:spacing w:val="-3"/>
          <w:sz w:val="22"/>
          <w:szCs w:val="22"/>
        </w:rPr>
        <w:t>ta de verifica</w:t>
      </w:r>
      <w:r>
        <w:rPr>
          <w:i/>
          <w:iCs/>
          <w:spacing w:val="-3"/>
          <w:sz w:val="22"/>
          <w:szCs w:val="22"/>
        </w:rPr>
        <w:t>c</w:t>
      </w:r>
      <w:r w:rsidRPr="002E6A36">
        <w:rPr>
          <w:i/>
          <w:iCs/>
          <w:spacing w:val="-3"/>
          <w:sz w:val="22"/>
          <w:szCs w:val="22"/>
        </w:rPr>
        <w:t>i</w:t>
      </w:r>
      <w:r>
        <w:rPr>
          <w:i/>
          <w:iCs/>
          <w:spacing w:val="-3"/>
          <w:sz w:val="22"/>
          <w:szCs w:val="22"/>
        </w:rPr>
        <w:t>ó</w:t>
      </w:r>
      <w:r w:rsidRPr="002E6A36">
        <w:rPr>
          <w:i/>
          <w:iCs/>
          <w:spacing w:val="-3"/>
          <w:sz w:val="22"/>
          <w:szCs w:val="22"/>
        </w:rPr>
        <w:t>n. No obstante, es de se</w:t>
      </w:r>
      <w:r>
        <w:rPr>
          <w:i/>
          <w:iCs/>
          <w:spacing w:val="-3"/>
          <w:sz w:val="22"/>
          <w:szCs w:val="22"/>
        </w:rPr>
        <w:t>ñ</w:t>
      </w:r>
      <w:r w:rsidRPr="002E6A36">
        <w:rPr>
          <w:i/>
          <w:iCs/>
          <w:spacing w:val="-3"/>
          <w:sz w:val="22"/>
          <w:szCs w:val="22"/>
        </w:rPr>
        <w:t>alar que EBSA en forma diligente y debida, realiz</w:t>
      </w:r>
      <w:r>
        <w:rPr>
          <w:i/>
          <w:iCs/>
          <w:spacing w:val="-3"/>
          <w:sz w:val="22"/>
          <w:szCs w:val="22"/>
        </w:rPr>
        <w:t>ó</w:t>
      </w:r>
      <w:r w:rsidRPr="002E6A36">
        <w:rPr>
          <w:i/>
          <w:iCs/>
          <w:spacing w:val="-3"/>
          <w:sz w:val="22"/>
          <w:szCs w:val="22"/>
        </w:rPr>
        <w:t xml:space="preserve"> </w:t>
      </w:r>
      <w:r>
        <w:rPr>
          <w:i/>
          <w:iCs/>
          <w:spacing w:val="-3"/>
          <w:sz w:val="22"/>
          <w:szCs w:val="22"/>
        </w:rPr>
        <w:t>l</w:t>
      </w:r>
      <w:r w:rsidRPr="002E6A36">
        <w:rPr>
          <w:i/>
          <w:iCs/>
          <w:spacing w:val="-3"/>
          <w:sz w:val="22"/>
          <w:szCs w:val="22"/>
        </w:rPr>
        <w:t>a solicitud de aprobaci</w:t>
      </w:r>
      <w:r>
        <w:rPr>
          <w:i/>
          <w:iCs/>
          <w:spacing w:val="-3"/>
          <w:sz w:val="22"/>
          <w:szCs w:val="22"/>
        </w:rPr>
        <w:t>ó</w:t>
      </w:r>
      <w:r w:rsidRPr="002E6A36">
        <w:rPr>
          <w:i/>
          <w:iCs/>
          <w:spacing w:val="-3"/>
          <w:sz w:val="22"/>
          <w:szCs w:val="22"/>
        </w:rPr>
        <w:t xml:space="preserve">n de estos activos ante la UPME, </w:t>
      </w:r>
      <w:r>
        <w:rPr>
          <w:i/>
          <w:iCs/>
          <w:spacing w:val="-3"/>
          <w:sz w:val="22"/>
          <w:szCs w:val="22"/>
        </w:rPr>
        <w:t>l</w:t>
      </w:r>
      <w:r w:rsidRPr="002E6A36">
        <w:rPr>
          <w:i/>
          <w:iCs/>
          <w:spacing w:val="-3"/>
          <w:sz w:val="22"/>
          <w:szCs w:val="22"/>
        </w:rPr>
        <w:t>a cual se encuentra en tr</w:t>
      </w:r>
      <w:r>
        <w:rPr>
          <w:i/>
          <w:iCs/>
          <w:spacing w:val="-3"/>
          <w:sz w:val="22"/>
          <w:szCs w:val="22"/>
        </w:rPr>
        <w:t>á</w:t>
      </w:r>
      <w:r w:rsidRPr="002E6A36">
        <w:rPr>
          <w:i/>
          <w:iCs/>
          <w:spacing w:val="-3"/>
          <w:sz w:val="22"/>
          <w:szCs w:val="22"/>
        </w:rPr>
        <w:t xml:space="preserve">mite. </w:t>
      </w:r>
      <w:r>
        <w:rPr>
          <w:i/>
          <w:iCs/>
          <w:spacing w:val="-3"/>
          <w:sz w:val="22"/>
          <w:szCs w:val="22"/>
        </w:rPr>
        <w:t>P</w:t>
      </w:r>
      <w:r w:rsidRPr="002E6A36">
        <w:rPr>
          <w:i/>
          <w:iCs/>
          <w:spacing w:val="-3"/>
          <w:sz w:val="22"/>
          <w:szCs w:val="22"/>
        </w:rPr>
        <w:t xml:space="preserve">or lo anterior, se solicita a la CREG que (i) estos activos sean remunerados porque se </w:t>
      </w:r>
      <w:r w:rsidRPr="002E6A36">
        <w:rPr>
          <w:i/>
          <w:iCs/>
          <w:spacing w:val="-3"/>
          <w:sz w:val="22"/>
          <w:szCs w:val="22"/>
        </w:rPr>
        <w:lastRenderedPageBreak/>
        <w:t>encuentran en operaci</w:t>
      </w:r>
      <w:r>
        <w:rPr>
          <w:i/>
          <w:iCs/>
          <w:spacing w:val="-3"/>
          <w:sz w:val="22"/>
          <w:szCs w:val="22"/>
        </w:rPr>
        <w:t>ó</w:t>
      </w:r>
      <w:r w:rsidRPr="002E6A36">
        <w:rPr>
          <w:i/>
          <w:iCs/>
          <w:spacing w:val="-3"/>
          <w:sz w:val="22"/>
          <w:szCs w:val="22"/>
        </w:rPr>
        <w:t>n y dentro de los par</w:t>
      </w:r>
      <w:r>
        <w:rPr>
          <w:i/>
          <w:iCs/>
          <w:spacing w:val="-3"/>
          <w:sz w:val="22"/>
          <w:szCs w:val="22"/>
        </w:rPr>
        <w:t>á</w:t>
      </w:r>
      <w:r w:rsidRPr="002E6A36">
        <w:rPr>
          <w:i/>
          <w:iCs/>
          <w:spacing w:val="-3"/>
          <w:sz w:val="22"/>
          <w:szCs w:val="22"/>
        </w:rPr>
        <w:t>metros de confiabilidad, continuidad y seguridad requeridos, o (</w:t>
      </w:r>
      <w:proofErr w:type="spellStart"/>
      <w:r w:rsidRPr="002E6A36">
        <w:rPr>
          <w:i/>
          <w:iCs/>
          <w:spacing w:val="-3"/>
          <w:sz w:val="22"/>
          <w:szCs w:val="22"/>
        </w:rPr>
        <w:t>ii</w:t>
      </w:r>
      <w:proofErr w:type="spellEnd"/>
      <w:r w:rsidRPr="002E6A36">
        <w:rPr>
          <w:i/>
          <w:iCs/>
          <w:spacing w:val="-3"/>
          <w:sz w:val="22"/>
          <w:szCs w:val="22"/>
        </w:rPr>
        <w:t>) de manera subsidiaria, se indique expresamente en la Resoluci</w:t>
      </w:r>
      <w:r>
        <w:rPr>
          <w:i/>
          <w:iCs/>
          <w:spacing w:val="-3"/>
          <w:sz w:val="22"/>
          <w:szCs w:val="22"/>
        </w:rPr>
        <w:t>ó</w:t>
      </w:r>
      <w:r w:rsidRPr="002E6A36">
        <w:rPr>
          <w:i/>
          <w:iCs/>
          <w:spacing w:val="-3"/>
          <w:sz w:val="22"/>
          <w:szCs w:val="22"/>
        </w:rPr>
        <w:t>n que estos activos ser</w:t>
      </w:r>
      <w:r>
        <w:rPr>
          <w:i/>
          <w:iCs/>
          <w:spacing w:val="-3"/>
          <w:sz w:val="22"/>
          <w:szCs w:val="22"/>
        </w:rPr>
        <w:t>á</w:t>
      </w:r>
      <w:r w:rsidRPr="002E6A36">
        <w:rPr>
          <w:i/>
          <w:iCs/>
          <w:spacing w:val="-3"/>
          <w:sz w:val="22"/>
          <w:szCs w:val="22"/>
        </w:rPr>
        <w:t>n remunerados, de forma retroactiv</w:t>
      </w:r>
      <w:r>
        <w:rPr>
          <w:i/>
          <w:iCs/>
          <w:spacing w:val="-3"/>
          <w:sz w:val="22"/>
          <w:szCs w:val="22"/>
        </w:rPr>
        <w:t>a</w:t>
      </w:r>
      <w:r w:rsidRPr="002E6A36">
        <w:rPr>
          <w:i/>
          <w:iCs/>
          <w:spacing w:val="-3"/>
          <w:sz w:val="22"/>
          <w:szCs w:val="22"/>
        </w:rPr>
        <w:t xml:space="preserve"> desde el 1 de abril de 2019, de acuerdo con lo previsto p</w:t>
      </w:r>
      <w:r w:rsidR="009F17C1">
        <w:rPr>
          <w:i/>
          <w:iCs/>
          <w:spacing w:val="-3"/>
          <w:sz w:val="22"/>
          <w:szCs w:val="22"/>
        </w:rPr>
        <w:t>o</w:t>
      </w:r>
      <w:r w:rsidRPr="002E6A36">
        <w:rPr>
          <w:i/>
          <w:iCs/>
          <w:spacing w:val="-3"/>
          <w:sz w:val="22"/>
          <w:szCs w:val="22"/>
        </w:rPr>
        <w:t>r la Resoluci</w:t>
      </w:r>
      <w:r w:rsidR="009F17C1">
        <w:rPr>
          <w:i/>
          <w:iCs/>
          <w:spacing w:val="-3"/>
          <w:sz w:val="22"/>
          <w:szCs w:val="22"/>
        </w:rPr>
        <w:t>ó</w:t>
      </w:r>
      <w:r w:rsidRPr="002E6A36">
        <w:rPr>
          <w:i/>
          <w:iCs/>
          <w:spacing w:val="-3"/>
          <w:sz w:val="22"/>
          <w:szCs w:val="22"/>
        </w:rPr>
        <w:t>n 015 de 2018, modificada par la Resoluci</w:t>
      </w:r>
      <w:r w:rsidR="009F17C1">
        <w:rPr>
          <w:i/>
          <w:iCs/>
          <w:spacing w:val="-3"/>
          <w:sz w:val="22"/>
          <w:szCs w:val="22"/>
        </w:rPr>
        <w:t>ó</w:t>
      </w:r>
      <w:r w:rsidRPr="002E6A36">
        <w:rPr>
          <w:i/>
          <w:iCs/>
          <w:spacing w:val="-3"/>
          <w:sz w:val="22"/>
          <w:szCs w:val="22"/>
        </w:rPr>
        <w:t xml:space="preserve">n </w:t>
      </w:r>
      <w:r w:rsidR="00FA6880">
        <w:rPr>
          <w:i/>
          <w:iCs/>
          <w:spacing w:val="-3"/>
          <w:sz w:val="22"/>
          <w:szCs w:val="22"/>
        </w:rPr>
        <w:t>C</w:t>
      </w:r>
      <w:r w:rsidRPr="002E6A36">
        <w:rPr>
          <w:i/>
          <w:iCs/>
          <w:spacing w:val="-3"/>
          <w:sz w:val="22"/>
          <w:szCs w:val="22"/>
        </w:rPr>
        <w:t>REG 036 de 2019, una vez sea emitido el concepto correspondiente par parte UPME el cual, com</w:t>
      </w:r>
      <w:r w:rsidR="00A750BD">
        <w:rPr>
          <w:i/>
          <w:iCs/>
          <w:spacing w:val="-3"/>
          <w:sz w:val="22"/>
          <w:szCs w:val="22"/>
        </w:rPr>
        <w:t>o</w:t>
      </w:r>
      <w:r w:rsidRPr="002E6A36">
        <w:rPr>
          <w:i/>
          <w:iCs/>
          <w:spacing w:val="-3"/>
          <w:sz w:val="22"/>
          <w:szCs w:val="22"/>
        </w:rPr>
        <w:t xml:space="preserve"> se mencion</w:t>
      </w:r>
      <w:r w:rsidR="009F17C1">
        <w:rPr>
          <w:i/>
          <w:iCs/>
          <w:spacing w:val="-3"/>
          <w:sz w:val="22"/>
          <w:szCs w:val="22"/>
        </w:rPr>
        <w:t>ó</w:t>
      </w:r>
      <w:r w:rsidRPr="002E6A36">
        <w:rPr>
          <w:i/>
          <w:iCs/>
          <w:spacing w:val="-3"/>
          <w:sz w:val="22"/>
          <w:szCs w:val="22"/>
        </w:rPr>
        <w:t>, ya fue solicit</w:t>
      </w:r>
      <w:r w:rsidR="009F17C1">
        <w:rPr>
          <w:i/>
          <w:iCs/>
          <w:spacing w:val="-3"/>
          <w:sz w:val="22"/>
          <w:szCs w:val="22"/>
        </w:rPr>
        <w:t>a</w:t>
      </w:r>
      <w:r w:rsidRPr="002E6A36">
        <w:rPr>
          <w:i/>
          <w:iCs/>
          <w:spacing w:val="-3"/>
          <w:sz w:val="22"/>
          <w:szCs w:val="22"/>
        </w:rPr>
        <w:t>d</w:t>
      </w:r>
      <w:r w:rsidR="009F17C1">
        <w:rPr>
          <w:i/>
          <w:iCs/>
          <w:spacing w:val="-3"/>
          <w:sz w:val="22"/>
          <w:szCs w:val="22"/>
        </w:rPr>
        <w:t>o</w:t>
      </w:r>
      <w:r w:rsidRPr="002E6A36">
        <w:rPr>
          <w:i/>
          <w:iCs/>
          <w:spacing w:val="-3"/>
          <w:sz w:val="22"/>
          <w:szCs w:val="22"/>
        </w:rPr>
        <w:t xml:space="preserve"> p</w:t>
      </w:r>
      <w:r w:rsidR="009F17C1">
        <w:rPr>
          <w:i/>
          <w:iCs/>
          <w:spacing w:val="-3"/>
          <w:sz w:val="22"/>
          <w:szCs w:val="22"/>
        </w:rPr>
        <w:t>o</w:t>
      </w:r>
      <w:r w:rsidRPr="002E6A36">
        <w:rPr>
          <w:i/>
          <w:iCs/>
          <w:spacing w:val="-3"/>
          <w:sz w:val="22"/>
          <w:szCs w:val="22"/>
        </w:rPr>
        <w:t>r EBSA.</w:t>
      </w:r>
    </w:p>
    <w:p w14:paraId="1DE8DB35" w14:textId="30F01275" w:rsidR="002E6A36" w:rsidRDefault="002E6A36" w:rsidP="002E6A36">
      <w:pPr>
        <w:ind w:left="567"/>
        <w:rPr>
          <w:i/>
          <w:iCs/>
          <w:spacing w:val="-3"/>
          <w:sz w:val="22"/>
          <w:szCs w:val="22"/>
        </w:rPr>
      </w:pPr>
      <w:r w:rsidRPr="002E6A36">
        <w:rPr>
          <w:i/>
          <w:iCs/>
          <w:spacing w:val="-3"/>
          <w:sz w:val="22"/>
          <w:szCs w:val="22"/>
        </w:rPr>
        <w:t>En particular, la Subestaci</w:t>
      </w:r>
      <w:r w:rsidR="009F17C1">
        <w:rPr>
          <w:i/>
          <w:iCs/>
          <w:spacing w:val="-3"/>
          <w:sz w:val="22"/>
          <w:szCs w:val="22"/>
        </w:rPr>
        <w:t>ó</w:t>
      </w:r>
      <w:r w:rsidRPr="002E6A36">
        <w:rPr>
          <w:i/>
          <w:iCs/>
          <w:spacing w:val="-3"/>
          <w:sz w:val="22"/>
          <w:szCs w:val="22"/>
        </w:rPr>
        <w:t xml:space="preserve">n Paipa </w:t>
      </w:r>
      <w:r w:rsidRPr="002E6A36">
        <w:rPr>
          <w:i/>
          <w:iCs/>
          <w:spacing w:val="-3"/>
          <w:sz w:val="22"/>
          <w:szCs w:val="22"/>
        </w:rPr>
        <w:tab/>
        <w:t>230/115 kV EBSA cuenta con algunas UC en el nivel de tensi</w:t>
      </w:r>
      <w:r w:rsidR="009F17C1">
        <w:rPr>
          <w:i/>
          <w:iCs/>
          <w:spacing w:val="-3"/>
          <w:sz w:val="22"/>
          <w:szCs w:val="22"/>
        </w:rPr>
        <w:t>ó</w:t>
      </w:r>
      <w:r w:rsidRPr="002E6A36">
        <w:rPr>
          <w:i/>
          <w:iCs/>
          <w:spacing w:val="-3"/>
          <w:sz w:val="22"/>
          <w:szCs w:val="22"/>
        </w:rPr>
        <w:t>n 4 que entraron en se</w:t>
      </w:r>
      <w:r w:rsidR="009F17C1">
        <w:rPr>
          <w:i/>
          <w:iCs/>
          <w:spacing w:val="-3"/>
          <w:sz w:val="22"/>
          <w:szCs w:val="22"/>
        </w:rPr>
        <w:t>r</w:t>
      </w:r>
      <w:r w:rsidRPr="002E6A36">
        <w:rPr>
          <w:i/>
          <w:iCs/>
          <w:spacing w:val="-3"/>
          <w:sz w:val="22"/>
          <w:szCs w:val="22"/>
        </w:rPr>
        <w:t>vicio desde el afio 2009 y no est</w:t>
      </w:r>
      <w:r w:rsidR="009F17C1">
        <w:rPr>
          <w:i/>
          <w:iCs/>
          <w:spacing w:val="-3"/>
          <w:sz w:val="22"/>
          <w:szCs w:val="22"/>
        </w:rPr>
        <w:t>á</w:t>
      </w:r>
      <w:r w:rsidRPr="002E6A36">
        <w:rPr>
          <w:i/>
          <w:iCs/>
          <w:spacing w:val="-3"/>
          <w:sz w:val="22"/>
          <w:szCs w:val="22"/>
        </w:rPr>
        <w:t xml:space="preserve">n siendo remunerados a </w:t>
      </w:r>
      <w:r w:rsidR="009F17C1">
        <w:rPr>
          <w:i/>
          <w:iCs/>
          <w:spacing w:val="-3"/>
          <w:sz w:val="22"/>
          <w:szCs w:val="22"/>
        </w:rPr>
        <w:t>l</w:t>
      </w:r>
      <w:r w:rsidRPr="002E6A36">
        <w:rPr>
          <w:i/>
          <w:iCs/>
          <w:spacing w:val="-3"/>
          <w:sz w:val="22"/>
          <w:szCs w:val="22"/>
        </w:rPr>
        <w:t>a fecha. Dichos activos est</w:t>
      </w:r>
      <w:r w:rsidR="009F17C1">
        <w:rPr>
          <w:i/>
          <w:iCs/>
          <w:spacing w:val="-3"/>
          <w:sz w:val="22"/>
          <w:szCs w:val="22"/>
        </w:rPr>
        <w:t>án</w:t>
      </w:r>
      <w:r w:rsidRPr="002E6A36">
        <w:rPr>
          <w:i/>
          <w:iCs/>
          <w:spacing w:val="-3"/>
          <w:sz w:val="22"/>
          <w:szCs w:val="22"/>
        </w:rPr>
        <w:t xml:space="preserve"> relacionados con las bah</w:t>
      </w:r>
      <w:r w:rsidR="009F17C1">
        <w:rPr>
          <w:i/>
          <w:iCs/>
          <w:spacing w:val="-3"/>
          <w:sz w:val="22"/>
          <w:szCs w:val="22"/>
        </w:rPr>
        <w:t>í</w:t>
      </w:r>
      <w:r w:rsidRPr="002E6A36">
        <w:rPr>
          <w:i/>
          <w:iCs/>
          <w:spacing w:val="-3"/>
          <w:sz w:val="22"/>
          <w:szCs w:val="22"/>
        </w:rPr>
        <w:t>as de respaldo de las l</w:t>
      </w:r>
      <w:r w:rsidR="009F17C1">
        <w:rPr>
          <w:i/>
          <w:iCs/>
          <w:spacing w:val="-3"/>
          <w:sz w:val="22"/>
          <w:szCs w:val="22"/>
        </w:rPr>
        <w:t>í</w:t>
      </w:r>
      <w:r w:rsidRPr="002E6A36">
        <w:rPr>
          <w:i/>
          <w:iCs/>
          <w:spacing w:val="-3"/>
          <w:sz w:val="22"/>
          <w:szCs w:val="22"/>
        </w:rPr>
        <w:t>neas Paipa- Belencito - San Antonio 115 kV, Paipa-Donato 1 115 kV y Paipa-Donato 2.</w:t>
      </w:r>
    </w:p>
    <w:p w14:paraId="358A96CC" w14:textId="6A1DAFAB" w:rsidR="002E6A36" w:rsidRDefault="002E6A36" w:rsidP="002E6A36">
      <w:pPr>
        <w:ind w:left="567"/>
        <w:rPr>
          <w:i/>
          <w:iCs/>
          <w:spacing w:val="-3"/>
          <w:sz w:val="22"/>
          <w:szCs w:val="22"/>
        </w:rPr>
      </w:pPr>
      <w:r>
        <w:rPr>
          <w:i/>
          <w:iCs/>
          <w:spacing w:val="-3"/>
          <w:sz w:val="22"/>
          <w:szCs w:val="22"/>
        </w:rPr>
        <w:t>(…)</w:t>
      </w:r>
    </w:p>
    <w:p w14:paraId="0FE916EE" w14:textId="50B59CA7" w:rsidR="002E6A36" w:rsidRDefault="002E6A36" w:rsidP="002E6A36">
      <w:pPr>
        <w:ind w:left="567"/>
        <w:rPr>
          <w:i/>
          <w:iCs/>
          <w:spacing w:val="-3"/>
          <w:sz w:val="22"/>
          <w:szCs w:val="22"/>
        </w:rPr>
      </w:pPr>
      <w:r w:rsidRPr="002E6A36">
        <w:rPr>
          <w:i/>
          <w:iCs/>
          <w:spacing w:val="-3"/>
          <w:sz w:val="22"/>
          <w:szCs w:val="22"/>
        </w:rPr>
        <w:t>Otro caso correspondiente a los activos CR</w:t>
      </w:r>
      <w:r w:rsidR="009F17C1">
        <w:rPr>
          <w:i/>
          <w:iCs/>
          <w:spacing w:val="-3"/>
          <w:sz w:val="22"/>
          <w:szCs w:val="22"/>
        </w:rPr>
        <w:t>I</w:t>
      </w:r>
      <w:r w:rsidRPr="002E6A36">
        <w:rPr>
          <w:i/>
          <w:iCs/>
          <w:spacing w:val="-3"/>
          <w:sz w:val="22"/>
          <w:szCs w:val="22"/>
        </w:rPr>
        <w:t xml:space="preserve">N nivel 4, es el de </w:t>
      </w:r>
      <w:r w:rsidR="009F17C1">
        <w:rPr>
          <w:i/>
          <w:iCs/>
          <w:spacing w:val="-3"/>
          <w:sz w:val="22"/>
          <w:szCs w:val="22"/>
        </w:rPr>
        <w:t>l</w:t>
      </w:r>
      <w:r w:rsidRPr="002E6A36">
        <w:rPr>
          <w:i/>
          <w:iCs/>
          <w:spacing w:val="-3"/>
          <w:sz w:val="22"/>
          <w:szCs w:val="22"/>
        </w:rPr>
        <w:t>a Unidad Constructiv</w:t>
      </w:r>
      <w:r w:rsidR="009F17C1">
        <w:rPr>
          <w:i/>
          <w:iCs/>
          <w:spacing w:val="-3"/>
          <w:sz w:val="22"/>
          <w:szCs w:val="22"/>
        </w:rPr>
        <w:t>a</w:t>
      </w:r>
      <w:r w:rsidRPr="002E6A36">
        <w:rPr>
          <w:i/>
          <w:iCs/>
          <w:spacing w:val="-3"/>
          <w:sz w:val="22"/>
          <w:szCs w:val="22"/>
        </w:rPr>
        <w:t xml:space="preserve"> Enlace de comunicaciones de Microondas instalado en la subestaci</w:t>
      </w:r>
      <w:r w:rsidR="009F17C1">
        <w:rPr>
          <w:i/>
          <w:iCs/>
          <w:spacing w:val="-3"/>
          <w:sz w:val="22"/>
          <w:szCs w:val="22"/>
        </w:rPr>
        <w:t>ó</w:t>
      </w:r>
      <w:r w:rsidRPr="002E6A36">
        <w:rPr>
          <w:i/>
          <w:iCs/>
          <w:spacing w:val="-3"/>
          <w:sz w:val="22"/>
          <w:szCs w:val="22"/>
        </w:rPr>
        <w:t xml:space="preserve">n </w:t>
      </w:r>
      <w:proofErr w:type="spellStart"/>
      <w:r w:rsidRPr="002E6A36">
        <w:rPr>
          <w:i/>
          <w:iCs/>
          <w:spacing w:val="-3"/>
          <w:sz w:val="22"/>
          <w:szCs w:val="22"/>
        </w:rPr>
        <w:t>Sochagota</w:t>
      </w:r>
      <w:proofErr w:type="spellEnd"/>
      <w:r w:rsidRPr="002E6A36">
        <w:rPr>
          <w:i/>
          <w:iCs/>
          <w:spacing w:val="-3"/>
          <w:sz w:val="22"/>
          <w:szCs w:val="22"/>
        </w:rPr>
        <w:t xml:space="preserve"> (N4E</w:t>
      </w:r>
      <w:r w:rsidR="009F17C1">
        <w:rPr>
          <w:i/>
          <w:iCs/>
          <w:spacing w:val="-3"/>
          <w:sz w:val="22"/>
          <w:szCs w:val="22"/>
        </w:rPr>
        <w:t>Q</w:t>
      </w:r>
      <w:r w:rsidRPr="002E6A36">
        <w:rPr>
          <w:i/>
          <w:iCs/>
          <w:spacing w:val="-3"/>
          <w:sz w:val="22"/>
          <w:szCs w:val="22"/>
        </w:rPr>
        <w:t>6) no reconocida par la CREG. Esta UC fue instalada como redundancia con el fin de aumentar la confiabilidad en las comunicaciones, y se encuentra en tr</w:t>
      </w:r>
      <w:r w:rsidR="009F17C1">
        <w:rPr>
          <w:i/>
          <w:iCs/>
          <w:spacing w:val="-3"/>
          <w:sz w:val="22"/>
          <w:szCs w:val="22"/>
        </w:rPr>
        <w:t>á</w:t>
      </w:r>
      <w:r w:rsidRPr="002E6A36">
        <w:rPr>
          <w:i/>
          <w:iCs/>
          <w:spacing w:val="-3"/>
          <w:sz w:val="22"/>
          <w:szCs w:val="22"/>
        </w:rPr>
        <w:t>mite de aprobaci</w:t>
      </w:r>
      <w:r w:rsidR="009F17C1">
        <w:rPr>
          <w:i/>
          <w:iCs/>
          <w:spacing w:val="-3"/>
          <w:sz w:val="22"/>
          <w:szCs w:val="22"/>
        </w:rPr>
        <w:t>ó</w:t>
      </w:r>
      <w:r w:rsidRPr="002E6A36">
        <w:rPr>
          <w:i/>
          <w:iCs/>
          <w:spacing w:val="-3"/>
          <w:sz w:val="22"/>
          <w:szCs w:val="22"/>
        </w:rPr>
        <w:t>n ante la UPME.</w:t>
      </w:r>
    </w:p>
    <w:p w14:paraId="62478E4E" w14:textId="43E5A03D" w:rsidR="009A66AB" w:rsidRDefault="009A66AB" w:rsidP="002E6A36">
      <w:pPr>
        <w:ind w:left="567"/>
        <w:rPr>
          <w:i/>
          <w:iCs/>
          <w:spacing w:val="-3"/>
          <w:sz w:val="22"/>
          <w:szCs w:val="22"/>
        </w:rPr>
      </w:pPr>
      <w:r>
        <w:rPr>
          <w:i/>
          <w:iCs/>
          <w:spacing w:val="-3"/>
          <w:sz w:val="22"/>
          <w:szCs w:val="22"/>
        </w:rPr>
        <w:t>(…)</w:t>
      </w:r>
    </w:p>
    <w:p w14:paraId="14A63BE4" w14:textId="35C1948D" w:rsidR="009A66AB" w:rsidRPr="009A66AB" w:rsidRDefault="009A66AB" w:rsidP="009A66AB">
      <w:pPr>
        <w:ind w:left="567"/>
        <w:rPr>
          <w:i/>
          <w:iCs/>
          <w:spacing w:val="-3"/>
          <w:sz w:val="22"/>
          <w:szCs w:val="22"/>
        </w:rPr>
      </w:pPr>
      <w:r w:rsidRPr="009A66AB">
        <w:rPr>
          <w:i/>
          <w:iCs/>
          <w:spacing w:val="-3"/>
          <w:sz w:val="22"/>
          <w:szCs w:val="22"/>
        </w:rPr>
        <w:t>En adici</w:t>
      </w:r>
      <w:r>
        <w:rPr>
          <w:i/>
          <w:iCs/>
          <w:spacing w:val="-3"/>
          <w:sz w:val="22"/>
          <w:szCs w:val="22"/>
        </w:rPr>
        <w:t>ó</w:t>
      </w:r>
      <w:r w:rsidRPr="009A66AB">
        <w:rPr>
          <w:i/>
          <w:iCs/>
          <w:spacing w:val="-3"/>
          <w:sz w:val="22"/>
          <w:szCs w:val="22"/>
        </w:rPr>
        <w:t>n a lo expuesto anteriormente, resulta necesario se</w:t>
      </w:r>
      <w:r>
        <w:rPr>
          <w:i/>
          <w:iCs/>
          <w:spacing w:val="-3"/>
          <w:sz w:val="22"/>
          <w:szCs w:val="22"/>
        </w:rPr>
        <w:t>ñ</w:t>
      </w:r>
      <w:r w:rsidRPr="009A66AB">
        <w:rPr>
          <w:i/>
          <w:iCs/>
          <w:spacing w:val="-3"/>
          <w:sz w:val="22"/>
          <w:szCs w:val="22"/>
        </w:rPr>
        <w:t>alar que el desconocimiento de activos CRINR y CRIN - en los t</w:t>
      </w:r>
      <w:r>
        <w:rPr>
          <w:i/>
          <w:iCs/>
          <w:spacing w:val="-3"/>
          <w:sz w:val="22"/>
          <w:szCs w:val="22"/>
        </w:rPr>
        <w:t>é</w:t>
      </w:r>
      <w:r w:rsidRPr="009A66AB">
        <w:rPr>
          <w:i/>
          <w:iCs/>
          <w:spacing w:val="-3"/>
          <w:sz w:val="22"/>
          <w:szCs w:val="22"/>
        </w:rPr>
        <w:t>rminos expuestos en los literales (A) y (B) anteriores - los cuales no han sido reconocidos a la EBSA a</w:t>
      </w:r>
      <w:r>
        <w:rPr>
          <w:i/>
          <w:iCs/>
          <w:spacing w:val="-3"/>
          <w:sz w:val="22"/>
          <w:szCs w:val="22"/>
        </w:rPr>
        <w:t>ú</w:t>
      </w:r>
      <w:r w:rsidRPr="009A66AB">
        <w:rPr>
          <w:i/>
          <w:iCs/>
          <w:spacing w:val="-3"/>
          <w:sz w:val="22"/>
          <w:szCs w:val="22"/>
        </w:rPr>
        <w:t>n bajo ning</w:t>
      </w:r>
      <w:r>
        <w:rPr>
          <w:i/>
          <w:iCs/>
          <w:spacing w:val="-3"/>
          <w:sz w:val="22"/>
          <w:szCs w:val="22"/>
        </w:rPr>
        <w:t>ún</w:t>
      </w:r>
      <w:r w:rsidRPr="009A66AB">
        <w:rPr>
          <w:i/>
          <w:iCs/>
          <w:spacing w:val="-3"/>
          <w:sz w:val="22"/>
          <w:szCs w:val="22"/>
        </w:rPr>
        <w:t xml:space="preserve"> periodo regulatorio de la </w:t>
      </w:r>
      <w:r w:rsidR="007B5483">
        <w:rPr>
          <w:i/>
          <w:iCs/>
          <w:spacing w:val="-3"/>
          <w:sz w:val="22"/>
          <w:szCs w:val="22"/>
        </w:rPr>
        <w:t>C</w:t>
      </w:r>
      <w:r w:rsidRPr="009A66AB">
        <w:rPr>
          <w:i/>
          <w:iCs/>
          <w:spacing w:val="-3"/>
          <w:sz w:val="22"/>
          <w:szCs w:val="22"/>
        </w:rPr>
        <w:t>REG (es decir ni bajo la Resolu</w:t>
      </w:r>
      <w:r>
        <w:rPr>
          <w:i/>
          <w:iCs/>
          <w:spacing w:val="-3"/>
          <w:sz w:val="22"/>
          <w:szCs w:val="22"/>
        </w:rPr>
        <w:t>c</w:t>
      </w:r>
      <w:r w:rsidRPr="009A66AB">
        <w:rPr>
          <w:i/>
          <w:iCs/>
          <w:spacing w:val="-3"/>
          <w:sz w:val="22"/>
          <w:szCs w:val="22"/>
        </w:rPr>
        <w:t>i</w:t>
      </w:r>
      <w:r>
        <w:rPr>
          <w:i/>
          <w:iCs/>
          <w:spacing w:val="-3"/>
          <w:sz w:val="22"/>
          <w:szCs w:val="22"/>
        </w:rPr>
        <w:t>ó</w:t>
      </w:r>
      <w:r w:rsidRPr="009A66AB">
        <w:rPr>
          <w:i/>
          <w:iCs/>
          <w:spacing w:val="-3"/>
          <w:sz w:val="22"/>
          <w:szCs w:val="22"/>
        </w:rPr>
        <w:t>n 097 de 2008 ni bajo la Resol</w:t>
      </w:r>
      <w:r>
        <w:rPr>
          <w:i/>
          <w:iCs/>
          <w:spacing w:val="-3"/>
          <w:sz w:val="22"/>
          <w:szCs w:val="22"/>
        </w:rPr>
        <w:t>ució</w:t>
      </w:r>
      <w:r w:rsidRPr="009A66AB">
        <w:rPr>
          <w:i/>
          <w:iCs/>
          <w:spacing w:val="-3"/>
          <w:sz w:val="22"/>
          <w:szCs w:val="22"/>
        </w:rPr>
        <w:t>n 015 de 2018) pero que s</w:t>
      </w:r>
      <w:r>
        <w:rPr>
          <w:i/>
          <w:iCs/>
          <w:spacing w:val="-3"/>
          <w:sz w:val="22"/>
          <w:szCs w:val="22"/>
        </w:rPr>
        <w:t>í</w:t>
      </w:r>
      <w:r w:rsidRPr="009A66AB">
        <w:rPr>
          <w:i/>
          <w:iCs/>
          <w:spacing w:val="-3"/>
          <w:sz w:val="22"/>
          <w:szCs w:val="22"/>
        </w:rPr>
        <w:t xml:space="preserve"> est</w:t>
      </w:r>
      <w:r>
        <w:rPr>
          <w:i/>
          <w:iCs/>
          <w:spacing w:val="-3"/>
          <w:sz w:val="22"/>
          <w:szCs w:val="22"/>
        </w:rPr>
        <w:t>á</w:t>
      </w:r>
      <w:r w:rsidRPr="009A66AB">
        <w:rPr>
          <w:i/>
          <w:iCs/>
          <w:spacing w:val="-3"/>
          <w:sz w:val="22"/>
          <w:szCs w:val="22"/>
        </w:rPr>
        <w:t>n en operaci</w:t>
      </w:r>
      <w:r>
        <w:rPr>
          <w:i/>
          <w:iCs/>
          <w:spacing w:val="-3"/>
          <w:sz w:val="22"/>
          <w:szCs w:val="22"/>
        </w:rPr>
        <w:t>ó</w:t>
      </w:r>
      <w:r w:rsidRPr="009A66AB">
        <w:rPr>
          <w:i/>
          <w:iCs/>
          <w:spacing w:val="-3"/>
          <w:sz w:val="22"/>
          <w:szCs w:val="22"/>
        </w:rPr>
        <w:t xml:space="preserve">n y actualmente son necesarios </w:t>
      </w:r>
      <w:r w:rsidR="00E91B27" w:rsidRPr="009A66AB">
        <w:rPr>
          <w:i/>
          <w:iCs/>
          <w:spacing w:val="-3"/>
          <w:sz w:val="22"/>
          <w:szCs w:val="22"/>
        </w:rPr>
        <w:t>par</w:t>
      </w:r>
      <w:r w:rsidR="00E91B27">
        <w:rPr>
          <w:i/>
          <w:iCs/>
          <w:spacing w:val="-3"/>
          <w:sz w:val="22"/>
          <w:szCs w:val="22"/>
        </w:rPr>
        <w:t>a</w:t>
      </w:r>
      <w:r w:rsidR="00E91B27" w:rsidRPr="009A66AB">
        <w:rPr>
          <w:i/>
          <w:iCs/>
          <w:spacing w:val="-3"/>
          <w:sz w:val="22"/>
          <w:szCs w:val="22"/>
        </w:rPr>
        <w:t xml:space="preserve"> </w:t>
      </w:r>
      <w:r w:rsidRPr="009A66AB">
        <w:rPr>
          <w:i/>
          <w:iCs/>
          <w:spacing w:val="-3"/>
          <w:sz w:val="22"/>
          <w:szCs w:val="22"/>
        </w:rPr>
        <w:t>la prestaci</w:t>
      </w:r>
      <w:r>
        <w:rPr>
          <w:i/>
          <w:iCs/>
          <w:spacing w:val="-3"/>
          <w:sz w:val="22"/>
          <w:szCs w:val="22"/>
        </w:rPr>
        <w:t>ó</w:t>
      </w:r>
      <w:r w:rsidRPr="009A66AB">
        <w:rPr>
          <w:i/>
          <w:iCs/>
          <w:spacing w:val="-3"/>
          <w:sz w:val="22"/>
          <w:szCs w:val="22"/>
        </w:rPr>
        <w:t>n del servicio p</w:t>
      </w:r>
      <w:r>
        <w:rPr>
          <w:i/>
          <w:iCs/>
          <w:spacing w:val="-3"/>
          <w:sz w:val="22"/>
          <w:szCs w:val="22"/>
        </w:rPr>
        <w:t>ú</w:t>
      </w:r>
      <w:r w:rsidRPr="009A66AB">
        <w:rPr>
          <w:i/>
          <w:iCs/>
          <w:spacing w:val="-3"/>
          <w:sz w:val="22"/>
          <w:szCs w:val="22"/>
        </w:rPr>
        <w:t>blico de energ</w:t>
      </w:r>
      <w:r>
        <w:rPr>
          <w:i/>
          <w:iCs/>
          <w:spacing w:val="-3"/>
          <w:sz w:val="22"/>
          <w:szCs w:val="22"/>
        </w:rPr>
        <w:t>í</w:t>
      </w:r>
      <w:r w:rsidRPr="009A66AB">
        <w:rPr>
          <w:i/>
          <w:iCs/>
          <w:spacing w:val="-3"/>
          <w:sz w:val="22"/>
          <w:szCs w:val="22"/>
        </w:rPr>
        <w:t>a el</w:t>
      </w:r>
      <w:r>
        <w:rPr>
          <w:i/>
          <w:iCs/>
          <w:spacing w:val="-3"/>
          <w:sz w:val="22"/>
          <w:szCs w:val="22"/>
        </w:rPr>
        <w:t>é</w:t>
      </w:r>
      <w:r w:rsidRPr="009A66AB">
        <w:rPr>
          <w:i/>
          <w:iCs/>
          <w:spacing w:val="-3"/>
          <w:sz w:val="22"/>
          <w:szCs w:val="22"/>
        </w:rPr>
        <w:t>ctrica, podr</w:t>
      </w:r>
      <w:r>
        <w:rPr>
          <w:i/>
          <w:iCs/>
          <w:spacing w:val="-3"/>
          <w:sz w:val="22"/>
          <w:szCs w:val="22"/>
        </w:rPr>
        <w:t>í</w:t>
      </w:r>
      <w:r w:rsidRPr="009A66AB">
        <w:rPr>
          <w:i/>
          <w:iCs/>
          <w:spacing w:val="-3"/>
          <w:sz w:val="22"/>
          <w:szCs w:val="22"/>
        </w:rPr>
        <w:t>a atentar contra varios principios constitucionales relacionados con la prestaci</w:t>
      </w:r>
      <w:r>
        <w:rPr>
          <w:i/>
          <w:iCs/>
          <w:spacing w:val="-3"/>
          <w:sz w:val="22"/>
          <w:szCs w:val="22"/>
        </w:rPr>
        <w:t>ó</w:t>
      </w:r>
      <w:r w:rsidRPr="009A66AB">
        <w:rPr>
          <w:i/>
          <w:iCs/>
          <w:spacing w:val="-3"/>
          <w:sz w:val="22"/>
          <w:szCs w:val="22"/>
        </w:rPr>
        <w:t>n de servicios p</w:t>
      </w:r>
      <w:r>
        <w:rPr>
          <w:i/>
          <w:iCs/>
          <w:spacing w:val="-3"/>
          <w:sz w:val="22"/>
          <w:szCs w:val="22"/>
        </w:rPr>
        <w:t>ú</w:t>
      </w:r>
      <w:r w:rsidRPr="009A66AB">
        <w:rPr>
          <w:i/>
          <w:iCs/>
          <w:spacing w:val="-3"/>
          <w:sz w:val="22"/>
          <w:szCs w:val="22"/>
        </w:rPr>
        <w:t>blicos, as</w:t>
      </w:r>
      <w:r>
        <w:rPr>
          <w:i/>
          <w:iCs/>
          <w:spacing w:val="-3"/>
          <w:sz w:val="22"/>
          <w:szCs w:val="22"/>
        </w:rPr>
        <w:t>í</w:t>
      </w:r>
      <w:r w:rsidRPr="009A66AB">
        <w:rPr>
          <w:i/>
          <w:iCs/>
          <w:spacing w:val="-3"/>
          <w:sz w:val="22"/>
          <w:szCs w:val="22"/>
        </w:rPr>
        <w:t xml:space="preserve"> como contra algunos de los principios legales rectores de la actividad regulatoria y tarifaria de la CREG.</w:t>
      </w:r>
    </w:p>
    <w:p w14:paraId="55FE2D8D" w14:textId="6848AF15" w:rsidR="009A66AB" w:rsidRDefault="009A66AB" w:rsidP="009A66AB">
      <w:pPr>
        <w:ind w:left="567"/>
        <w:rPr>
          <w:i/>
          <w:iCs/>
          <w:spacing w:val="-3"/>
          <w:sz w:val="22"/>
          <w:szCs w:val="22"/>
        </w:rPr>
      </w:pPr>
      <w:r w:rsidRPr="009A66AB">
        <w:rPr>
          <w:i/>
          <w:iCs/>
          <w:spacing w:val="-3"/>
          <w:sz w:val="22"/>
          <w:szCs w:val="22"/>
        </w:rPr>
        <w:t>C.1. Principios constitucionales rectores de la prestaci</w:t>
      </w:r>
      <w:r>
        <w:rPr>
          <w:i/>
          <w:iCs/>
          <w:spacing w:val="-3"/>
          <w:sz w:val="22"/>
          <w:szCs w:val="22"/>
        </w:rPr>
        <w:t>ó</w:t>
      </w:r>
      <w:r w:rsidRPr="009A66AB">
        <w:rPr>
          <w:i/>
          <w:iCs/>
          <w:spacing w:val="-3"/>
          <w:sz w:val="22"/>
          <w:szCs w:val="22"/>
        </w:rPr>
        <w:t>n de servicios p</w:t>
      </w:r>
      <w:r>
        <w:rPr>
          <w:i/>
          <w:iCs/>
          <w:spacing w:val="-3"/>
          <w:sz w:val="22"/>
          <w:szCs w:val="22"/>
        </w:rPr>
        <w:t>ú</w:t>
      </w:r>
      <w:r w:rsidRPr="009A66AB">
        <w:rPr>
          <w:i/>
          <w:iCs/>
          <w:spacing w:val="-3"/>
          <w:sz w:val="22"/>
          <w:szCs w:val="22"/>
        </w:rPr>
        <w:t>blicos:</w:t>
      </w:r>
    </w:p>
    <w:p w14:paraId="4771A86C" w14:textId="2CA6D275" w:rsidR="009A66AB" w:rsidRDefault="009A66AB" w:rsidP="009A66AB">
      <w:pPr>
        <w:ind w:left="567"/>
        <w:rPr>
          <w:i/>
          <w:iCs/>
          <w:spacing w:val="-3"/>
          <w:sz w:val="22"/>
          <w:szCs w:val="22"/>
        </w:rPr>
      </w:pPr>
      <w:r>
        <w:rPr>
          <w:i/>
          <w:iCs/>
          <w:spacing w:val="-3"/>
          <w:sz w:val="22"/>
          <w:szCs w:val="22"/>
        </w:rPr>
        <w:t>(…)</w:t>
      </w:r>
    </w:p>
    <w:p w14:paraId="1B56958C" w14:textId="16E4AA79" w:rsidR="009A66AB" w:rsidRDefault="009A66AB" w:rsidP="009A66AB">
      <w:pPr>
        <w:ind w:left="567"/>
        <w:rPr>
          <w:i/>
          <w:iCs/>
          <w:spacing w:val="-3"/>
          <w:sz w:val="22"/>
          <w:szCs w:val="22"/>
        </w:rPr>
      </w:pPr>
      <w:r w:rsidRPr="009A66AB">
        <w:rPr>
          <w:i/>
          <w:iCs/>
          <w:spacing w:val="-3"/>
          <w:sz w:val="22"/>
          <w:szCs w:val="22"/>
        </w:rPr>
        <w:t>C.2. Principios legales rectores del r</w:t>
      </w:r>
      <w:r>
        <w:rPr>
          <w:i/>
          <w:iCs/>
          <w:spacing w:val="-3"/>
          <w:sz w:val="22"/>
          <w:szCs w:val="22"/>
        </w:rPr>
        <w:t>é</w:t>
      </w:r>
      <w:r w:rsidRPr="009A66AB">
        <w:rPr>
          <w:i/>
          <w:iCs/>
          <w:spacing w:val="-3"/>
          <w:sz w:val="22"/>
          <w:szCs w:val="22"/>
        </w:rPr>
        <w:t>gimen tarifario:</w:t>
      </w:r>
    </w:p>
    <w:p w14:paraId="5D6CA0DF" w14:textId="636BC3C2" w:rsidR="009A66AB" w:rsidRDefault="009A66AB" w:rsidP="009A66AB">
      <w:pPr>
        <w:ind w:left="567"/>
        <w:rPr>
          <w:i/>
          <w:iCs/>
          <w:spacing w:val="-3"/>
          <w:sz w:val="22"/>
          <w:szCs w:val="22"/>
        </w:rPr>
      </w:pPr>
      <w:r>
        <w:rPr>
          <w:i/>
          <w:iCs/>
          <w:spacing w:val="-3"/>
          <w:sz w:val="22"/>
          <w:szCs w:val="22"/>
        </w:rPr>
        <w:t>(…)</w:t>
      </w:r>
    </w:p>
    <w:p w14:paraId="3841D1DA" w14:textId="69798DC3" w:rsidR="009A66AB" w:rsidRDefault="009A66AB" w:rsidP="009A66AB">
      <w:pPr>
        <w:ind w:left="567"/>
        <w:rPr>
          <w:i/>
          <w:iCs/>
          <w:spacing w:val="-3"/>
          <w:sz w:val="22"/>
          <w:szCs w:val="22"/>
        </w:rPr>
      </w:pPr>
      <w:r w:rsidRPr="009A66AB">
        <w:rPr>
          <w:i/>
          <w:iCs/>
          <w:spacing w:val="-3"/>
          <w:sz w:val="22"/>
          <w:szCs w:val="22"/>
        </w:rPr>
        <w:t>C.3. Princi</w:t>
      </w:r>
      <w:r>
        <w:rPr>
          <w:i/>
          <w:iCs/>
          <w:spacing w:val="-3"/>
          <w:sz w:val="22"/>
          <w:szCs w:val="22"/>
        </w:rPr>
        <w:t>p</w:t>
      </w:r>
      <w:r w:rsidRPr="009A66AB">
        <w:rPr>
          <w:i/>
          <w:iCs/>
          <w:spacing w:val="-3"/>
          <w:sz w:val="22"/>
          <w:szCs w:val="22"/>
        </w:rPr>
        <w:t>io de prevalencia de lo sustancial sabre lo formal:</w:t>
      </w:r>
    </w:p>
    <w:p w14:paraId="25B987A7" w14:textId="1BE29835" w:rsidR="00FA6880" w:rsidRDefault="00DF69AA" w:rsidP="00FA6880">
      <w:r>
        <w:t xml:space="preserve">Frente a </w:t>
      </w:r>
      <w:r w:rsidR="00FA6880">
        <w:t xml:space="preserve">la solicitud del OR de reconocer los activos </w:t>
      </w:r>
      <w:r>
        <w:t xml:space="preserve">CRIN </w:t>
      </w:r>
      <w:r w:rsidR="00FA6880">
        <w:t xml:space="preserve">de nivel de tensión 4 </w:t>
      </w:r>
      <w:r>
        <w:t>que no</w:t>
      </w:r>
      <w:r w:rsidR="00BE6F10">
        <w:t xml:space="preserve"> tienen aprobación de la UPME, se tiene en cuenta lo siguiente: </w:t>
      </w:r>
    </w:p>
    <w:p w14:paraId="28406D3B" w14:textId="5E6CBB50" w:rsidR="00BB300D" w:rsidRDefault="00BB300D" w:rsidP="00CF581F">
      <w:r>
        <w:t>En el año 2012 la EBSA solicitó a la CREG la inclusión en su inventario de l</w:t>
      </w:r>
      <w:r w:rsidR="00BE6F10">
        <w:t xml:space="preserve">as </w:t>
      </w:r>
      <w:r>
        <w:t>tres</w:t>
      </w:r>
      <w:r w:rsidR="00BE6F10">
        <w:t xml:space="preserve"> bahías de respaldo de línea</w:t>
      </w:r>
      <w:r w:rsidR="00F04E3E">
        <w:t xml:space="preserve"> solicitadas en el recurso de reposición,</w:t>
      </w:r>
      <w:r>
        <w:t xml:space="preserve"> ubicadas en </w:t>
      </w:r>
      <w:r w:rsidR="00BE6F10">
        <w:t xml:space="preserve">la subestación Paipa 115 kV </w:t>
      </w:r>
      <w:r>
        <w:t>y</w:t>
      </w:r>
      <w:r w:rsidR="0096146D">
        <w:t>,</w:t>
      </w:r>
      <w:r>
        <w:t xml:space="preserve"> mediante la Resolución CREG 079 de ese año</w:t>
      </w:r>
      <w:r w:rsidR="0096146D">
        <w:t>,</w:t>
      </w:r>
      <w:r>
        <w:t xml:space="preserve"> la CREG decidió no incluirlas en el inventario del OR. En la parte motiva de esta resolución se menciona lo siguiente:</w:t>
      </w:r>
    </w:p>
    <w:p w14:paraId="7D3E1DCA" w14:textId="0C5AE0F4" w:rsidR="00BB300D" w:rsidRPr="00BB300D" w:rsidRDefault="00BB300D" w:rsidP="00BB300D">
      <w:pPr>
        <w:ind w:left="567"/>
        <w:rPr>
          <w:i/>
          <w:iCs/>
          <w:spacing w:val="-3"/>
          <w:sz w:val="22"/>
          <w:szCs w:val="22"/>
        </w:rPr>
      </w:pPr>
      <w:r w:rsidRPr="00BB300D">
        <w:rPr>
          <w:i/>
          <w:iCs/>
          <w:spacing w:val="-3"/>
          <w:sz w:val="22"/>
          <w:szCs w:val="22"/>
        </w:rPr>
        <w:t>Que con base en la visita de verificación realizada y la comunicación de la UPME que da alcance al concepto emitido sobre el proyecto, la inversión de las bahías de línea solicitadas por la Empresa de Energía de Boyacá no puede ser remunerada ya que una de las bahías no existe, otra es de respaldo a un activo de conexión de un usuario y las dos restantes son utilizadas como respaldo de las bahías de las líneas Paipa – Belencito y Paipa – Donato, las cuales están siendo remuneradas a la empresa.</w:t>
      </w:r>
    </w:p>
    <w:p w14:paraId="189D9D05" w14:textId="438DB97B" w:rsidR="00F04E3E" w:rsidRDefault="00F04E3E" w:rsidP="00CF581F">
      <w:r>
        <w:lastRenderedPageBreak/>
        <w:t>El alcance que dio la UPME a su concepto, c</w:t>
      </w:r>
      <w:r w:rsidRPr="00F04E3E">
        <w:t xml:space="preserve">omunicación UPME 20121500013541, radicada en la CREG con el número E-2012-003948, </w:t>
      </w:r>
      <w:r>
        <w:t>retira la aprobación de estas bahías y menciona lo siguiente:</w:t>
      </w:r>
    </w:p>
    <w:p w14:paraId="40C785A7" w14:textId="5FCC2F42" w:rsidR="00F04E3E" w:rsidRPr="00D05441" w:rsidRDefault="00F04E3E" w:rsidP="00D05441">
      <w:pPr>
        <w:ind w:left="567"/>
        <w:rPr>
          <w:i/>
          <w:iCs/>
          <w:spacing w:val="-3"/>
          <w:sz w:val="22"/>
          <w:szCs w:val="22"/>
        </w:rPr>
      </w:pPr>
      <w:r w:rsidRPr="00D05441">
        <w:rPr>
          <w:i/>
          <w:iCs/>
          <w:spacing w:val="-3"/>
          <w:sz w:val="22"/>
          <w:szCs w:val="22"/>
        </w:rPr>
        <w:t>Basados en las aclaraciones expuestas por la empresa EBSA</w:t>
      </w:r>
      <w:r w:rsidR="00D05441" w:rsidRPr="00D05441">
        <w:rPr>
          <w:i/>
          <w:iCs/>
          <w:spacing w:val="-3"/>
          <w:sz w:val="22"/>
          <w:szCs w:val="22"/>
        </w:rPr>
        <w:t>, mediante los correos electrónicos enviados a la UPME con los radicados No 2012-126-001233-2 y No 2012-126-001234-2, procedemos a dar alcance al comunicado de la Unidad con No 20121500000601 de enero 23 de 2012, mediante el cual se dio viabilidad para la actualización de cargos del STR para la conexión del autotransformador No 3 de 90 MVA en la subestación Paipa 230/115 kV.</w:t>
      </w:r>
    </w:p>
    <w:p w14:paraId="3BCDC35A" w14:textId="2ED361D3" w:rsidR="00D05441" w:rsidRPr="00D05441" w:rsidRDefault="00D05441" w:rsidP="00D05441">
      <w:pPr>
        <w:ind w:left="567"/>
        <w:rPr>
          <w:i/>
          <w:iCs/>
          <w:spacing w:val="-3"/>
          <w:sz w:val="22"/>
          <w:szCs w:val="22"/>
        </w:rPr>
      </w:pPr>
      <w:r w:rsidRPr="00D05441">
        <w:rPr>
          <w:i/>
          <w:iCs/>
          <w:spacing w:val="-3"/>
          <w:sz w:val="22"/>
          <w:szCs w:val="22"/>
        </w:rPr>
        <w:t>En dicho comunicado, las unidades constructivas aprobadas por la UPME incluyeron la UC No N4S7 que corresponden a cuatro (4) bahías de línea. Según informa la empresa EBSA, dicha unidad constructiva corresponde a dos (2) unidades y no a cuatro (4), como se indicó en el estudio de conexión y son identificadas por la empresa EBSA como bahías de línea de reserva, solicitando se remunere únicamente la componente de AOM. Bajo estas condiciones, la UPME le manifiesta que no se tendrán en cuenta dichas unidades constructivas para la actualización de cargos, debido a que en la normatividad no está definida la unidad constructiva denominada bahía de línea de reserva.</w:t>
      </w:r>
    </w:p>
    <w:p w14:paraId="30441993" w14:textId="3F7A6D64" w:rsidR="0004434B" w:rsidRDefault="0004434B" w:rsidP="00CF581F">
      <w:r>
        <w:t xml:space="preserve">Es de conocimiento de la CREG </w:t>
      </w:r>
      <w:r w:rsidR="00D05441">
        <w:t>que las bahías que EBSA solicita incluir dentro de su inventario CRIN sirven de respaldo a las bahías con que se operan los circuitos Paipa -Belencito, Paipa -</w:t>
      </w:r>
      <w:r>
        <w:t xml:space="preserve">Donato y Paipa – Diaco, este último un activo de conexión de un usuario. </w:t>
      </w:r>
    </w:p>
    <w:p w14:paraId="23D7AC48" w14:textId="7E52102C" w:rsidR="0004434B" w:rsidRDefault="0004434B" w:rsidP="00CF581F">
      <w:r>
        <w:t>Dado que el respaldo de este tipo de unidad constructiva no está previsto en la metodología de remuneración de la actividad de distribución, que la configuración dispuesta en la subestación a través de estas bahías tampoco corresponde a las configuraciones reconocidas en la regulación, que la UPME emitió concepto negando la aprobación de reconocimiento de estos activos</w:t>
      </w:r>
      <w:r w:rsidR="00E0206C">
        <w:t>,</w:t>
      </w:r>
      <w:r>
        <w:t xml:space="preserve"> y que la CREG ya había negado la inclusión de estos activos por las mismas razones, esta Comisión no encuentra justificación para aceptar la solicitud de inclusión de estos activos en el inventario CRIN de la EBSA.</w:t>
      </w:r>
    </w:p>
    <w:p w14:paraId="325392EC" w14:textId="435F0045" w:rsidR="007D6A0A" w:rsidRDefault="007D6A0A" w:rsidP="00CF581F">
      <w:r>
        <w:t>Con respecto al e</w:t>
      </w:r>
      <w:r w:rsidRPr="007D6A0A">
        <w:t xml:space="preserve">nlace de comunicaciones de </w:t>
      </w:r>
      <w:r w:rsidR="00ED2BDB">
        <w:t>m</w:t>
      </w:r>
      <w:r w:rsidRPr="007D6A0A">
        <w:t xml:space="preserve">icroondas instalado en la subestación </w:t>
      </w:r>
      <w:proofErr w:type="spellStart"/>
      <w:r w:rsidRPr="007D6A0A">
        <w:t>Sochagota</w:t>
      </w:r>
      <w:proofErr w:type="spellEnd"/>
      <w:r>
        <w:t>, se reitera que en la subestación</w:t>
      </w:r>
      <w:r w:rsidR="00ED2BDB">
        <w:t xml:space="preserve"> ya</w:t>
      </w:r>
      <w:r>
        <w:t xml:space="preserve"> se remunera un enlace en fibra óptica y</w:t>
      </w:r>
      <w:r w:rsidR="00E0206C">
        <w:t>,</w:t>
      </w:r>
      <w:r>
        <w:t xml:space="preserve"> por tanto</w:t>
      </w:r>
      <w:r w:rsidR="00E0206C">
        <w:t>,</w:t>
      </w:r>
      <w:r>
        <w:t xml:space="preserve"> no se reconoce el respaldo </w:t>
      </w:r>
      <w:r w:rsidR="00ED2BDB">
        <w:t>solicitado.</w:t>
      </w:r>
    </w:p>
    <w:p w14:paraId="177B9F74" w14:textId="0091355D" w:rsidR="00CF581F" w:rsidRDefault="0004434B" w:rsidP="00CF581F">
      <w:r>
        <w:t>Adicionalmente</w:t>
      </w:r>
      <w:r w:rsidR="00E0206C">
        <w:t>,</w:t>
      </w:r>
      <w:r>
        <w:t xml:space="preserve"> se encuentra necesario aclarar que la CREG no </w:t>
      </w:r>
      <w:r w:rsidR="0042132B">
        <w:t>reconoce que el concepto de la UPME sea un requisito formal, tal como lo cataloga la EBSA en su recurso, pues este permite identificar que los activos que se incluyen en el inventario de un OR</w:t>
      </w:r>
      <w:r w:rsidR="00661B44">
        <w:t>,</w:t>
      </w:r>
      <w:r w:rsidR="0042132B">
        <w:t xml:space="preserve"> para el cálculo de sus ingresos y cargos de distribución, respondan a una necesidad clara y tangible del sistema. Para esto, la UPME, entidad encargada de</w:t>
      </w:r>
      <w:r w:rsidR="00661B44">
        <w:t xml:space="preserve"> </w:t>
      </w:r>
      <w:r w:rsidR="0042132B">
        <w:t xml:space="preserve">la planeación del sistema, evalúa los beneficios que el proyecto genera y los compara con su costo, </w:t>
      </w:r>
      <w:r w:rsidR="00661B44">
        <w:t>análisis</w:t>
      </w:r>
      <w:r w:rsidR="0042132B">
        <w:t xml:space="preserve"> sin </w:t>
      </w:r>
      <w:r w:rsidR="00661B44">
        <w:t>el</w:t>
      </w:r>
      <w:r w:rsidR="0042132B">
        <w:t xml:space="preserve"> cual </w:t>
      </w:r>
      <w:r w:rsidR="00661B44">
        <w:t>se ignoraría</w:t>
      </w:r>
      <w:r w:rsidR="0042132B">
        <w:t xml:space="preserve"> el criterio</w:t>
      </w:r>
      <w:r w:rsidR="00661B44">
        <w:t xml:space="preserve"> de eficiencia económica de que trata el artículo 87 de la Ley 142 de 1994.</w:t>
      </w:r>
      <w:r w:rsidR="0042132B">
        <w:t xml:space="preserve"> </w:t>
      </w:r>
    </w:p>
    <w:p w14:paraId="78DD1388" w14:textId="6BD726C9" w:rsidR="00796336" w:rsidRPr="008034DB" w:rsidRDefault="00796336" w:rsidP="00DC4616">
      <w:pPr>
        <w:keepNext/>
        <w:ind w:left="567"/>
        <w:rPr>
          <w:b/>
          <w:bCs/>
          <w:i/>
          <w:iCs/>
          <w:spacing w:val="-3"/>
          <w:sz w:val="22"/>
          <w:szCs w:val="22"/>
        </w:rPr>
      </w:pPr>
      <w:r w:rsidRPr="008034DB">
        <w:rPr>
          <w:b/>
          <w:bCs/>
          <w:i/>
          <w:iCs/>
          <w:spacing w:val="-3"/>
          <w:sz w:val="22"/>
          <w:szCs w:val="22"/>
        </w:rPr>
        <w:t>1.1.</w:t>
      </w:r>
      <w:r>
        <w:rPr>
          <w:b/>
          <w:bCs/>
          <w:i/>
          <w:iCs/>
          <w:spacing w:val="-3"/>
          <w:sz w:val="22"/>
          <w:szCs w:val="22"/>
        </w:rPr>
        <w:t>2</w:t>
      </w:r>
      <w:r w:rsidRPr="008034DB">
        <w:rPr>
          <w:b/>
          <w:bCs/>
          <w:i/>
          <w:iCs/>
          <w:spacing w:val="-3"/>
          <w:sz w:val="22"/>
          <w:szCs w:val="22"/>
        </w:rPr>
        <w:t xml:space="preserve"> </w:t>
      </w:r>
      <w:r w:rsidRPr="00796336">
        <w:rPr>
          <w:b/>
          <w:bCs/>
          <w:i/>
          <w:iCs/>
          <w:spacing w:val="-3"/>
          <w:sz w:val="22"/>
          <w:szCs w:val="22"/>
        </w:rPr>
        <w:t>Reconocimiento de unidades termina</w:t>
      </w:r>
      <w:r>
        <w:rPr>
          <w:b/>
          <w:bCs/>
          <w:i/>
          <w:iCs/>
          <w:spacing w:val="-3"/>
          <w:sz w:val="22"/>
          <w:szCs w:val="22"/>
        </w:rPr>
        <w:t>l</w:t>
      </w:r>
      <w:r w:rsidRPr="00796336">
        <w:rPr>
          <w:b/>
          <w:bCs/>
          <w:i/>
          <w:iCs/>
          <w:spacing w:val="-3"/>
          <w:sz w:val="22"/>
          <w:szCs w:val="22"/>
        </w:rPr>
        <w:t xml:space="preserve">es remotas (RTU) </w:t>
      </w:r>
    </w:p>
    <w:p w14:paraId="2A2B358D" w14:textId="77777777" w:rsidR="00001363" w:rsidRDefault="00001363" w:rsidP="009A66AB">
      <w:pPr>
        <w:ind w:left="567"/>
        <w:rPr>
          <w:i/>
          <w:iCs/>
          <w:spacing w:val="-3"/>
          <w:sz w:val="22"/>
          <w:szCs w:val="22"/>
        </w:rPr>
      </w:pPr>
      <w:r>
        <w:rPr>
          <w:i/>
          <w:iCs/>
          <w:spacing w:val="-3"/>
          <w:sz w:val="22"/>
          <w:szCs w:val="22"/>
        </w:rPr>
        <w:t>(…)</w:t>
      </w:r>
    </w:p>
    <w:p w14:paraId="5C670FFC" w14:textId="38D9CCC6" w:rsidR="00796336" w:rsidRDefault="00796336" w:rsidP="009A66AB">
      <w:pPr>
        <w:ind w:left="567"/>
        <w:rPr>
          <w:i/>
          <w:iCs/>
          <w:spacing w:val="-3"/>
          <w:sz w:val="22"/>
          <w:szCs w:val="22"/>
        </w:rPr>
      </w:pPr>
      <w:r w:rsidRPr="00796336">
        <w:rPr>
          <w:i/>
          <w:iCs/>
          <w:spacing w:val="-3"/>
          <w:sz w:val="22"/>
          <w:szCs w:val="22"/>
        </w:rPr>
        <w:t>Mediante Resolu</w:t>
      </w:r>
      <w:r>
        <w:rPr>
          <w:i/>
          <w:iCs/>
          <w:spacing w:val="-3"/>
          <w:sz w:val="22"/>
          <w:szCs w:val="22"/>
        </w:rPr>
        <w:t>c</w:t>
      </w:r>
      <w:r w:rsidRPr="00796336">
        <w:rPr>
          <w:i/>
          <w:iCs/>
          <w:spacing w:val="-3"/>
          <w:sz w:val="22"/>
          <w:szCs w:val="22"/>
        </w:rPr>
        <w:t>i</w:t>
      </w:r>
      <w:r>
        <w:rPr>
          <w:i/>
          <w:iCs/>
          <w:spacing w:val="-3"/>
          <w:sz w:val="22"/>
          <w:szCs w:val="22"/>
        </w:rPr>
        <w:t>ó</w:t>
      </w:r>
      <w:r w:rsidRPr="00796336">
        <w:rPr>
          <w:i/>
          <w:iCs/>
          <w:spacing w:val="-3"/>
          <w:sz w:val="22"/>
          <w:szCs w:val="22"/>
        </w:rPr>
        <w:t>n CREG 029 de 2015, fueron reconocidas en la base de activos de EBSA 17 RTU en cumplimiento de lo establecido en el art</w:t>
      </w:r>
      <w:r>
        <w:rPr>
          <w:i/>
          <w:iCs/>
          <w:spacing w:val="-3"/>
          <w:sz w:val="22"/>
          <w:szCs w:val="22"/>
        </w:rPr>
        <w:t>í</w:t>
      </w:r>
      <w:r w:rsidRPr="00796336">
        <w:rPr>
          <w:i/>
          <w:iCs/>
          <w:spacing w:val="-3"/>
          <w:sz w:val="22"/>
          <w:szCs w:val="22"/>
        </w:rPr>
        <w:t>culo 6 de la Resoluci</w:t>
      </w:r>
      <w:r>
        <w:rPr>
          <w:i/>
          <w:iCs/>
          <w:spacing w:val="-3"/>
          <w:sz w:val="22"/>
          <w:szCs w:val="22"/>
        </w:rPr>
        <w:t>ó</w:t>
      </w:r>
      <w:r w:rsidRPr="00796336">
        <w:rPr>
          <w:i/>
          <w:iCs/>
          <w:spacing w:val="-3"/>
          <w:sz w:val="22"/>
          <w:szCs w:val="22"/>
        </w:rPr>
        <w:t xml:space="preserve">n </w:t>
      </w:r>
      <w:r>
        <w:rPr>
          <w:i/>
          <w:iCs/>
          <w:spacing w:val="-3"/>
          <w:sz w:val="22"/>
          <w:szCs w:val="22"/>
        </w:rPr>
        <w:t>C</w:t>
      </w:r>
      <w:r w:rsidRPr="00796336">
        <w:rPr>
          <w:i/>
          <w:iCs/>
          <w:spacing w:val="-3"/>
          <w:sz w:val="22"/>
          <w:szCs w:val="22"/>
        </w:rPr>
        <w:t>REG 043 de 2010, que textualmente se</w:t>
      </w:r>
      <w:r>
        <w:rPr>
          <w:i/>
          <w:iCs/>
          <w:spacing w:val="-3"/>
          <w:sz w:val="22"/>
          <w:szCs w:val="22"/>
        </w:rPr>
        <w:t>ñ</w:t>
      </w:r>
      <w:r w:rsidRPr="00796336">
        <w:rPr>
          <w:i/>
          <w:iCs/>
          <w:spacing w:val="-3"/>
          <w:sz w:val="22"/>
          <w:szCs w:val="22"/>
        </w:rPr>
        <w:t>ala: "dos a</w:t>
      </w:r>
      <w:r>
        <w:rPr>
          <w:i/>
          <w:iCs/>
          <w:spacing w:val="-3"/>
          <w:sz w:val="22"/>
          <w:szCs w:val="22"/>
        </w:rPr>
        <w:t>ñ</w:t>
      </w:r>
      <w:r w:rsidRPr="00796336">
        <w:rPr>
          <w:i/>
          <w:iCs/>
          <w:spacing w:val="-3"/>
          <w:sz w:val="22"/>
          <w:szCs w:val="22"/>
        </w:rPr>
        <w:t>os despu</w:t>
      </w:r>
      <w:r>
        <w:rPr>
          <w:i/>
          <w:iCs/>
          <w:spacing w:val="-3"/>
          <w:sz w:val="22"/>
          <w:szCs w:val="22"/>
        </w:rPr>
        <w:t>é</w:t>
      </w:r>
      <w:r w:rsidRPr="00796336">
        <w:rPr>
          <w:i/>
          <w:iCs/>
          <w:spacing w:val="-3"/>
          <w:sz w:val="22"/>
          <w:szCs w:val="22"/>
        </w:rPr>
        <w:t>s de que el OR haya iniciado la aplicaci</w:t>
      </w:r>
      <w:r>
        <w:rPr>
          <w:i/>
          <w:iCs/>
          <w:spacing w:val="-3"/>
          <w:sz w:val="22"/>
          <w:szCs w:val="22"/>
        </w:rPr>
        <w:t>ó</w:t>
      </w:r>
      <w:r w:rsidRPr="00796336">
        <w:rPr>
          <w:i/>
          <w:iCs/>
          <w:spacing w:val="-3"/>
          <w:sz w:val="22"/>
          <w:szCs w:val="22"/>
        </w:rPr>
        <w:t>n del esquema de incentivos y compensaciones, deber</w:t>
      </w:r>
      <w:r>
        <w:rPr>
          <w:i/>
          <w:iCs/>
          <w:spacing w:val="-3"/>
          <w:sz w:val="22"/>
          <w:szCs w:val="22"/>
        </w:rPr>
        <w:t>á</w:t>
      </w:r>
      <w:r w:rsidRPr="00796336">
        <w:rPr>
          <w:i/>
          <w:iCs/>
          <w:spacing w:val="-3"/>
          <w:sz w:val="22"/>
          <w:szCs w:val="22"/>
        </w:rPr>
        <w:t xml:space="preserve"> tener instalados, en cada circuit</w:t>
      </w:r>
      <w:r>
        <w:rPr>
          <w:i/>
          <w:iCs/>
          <w:spacing w:val="-3"/>
          <w:sz w:val="22"/>
          <w:szCs w:val="22"/>
        </w:rPr>
        <w:t>o</w:t>
      </w:r>
      <w:r w:rsidRPr="00796336">
        <w:rPr>
          <w:i/>
          <w:iCs/>
          <w:spacing w:val="-3"/>
          <w:sz w:val="22"/>
          <w:szCs w:val="22"/>
        </w:rPr>
        <w:t xml:space="preserve"> de su red, m</w:t>
      </w:r>
      <w:r>
        <w:rPr>
          <w:i/>
          <w:iCs/>
          <w:spacing w:val="-3"/>
          <w:sz w:val="22"/>
          <w:szCs w:val="22"/>
        </w:rPr>
        <w:t>í</w:t>
      </w:r>
      <w:r w:rsidRPr="00796336">
        <w:rPr>
          <w:i/>
          <w:iCs/>
          <w:spacing w:val="-3"/>
          <w:sz w:val="22"/>
          <w:szCs w:val="22"/>
        </w:rPr>
        <w:t>nim</w:t>
      </w:r>
      <w:r>
        <w:rPr>
          <w:i/>
          <w:iCs/>
          <w:spacing w:val="-3"/>
          <w:sz w:val="22"/>
          <w:szCs w:val="22"/>
        </w:rPr>
        <w:t>o</w:t>
      </w:r>
      <w:r w:rsidRPr="00796336">
        <w:rPr>
          <w:i/>
          <w:iCs/>
          <w:spacing w:val="-3"/>
          <w:sz w:val="22"/>
          <w:szCs w:val="22"/>
        </w:rPr>
        <w:t xml:space="preserve"> dos elementos </w:t>
      </w:r>
      <w:proofErr w:type="spellStart"/>
      <w:r w:rsidRPr="00796336">
        <w:rPr>
          <w:i/>
          <w:iCs/>
          <w:spacing w:val="-3"/>
          <w:sz w:val="22"/>
          <w:szCs w:val="22"/>
        </w:rPr>
        <w:t>telemedidos</w:t>
      </w:r>
      <w:proofErr w:type="spellEnd"/>
      <w:r w:rsidRPr="00796336">
        <w:rPr>
          <w:i/>
          <w:iCs/>
          <w:spacing w:val="-3"/>
          <w:sz w:val="22"/>
          <w:szCs w:val="22"/>
        </w:rPr>
        <w:t xml:space="preserve"> de detec</w:t>
      </w:r>
      <w:r>
        <w:rPr>
          <w:i/>
          <w:iCs/>
          <w:spacing w:val="-3"/>
          <w:sz w:val="22"/>
          <w:szCs w:val="22"/>
        </w:rPr>
        <w:t>c</w:t>
      </w:r>
      <w:r w:rsidRPr="00796336">
        <w:rPr>
          <w:i/>
          <w:iCs/>
          <w:spacing w:val="-3"/>
          <w:sz w:val="22"/>
          <w:szCs w:val="22"/>
        </w:rPr>
        <w:t>i</w:t>
      </w:r>
      <w:r>
        <w:rPr>
          <w:i/>
          <w:iCs/>
          <w:spacing w:val="-3"/>
          <w:sz w:val="22"/>
          <w:szCs w:val="22"/>
        </w:rPr>
        <w:t>ó</w:t>
      </w:r>
      <w:r w:rsidRPr="00796336">
        <w:rPr>
          <w:i/>
          <w:iCs/>
          <w:spacing w:val="-3"/>
          <w:sz w:val="22"/>
          <w:szCs w:val="22"/>
        </w:rPr>
        <w:t xml:space="preserve">n de </w:t>
      </w:r>
      <w:r w:rsidRPr="00796336">
        <w:rPr>
          <w:i/>
          <w:iCs/>
          <w:spacing w:val="-3"/>
          <w:sz w:val="22"/>
          <w:szCs w:val="22"/>
        </w:rPr>
        <w:lastRenderedPageBreak/>
        <w:t>ausencia/presencia de tensi</w:t>
      </w:r>
      <w:r>
        <w:rPr>
          <w:i/>
          <w:iCs/>
          <w:spacing w:val="-3"/>
          <w:sz w:val="22"/>
          <w:szCs w:val="22"/>
        </w:rPr>
        <w:t>ó</w:t>
      </w:r>
      <w:r w:rsidRPr="00796336">
        <w:rPr>
          <w:i/>
          <w:iCs/>
          <w:spacing w:val="-3"/>
          <w:sz w:val="22"/>
          <w:szCs w:val="22"/>
        </w:rPr>
        <w:t>n. Estos equipos deber</w:t>
      </w:r>
      <w:r>
        <w:rPr>
          <w:i/>
          <w:iCs/>
          <w:spacing w:val="-3"/>
          <w:sz w:val="22"/>
          <w:szCs w:val="22"/>
        </w:rPr>
        <w:t>á</w:t>
      </w:r>
      <w:r w:rsidRPr="00796336">
        <w:rPr>
          <w:i/>
          <w:iCs/>
          <w:spacing w:val="-3"/>
          <w:sz w:val="22"/>
          <w:szCs w:val="22"/>
        </w:rPr>
        <w:t>n ser ubicados en cada circuit</w:t>
      </w:r>
      <w:r>
        <w:rPr>
          <w:i/>
          <w:iCs/>
          <w:spacing w:val="-3"/>
          <w:sz w:val="22"/>
          <w:szCs w:val="22"/>
        </w:rPr>
        <w:t>o</w:t>
      </w:r>
      <w:r w:rsidRPr="00796336">
        <w:rPr>
          <w:i/>
          <w:iCs/>
          <w:spacing w:val="-3"/>
          <w:sz w:val="22"/>
          <w:szCs w:val="22"/>
        </w:rPr>
        <w:t xml:space="preserve"> a partir de la aplicaci</w:t>
      </w:r>
      <w:r>
        <w:rPr>
          <w:i/>
          <w:iCs/>
          <w:spacing w:val="-3"/>
          <w:sz w:val="22"/>
          <w:szCs w:val="22"/>
        </w:rPr>
        <w:t>ó</w:t>
      </w:r>
      <w:r w:rsidRPr="00796336">
        <w:rPr>
          <w:i/>
          <w:iCs/>
          <w:spacing w:val="-3"/>
          <w:sz w:val="22"/>
          <w:szCs w:val="22"/>
        </w:rPr>
        <w:t xml:space="preserve">n de criterios de carga y/o longitud que determine el OR". Ahora bien, las 69 unidades terminales remotas RTU, instaladas en nuestro sistema en cumplimiento de la norma citada y solicitadas dentro del inventario </w:t>
      </w:r>
      <w:r w:rsidR="001A4D7D">
        <w:rPr>
          <w:i/>
          <w:iCs/>
          <w:spacing w:val="-3"/>
          <w:sz w:val="22"/>
          <w:szCs w:val="22"/>
        </w:rPr>
        <w:t>C</w:t>
      </w:r>
      <w:r w:rsidR="001A4D7D" w:rsidRPr="00796336">
        <w:rPr>
          <w:i/>
          <w:iCs/>
          <w:spacing w:val="-3"/>
          <w:sz w:val="22"/>
          <w:szCs w:val="22"/>
        </w:rPr>
        <w:t xml:space="preserve">RIN </w:t>
      </w:r>
      <w:r w:rsidRPr="00796336">
        <w:rPr>
          <w:i/>
          <w:iCs/>
          <w:spacing w:val="-3"/>
          <w:sz w:val="22"/>
          <w:szCs w:val="22"/>
        </w:rPr>
        <w:t>de EBSA, que no fueron aprobadas, son id</w:t>
      </w:r>
      <w:r>
        <w:rPr>
          <w:i/>
          <w:iCs/>
          <w:spacing w:val="-3"/>
          <w:sz w:val="22"/>
          <w:szCs w:val="22"/>
        </w:rPr>
        <w:t>é</w:t>
      </w:r>
      <w:r w:rsidRPr="00796336">
        <w:rPr>
          <w:i/>
          <w:iCs/>
          <w:spacing w:val="-3"/>
          <w:sz w:val="22"/>
          <w:szCs w:val="22"/>
        </w:rPr>
        <w:t>nticas a las 17 ya reconocidas, est</w:t>
      </w:r>
      <w:r>
        <w:rPr>
          <w:i/>
          <w:iCs/>
          <w:spacing w:val="-3"/>
          <w:sz w:val="22"/>
          <w:szCs w:val="22"/>
        </w:rPr>
        <w:t>á</w:t>
      </w:r>
      <w:r w:rsidRPr="00796336">
        <w:rPr>
          <w:i/>
          <w:iCs/>
          <w:spacing w:val="-3"/>
          <w:sz w:val="22"/>
          <w:szCs w:val="22"/>
        </w:rPr>
        <w:t>n en operaci</w:t>
      </w:r>
      <w:r>
        <w:rPr>
          <w:i/>
          <w:iCs/>
          <w:spacing w:val="-3"/>
          <w:sz w:val="22"/>
          <w:szCs w:val="22"/>
        </w:rPr>
        <w:t>ó</w:t>
      </w:r>
      <w:r w:rsidRPr="00796336">
        <w:rPr>
          <w:i/>
          <w:iCs/>
          <w:spacing w:val="-3"/>
          <w:sz w:val="22"/>
          <w:szCs w:val="22"/>
        </w:rPr>
        <w:t>n cumpliendo can las funciones, caracter</w:t>
      </w:r>
      <w:r>
        <w:rPr>
          <w:i/>
          <w:iCs/>
          <w:spacing w:val="-3"/>
          <w:sz w:val="22"/>
          <w:szCs w:val="22"/>
        </w:rPr>
        <w:t>í</w:t>
      </w:r>
      <w:r w:rsidRPr="00796336">
        <w:rPr>
          <w:i/>
          <w:iCs/>
          <w:spacing w:val="-3"/>
          <w:sz w:val="22"/>
          <w:szCs w:val="22"/>
        </w:rPr>
        <w:t>sticas t</w:t>
      </w:r>
      <w:r>
        <w:rPr>
          <w:i/>
          <w:iCs/>
          <w:spacing w:val="-3"/>
          <w:sz w:val="22"/>
          <w:szCs w:val="22"/>
        </w:rPr>
        <w:t>é</w:t>
      </w:r>
      <w:r w:rsidRPr="00796336">
        <w:rPr>
          <w:i/>
          <w:iCs/>
          <w:spacing w:val="-3"/>
          <w:sz w:val="22"/>
          <w:szCs w:val="22"/>
        </w:rPr>
        <w:t>cnicas y costos del</w:t>
      </w:r>
      <w:r>
        <w:rPr>
          <w:i/>
          <w:iCs/>
          <w:spacing w:val="-3"/>
          <w:sz w:val="22"/>
          <w:szCs w:val="22"/>
        </w:rPr>
        <w:t xml:space="preserve"> </w:t>
      </w:r>
      <w:r w:rsidRPr="00796336">
        <w:rPr>
          <w:i/>
          <w:iCs/>
          <w:spacing w:val="-3"/>
          <w:sz w:val="22"/>
          <w:szCs w:val="22"/>
        </w:rPr>
        <w:t>equipo incluido dentro de las unidades constructivas del cap</w:t>
      </w:r>
      <w:r>
        <w:rPr>
          <w:i/>
          <w:iCs/>
          <w:spacing w:val="-3"/>
          <w:sz w:val="22"/>
          <w:szCs w:val="22"/>
        </w:rPr>
        <w:t>í</w:t>
      </w:r>
      <w:r w:rsidRPr="00796336">
        <w:rPr>
          <w:i/>
          <w:iCs/>
          <w:spacing w:val="-3"/>
          <w:sz w:val="22"/>
          <w:szCs w:val="22"/>
        </w:rPr>
        <w:t xml:space="preserve">tulo 15 de </w:t>
      </w:r>
      <w:r>
        <w:rPr>
          <w:i/>
          <w:iCs/>
          <w:spacing w:val="-3"/>
          <w:sz w:val="22"/>
          <w:szCs w:val="22"/>
        </w:rPr>
        <w:t>l</w:t>
      </w:r>
      <w:r w:rsidRPr="00796336">
        <w:rPr>
          <w:i/>
          <w:iCs/>
          <w:spacing w:val="-3"/>
          <w:sz w:val="22"/>
          <w:szCs w:val="22"/>
        </w:rPr>
        <w:t>a Resolu</w:t>
      </w:r>
      <w:r>
        <w:rPr>
          <w:i/>
          <w:iCs/>
          <w:spacing w:val="-3"/>
          <w:sz w:val="22"/>
          <w:szCs w:val="22"/>
        </w:rPr>
        <w:t>c</w:t>
      </w:r>
      <w:r w:rsidRPr="00796336">
        <w:rPr>
          <w:i/>
          <w:iCs/>
          <w:spacing w:val="-3"/>
          <w:sz w:val="22"/>
          <w:szCs w:val="22"/>
        </w:rPr>
        <w:t>i</w:t>
      </w:r>
      <w:r>
        <w:rPr>
          <w:i/>
          <w:iCs/>
          <w:spacing w:val="-3"/>
          <w:sz w:val="22"/>
          <w:szCs w:val="22"/>
        </w:rPr>
        <w:t>ó</w:t>
      </w:r>
      <w:r w:rsidRPr="00796336">
        <w:rPr>
          <w:i/>
          <w:iCs/>
          <w:spacing w:val="-3"/>
          <w:sz w:val="22"/>
          <w:szCs w:val="22"/>
        </w:rPr>
        <w:t xml:space="preserve">n </w:t>
      </w:r>
      <w:r w:rsidR="000D09C2">
        <w:rPr>
          <w:i/>
          <w:iCs/>
          <w:spacing w:val="-3"/>
          <w:sz w:val="22"/>
          <w:szCs w:val="22"/>
        </w:rPr>
        <w:t>C</w:t>
      </w:r>
      <w:r w:rsidR="000D09C2" w:rsidRPr="00796336">
        <w:rPr>
          <w:i/>
          <w:iCs/>
          <w:spacing w:val="-3"/>
          <w:sz w:val="22"/>
          <w:szCs w:val="22"/>
        </w:rPr>
        <w:t xml:space="preserve">REG </w:t>
      </w:r>
      <w:r w:rsidRPr="00796336">
        <w:rPr>
          <w:i/>
          <w:iCs/>
          <w:spacing w:val="-3"/>
          <w:sz w:val="22"/>
          <w:szCs w:val="22"/>
        </w:rPr>
        <w:t>015 de 2018, de conformidad con los requisit</w:t>
      </w:r>
      <w:r>
        <w:rPr>
          <w:i/>
          <w:iCs/>
          <w:spacing w:val="-3"/>
          <w:sz w:val="22"/>
          <w:szCs w:val="22"/>
        </w:rPr>
        <w:t>o</w:t>
      </w:r>
      <w:r w:rsidRPr="00796336">
        <w:rPr>
          <w:i/>
          <w:iCs/>
          <w:spacing w:val="-3"/>
          <w:sz w:val="22"/>
          <w:szCs w:val="22"/>
        </w:rPr>
        <w:t>s t</w:t>
      </w:r>
      <w:r>
        <w:rPr>
          <w:i/>
          <w:iCs/>
          <w:spacing w:val="-3"/>
          <w:sz w:val="22"/>
          <w:szCs w:val="22"/>
        </w:rPr>
        <w:t>é</w:t>
      </w:r>
      <w:r w:rsidRPr="00796336">
        <w:rPr>
          <w:i/>
          <w:iCs/>
          <w:spacing w:val="-3"/>
          <w:sz w:val="22"/>
          <w:szCs w:val="22"/>
        </w:rPr>
        <w:t>cnicos del sistema de supervisi</w:t>
      </w:r>
      <w:r>
        <w:rPr>
          <w:i/>
          <w:iCs/>
          <w:spacing w:val="-3"/>
          <w:sz w:val="22"/>
          <w:szCs w:val="22"/>
        </w:rPr>
        <w:t>ó</w:t>
      </w:r>
      <w:r w:rsidRPr="00796336">
        <w:rPr>
          <w:i/>
          <w:iCs/>
          <w:spacing w:val="-3"/>
          <w:sz w:val="22"/>
          <w:szCs w:val="22"/>
        </w:rPr>
        <w:t>n y control estipulados en el anexo CC6 del C</w:t>
      </w:r>
      <w:r>
        <w:rPr>
          <w:i/>
          <w:iCs/>
          <w:spacing w:val="-3"/>
          <w:sz w:val="22"/>
          <w:szCs w:val="22"/>
        </w:rPr>
        <w:t>ó</w:t>
      </w:r>
      <w:r w:rsidRPr="00796336">
        <w:rPr>
          <w:i/>
          <w:iCs/>
          <w:spacing w:val="-3"/>
          <w:sz w:val="22"/>
          <w:szCs w:val="22"/>
        </w:rPr>
        <w:t>digo de Conexi</w:t>
      </w:r>
      <w:r>
        <w:rPr>
          <w:i/>
          <w:iCs/>
          <w:spacing w:val="-3"/>
          <w:sz w:val="22"/>
          <w:szCs w:val="22"/>
        </w:rPr>
        <w:t>ó</w:t>
      </w:r>
      <w:r w:rsidRPr="00796336">
        <w:rPr>
          <w:i/>
          <w:iCs/>
          <w:spacing w:val="-3"/>
          <w:sz w:val="22"/>
          <w:szCs w:val="22"/>
        </w:rPr>
        <w:t>n.</w:t>
      </w:r>
    </w:p>
    <w:p w14:paraId="3F608C6D" w14:textId="6E406EFB" w:rsidR="00254175" w:rsidRDefault="00181117" w:rsidP="00966D9F">
      <w:r>
        <w:t>Con r</w:t>
      </w:r>
      <w:r w:rsidR="00966D9F">
        <w:t>especto a la solicitud de reconocimiento de las Unidades Terminales Remotas</w:t>
      </w:r>
      <w:r>
        <w:t xml:space="preserve"> </w:t>
      </w:r>
      <w:r w:rsidR="00966D9F">
        <w:t>negadas</w:t>
      </w:r>
      <w:r w:rsidR="00254175">
        <w:t>,</w:t>
      </w:r>
      <w:r w:rsidR="00966D9F">
        <w:t xml:space="preserve"> la CREG encuentra que el argumento presentado por el OR no corresponde a hechos reales, ya que las 17 RTU solicitadas por la EBSA en el año 2014</w:t>
      </w:r>
      <w:r>
        <w:t xml:space="preserve"> fueron negadas</w:t>
      </w:r>
      <w:r w:rsidR="00254175">
        <w:t>, tal como se expone en el Documento CREG 018 de 2015, que soporta la Resolución CREG 029 de 2015, en que se mencionó lo siguiente:</w:t>
      </w:r>
    </w:p>
    <w:p w14:paraId="7AFF6968" w14:textId="77777777" w:rsidR="00BC65D6" w:rsidRDefault="00254175" w:rsidP="00254175">
      <w:pPr>
        <w:ind w:left="567"/>
        <w:rPr>
          <w:i/>
          <w:iCs/>
          <w:spacing w:val="-3"/>
          <w:sz w:val="22"/>
          <w:szCs w:val="22"/>
        </w:rPr>
      </w:pPr>
      <w:r w:rsidRPr="00254175">
        <w:rPr>
          <w:i/>
          <w:iCs/>
          <w:spacing w:val="-3"/>
          <w:sz w:val="22"/>
          <w:szCs w:val="22"/>
        </w:rPr>
        <w:t xml:space="preserve">De otra parte, se instalaron 56 </w:t>
      </w:r>
      <w:proofErr w:type="spellStart"/>
      <w:r w:rsidRPr="00254175">
        <w:rPr>
          <w:i/>
          <w:iCs/>
          <w:spacing w:val="-3"/>
          <w:sz w:val="22"/>
          <w:szCs w:val="22"/>
        </w:rPr>
        <w:t>reconectadores</w:t>
      </w:r>
      <w:proofErr w:type="spellEnd"/>
      <w:r w:rsidRPr="00254175">
        <w:rPr>
          <w:i/>
          <w:iCs/>
          <w:spacing w:val="-3"/>
          <w:sz w:val="22"/>
          <w:szCs w:val="22"/>
        </w:rPr>
        <w:t xml:space="preserve"> en diferentes subestaciones de la empresa, junto con 17 unidades terminales remotas. La Comisión encuentra que estas inversiones, asimiladas a las UC N2EQ35 y N3EQ20, hacen parte de los proyectos de reposición y/o remodelación de las subestaciones de la empresa y por lo tanto no es procedente la solicitud de actualización de los cargos de los niveles de tensión 2 y 3 a través de lo dispuesto en el artículo 6 de la Resolución CREG 043 de 2010.</w:t>
      </w:r>
    </w:p>
    <w:p w14:paraId="7A8D0260" w14:textId="0A6D15E2" w:rsidR="00254175" w:rsidRDefault="00254175" w:rsidP="006927B5">
      <w:pPr>
        <w:spacing w:before="240"/>
      </w:pPr>
      <w:r>
        <w:t xml:space="preserve">De lo anterior se observa que la CREG no aceptó en su momento incluir </w:t>
      </w:r>
      <w:r w:rsidR="007F0529">
        <w:t xml:space="preserve">las RTU solicitadas porque correspondían a reposiciones o remodelaciones de activos </w:t>
      </w:r>
      <w:r w:rsidR="008B5CEB">
        <w:t>en las subestaciones</w:t>
      </w:r>
      <w:r w:rsidR="00E154C3">
        <w:t>,</w:t>
      </w:r>
      <w:r w:rsidR="008B5CEB">
        <w:t xml:space="preserve"> y no a los elementos </w:t>
      </w:r>
      <w:proofErr w:type="spellStart"/>
      <w:r w:rsidR="008B5CEB">
        <w:t>telemedidos</w:t>
      </w:r>
      <w:proofErr w:type="spellEnd"/>
      <w:r w:rsidR="008B5CEB">
        <w:t xml:space="preserve"> </w:t>
      </w:r>
      <w:r w:rsidR="008B5CEB" w:rsidRPr="007F0529">
        <w:t>de detección de ausencia/presencia de tensión</w:t>
      </w:r>
      <w:r w:rsidR="008B5CEB">
        <w:t xml:space="preserve">, que eran los considerados </w:t>
      </w:r>
      <w:r w:rsidR="007F0529">
        <w:t xml:space="preserve">en el artículo 6 de la Resolución CREG 043 de 2010. </w:t>
      </w:r>
    </w:p>
    <w:p w14:paraId="05E51852" w14:textId="23DF1BCF" w:rsidR="008B5CEB" w:rsidRDefault="008B5CEB" w:rsidP="00254175">
      <w:r>
        <w:t>Ahora, en el caso de la</w:t>
      </w:r>
      <w:r w:rsidR="00115E10">
        <w:t>s</w:t>
      </w:r>
      <w:r>
        <w:t xml:space="preserve"> RTU solicitadas por el OR en la aprobación de ingresos con base en la metodología definida en la Resolución CREG 015 de 2018, la CREG no encontró información suficiente que permitiera </w:t>
      </w:r>
      <w:r w:rsidRPr="008B5CEB">
        <w:t>dem</w:t>
      </w:r>
      <w:r>
        <w:t>ostrar</w:t>
      </w:r>
      <w:r w:rsidRPr="008B5CEB">
        <w:t xml:space="preserve"> que el equipo solicitado se asimil</w:t>
      </w:r>
      <w:r>
        <w:t>e</w:t>
      </w:r>
      <w:r w:rsidRPr="008B5CEB">
        <w:t xml:space="preserve"> en características técnicas y costos al equipo incluido dentro de las unidades constructivas del capítulo 15 de la Resolución CREG 015 de 2018</w:t>
      </w:r>
      <w:r>
        <w:t xml:space="preserve">. </w:t>
      </w:r>
    </w:p>
    <w:p w14:paraId="7F281D71" w14:textId="118179C8" w:rsidR="008B5CEB" w:rsidRDefault="008B5CEB" w:rsidP="00254175">
      <w:r>
        <w:t>Por lo anterior, y dado que la información adicional suministrada por la EBSA en el recurso de reposición también es insuficiente</w:t>
      </w:r>
      <w:r w:rsidR="004308CA">
        <w:t>,</w:t>
      </w:r>
      <w:r>
        <w:t xml:space="preserve"> pues no permite identificar la</w:t>
      </w:r>
      <w:r w:rsidR="004308CA">
        <w:t>s</w:t>
      </w:r>
      <w:r>
        <w:t xml:space="preserve"> funcionalidades y costos de los equipos, la CREG no ace</w:t>
      </w:r>
      <w:r w:rsidR="004308CA">
        <w:t>p</w:t>
      </w:r>
      <w:r>
        <w:t xml:space="preserve">ta </w:t>
      </w:r>
      <w:r w:rsidR="004308CA">
        <w:t xml:space="preserve">la solicitud de </w:t>
      </w:r>
      <w:r>
        <w:t>incluir la</w:t>
      </w:r>
      <w:r w:rsidR="004308CA">
        <w:t>s</w:t>
      </w:r>
      <w:r>
        <w:t xml:space="preserve"> RTU </w:t>
      </w:r>
      <w:r w:rsidR="004308CA">
        <w:t>en el inventario del OR</w:t>
      </w:r>
      <w:r>
        <w:t xml:space="preserve">. </w:t>
      </w:r>
    </w:p>
    <w:p w14:paraId="17C16C7D" w14:textId="77777777" w:rsidR="00254175" w:rsidRPr="00254175" w:rsidRDefault="00254175" w:rsidP="00254175">
      <w:pPr>
        <w:rPr>
          <w:spacing w:val="-3"/>
          <w:sz w:val="22"/>
          <w:szCs w:val="22"/>
        </w:rPr>
      </w:pPr>
    </w:p>
    <w:p w14:paraId="7A9262EA" w14:textId="6332DBD3" w:rsidR="00796336" w:rsidRPr="008034DB" w:rsidRDefault="00796336" w:rsidP="00DC4616">
      <w:pPr>
        <w:keepNext/>
        <w:ind w:left="567"/>
        <w:rPr>
          <w:b/>
          <w:bCs/>
          <w:i/>
          <w:iCs/>
          <w:spacing w:val="-3"/>
          <w:sz w:val="22"/>
          <w:szCs w:val="22"/>
        </w:rPr>
      </w:pPr>
      <w:r w:rsidRPr="008034DB">
        <w:rPr>
          <w:b/>
          <w:bCs/>
          <w:i/>
          <w:iCs/>
          <w:spacing w:val="-3"/>
          <w:sz w:val="22"/>
          <w:szCs w:val="22"/>
        </w:rPr>
        <w:t>1.1.</w:t>
      </w:r>
      <w:r>
        <w:rPr>
          <w:b/>
          <w:bCs/>
          <w:i/>
          <w:iCs/>
          <w:spacing w:val="-3"/>
          <w:sz w:val="22"/>
          <w:szCs w:val="22"/>
        </w:rPr>
        <w:t>3</w:t>
      </w:r>
      <w:r w:rsidRPr="008034DB">
        <w:rPr>
          <w:b/>
          <w:bCs/>
          <w:i/>
          <w:iCs/>
          <w:spacing w:val="-3"/>
          <w:sz w:val="22"/>
          <w:szCs w:val="22"/>
        </w:rPr>
        <w:t xml:space="preserve"> </w:t>
      </w:r>
      <w:r w:rsidRPr="00796336">
        <w:rPr>
          <w:b/>
          <w:bCs/>
          <w:i/>
          <w:iCs/>
          <w:spacing w:val="-3"/>
          <w:sz w:val="22"/>
          <w:szCs w:val="22"/>
        </w:rPr>
        <w:t>Reconocimiento de unidades de adquisici</w:t>
      </w:r>
      <w:r>
        <w:rPr>
          <w:b/>
          <w:bCs/>
          <w:i/>
          <w:iCs/>
          <w:spacing w:val="-3"/>
          <w:sz w:val="22"/>
          <w:szCs w:val="22"/>
        </w:rPr>
        <w:t>ó</w:t>
      </w:r>
      <w:r w:rsidRPr="00796336">
        <w:rPr>
          <w:b/>
          <w:bCs/>
          <w:i/>
          <w:iCs/>
          <w:spacing w:val="-3"/>
          <w:sz w:val="22"/>
          <w:szCs w:val="22"/>
        </w:rPr>
        <w:t xml:space="preserve">n de datos (UAD) </w:t>
      </w:r>
    </w:p>
    <w:p w14:paraId="43C62240" w14:textId="77777777" w:rsidR="00001363" w:rsidRDefault="00001363" w:rsidP="009A66AB">
      <w:pPr>
        <w:ind w:left="567"/>
        <w:rPr>
          <w:i/>
          <w:iCs/>
          <w:spacing w:val="-3"/>
          <w:sz w:val="22"/>
          <w:szCs w:val="22"/>
        </w:rPr>
      </w:pPr>
      <w:r>
        <w:rPr>
          <w:i/>
          <w:iCs/>
          <w:spacing w:val="-3"/>
          <w:sz w:val="22"/>
          <w:szCs w:val="22"/>
        </w:rPr>
        <w:t>(…)</w:t>
      </w:r>
    </w:p>
    <w:p w14:paraId="25CD77FA" w14:textId="636E1FCA" w:rsidR="00001363" w:rsidRDefault="00001363" w:rsidP="00001363">
      <w:pPr>
        <w:ind w:left="567"/>
        <w:rPr>
          <w:i/>
          <w:iCs/>
          <w:spacing w:val="-3"/>
          <w:sz w:val="22"/>
          <w:szCs w:val="22"/>
        </w:rPr>
      </w:pPr>
      <w:r w:rsidRPr="00001363">
        <w:rPr>
          <w:i/>
          <w:iCs/>
          <w:spacing w:val="-3"/>
          <w:sz w:val="22"/>
          <w:szCs w:val="22"/>
        </w:rPr>
        <w:t>De acuerdo con la arquitectura de comunicaciones dise</w:t>
      </w:r>
      <w:r>
        <w:rPr>
          <w:i/>
          <w:iCs/>
          <w:spacing w:val="-3"/>
          <w:sz w:val="22"/>
          <w:szCs w:val="22"/>
        </w:rPr>
        <w:t>ñ</w:t>
      </w:r>
      <w:r w:rsidRPr="00001363">
        <w:rPr>
          <w:i/>
          <w:iCs/>
          <w:spacing w:val="-3"/>
          <w:sz w:val="22"/>
          <w:szCs w:val="22"/>
        </w:rPr>
        <w:t>ada par</w:t>
      </w:r>
      <w:r>
        <w:rPr>
          <w:i/>
          <w:iCs/>
          <w:spacing w:val="-3"/>
          <w:sz w:val="22"/>
          <w:szCs w:val="22"/>
        </w:rPr>
        <w:t>a</w:t>
      </w:r>
      <w:r w:rsidRPr="00001363">
        <w:rPr>
          <w:i/>
          <w:iCs/>
          <w:spacing w:val="-3"/>
          <w:sz w:val="22"/>
          <w:szCs w:val="22"/>
        </w:rPr>
        <w:t xml:space="preserve"> las subestaciones de EBSA, las UAD son elementos dedicados que cumplen la funci</w:t>
      </w:r>
      <w:r>
        <w:rPr>
          <w:i/>
          <w:iCs/>
          <w:spacing w:val="-3"/>
          <w:sz w:val="22"/>
          <w:szCs w:val="22"/>
        </w:rPr>
        <w:t>ó</w:t>
      </w:r>
      <w:r w:rsidRPr="00001363">
        <w:rPr>
          <w:i/>
          <w:iCs/>
          <w:spacing w:val="-3"/>
          <w:sz w:val="22"/>
          <w:szCs w:val="22"/>
        </w:rPr>
        <w:t>n de adquisici</w:t>
      </w:r>
      <w:r>
        <w:rPr>
          <w:i/>
          <w:iCs/>
          <w:spacing w:val="-3"/>
          <w:sz w:val="22"/>
          <w:szCs w:val="22"/>
        </w:rPr>
        <w:t>ó</w:t>
      </w:r>
      <w:r w:rsidRPr="00001363">
        <w:rPr>
          <w:i/>
          <w:iCs/>
          <w:spacing w:val="-3"/>
          <w:sz w:val="22"/>
          <w:szCs w:val="22"/>
        </w:rPr>
        <w:t>n de toma de se</w:t>
      </w:r>
      <w:r>
        <w:rPr>
          <w:i/>
          <w:iCs/>
          <w:spacing w:val="-3"/>
          <w:sz w:val="22"/>
          <w:szCs w:val="22"/>
        </w:rPr>
        <w:t>ñ</w:t>
      </w:r>
      <w:r w:rsidRPr="00001363">
        <w:rPr>
          <w:i/>
          <w:iCs/>
          <w:spacing w:val="-3"/>
          <w:sz w:val="22"/>
          <w:szCs w:val="22"/>
        </w:rPr>
        <w:t>ales de</w:t>
      </w:r>
      <w:r>
        <w:rPr>
          <w:i/>
          <w:iCs/>
          <w:spacing w:val="-3"/>
          <w:sz w:val="22"/>
          <w:szCs w:val="22"/>
        </w:rPr>
        <w:t xml:space="preserve"> </w:t>
      </w:r>
      <w:r w:rsidRPr="00001363">
        <w:rPr>
          <w:i/>
          <w:iCs/>
          <w:spacing w:val="-3"/>
          <w:sz w:val="22"/>
          <w:szCs w:val="22"/>
        </w:rPr>
        <w:t>las celdas par</w:t>
      </w:r>
      <w:r w:rsidR="003F481F">
        <w:rPr>
          <w:i/>
          <w:iCs/>
          <w:spacing w:val="-3"/>
          <w:sz w:val="22"/>
          <w:szCs w:val="22"/>
        </w:rPr>
        <w:t>a</w:t>
      </w:r>
      <w:r w:rsidRPr="00001363">
        <w:rPr>
          <w:i/>
          <w:iCs/>
          <w:spacing w:val="-3"/>
          <w:sz w:val="22"/>
          <w:szCs w:val="22"/>
        </w:rPr>
        <w:t xml:space="preserve"> enlazarlas al sistema general de control de la subestaci</w:t>
      </w:r>
      <w:r>
        <w:rPr>
          <w:i/>
          <w:iCs/>
          <w:spacing w:val="-3"/>
          <w:sz w:val="22"/>
          <w:szCs w:val="22"/>
        </w:rPr>
        <w:t>ó</w:t>
      </w:r>
      <w:r w:rsidRPr="00001363">
        <w:rPr>
          <w:i/>
          <w:iCs/>
          <w:spacing w:val="-3"/>
          <w:sz w:val="22"/>
          <w:szCs w:val="22"/>
        </w:rPr>
        <w:t>n, de c</w:t>
      </w:r>
      <w:r>
        <w:rPr>
          <w:i/>
          <w:iCs/>
          <w:spacing w:val="-3"/>
          <w:sz w:val="22"/>
          <w:szCs w:val="22"/>
        </w:rPr>
        <w:t>o</w:t>
      </w:r>
      <w:r w:rsidRPr="00001363">
        <w:rPr>
          <w:i/>
          <w:iCs/>
          <w:spacing w:val="-3"/>
          <w:sz w:val="22"/>
          <w:szCs w:val="22"/>
        </w:rPr>
        <w:t xml:space="preserve">nformidad con </w:t>
      </w:r>
      <w:r>
        <w:rPr>
          <w:i/>
          <w:iCs/>
          <w:spacing w:val="-3"/>
          <w:sz w:val="22"/>
          <w:szCs w:val="22"/>
        </w:rPr>
        <w:t>lo previsto en la circular 038 de 2014.</w:t>
      </w:r>
    </w:p>
    <w:p w14:paraId="741B76BA" w14:textId="60BB6A7B" w:rsidR="00001363" w:rsidRPr="00001363" w:rsidRDefault="00001363" w:rsidP="00001363">
      <w:pPr>
        <w:ind w:left="567"/>
        <w:rPr>
          <w:i/>
          <w:iCs/>
          <w:spacing w:val="-3"/>
          <w:sz w:val="22"/>
          <w:szCs w:val="22"/>
        </w:rPr>
      </w:pPr>
      <w:r w:rsidRPr="00001363">
        <w:rPr>
          <w:i/>
          <w:iCs/>
          <w:spacing w:val="-3"/>
          <w:sz w:val="22"/>
          <w:szCs w:val="22"/>
        </w:rPr>
        <w:t>Ahora bien, s</w:t>
      </w:r>
      <w:r>
        <w:rPr>
          <w:i/>
          <w:iCs/>
          <w:spacing w:val="-3"/>
          <w:sz w:val="22"/>
          <w:szCs w:val="22"/>
        </w:rPr>
        <w:t>o</w:t>
      </w:r>
      <w:r w:rsidRPr="00001363">
        <w:rPr>
          <w:i/>
          <w:iCs/>
          <w:spacing w:val="-3"/>
          <w:sz w:val="22"/>
          <w:szCs w:val="22"/>
        </w:rPr>
        <w:t>bre las UAD instaladas en la subestaci</w:t>
      </w:r>
      <w:r>
        <w:rPr>
          <w:i/>
          <w:iCs/>
          <w:spacing w:val="-3"/>
          <w:sz w:val="22"/>
          <w:szCs w:val="22"/>
        </w:rPr>
        <w:t>ó</w:t>
      </w:r>
      <w:r w:rsidRPr="00001363">
        <w:rPr>
          <w:i/>
          <w:iCs/>
          <w:spacing w:val="-3"/>
          <w:sz w:val="22"/>
          <w:szCs w:val="22"/>
        </w:rPr>
        <w:t>n Garagoa clasificadas com</w:t>
      </w:r>
      <w:r w:rsidR="004466EE">
        <w:rPr>
          <w:i/>
          <w:iCs/>
          <w:spacing w:val="-3"/>
          <w:sz w:val="22"/>
          <w:szCs w:val="22"/>
        </w:rPr>
        <w:t>o</w:t>
      </w:r>
      <w:r w:rsidRPr="00001363">
        <w:rPr>
          <w:i/>
          <w:iCs/>
          <w:spacing w:val="-3"/>
          <w:sz w:val="22"/>
          <w:szCs w:val="22"/>
        </w:rPr>
        <w:t xml:space="preserve"> CRIN, resu</w:t>
      </w:r>
      <w:r>
        <w:rPr>
          <w:i/>
          <w:iCs/>
          <w:spacing w:val="-3"/>
          <w:sz w:val="22"/>
          <w:szCs w:val="22"/>
        </w:rPr>
        <w:t>l</w:t>
      </w:r>
      <w:r w:rsidRPr="00001363">
        <w:rPr>
          <w:i/>
          <w:iCs/>
          <w:spacing w:val="-3"/>
          <w:sz w:val="22"/>
          <w:szCs w:val="22"/>
        </w:rPr>
        <w:t>t</w:t>
      </w:r>
      <w:r>
        <w:rPr>
          <w:i/>
          <w:iCs/>
          <w:spacing w:val="-3"/>
          <w:sz w:val="22"/>
          <w:szCs w:val="22"/>
        </w:rPr>
        <w:t>a</w:t>
      </w:r>
      <w:r w:rsidRPr="00001363">
        <w:rPr>
          <w:i/>
          <w:iCs/>
          <w:spacing w:val="-3"/>
          <w:sz w:val="22"/>
          <w:szCs w:val="22"/>
        </w:rPr>
        <w:t xml:space="preserve"> necesario citar la Circular 038 de 2014 emitida par la </w:t>
      </w:r>
      <w:r>
        <w:rPr>
          <w:i/>
          <w:iCs/>
          <w:spacing w:val="-3"/>
          <w:sz w:val="22"/>
          <w:szCs w:val="22"/>
        </w:rPr>
        <w:t>C</w:t>
      </w:r>
      <w:r w:rsidRPr="00001363">
        <w:rPr>
          <w:i/>
          <w:iCs/>
          <w:spacing w:val="-3"/>
          <w:sz w:val="22"/>
          <w:szCs w:val="22"/>
        </w:rPr>
        <w:t>REG, la cual en el Anexo 2 numeral 4.3, dispone: "4.3 EQUIPOS. Se definen Unidades Constructivas de equipos en los niveles de tensi</w:t>
      </w:r>
      <w:r>
        <w:rPr>
          <w:i/>
          <w:iCs/>
          <w:spacing w:val="-3"/>
          <w:sz w:val="22"/>
          <w:szCs w:val="22"/>
        </w:rPr>
        <w:t>ó</w:t>
      </w:r>
      <w:r w:rsidRPr="00001363">
        <w:rPr>
          <w:i/>
          <w:iCs/>
          <w:spacing w:val="-3"/>
          <w:sz w:val="22"/>
          <w:szCs w:val="22"/>
        </w:rPr>
        <w:t xml:space="preserve">n 4, 3 y 2, que corresponden a elementos no </w:t>
      </w:r>
      <w:r w:rsidR="00B67FAF" w:rsidRPr="00001363">
        <w:rPr>
          <w:i/>
          <w:iCs/>
          <w:spacing w:val="-3"/>
          <w:sz w:val="22"/>
          <w:szCs w:val="22"/>
        </w:rPr>
        <w:lastRenderedPageBreak/>
        <w:t>incluid</w:t>
      </w:r>
      <w:r w:rsidR="00B67FAF">
        <w:rPr>
          <w:i/>
          <w:iCs/>
          <w:spacing w:val="-3"/>
          <w:sz w:val="22"/>
          <w:szCs w:val="22"/>
        </w:rPr>
        <w:t>o</w:t>
      </w:r>
      <w:r w:rsidR="00B67FAF" w:rsidRPr="00001363">
        <w:rPr>
          <w:i/>
          <w:iCs/>
          <w:spacing w:val="-3"/>
          <w:sz w:val="22"/>
          <w:szCs w:val="22"/>
        </w:rPr>
        <w:t xml:space="preserve">s </w:t>
      </w:r>
      <w:r w:rsidRPr="00001363">
        <w:rPr>
          <w:i/>
          <w:iCs/>
          <w:spacing w:val="-3"/>
          <w:sz w:val="22"/>
          <w:szCs w:val="22"/>
        </w:rPr>
        <w:t>en las UC de subestaciones del respectivo nivel de tensi</w:t>
      </w:r>
      <w:r>
        <w:rPr>
          <w:i/>
          <w:iCs/>
          <w:spacing w:val="-3"/>
          <w:sz w:val="22"/>
          <w:szCs w:val="22"/>
        </w:rPr>
        <w:t>ó</w:t>
      </w:r>
      <w:r w:rsidRPr="00001363">
        <w:rPr>
          <w:i/>
          <w:iCs/>
          <w:spacing w:val="-3"/>
          <w:sz w:val="22"/>
          <w:szCs w:val="22"/>
        </w:rPr>
        <w:t>n y que el OR puede reportar en forma separada, en caso de contar con estos equipos en su sistema. (...)". Par lo expuesto, seg</w:t>
      </w:r>
      <w:r>
        <w:rPr>
          <w:i/>
          <w:iCs/>
          <w:spacing w:val="-3"/>
          <w:sz w:val="22"/>
          <w:szCs w:val="22"/>
        </w:rPr>
        <w:t>ú</w:t>
      </w:r>
      <w:r w:rsidRPr="00001363">
        <w:rPr>
          <w:i/>
          <w:iCs/>
          <w:spacing w:val="-3"/>
          <w:sz w:val="22"/>
          <w:szCs w:val="22"/>
        </w:rPr>
        <w:t>n lo se</w:t>
      </w:r>
      <w:r>
        <w:rPr>
          <w:i/>
          <w:iCs/>
          <w:spacing w:val="-3"/>
          <w:sz w:val="22"/>
          <w:szCs w:val="22"/>
        </w:rPr>
        <w:t>ñ</w:t>
      </w:r>
      <w:r w:rsidRPr="00001363">
        <w:rPr>
          <w:i/>
          <w:iCs/>
          <w:spacing w:val="-3"/>
          <w:sz w:val="22"/>
          <w:szCs w:val="22"/>
        </w:rPr>
        <w:t>alado en dicha circular, el OR puede solicitar el reconocimiento de est</w:t>
      </w:r>
      <w:r>
        <w:rPr>
          <w:i/>
          <w:iCs/>
          <w:spacing w:val="-3"/>
          <w:sz w:val="22"/>
          <w:szCs w:val="22"/>
        </w:rPr>
        <w:t>o</w:t>
      </w:r>
      <w:r w:rsidRPr="00001363">
        <w:rPr>
          <w:i/>
          <w:iCs/>
          <w:spacing w:val="-3"/>
          <w:sz w:val="22"/>
          <w:szCs w:val="22"/>
        </w:rPr>
        <w:t>s equipos en forma separada.</w:t>
      </w:r>
    </w:p>
    <w:p w14:paraId="5CA6A259" w14:textId="4434D04B" w:rsidR="00001363" w:rsidRPr="00001363" w:rsidRDefault="00001363" w:rsidP="00001363">
      <w:pPr>
        <w:ind w:left="567"/>
        <w:rPr>
          <w:i/>
          <w:iCs/>
          <w:spacing w:val="-3"/>
          <w:sz w:val="22"/>
          <w:szCs w:val="22"/>
        </w:rPr>
      </w:pPr>
      <w:r w:rsidRPr="00001363">
        <w:rPr>
          <w:i/>
          <w:iCs/>
          <w:spacing w:val="-3"/>
          <w:sz w:val="22"/>
          <w:szCs w:val="22"/>
        </w:rPr>
        <w:t xml:space="preserve">En este sentido, se solicita a </w:t>
      </w:r>
      <w:r>
        <w:rPr>
          <w:i/>
          <w:iCs/>
          <w:spacing w:val="-3"/>
          <w:sz w:val="22"/>
          <w:szCs w:val="22"/>
        </w:rPr>
        <w:t>l</w:t>
      </w:r>
      <w:r w:rsidRPr="00001363">
        <w:rPr>
          <w:i/>
          <w:iCs/>
          <w:spacing w:val="-3"/>
          <w:sz w:val="22"/>
          <w:szCs w:val="22"/>
        </w:rPr>
        <w:t xml:space="preserve">a </w:t>
      </w:r>
      <w:r w:rsidR="00F02577">
        <w:rPr>
          <w:i/>
          <w:iCs/>
          <w:spacing w:val="-3"/>
          <w:sz w:val="22"/>
          <w:szCs w:val="22"/>
        </w:rPr>
        <w:t>C</w:t>
      </w:r>
      <w:r w:rsidRPr="00001363">
        <w:rPr>
          <w:i/>
          <w:iCs/>
          <w:spacing w:val="-3"/>
          <w:sz w:val="22"/>
          <w:szCs w:val="22"/>
        </w:rPr>
        <w:t xml:space="preserve">REG incluir las UAD de </w:t>
      </w:r>
      <w:r>
        <w:rPr>
          <w:i/>
          <w:iCs/>
          <w:spacing w:val="-3"/>
          <w:sz w:val="22"/>
          <w:szCs w:val="22"/>
        </w:rPr>
        <w:t>l</w:t>
      </w:r>
      <w:r w:rsidRPr="00001363">
        <w:rPr>
          <w:i/>
          <w:iCs/>
          <w:spacing w:val="-3"/>
          <w:sz w:val="22"/>
          <w:szCs w:val="22"/>
        </w:rPr>
        <w:t>a subestaci</w:t>
      </w:r>
      <w:r>
        <w:rPr>
          <w:i/>
          <w:iCs/>
          <w:spacing w:val="-3"/>
          <w:sz w:val="22"/>
          <w:szCs w:val="22"/>
        </w:rPr>
        <w:t>ó</w:t>
      </w:r>
      <w:r w:rsidRPr="00001363">
        <w:rPr>
          <w:i/>
          <w:iCs/>
          <w:spacing w:val="-3"/>
          <w:sz w:val="22"/>
          <w:szCs w:val="22"/>
        </w:rPr>
        <w:t xml:space="preserve">n Garagoa dentro de </w:t>
      </w:r>
      <w:r>
        <w:rPr>
          <w:i/>
          <w:iCs/>
          <w:spacing w:val="-3"/>
          <w:sz w:val="22"/>
          <w:szCs w:val="22"/>
        </w:rPr>
        <w:t>l</w:t>
      </w:r>
      <w:r w:rsidRPr="00001363">
        <w:rPr>
          <w:i/>
          <w:iCs/>
          <w:spacing w:val="-3"/>
          <w:sz w:val="22"/>
          <w:szCs w:val="22"/>
        </w:rPr>
        <w:t>a base de activos a remunerar.</w:t>
      </w:r>
    </w:p>
    <w:p w14:paraId="238B6231" w14:textId="2FA4CB2B" w:rsidR="00001363" w:rsidRPr="00001363" w:rsidRDefault="00001363" w:rsidP="00001363">
      <w:pPr>
        <w:ind w:left="567"/>
        <w:rPr>
          <w:i/>
          <w:iCs/>
          <w:spacing w:val="-3"/>
          <w:sz w:val="22"/>
          <w:szCs w:val="22"/>
        </w:rPr>
      </w:pPr>
      <w:r w:rsidRPr="00001363">
        <w:rPr>
          <w:i/>
          <w:iCs/>
          <w:spacing w:val="-3"/>
          <w:sz w:val="22"/>
          <w:szCs w:val="22"/>
        </w:rPr>
        <w:t xml:space="preserve">Respecto a las UAD instaladas en las subestaciones </w:t>
      </w:r>
      <w:proofErr w:type="spellStart"/>
      <w:r w:rsidR="001A1C92" w:rsidRPr="00001363">
        <w:rPr>
          <w:i/>
          <w:iCs/>
          <w:spacing w:val="-3"/>
          <w:sz w:val="22"/>
          <w:szCs w:val="22"/>
        </w:rPr>
        <w:t>Marant</w:t>
      </w:r>
      <w:r w:rsidR="001A1C92">
        <w:rPr>
          <w:i/>
          <w:iCs/>
          <w:spacing w:val="-3"/>
          <w:sz w:val="22"/>
          <w:szCs w:val="22"/>
        </w:rPr>
        <w:t>á</w:t>
      </w:r>
      <w:proofErr w:type="spellEnd"/>
      <w:r w:rsidRPr="00001363">
        <w:rPr>
          <w:i/>
          <w:iCs/>
          <w:spacing w:val="-3"/>
          <w:sz w:val="22"/>
          <w:szCs w:val="22"/>
        </w:rPr>
        <w:t xml:space="preserve">, </w:t>
      </w:r>
      <w:proofErr w:type="spellStart"/>
      <w:r w:rsidRPr="00001363">
        <w:rPr>
          <w:i/>
          <w:iCs/>
          <w:spacing w:val="-3"/>
          <w:sz w:val="22"/>
          <w:szCs w:val="22"/>
        </w:rPr>
        <w:t>Iraka</w:t>
      </w:r>
      <w:proofErr w:type="spellEnd"/>
      <w:r w:rsidRPr="00001363">
        <w:rPr>
          <w:i/>
          <w:iCs/>
          <w:spacing w:val="-3"/>
          <w:sz w:val="22"/>
          <w:szCs w:val="22"/>
        </w:rPr>
        <w:t xml:space="preserve"> y </w:t>
      </w:r>
      <w:proofErr w:type="spellStart"/>
      <w:r w:rsidR="001A1C92" w:rsidRPr="00001363">
        <w:rPr>
          <w:i/>
          <w:iCs/>
          <w:spacing w:val="-3"/>
          <w:sz w:val="22"/>
          <w:szCs w:val="22"/>
        </w:rPr>
        <w:t>Sirat</w:t>
      </w:r>
      <w:r w:rsidR="001A1C92">
        <w:rPr>
          <w:i/>
          <w:iCs/>
          <w:spacing w:val="-3"/>
          <w:sz w:val="22"/>
          <w:szCs w:val="22"/>
        </w:rPr>
        <w:t>á</w:t>
      </w:r>
      <w:proofErr w:type="spellEnd"/>
      <w:r w:rsidRPr="00001363">
        <w:rPr>
          <w:i/>
          <w:iCs/>
          <w:spacing w:val="-3"/>
          <w:sz w:val="22"/>
          <w:szCs w:val="22"/>
        </w:rPr>
        <w:t xml:space="preserve"> clasificadas com</w:t>
      </w:r>
      <w:r w:rsidR="004466EE">
        <w:rPr>
          <w:i/>
          <w:iCs/>
          <w:spacing w:val="-3"/>
          <w:sz w:val="22"/>
          <w:szCs w:val="22"/>
        </w:rPr>
        <w:t>o</w:t>
      </w:r>
      <w:r w:rsidRPr="00001363">
        <w:rPr>
          <w:i/>
          <w:iCs/>
          <w:spacing w:val="-3"/>
          <w:sz w:val="22"/>
          <w:szCs w:val="22"/>
        </w:rPr>
        <w:t xml:space="preserve"> CRI, se solicita a </w:t>
      </w:r>
      <w:r w:rsidR="00294898">
        <w:rPr>
          <w:i/>
          <w:iCs/>
          <w:spacing w:val="-3"/>
          <w:sz w:val="22"/>
          <w:szCs w:val="22"/>
        </w:rPr>
        <w:t>l</w:t>
      </w:r>
      <w:r w:rsidRPr="00001363">
        <w:rPr>
          <w:i/>
          <w:iCs/>
          <w:spacing w:val="-3"/>
          <w:sz w:val="22"/>
          <w:szCs w:val="22"/>
        </w:rPr>
        <w:t>a CREG que las Unidades de Adquisici</w:t>
      </w:r>
      <w:r w:rsidR="00294898">
        <w:rPr>
          <w:i/>
          <w:iCs/>
          <w:spacing w:val="-3"/>
          <w:sz w:val="22"/>
          <w:szCs w:val="22"/>
        </w:rPr>
        <w:t>ó</w:t>
      </w:r>
      <w:r w:rsidRPr="00001363">
        <w:rPr>
          <w:i/>
          <w:iCs/>
          <w:spacing w:val="-3"/>
          <w:sz w:val="22"/>
          <w:szCs w:val="22"/>
        </w:rPr>
        <w:t xml:space="preserve">n de Datos — </w:t>
      </w:r>
      <w:r w:rsidR="00294898">
        <w:rPr>
          <w:i/>
          <w:iCs/>
          <w:spacing w:val="-3"/>
          <w:sz w:val="22"/>
          <w:szCs w:val="22"/>
        </w:rPr>
        <w:t>U</w:t>
      </w:r>
      <w:r w:rsidRPr="00001363">
        <w:rPr>
          <w:i/>
          <w:iCs/>
          <w:spacing w:val="-3"/>
          <w:sz w:val="22"/>
          <w:szCs w:val="22"/>
        </w:rPr>
        <w:t>AD se mantengan incluidas en el inventario de activos teniendo en cuenta que estas fueron rec</w:t>
      </w:r>
      <w:r w:rsidR="00294898">
        <w:rPr>
          <w:i/>
          <w:iCs/>
          <w:spacing w:val="-3"/>
          <w:sz w:val="22"/>
          <w:szCs w:val="22"/>
        </w:rPr>
        <w:t>o</w:t>
      </w:r>
      <w:r w:rsidRPr="00001363">
        <w:rPr>
          <w:i/>
          <w:iCs/>
          <w:spacing w:val="-3"/>
          <w:sz w:val="22"/>
          <w:szCs w:val="22"/>
        </w:rPr>
        <w:t>nocidas en marco de lo aprobado la Resoluci</w:t>
      </w:r>
      <w:r w:rsidR="00294898">
        <w:rPr>
          <w:i/>
          <w:iCs/>
          <w:spacing w:val="-3"/>
          <w:sz w:val="22"/>
          <w:szCs w:val="22"/>
        </w:rPr>
        <w:t>ó</w:t>
      </w:r>
      <w:r w:rsidRPr="00001363">
        <w:rPr>
          <w:i/>
          <w:iCs/>
          <w:spacing w:val="-3"/>
          <w:sz w:val="22"/>
          <w:szCs w:val="22"/>
        </w:rPr>
        <w:t>n CREG 097 de 2008, seg</w:t>
      </w:r>
      <w:r w:rsidR="00294898">
        <w:rPr>
          <w:i/>
          <w:iCs/>
          <w:spacing w:val="-3"/>
          <w:sz w:val="22"/>
          <w:szCs w:val="22"/>
        </w:rPr>
        <w:t>ú</w:t>
      </w:r>
      <w:r w:rsidRPr="00001363">
        <w:rPr>
          <w:i/>
          <w:iCs/>
          <w:spacing w:val="-3"/>
          <w:sz w:val="22"/>
          <w:szCs w:val="22"/>
        </w:rPr>
        <w:t>n la se</w:t>
      </w:r>
      <w:r w:rsidR="00294898">
        <w:rPr>
          <w:i/>
          <w:iCs/>
          <w:spacing w:val="-3"/>
          <w:sz w:val="22"/>
          <w:szCs w:val="22"/>
        </w:rPr>
        <w:t>ñ</w:t>
      </w:r>
      <w:r w:rsidRPr="00001363">
        <w:rPr>
          <w:i/>
          <w:iCs/>
          <w:spacing w:val="-3"/>
          <w:sz w:val="22"/>
          <w:szCs w:val="22"/>
        </w:rPr>
        <w:t>alado en el literal a. "Niveles de tensi</w:t>
      </w:r>
      <w:r w:rsidR="00294898">
        <w:rPr>
          <w:i/>
          <w:iCs/>
          <w:spacing w:val="-3"/>
          <w:sz w:val="22"/>
          <w:szCs w:val="22"/>
        </w:rPr>
        <w:t>ó</w:t>
      </w:r>
      <w:r w:rsidRPr="00001363">
        <w:rPr>
          <w:i/>
          <w:iCs/>
          <w:spacing w:val="-3"/>
          <w:sz w:val="22"/>
          <w:szCs w:val="22"/>
        </w:rPr>
        <w:t>n 2,</w:t>
      </w:r>
      <w:r w:rsidR="00294898">
        <w:rPr>
          <w:i/>
          <w:iCs/>
          <w:spacing w:val="-3"/>
          <w:sz w:val="22"/>
          <w:szCs w:val="22"/>
        </w:rPr>
        <w:t xml:space="preserve"> </w:t>
      </w:r>
      <w:r w:rsidRPr="00001363">
        <w:rPr>
          <w:i/>
          <w:iCs/>
          <w:spacing w:val="-3"/>
          <w:sz w:val="22"/>
          <w:szCs w:val="22"/>
        </w:rPr>
        <w:t>3 y 4" del numeral 3.1.1.1.1.6 "Cost</w:t>
      </w:r>
      <w:r w:rsidR="00294898">
        <w:rPr>
          <w:i/>
          <w:iCs/>
          <w:spacing w:val="-3"/>
          <w:sz w:val="22"/>
          <w:szCs w:val="22"/>
        </w:rPr>
        <w:t>o</w:t>
      </w:r>
      <w:r w:rsidRPr="00001363">
        <w:rPr>
          <w:i/>
          <w:iCs/>
          <w:spacing w:val="-3"/>
          <w:sz w:val="22"/>
          <w:szCs w:val="22"/>
        </w:rPr>
        <w:t xml:space="preserve"> de reposi</w:t>
      </w:r>
      <w:r w:rsidR="00294898">
        <w:rPr>
          <w:i/>
          <w:iCs/>
          <w:spacing w:val="-3"/>
          <w:sz w:val="22"/>
          <w:szCs w:val="22"/>
        </w:rPr>
        <w:t>c</w:t>
      </w:r>
      <w:r w:rsidRPr="00001363">
        <w:rPr>
          <w:i/>
          <w:iCs/>
          <w:spacing w:val="-3"/>
          <w:sz w:val="22"/>
          <w:szCs w:val="22"/>
        </w:rPr>
        <w:t>i</w:t>
      </w:r>
      <w:r w:rsidR="00294898">
        <w:rPr>
          <w:i/>
          <w:iCs/>
          <w:spacing w:val="-3"/>
          <w:sz w:val="22"/>
          <w:szCs w:val="22"/>
        </w:rPr>
        <w:t>ó</w:t>
      </w:r>
      <w:r w:rsidRPr="00001363">
        <w:rPr>
          <w:i/>
          <w:iCs/>
          <w:spacing w:val="-3"/>
          <w:sz w:val="22"/>
          <w:szCs w:val="22"/>
        </w:rPr>
        <w:t>n de la inversi</w:t>
      </w:r>
      <w:r w:rsidR="00294898">
        <w:rPr>
          <w:i/>
          <w:iCs/>
          <w:spacing w:val="-3"/>
          <w:sz w:val="22"/>
          <w:szCs w:val="22"/>
        </w:rPr>
        <w:t>ó</w:t>
      </w:r>
      <w:r w:rsidRPr="00001363">
        <w:rPr>
          <w:i/>
          <w:iCs/>
          <w:spacing w:val="-3"/>
          <w:sz w:val="22"/>
          <w:szCs w:val="22"/>
        </w:rPr>
        <w:t>n" de la Resoluci</w:t>
      </w:r>
      <w:r w:rsidR="00294898">
        <w:rPr>
          <w:i/>
          <w:iCs/>
          <w:spacing w:val="-3"/>
          <w:sz w:val="22"/>
          <w:szCs w:val="22"/>
        </w:rPr>
        <w:t>ó</w:t>
      </w:r>
      <w:r w:rsidRPr="00001363">
        <w:rPr>
          <w:i/>
          <w:iCs/>
          <w:spacing w:val="-3"/>
          <w:sz w:val="22"/>
          <w:szCs w:val="22"/>
        </w:rPr>
        <w:t xml:space="preserve">n 015 de 2018. </w:t>
      </w:r>
    </w:p>
    <w:p w14:paraId="0740C678" w14:textId="4CFA1813" w:rsidR="00F02577" w:rsidRDefault="00F02577" w:rsidP="00F02577">
      <w:r>
        <w:t>Acerca de la solicitud del OR de reconocer las Unidades de Adquisición de Datos, UAD, incluidas dentro del inventario solicitado, la CREG encuentra lo siguiente:</w:t>
      </w:r>
    </w:p>
    <w:p w14:paraId="1A58E83D" w14:textId="620C34E9" w:rsidR="00F02577" w:rsidRDefault="00F02577" w:rsidP="00F02577">
      <w:pPr>
        <w:pStyle w:val="Prrafodelista"/>
        <w:numPr>
          <w:ilvl w:val="0"/>
          <w:numId w:val="23"/>
        </w:numPr>
      </w:pPr>
      <w:r>
        <w:t xml:space="preserve">No puede el recurrente basarse en una circular en la que se publica el estudio hecho por un consultor, ya que las disposiciones regulatorias para la remuneración de los activos se encuentran en la metodología de remuneración de la actividad, en la cual no se menciona que haga parte este estudio. </w:t>
      </w:r>
    </w:p>
    <w:p w14:paraId="0956C735" w14:textId="4A46AC15" w:rsidR="00F02577" w:rsidRDefault="00F02577" w:rsidP="00F02577">
      <w:pPr>
        <w:pStyle w:val="Prrafodelista"/>
        <w:numPr>
          <w:ilvl w:val="0"/>
          <w:numId w:val="23"/>
        </w:numPr>
      </w:pPr>
      <w:r>
        <w:t xml:space="preserve">La afirmación que hace el OR acerca de que las UAD solicitadas en las subestaciones </w:t>
      </w:r>
      <w:proofErr w:type="spellStart"/>
      <w:r w:rsidR="00F42E5E" w:rsidRPr="00F02577">
        <w:t>Marant</w:t>
      </w:r>
      <w:r w:rsidR="00F42E5E">
        <w:t>á</w:t>
      </w:r>
      <w:proofErr w:type="spellEnd"/>
      <w:r w:rsidRPr="00F02577">
        <w:t xml:space="preserve">, </w:t>
      </w:r>
      <w:proofErr w:type="spellStart"/>
      <w:r w:rsidRPr="00F02577">
        <w:t>Iraka</w:t>
      </w:r>
      <w:proofErr w:type="spellEnd"/>
      <w:r w:rsidRPr="00F02577">
        <w:t xml:space="preserve"> y </w:t>
      </w:r>
      <w:proofErr w:type="spellStart"/>
      <w:r w:rsidR="00F42E5E" w:rsidRPr="00F02577">
        <w:t>Sirat</w:t>
      </w:r>
      <w:r w:rsidR="00F42E5E">
        <w:t>á</w:t>
      </w:r>
      <w:proofErr w:type="spellEnd"/>
      <w:r w:rsidR="00F42E5E">
        <w:t xml:space="preserve"> </w:t>
      </w:r>
      <w:r w:rsidR="003F03E8">
        <w:t>se encontraban en el inventario reconocido</w:t>
      </w:r>
      <w:r w:rsidR="00E154C3">
        <w:t>,</w:t>
      </w:r>
      <w:r w:rsidR="003F03E8">
        <w:t xml:space="preserve"> y que por tal razón deben mantenerse, no es cierta. Estos equipos también fueron negados en el año 2009, por las mismas razones que se exponen en el Documento CREG 144 de 2019.</w:t>
      </w:r>
    </w:p>
    <w:p w14:paraId="416C6625" w14:textId="0B59F8A7" w:rsidR="003F03E8" w:rsidRDefault="003F03E8" w:rsidP="003F03E8">
      <w:r>
        <w:t>Con base en lo anterior, y reiterando las razones expuestas en el Documento CREG 144 de 2019, la CREG no encuentra justificación para reconocer los equipos UAD solicitados por el OR.</w:t>
      </w:r>
    </w:p>
    <w:p w14:paraId="7582147D" w14:textId="77777777" w:rsidR="00F02577" w:rsidRDefault="00F02577" w:rsidP="009A66AB">
      <w:pPr>
        <w:ind w:left="567"/>
        <w:rPr>
          <w:i/>
          <w:iCs/>
          <w:spacing w:val="-3"/>
          <w:sz w:val="22"/>
          <w:szCs w:val="22"/>
        </w:rPr>
      </w:pPr>
    </w:p>
    <w:p w14:paraId="1ED460B5" w14:textId="3969C6DE" w:rsidR="00294898" w:rsidRDefault="00294898" w:rsidP="00DC4616">
      <w:pPr>
        <w:keepNext/>
        <w:ind w:left="567"/>
        <w:rPr>
          <w:b/>
          <w:bCs/>
          <w:i/>
          <w:iCs/>
          <w:spacing w:val="-3"/>
          <w:sz w:val="22"/>
          <w:szCs w:val="22"/>
        </w:rPr>
      </w:pPr>
      <w:r>
        <w:rPr>
          <w:b/>
          <w:bCs/>
          <w:i/>
          <w:iCs/>
          <w:spacing w:val="-3"/>
          <w:sz w:val="22"/>
          <w:szCs w:val="22"/>
        </w:rPr>
        <w:t xml:space="preserve">1.1.4 </w:t>
      </w:r>
      <w:r w:rsidRPr="00294898">
        <w:rPr>
          <w:b/>
          <w:bCs/>
          <w:i/>
          <w:iCs/>
          <w:spacing w:val="-3"/>
          <w:sz w:val="22"/>
          <w:szCs w:val="22"/>
        </w:rPr>
        <w:t>Reconocimiento de activos que no se encontraban en operaci</w:t>
      </w:r>
      <w:r>
        <w:rPr>
          <w:b/>
          <w:bCs/>
          <w:i/>
          <w:iCs/>
          <w:spacing w:val="-3"/>
          <w:sz w:val="22"/>
          <w:szCs w:val="22"/>
        </w:rPr>
        <w:t>ó</w:t>
      </w:r>
      <w:r w:rsidRPr="00294898">
        <w:rPr>
          <w:b/>
          <w:bCs/>
          <w:i/>
          <w:iCs/>
          <w:spacing w:val="-3"/>
          <w:sz w:val="22"/>
          <w:szCs w:val="22"/>
        </w:rPr>
        <w:t xml:space="preserve">n al momento de </w:t>
      </w:r>
      <w:r>
        <w:rPr>
          <w:b/>
          <w:bCs/>
          <w:i/>
          <w:iCs/>
          <w:spacing w:val="-3"/>
          <w:sz w:val="22"/>
          <w:szCs w:val="22"/>
        </w:rPr>
        <w:t xml:space="preserve">la </w:t>
      </w:r>
      <w:r w:rsidRPr="00294898">
        <w:rPr>
          <w:b/>
          <w:bCs/>
          <w:i/>
          <w:iCs/>
          <w:spacing w:val="-3"/>
          <w:sz w:val="22"/>
          <w:szCs w:val="22"/>
        </w:rPr>
        <w:t xml:space="preserve">visita realizada durante </w:t>
      </w:r>
      <w:r>
        <w:rPr>
          <w:b/>
          <w:bCs/>
          <w:i/>
          <w:iCs/>
          <w:spacing w:val="-3"/>
          <w:sz w:val="22"/>
          <w:szCs w:val="22"/>
        </w:rPr>
        <w:t>l</w:t>
      </w:r>
      <w:r w:rsidRPr="00294898">
        <w:rPr>
          <w:b/>
          <w:bCs/>
          <w:i/>
          <w:iCs/>
          <w:spacing w:val="-3"/>
          <w:sz w:val="22"/>
          <w:szCs w:val="22"/>
        </w:rPr>
        <w:t>a etapa probatoria realizada en terreno</w:t>
      </w:r>
    </w:p>
    <w:p w14:paraId="62A4AFAC" w14:textId="345D52B5" w:rsidR="00294898" w:rsidRPr="00294898" w:rsidRDefault="00294898" w:rsidP="00294898">
      <w:pPr>
        <w:ind w:left="567"/>
        <w:rPr>
          <w:i/>
          <w:iCs/>
          <w:spacing w:val="-3"/>
          <w:sz w:val="22"/>
          <w:szCs w:val="22"/>
        </w:rPr>
      </w:pPr>
      <w:r w:rsidRPr="00294898">
        <w:rPr>
          <w:i/>
          <w:iCs/>
          <w:spacing w:val="-3"/>
          <w:sz w:val="22"/>
          <w:szCs w:val="22"/>
        </w:rPr>
        <w:t>(…)</w:t>
      </w:r>
    </w:p>
    <w:p w14:paraId="2CE61B29" w14:textId="466BE370" w:rsidR="00294898" w:rsidRDefault="00294898" w:rsidP="00611962">
      <w:pPr>
        <w:spacing w:before="0" w:after="0"/>
        <w:ind w:left="567"/>
        <w:rPr>
          <w:i/>
          <w:iCs/>
          <w:spacing w:val="-3"/>
          <w:sz w:val="22"/>
          <w:szCs w:val="22"/>
        </w:rPr>
      </w:pPr>
      <w:r w:rsidRPr="00294898">
        <w:rPr>
          <w:i/>
          <w:iCs/>
          <w:spacing w:val="-3"/>
          <w:sz w:val="22"/>
          <w:szCs w:val="22"/>
        </w:rPr>
        <w:t>En cuanto a las bah</w:t>
      </w:r>
      <w:r>
        <w:rPr>
          <w:i/>
          <w:iCs/>
          <w:spacing w:val="-3"/>
          <w:sz w:val="22"/>
          <w:szCs w:val="22"/>
        </w:rPr>
        <w:t>í</w:t>
      </w:r>
      <w:r w:rsidRPr="00294898">
        <w:rPr>
          <w:i/>
          <w:iCs/>
          <w:spacing w:val="-3"/>
          <w:sz w:val="22"/>
          <w:szCs w:val="22"/>
        </w:rPr>
        <w:t>as de transformador, celda de medida y ductos de nivel de tensi</w:t>
      </w:r>
      <w:r>
        <w:rPr>
          <w:i/>
          <w:iCs/>
          <w:spacing w:val="-3"/>
          <w:sz w:val="22"/>
          <w:szCs w:val="22"/>
        </w:rPr>
        <w:t>ó</w:t>
      </w:r>
      <w:r w:rsidRPr="00294898">
        <w:rPr>
          <w:i/>
          <w:iCs/>
          <w:spacing w:val="-3"/>
          <w:sz w:val="22"/>
          <w:szCs w:val="22"/>
        </w:rPr>
        <w:t xml:space="preserve">n 2 de </w:t>
      </w:r>
      <w:r>
        <w:rPr>
          <w:i/>
          <w:iCs/>
          <w:spacing w:val="-3"/>
          <w:sz w:val="22"/>
          <w:szCs w:val="22"/>
        </w:rPr>
        <w:t>l</w:t>
      </w:r>
      <w:r w:rsidRPr="00294898">
        <w:rPr>
          <w:i/>
          <w:iCs/>
          <w:spacing w:val="-3"/>
          <w:sz w:val="22"/>
          <w:szCs w:val="22"/>
        </w:rPr>
        <w:t>a subestaci</w:t>
      </w:r>
      <w:r>
        <w:rPr>
          <w:i/>
          <w:iCs/>
          <w:spacing w:val="-3"/>
          <w:sz w:val="22"/>
          <w:szCs w:val="22"/>
        </w:rPr>
        <w:t>ó</w:t>
      </w:r>
      <w:r w:rsidRPr="00294898">
        <w:rPr>
          <w:i/>
          <w:iCs/>
          <w:spacing w:val="-3"/>
          <w:sz w:val="22"/>
          <w:szCs w:val="22"/>
        </w:rPr>
        <w:t xml:space="preserve">n Paipa, </w:t>
      </w:r>
      <w:r>
        <w:rPr>
          <w:i/>
          <w:iCs/>
          <w:spacing w:val="-3"/>
          <w:sz w:val="22"/>
          <w:szCs w:val="22"/>
        </w:rPr>
        <w:t>l</w:t>
      </w:r>
      <w:r w:rsidRPr="00294898">
        <w:rPr>
          <w:i/>
          <w:iCs/>
          <w:spacing w:val="-3"/>
          <w:sz w:val="22"/>
          <w:szCs w:val="22"/>
        </w:rPr>
        <w:t xml:space="preserve">a CREG indica que no se reconocen </w:t>
      </w:r>
      <w:r w:rsidR="004A6483" w:rsidRPr="00294898">
        <w:rPr>
          <w:i/>
          <w:iCs/>
          <w:spacing w:val="-3"/>
          <w:sz w:val="22"/>
          <w:szCs w:val="22"/>
        </w:rPr>
        <w:t>dad</w:t>
      </w:r>
      <w:r w:rsidR="004A6483">
        <w:rPr>
          <w:i/>
          <w:iCs/>
          <w:spacing w:val="-3"/>
          <w:sz w:val="22"/>
          <w:szCs w:val="22"/>
        </w:rPr>
        <w:t>o</w:t>
      </w:r>
      <w:r w:rsidR="004A6483" w:rsidRPr="00294898">
        <w:rPr>
          <w:i/>
          <w:iCs/>
          <w:spacing w:val="-3"/>
          <w:sz w:val="22"/>
          <w:szCs w:val="22"/>
        </w:rPr>
        <w:t xml:space="preserve"> </w:t>
      </w:r>
      <w:r w:rsidRPr="00294898">
        <w:rPr>
          <w:i/>
          <w:iCs/>
          <w:spacing w:val="-3"/>
          <w:sz w:val="22"/>
          <w:szCs w:val="22"/>
        </w:rPr>
        <w:t xml:space="preserve">que en </w:t>
      </w:r>
      <w:r>
        <w:rPr>
          <w:i/>
          <w:iCs/>
          <w:spacing w:val="-3"/>
          <w:sz w:val="22"/>
          <w:szCs w:val="22"/>
        </w:rPr>
        <w:t>l</w:t>
      </w:r>
      <w:r w:rsidRPr="00294898">
        <w:rPr>
          <w:i/>
          <w:iCs/>
          <w:spacing w:val="-3"/>
          <w:sz w:val="22"/>
          <w:szCs w:val="22"/>
        </w:rPr>
        <w:t>a visita no se enc</w:t>
      </w:r>
      <w:r>
        <w:rPr>
          <w:i/>
          <w:iCs/>
          <w:spacing w:val="-3"/>
          <w:sz w:val="22"/>
          <w:szCs w:val="22"/>
        </w:rPr>
        <w:t>o</w:t>
      </w:r>
      <w:r w:rsidRPr="00294898">
        <w:rPr>
          <w:i/>
          <w:iCs/>
          <w:spacing w:val="-3"/>
          <w:sz w:val="22"/>
          <w:szCs w:val="22"/>
        </w:rPr>
        <w:t>ntraron en operaci</w:t>
      </w:r>
      <w:r>
        <w:rPr>
          <w:i/>
          <w:iCs/>
          <w:spacing w:val="-3"/>
          <w:sz w:val="22"/>
          <w:szCs w:val="22"/>
        </w:rPr>
        <w:t>ó</w:t>
      </w:r>
      <w:r w:rsidRPr="00294898">
        <w:rPr>
          <w:i/>
          <w:iCs/>
          <w:spacing w:val="-3"/>
          <w:sz w:val="22"/>
          <w:szCs w:val="22"/>
        </w:rPr>
        <w:t xml:space="preserve">n. Al respecto, se aclara que estas UC se encontraban </w:t>
      </w:r>
      <w:proofErr w:type="spellStart"/>
      <w:r w:rsidRPr="00294898">
        <w:rPr>
          <w:i/>
          <w:iCs/>
          <w:spacing w:val="-3"/>
          <w:sz w:val="22"/>
          <w:szCs w:val="22"/>
        </w:rPr>
        <w:t>desenergizadas</w:t>
      </w:r>
      <w:proofErr w:type="spellEnd"/>
      <w:r w:rsidRPr="00294898">
        <w:rPr>
          <w:i/>
          <w:iCs/>
          <w:spacing w:val="-3"/>
          <w:sz w:val="22"/>
          <w:szCs w:val="22"/>
        </w:rPr>
        <w:t xml:space="preserve"> por actividades de mantenimiento, tal </w:t>
      </w:r>
      <w:r w:rsidR="0025252D" w:rsidRPr="00294898">
        <w:rPr>
          <w:i/>
          <w:iCs/>
          <w:spacing w:val="-3"/>
          <w:sz w:val="22"/>
          <w:szCs w:val="22"/>
        </w:rPr>
        <w:t>com</w:t>
      </w:r>
      <w:r w:rsidR="0025252D">
        <w:rPr>
          <w:i/>
          <w:iCs/>
          <w:spacing w:val="-3"/>
          <w:sz w:val="22"/>
          <w:szCs w:val="22"/>
        </w:rPr>
        <w:t>o</w:t>
      </w:r>
      <w:r w:rsidR="0025252D" w:rsidRPr="00294898">
        <w:rPr>
          <w:i/>
          <w:iCs/>
          <w:spacing w:val="-3"/>
          <w:sz w:val="22"/>
          <w:szCs w:val="22"/>
        </w:rPr>
        <w:t xml:space="preserve"> </w:t>
      </w:r>
      <w:r w:rsidRPr="00294898">
        <w:rPr>
          <w:i/>
          <w:iCs/>
          <w:spacing w:val="-3"/>
          <w:sz w:val="22"/>
          <w:szCs w:val="22"/>
        </w:rPr>
        <w:t>se manifest</w:t>
      </w:r>
      <w:r>
        <w:rPr>
          <w:i/>
          <w:iCs/>
          <w:spacing w:val="-3"/>
          <w:sz w:val="22"/>
          <w:szCs w:val="22"/>
        </w:rPr>
        <w:t>ó</w:t>
      </w:r>
      <w:r w:rsidRPr="00294898">
        <w:rPr>
          <w:i/>
          <w:iCs/>
          <w:spacing w:val="-3"/>
          <w:sz w:val="22"/>
          <w:szCs w:val="22"/>
        </w:rPr>
        <w:t xml:space="preserve"> en el moment</w:t>
      </w:r>
      <w:r>
        <w:rPr>
          <w:i/>
          <w:iCs/>
          <w:spacing w:val="-3"/>
          <w:sz w:val="22"/>
          <w:szCs w:val="22"/>
        </w:rPr>
        <w:t>o</w:t>
      </w:r>
      <w:r w:rsidRPr="00294898">
        <w:rPr>
          <w:i/>
          <w:iCs/>
          <w:spacing w:val="-3"/>
          <w:sz w:val="22"/>
          <w:szCs w:val="22"/>
        </w:rPr>
        <w:t xml:space="preserve"> de la visita de verifica</w:t>
      </w:r>
      <w:r>
        <w:rPr>
          <w:i/>
          <w:iCs/>
          <w:spacing w:val="-3"/>
          <w:sz w:val="22"/>
          <w:szCs w:val="22"/>
        </w:rPr>
        <w:t>c</w:t>
      </w:r>
      <w:r w:rsidRPr="00294898">
        <w:rPr>
          <w:i/>
          <w:iCs/>
          <w:spacing w:val="-3"/>
          <w:sz w:val="22"/>
          <w:szCs w:val="22"/>
        </w:rPr>
        <w:t>i</w:t>
      </w:r>
      <w:r>
        <w:rPr>
          <w:i/>
          <w:iCs/>
          <w:spacing w:val="-3"/>
          <w:sz w:val="22"/>
          <w:szCs w:val="22"/>
        </w:rPr>
        <w:t>ó</w:t>
      </w:r>
      <w:r w:rsidRPr="00294898">
        <w:rPr>
          <w:i/>
          <w:iCs/>
          <w:spacing w:val="-3"/>
          <w:sz w:val="22"/>
          <w:szCs w:val="22"/>
        </w:rPr>
        <w:t xml:space="preserve">n realizada en terreno por </w:t>
      </w:r>
      <w:r>
        <w:rPr>
          <w:i/>
          <w:iCs/>
          <w:spacing w:val="-3"/>
          <w:sz w:val="22"/>
          <w:szCs w:val="22"/>
        </w:rPr>
        <w:t>l</w:t>
      </w:r>
      <w:r w:rsidRPr="00294898">
        <w:rPr>
          <w:i/>
          <w:iCs/>
          <w:spacing w:val="-3"/>
          <w:sz w:val="22"/>
          <w:szCs w:val="22"/>
        </w:rPr>
        <w:t xml:space="preserve">a </w:t>
      </w:r>
      <w:r>
        <w:rPr>
          <w:i/>
          <w:iCs/>
          <w:spacing w:val="-3"/>
          <w:sz w:val="22"/>
          <w:szCs w:val="22"/>
        </w:rPr>
        <w:t>C</w:t>
      </w:r>
      <w:r w:rsidRPr="00294898">
        <w:rPr>
          <w:i/>
          <w:iCs/>
          <w:spacing w:val="-3"/>
          <w:sz w:val="22"/>
          <w:szCs w:val="22"/>
        </w:rPr>
        <w:t xml:space="preserve">REG. A la fecha se encuentran disponibles y operativas, por lo que, en caso de </w:t>
      </w:r>
      <w:r w:rsidR="0025252D" w:rsidRPr="00294898">
        <w:rPr>
          <w:i/>
          <w:iCs/>
          <w:spacing w:val="-3"/>
          <w:sz w:val="22"/>
          <w:szCs w:val="22"/>
        </w:rPr>
        <w:t>considerarl</w:t>
      </w:r>
      <w:r w:rsidR="0025252D">
        <w:rPr>
          <w:i/>
          <w:iCs/>
          <w:spacing w:val="-3"/>
          <w:sz w:val="22"/>
          <w:szCs w:val="22"/>
        </w:rPr>
        <w:t>o</w:t>
      </w:r>
      <w:r w:rsidR="0025252D" w:rsidRPr="00294898">
        <w:rPr>
          <w:i/>
          <w:iCs/>
          <w:spacing w:val="-3"/>
          <w:sz w:val="22"/>
          <w:szCs w:val="22"/>
        </w:rPr>
        <w:t xml:space="preserve"> </w:t>
      </w:r>
      <w:r w:rsidRPr="00294898">
        <w:rPr>
          <w:i/>
          <w:iCs/>
          <w:spacing w:val="-3"/>
          <w:sz w:val="22"/>
          <w:szCs w:val="22"/>
        </w:rPr>
        <w:t xml:space="preserve">necesario, </w:t>
      </w:r>
      <w:r>
        <w:rPr>
          <w:i/>
          <w:iCs/>
          <w:spacing w:val="-3"/>
          <w:sz w:val="22"/>
          <w:szCs w:val="22"/>
        </w:rPr>
        <w:t>l</w:t>
      </w:r>
      <w:r w:rsidRPr="00294898">
        <w:rPr>
          <w:i/>
          <w:iCs/>
          <w:spacing w:val="-3"/>
          <w:sz w:val="22"/>
          <w:szCs w:val="22"/>
        </w:rPr>
        <w:t>a CREG podr</w:t>
      </w:r>
      <w:r>
        <w:rPr>
          <w:i/>
          <w:iCs/>
          <w:spacing w:val="-3"/>
          <w:sz w:val="22"/>
          <w:szCs w:val="22"/>
        </w:rPr>
        <w:t>í</w:t>
      </w:r>
      <w:r w:rsidRPr="00294898">
        <w:rPr>
          <w:i/>
          <w:iCs/>
          <w:spacing w:val="-3"/>
          <w:sz w:val="22"/>
          <w:szCs w:val="22"/>
        </w:rPr>
        <w:t xml:space="preserve">a realizar </w:t>
      </w:r>
      <w:r>
        <w:rPr>
          <w:i/>
          <w:iCs/>
          <w:spacing w:val="-3"/>
          <w:sz w:val="22"/>
          <w:szCs w:val="22"/>
        </w:rPr>
        <w:t>l</w:t>
      </w:r>
      <w:r w:rsidRPr="00294898">
        <w:rPr>
          <w:i/>
          <w:iCs/>
          <w:spacing w:val="-3"/>
          <w:sz w:val="22"/>
          <w:szCs w:val="22"/>
        </w:rPr>
        <w:t>a verifica</w:t>
      </w:r>
      <w:r>
        <w:rPr>
          <w:i/>
          <w:iCs/>
          <w:spacing w:val="-3"/>
          <w:sz w:val="22"/>
          <w:szCs w:val="22"/>
        </w:rPr>
        <w:t>c</w:t>
      </w:r>
      <w:r w:rsidRPr="00294898">
        <w:rPr>
          <w:i/>
          <w:iCs/>
          <w:spacing w:val="-3"/>
          <w:sz w:val="22"/>
          <w:szCs w:val="22"/>
        </w:rPr>
        <w:t>i</w:t>
      </w:r>
      <w:r>
        <w:rPr>
          <w:i/>
          <w:iCs/>
          <w:spacing w:val="-3"/>
          <w:sz w:val="22"/>
          <w:szCs w:val="22"/>
        </w:rPr>
        <w:t>ó</w:t>
      </w:r>
      <w:r w:rsidRPr="00294898">
        <w:rPr>
          <w:i/>
          <w:iCs/>
          <w:spacing w:val="-3"/>
          <w:sz w:val="22"/>
          <w:szCs w:val="22"/>
        </w:rPr>
        <w:t>n en terreno.</w:t>
      </w:r>
    </w:p>
    <w:p w14:paraId="3401175B" w14:textId="77777777" w:rsidR="00611962" w:rsidRDefault="00611962" w:rsidP="00611962">
      <w:pPr>
        <w:spacing w:before="0" w:after="0"/>
        <w:ind w:left="567"/>
        <w:rPr>
          <w:i/>
          <w:iCs/>
          <w:spacing w:val="-3"/>
          <w:sz w:val="22"/>
          <w:szCs w:val="22"/>
        </w:rPr>
      </w:pPr>
    </w:p>
    <w:p w14:paraId="1C7C624B" w14:textId="2E9A2FB5" w:rsidR="00AA3F2D" w:rsidRDefault="00FD1A6C" w:rsidP="00AA3F2D">
      <w:r>
        <w:t>Sobre la solicitud la CREG reitera que</w:t>
      </w:r>
      <w:r w:rsidR="0064411A">
        <w:t>,</w:t>
      </w:r>
      <w:r>
        <w:t xml:space="preserve"> con base en la visita de verificación hecha</w:t>
      </w:r>
      <w:r w:rsidR="0064411A">
        <w:t>,</w:t>
      </w:r>
      <w:r>
        <w:t xml:space="preserve"> estos no se encontraban aún en operación y</w:t>
      </w:r>
      <w:r w:rsidR="00E154C3">
        <w:t>,</w:t>
      </w:r>
      <w:r>
        <w:t xml:space="preserve"> por tanto</w:t>
      </w:r>
      <w:r w:rsidR="00E154C3">
        <w:t>,</w:t>
      </w:r>
      <w:r>
        <w:t xml:space="preserve"> tampoco estaban en operación en la fecha de corte. No obstante, se accede </w:t>
      </w:r>
      <w:r w:rsidR="00E154C3">
        <w:t xml:space="preserve">a </w:t>
      </w:r>
      <w:r>
        <w:t>incluir estos activos en el inventario del año 2018.</w:t>
      </w:r>
    </w:p>
    <w:p w14:paraId="063E866F" w14:textId="77777777" w:rsidR="00294898" w:rsidRDefault="00294898" w:rsidP="009A66AB">
      <w:pPr>
        <w:ind w:left="567"/>
        <w:rPr>
          <w:i/>
          <w:iCs/>
          <w:spacing w:val="-3"/>
          <w:sz w:val="22"/>
          <w:szCs w:val="22"/>
        </w:rPr>
      </w:pPr>
    </w:p>
    <w:p w14:paraId="2527542E" w14:textId="244865C8" w:rsidR="00294898" w:rsidRPr="008034DB" w:rsidRDefault="00294898" w:rsidP="00DC4616">
      <w:pPr>
        <w:keepNext/>
        <w:ind w:left="567"/>
        <w:rPr>
          <w:b/>
          <w:bCs/>
          <w:i/>
          <w:iCs/>
          <w:spacing w:val="-3"/>
          <w:sz w:val="22"/>
          <w:szCs w:val="22"/>
        </w:rPr>
      </w:pPr>
      <w:r w:rsidRPr="008034DB">
        <w:rPr>
          <w:b/>
          <w:bCs/>
          <w:i/>
          <w:iCs/>
          <w:spacing w:val="-3"/>
          <w:sz w:val="22"/>
          <w:szCs w:val="22"/>
        </w:rPr>
        <w:lastRenderedPageBreak/>
        <w:t>1.1.</w:t>
      </w:r>
      <w:r>
        <w:rPr>
          <w:b/>
          <w:bCs/>
          <w:i/>
          <w:iCs/>
          <w:spacing w:val="-3"/>
          <w:sz w:val="22"/>
          <w:szCs w:val="22"/>
        </w:rPr>
        <w:t>5</w:t>
      </w:r>
      <w:r w:rsidRPr="008034DB">
        <w:rPr>
          <w:b/>
          <w:bCs/>
          <w:i/>
          <w:iCs/>
          <w:spacing w:val="-3"/>
          <w:sz w:val="22"/>
          <w:szCs w:val="22"/>
        </w:rPr>
        <w:t xml:space="preserve"> </w:t>
      </w:r>
      <w:r w:rsidRPr="00294898">
        <w:rPr>
          <w:b/>
          <w:bCs/>
          <w:i/>
          <w:iCs/>
          <w:spacing w:val="-3"/>
          <w:sz w:val="22"/>
          <w:szCs w:val="22"/>
        </w:rPr>
        <w:t>Reconocimiento de tramos de l</w:t>
      </w:r>
      <w:r>
        <w:rPr>
          <w:b/>
          <w:bCs/>
          <w:i/>
          <w:iCs/>
          <w:spacing w:val="-3"/>
          <w:sz w:val="22"/>
          <w:szCs w:val="22"/>
        </w:rPr>
        <w:t>íne</w:t>
      </w:r>
      <w:r w:rsidRPr="00294898">
        <w:rPr>
          <w:b/>
          <w:bCs/>
          <w:i/>
          <w:iCs/>
          <w:spacing w:val="-3"/>
          <w:sz w:val="22"/>
          <w:szCs w:val="22"/>
        </w:rPr>
        <w:t>as reportados en el inventario y</w:t>
      </w:r>
      <w:r w:rsidR="00FD6E14">
        <w:rPr>
          <w:b/>
          <w:bCs/>
          <w:i/>
          <w:iCs/>
          <w:spacing w:val="-3"/>
          <w:sz w:val="22"/>
          <w:szCs w:val="22"/>
        </w:rPr>
        <w:t xml:space="preserve"> </w:t>
      </w:r>
      <w:r w:rsidRPr="00294898">
        <w:rPr>
          <w:b/>
          <w:bCs/>
          <w:i/>
          <w:iCs/>
          <w:spacing w:val="-3"/>
          <w:sz w:val="22"/>
          <w:szCs w:val="22"/>
        </w:rPr>
        <w:t>georreferenciados</w:t>
      </w:r>
      <w:r w:rsidRPr="00796336">
        <w:rPr>
          <w:b/>
          <w:bCs/>
          <w:i/>
          <w:iCs/>
          <w:spacing w:val="-3"/>
          <w:sz w:val="22"/>
          <w:szCs w:val="22"/>
        </w:rPr>
        <w:t xml:space="preserve"> </w:t>
      </w:r>
    </w:p>
    <w:p w14:paraId="1CA29B2A" w14:textId="68DBF628" w:rsidR="00294898" w:rsidRDefault="00294898" w:rsidP="009A66AB">
      <w:pPr>
        <w:ind w:left="567"/>
        <w:rPr>
          <w:i/>
          <w:iCs/>
          <w:spacing w:val="-3"/>
          <w:sz w:val="22"/>
          <w:szCs w:val="22"/>
        </w:rPr>
      </w:pPr>
      <w:r w:rsidRPr="00294898">
        <w:rPr>
          <w:i/>
          <w:iCs/>
          <w:spacing w:val="-3"/>
          <w:sz w:val="22"/>
          <w:szCs w:val="22"/>
        </w:rPr>
        <w:t>En efecto, la EBSA confirm</w:t>
      </w:r>
      <w:r>
        <w:rPr>
          <w:i/>
          <w:iCs/>
          <w:spacing w:val="-3"/>
          <w:sz w:val="22"/>
          <w:szCs w:val="22"/>
        </w:rPr>
        <w:t>ó</w:t>
      </w:r>
      <w:r w:rsidRPr="00294898">
        <w:rPr>
          <w:i/>
          <w:iCs/>
          <w:spacing w:val="-3"/>
          <w:sz w:val="22"/>
          <w:szCs w:val="22"/>
        </w:rPr>
        <w:t xml:space="preserve"> que hubo una </w:t>
      </w:r>
      <w:r>
        <w:rPr>
          <w:i/>
          <w:iCs/>
          <w:spacing w:val="-3"/>
          <w:sz w:val="22"/>
          <w:szCs w:val="22"/>
        </w:rPr>
        <w:t xml:space="preserve">omisión </w:t>
      </w:r>
      <w:r w:rsidRPr="00294898">
        <w:rPr>
          <w:i/>
          <w:iCs/>
          <w:spacing w:val="-3"/>
          <w:sz w:val="22"/>
          <w:szCs w:val="22"/>
        </w:rPr>
        <w:t xml:space="preserve">en el </w:t>
      </w:r>
      <w:proofErr w:type="spellStart"/>
      <w:r w:rsidRPr="00294898">
        <w:rPr>
          <w:i/>
          <w:iCs/>
          <w:spacing w:val="-3"/>
          <w:sz w:val="22"/>
          <w:szCs w:val="22"/>
        </w:rPr>
        <w:t>geo</w:t>
      </w:r>
      <w:r>
        <w:rPr>
          <w:i/>
          <w:iCs/>
          <w:spacing w:val="-3"/>
          <w:sz w:val="22"/>
          <w:szCs w:val="22"/>
        </w:rPr>
        <w:t>r</w:t>
      </w:r>
      <w:r w:rsidRPr="00294898">
        <w:rPr>
          <w:i/>
          <w:iCs/>
          <w:spacing w:val="-3"/>
          <w:sz w:val="22"/>
          <w:szCs w:val="22"/>
        </w:rPr>
        <w:t>referenciamiento</w:t>
      </w:r>
      <w:proofErr w:type="spellEnd"/>
      <w:r w:rsidRPr="00294898">
        <w:rPr>
          <w:i/>
          <w:iCs/>
          <w:spacing w:val="-3"/>
          <w:sz w:val="22"/>
          <w:szCs w:val="22"/>
        </w:rPr>
        <w:t xml:space="preserve"> de los tramos de l</w:t>
      </w:r>
      <w:r>
        <w:rPr>
          <w:i/>
          <w:iCs/>
          <w:spacing w:val="-3"/>
          <w:sz w:val="22"/>
          <w:szCs w:val="22"/>
        </w:rPr>
        <w:t>í</w:t>
      </w:r>
      <w:r w:rsidRPr="00294898">
        <w:rPr>
          <w:i/>
          <w:iCs/>
          <w:spacing w:val="-3"/>
          <w:sz w:val="22"/>
          <w:szCs w:val="22"/>
        </w:rPr>
        <w:t>neas reportadas en el inventario. Por lo anterior, respetuosamente confirmamos que en el archivo de Exce</w:t>
      </w:r>
      <w:r w:rsidR="00D44FAA">
        <w:rPr>
          <w:i/>
          <w:iCs/>
          <w:spacing w:val="-3"/>
          <w:sz w:val="22"/>
          <w:szCs w:val="22"/>
        </w:rPr>
        <w:t>l</w:t>
      </w:r>
      <w:r w:rsidRPr="00294898">
        <w:rPr>
          <w:i/>
          <w:iCs/>
          <w:spacing w:val="-3"/>
          <w:sz w:val="22"/>
          <w:szCs w:val="22"/>
        </w:rPr>
        <w:t xml:space="preserve"> "</w:t>
      </w:r>
      <w:proofErr w:type="gramStart"/>
      <w:r w:rsidRPr="00294898">
        <w:rPr>
          <w:i/>
          <w:iCs/>
          <w:spacing w:val="-3"/>
          <w:sz w:val="22"/>
          <w:szCs w:val="22"/>
        </w:rPr>
        <w:t>Inventario  reconocido</w:t>
      </w:r>
      <w:proofErr w:type="gramEnd"/>
      <w:r w:rsidRPr="00294898">
        <w:rPr>
          <w:i/>
          <w:iCs/>
          <w:spacing w:val="-3"/>
          <w:sz w:val="22"/>
          <w:szCs w:val="22"/>
        </w:rPr>
        <w:t xml:space="preserve"> BRA OR —  EBSA_ENTREGA.xlsx"  hoja "formato7 UC l</w:t>
      </w:r>
      <w:r w:rsidR="00D44FAA">
        <w:rPr>
          <w:i/>
          <w:iCs/>
          <w:spacing w:val="-3"/>
          <w:sz w:val="22"/>
          <w:szCs w:val="22"/>
        </w:rPr>
        <w:t>í</w:t>
      </w:r>
      <w:r w:rsidRPr="00294898">
        <w:rPr>
          <w:i/>
          <w:iCs/>
          <w:spacing w:val="-3"/>
          <w:sz w:val="22"/>
          <w:szCs w:val="22"/>
        </w:rPr>
        <w:t xml:space="preserve">neas" y </w:t>
      </w:r>
      <w:r w:rsidR="00D44FAA">
        <w:rPr>
          <w:i/>
          <w:iCs/>
          <w:spacing w:val="-3"/>
          <w:sz w:val="22"/>
          <w:szCs w:val="22"/>
        </w:rPr>
        <w:t>e</w:t>
      </w:r>
      <w:r w:rsidRPr="00294898">
        <w:rPr>
          <w:i/>
          <w:iCs/>
          <w:spacing w:val="-3"/>
          <w:sz w:val="22"/>
          <w:szCs w:val="22"/>
        </w:rPr>
        <w:t xml:space="preserve">n los </w:t>
      </w:r>
      <w:proofErr w:type="spellStart"/>
      <w:r w:rsidRPr="00294898">
        <w:rPr>
          <w:i/>
          <w:iCs/>
          <w:spacing w:val="-3"/>
          <w:sz w:val="22"/>
          <w:szCs w:val="22"/>
        </w:rPr>
        <w:t>Shape</w:t>
      </w:r>
      <w:proofErr w:type="spellEnd"/>
      <w:r w:rsidRPr="00294898">
        <w:rPr>
          <w:i/>
          <w:iCs/>
          <w:spacing w:val="-3"/>
          <w:sz w:val="22"/>
          <w:szCs w:val="22"/>
        </w:rPr>
        <w:t xml:space="preserve"> base Boyac</w:t>
      </w:r>
      <w:r w:rsidR="00D44FAA">
        <w:rPr>
          <w:i/>
          <w:iCs/>
          <w:spacing w:val="-3"/>
          <w:sz w:val="22"/>
          <w:szCs w:val="22"/>
        </w:rPr>
        <w:t>á</w:t>
      </w:r>
      <w:r w:rsidRPr="00294898">
        <w:rPr>
          <w:i/>
          <w:iCs/>
          <w:spacing w:val="-3"/>
          <w:sz w:val="22"/>
          <w:szCs w:val="22"/>
        </w:rPr>
        <w:t xml:space="preserve">, adjunto al presente recurso, se reportan todos </w:t>
      </w:r>
      <w:r w:rsidR="00D44FAA">
        <w:rPr>
          <w:i/>
          <w:iCs/>
          <w:spacing w:val="-3"/>
          <w:sz w:val="22"/>
          <w:szCs w:val="22"/>
        </w:rPr>
        <w:t>l</w:t>
      </w:r>
      <w:r w:rsidRPr="00294898">
        <w:rPr>
          <w:i/>
          <w:iCs/>
          <w:spacing w:val="-3"/>
          <w:sz w:val="22"/>
          <w:szCs w:val="22"/>
        </w:rPr>
        <w:t>os tramos de l</w:t>
      </w:r>
      <w:r w:rsidR="00D44FAA">
        <w:rPr>
          <w:i/>
          <w:iCs/>
          <w:spacing w:val="-3"/>
          <w:sz w:val="22"/>
          <w:szCs w:val="22"/>
        </w:rPr>
        <w:t>í</w:t>
      </w:r>
      <w:r w:rsidRPr="00294898">
        <w:rPr>
          <w:i/>
          <w:iCs/>
          <w:spacing w:val="-3"/>
          <w:sz w:val="22"/>
          <w:szCs w:val="22"/>
        </w:rPr>
        <w:t>nea debidamente georreferenciados faltantes.</w:t>
      </w:r>
    </w:p>
    <w:p w14:paraId="42BE7F69" w14:textId="582D93B6" w:rsidR="00F0789E" w:rsidRPr="00AF4052" w:rsidRDefault="00F0789E" w:rsidP="00E254B9">
      <w:pPr>
        <w:spacing w:before="240"/>
        <w:rPr>
          <w:spacing w:val="-3"/>
        </w:rPr>
      </w:pPr>
      <w:r w:rsidRPr="00AF4052">
        <w:rPr>
          <w:spacing w:val="-3"/>
        </w:rPr>
        <w:t>Con la nueva información recibida con el recurso, en la Comisión se hizo una comparación entre los tramos de línea incluidos en los formatos Excel que contienen el inventario reportado por la empresa y los tramos de línea incluidos en la información geo</w:t>
      </w:r>
      <w:r w:rsidRPr="00AF4052">
        <w:rPr>
          <w:spacing w:val="-3"/>
        </w:rPr>
        <w:softHyphen/>
        <w:t>rrefe</w:t>
      </w:r>
      <w:r w:rsidRPr="00AF4052">
        <w:rPr>
          <w:spacing w:val="-3"/>
        </w:rPr>
        <w:softHyphen/>
        <w:t>renciada. La comparación consistió en verificar que, en las dos fuentes, cada tramo de línea tuviera la misma información, esto es: tipo de inventario (CRI, CRINR o CRIN), identificador de la línea (IUL) e identificador del tramo (IUA).</w:t>
      </w:r>
    </w:p>
    <w:p w14:paraId="212AB7A3" w14:textId="14CFF4F0" w:rsidR="00F0789E" w:rsidRPr="00AF4052" w:rsidRDefault="00F0789E" w:rsidP="00F0789E">
      <w:pPr>
        <w:rPr>
          <w:spacing w:val="-3"/>
        </w:rPr>
      </w:pPr>
      <w:r w:rsidRPr="00AF4052">
        <w:rPr>
          <w:spacing w:val="-3"/>
        </w:rPr>
        <w:t>De los 1</w:t>
      </w:r>
      <w:r w:rsidR="00CD2555">
        <w:rPr>
          <w:spacing w:val="-3"/>
        </w:rPr>
        <w:t>.</w:t>
      </w:r>
      <w:r w:rsidRPr="00AF4052">
        <w:rPr>
          <w:spacing w:val="-3"/>
        </w:rPr>
        <w:t>366 tramos de línea no incluidos inicialmente dentro del inventario reconocido en la Resolución CREG 177 de 2019, con la nueva información se pudo comprobar que 1</w:t>
      </w:r>
      <w:r w:rsidR="00CD2555">
        <w:rPr>
          <w:spacing w:val="-3"/>
        </w:rPr>
        <w:t>.</w:t>
      </w:r>
      <w:r w:rsidRPr="00AF4052">
        <w:rPr>
          <w:spacing w:val="-3"/>
        </w:rPr>
        <w:t>349 tramos de línea tienen la misma información en las dos fuentes referidas en el párrafo anterior, por lo que este número de tramos se incluirá dentro del inventario reconocido.</w:t>
      </w:r>
    </w:p>
    <w:p w14:paraId="4311F0F7" w14:textId="3BE4DCF9" w:rsidR="00FD1A6C" w:rsidRDefault="00F0789E" w:rsidP="009A66AB">
      <w:pPr>
        <w:ind w:left="567"/>
        <w:rPr>
          <w:i/>
          <w:iCs/>
          <w:spacing w:val="-3"/>
          <w:sz w:val="22"/>
          <w:szCs w:val="22"/>
        </w:rPr>
      </w:pPr>
      <w:r>
        <w:rPr>
          <w:spacing w:val="-3"/>
          <w:sz w:val="22"/>
          <w:szCs w:val="22"/>
        </w:rPr>
        <w:t xml:space="preserve"> </w:t>
      </w:r>
    </w:p>
    <w:p w14:paraId="62F60570" w14:textId="03EEC0F7" w:rsidR="00D44FAA" w:rsidRPr="008034DB" w:rsidRDefault="00D44FAA" w:rsidP="00DC4616">
      <w:pPr>
        <w:keepNext/>
        <w:ind w:left="567"/>
        <w:rPr>
          <w:b/>
          <w:bCs/>
          <w:i/>
          <w:iCs/>
          <w:spacing w:val="-3"/>
          <w:sz w:val="22"/>
          <w:szCs w:val="22"/>
        </w:rPr>
      </w:pPr>
      <w:r w:rsidRPr="008034DB">
        <w:rPr>
          <w:b/>
          <w:bCs/>
          <w:i/>
          <w:iCs/>
          <w:spacing w:val="-3"/>
          <w:sz w:val="22"/>
          <w:szCs w:val="22"/>
        </w:rPr>
        <w:t>1.1.</w:t>
      </w:r>
      <w:r>
        <w:rPr>
          <w:b/>
          <w:bCs/>
          <w:i/>
          <w:iCs/>
          <w:spacing w:val="-3"/>
          <w:sz w:val="22"/>
          <w:szCs w:val="22"/>
        </w:rPr>
        <w:t>6</w:t>
      </w:r>
      <w:r w:rsidRPr="008034DB">
        <w:rPr>
          <w:b/>
          <w:bCs/>
          <w:i/>
          <w:iCs/>
          <w:spacing w:val="-3"/>
          <w:sz w:val="22"/>
          <w:szCs w:val="22"/>
        </w:rPr>
        <w:t xml:space="preserve"> </w:t>
      </w:r>
      <w:r w:rsidRPr="00D44FAA">
        <w:rPr>
          <w:b/>
          <w:bCs/>
          <w:i/>
          <w:iCs/>
          <w:spacing w:val="-3"/>
          <w:sz w:val="22"/>
          <w:szCs w:val="22"/>
        </w:rPr>
        <w:t>Reconocimiento de celdas de reserv</w:t>
      </w:r>
      <w:r>
        <w:rPr>
          <w:b/>
          <w:bCs/>
          <w:i/>
          <w:iCs/>
          <w:spacing w:val="-3"/>
          <w:sz w:val="22"/>
          <w:szCs w:val="22"/>
        </w:rPr>
        <w:t>a</w:t>
      </w:r>
      <w:r w:rsidRPr="00796336">
        <w:rPr>
          <w:b/>
          <w:bCs/>
          <w:i/>
          <w:iCs/>
          <w:spacing w:val="-3"/>
          <w:sz w:val="22"/>
          <w:szCs w:val="22"/>
        </w:rPr>
        <w:t xml:space="preserve"> </w:t>
      </w:r>
    </w:p>
    <w:p w14:paraId="6DCAEBC7" w14:textId="55FE16E5" w:rsidR="00D44FAA" w:rsidRPr="00D44FAA" w:rsidRDefault="00D44FAA" w:rsidP="00D44FAA">
      <w:pPr>
        <w:ind w:left="567"/>
        <w:rPr>
          <w:i/>
          <w:iCs/>
          <w:spacing w:val="-3"/>
          <w:sz w:val="22"/>
          <w:szCs w:val="22"/>
        </w:rPr>
      </w:pPr>
      <w:r w:rsidRPr="00D44FAA">
        <w:rPr>
          <w:i/>
          <w:iCs/>
          <w:spacing w:val="-3"/>
          <w:sz w:val="22"/>
          <w:szCs w:val="22"/>
        </w:rPr>
        <w:t xml:space="preserve">Sabre las celdas de reserva que  no fueron reconocidas por parte de la CREG en las subestaciones Patriotas, Rio Piedras y </w:t>
      </w:r>
      <w:r w:rsidR="00114298" w:rsidRPr="00D44FAA">
        <w:rPr>
          <w:i/>
          <w:iCs/>
          <w:spacing w:val="-3"/>
          <w:sz w:val="22"/>
          <w:szCs w:val="22"/>
        </w:rPr>
        <w:t>Samac</w:t>
      </w:r>
      <w:r w:rsidR="00114298">
        <w:rPr>
          <w:i/>
          <w:iCs/>
          <w:spacing w:val="-3"/>
          <w:sz w:val="22"/>
          <w:szCs w:val="22"/>
        </w:rPr>
        <w:t>á</w:t>
      </w:r>
      <w:r w:rsidRPr="00D44FAA">
        <w:rPr>
          <w:i/>
          <w:iCs/>
          <w:spacing w:val="-3"/>
          <w:sz w:val="22"/>
          <w:szCs w:val="22"/>
        </w:rPr>
        <w:t xml:space="preserve">, </w:t>
      </w:r>
      <w:r>
        <w:rPr>
          <w:i/>
          <w:iCs/>
          <w:spacing w:val="-3"/>
          <w:sz w:val="22"/>
          <w:szCs w:val="22"/>
        </w:rPr>
        <w:t>l</w:t>
      </w:r>
      <w:r w:rsidRPr="00D44FAA">
        <w:rPr>
          <w:i/>
          <w:iCs/>
          <w:spacing w:val="-3"/>
          <w:sz w:val="22"/>
          <w:szCs w:val="22"/>
        </w:rPr>
        <w:t xml:space="preserve">a EBSA solicita sean reconocidas 3 de las 4 celdas de reserva solicitadas teniendo en cuenta </w:t>
      </w:r>
      <w:r>
        <w:rPr>
          <w:i/>
          <w:iCs/>
          <w:spacing w:val="-3"/>
          <w:sz w:val="22"/>
          <w:szCs w:val="22"/>
        </w:rPr>
        <w:t>l</w:t>
      </w:r>
      <w:r w:rsidRPr="00D44FAA">
        <w:rPr>
          <w:i/>
          <w:iCs/>
          <w:spacing w:val="-3"/>
          <w:sz w:val="22"/>
          <w:szCs w:val="22"/>
        </w:rPr>
        <w:t xml:space="preserve">o establecido en el numeral 5.1 de </w:t>
      </w:r>
      <w:r>
        <w:rPr>
          <w:i/>
          <w:iCs/>
          <w:spacing w:val="-3"/>
          <w:sz w:val="22"/>
          <w:szCs w:val="22"/>
        </w:rPr>
        <w:t>l</w:t>
      </w:r>
      <w:r w:rsidRPr="00D44FAA">
        <w:rPr>
          <w:i/>
          <w:iCs/>
          <w:spacing w:val="-3"/>
          <w:sz w:val="22"/>
          <w:szCs w:val="22"/>
        </w:rPr>
        <w:t>a Resoluci</w:t>
      </w:r>
      <w:r>
        <w:rPr>
          <w:i/>
          <w:iCs/>
          <w:spacing w:val="-3"/>
          <w:sz w:val="22"/>
          <w:szCs w:val="22"/>
        </w:rPr>
        <w:t>ó</w:t>
      </w:r>
      <w:r w:rsidRPr="00D44FAA">
        <w:rPr>
          <w:i/>
          <w:iCs/>
          <w:spacing w:val="-3"/>
          <w:sz w:val="22"/>
          <w:szCs w:val="22"/>
        </w:rPr>
        <w:t>n 097 de 2008: "En considera</w:t>
      </w:r>
      <w:r>
        <w:rPr>
          <w:i/>
          <w:iCs/>
          <w:spacing w:val="-3"/>
          <w:sz w:val="22"/>
          <w:szCs w:val="22"/>
        </w:rPr>
        <w:t>c</w:t>
      </w:r>
      <w:r w:rsidRPr="00D44FAA">
        <w:rPr>
          <w:i/>
          <w:iCs/>
          <w:spacing w:val="-3"/>
          <w:sz w:val="22"/>
          <w:szCs w:val="22"/>
        </w:rPr>
        <w:t>i</w:t>
      </w:r>
      <w:r>
        <w:rPr>
          <w:i/>
          <w:iCs/>
          <w:spacing w:val="-3"/>
          <w:sz w:val="22"/>
          <w:szCs w:val="22"/>
        </w:rPr>
        <w:t>ó</w:t>
      </w:r>
      <w:r w:rsidRPr="00D44FAA">
        <w:rPr>
          <w:i/>
          <w:iCs/>
          <w:spacing w:val="-3"/>
          <w:sz w:val="22"/>
          <w:szCs w:val="22"/>
        </w:rPr>
        <w:t>n a los est</w:t>
      </w:r>
      <w:r>
        <w:rPr>
          <w:i/>
          <w:iCs/>
          <w:spacing w:val="-3"/>
          <w:sz w:val="22"/>
          <w:szCs w:val="22"/>
        </w:rPr>
        <w:t>á</w:t>
      </w:r>
      <w:r w:rsidRPr="00D44FAA">
        <w:rPr>
          <w:i/>
          <w:iCs/>
          <w:spacing w:val="-3"/>
          <w:sz w:val="22"/>
          <w:szCs w:val="22"/>
        </w:rPr>
        <w:t>ndares de calidad del servicio que debe cumplir el OR, se permite remunerar una celda de reserve existente por cada 6 celdas que est</w:t>
      </w:r>
      <w:r>
        <w:rPr>
          <w:i/>
          <w:iCs/>
          <w:spacing w:val="-3"/>
          <w:sz w:val="22"/>
          <w:szCs w:val="22"/>
        </w:rPr>
        <w:t>é</w:t>
      </w:r>
      <w:r w:rsidRPr="00D44FAA">
        <w:rPr>
          <w:i/>
          <w:iCs/>
          <w:spacing w:val="-3"/>
          <w:sz w:val="22"/>
          <w:szCs w:val="22"/>
        </w:rPr>
        <w:t>n en opera</w:t>
      </w:r>
      <w:r>
        <w:rPr>
          <w:i/>
          <w:iCs/>
          <w:spacing w:val="-3"/>
          <w:sz w:val="22"/>
          <w:szCs w:val="22"/>
        </w:rPr>
        <w:t>c</w:t>
      </w:r>
      <w:r w:rsidRPr="00D44FAA">
        <w:rPr>
          <w:i/>
          <w:iCs/>
          <w:spacing w:val="-3"/>
          <w:sz w:val="22"/>
          <w:szCs w:val="22"/>
        </w:rPr>
        <w:t>i</w:t>
      </w:r>
      <w:r>
        <w:rPr>
          <w:i/>
          <w:iCs/>
          <w:spacing w:val="-3"/>
          <w:sz w:val="22"/>
          <w:szCs w:val="22"/>
        </w:rPr>
        <w:t>ó</w:t>
      </w:r>
      <w:r w:rsidRPr="00D44FAA">
        <w:rPr>
          <w:i/>
          <w:iCs/>
          <w:spacing w:val="-3"/>
          <w:sz w:val="22"/>
          <w:szCs w:val="22"/>
        </w:rPr>
        <w:t>n en las subestaciones donde se solicite el reconocimiento de dichos activos"</w:t>
      </w:r>
    </w:p>
    <w:p w14:paraId="2ADA2745" w14:textId="01B179AD" w:rsidR="00D44FAA" w:rsidRPr="00D44FAA" w:rsidRDefault="00D44FAA" w:rsidP="00D44FAA">
      <w:pPr>
        <w:ind w:left="567"/>
        <w:rPr>
          <w:i/>
          <w:iCs/>
          <w:spacing w:val="-3"/>
          <w:sz w:val="22"/>
          <w:szCs w:val="22"/>
        </w:rPr>
      </w:pPr>
      <w:r w:rsidRPr="00D44FAA">
        <w:rPr>
          <w:i/>
          <w:iCs/>
          <w:spacing w:val="-3"/>
          <w:sz w:val="22"/>
          <w:szCs w:val="22"/>
        </w:rPr>
        <w:t>Dado lo anterior y teniendo en cuenta que en el referido aparte de la Resoluci</w:t>
      </w:r>
      <w:r>
        <w:rPr>
          <w:i/>
          <w:iCs/>
          <w:spacing w:val="-3"/>
          <w:sz w:val="22"/>
          <w:szCs w:val="22"/>
        </w:rPr>
        <w:t>ó</w:t>
      </w:r>
      <w:r w:rsidRPr="00D44FAA">
        <w:rPr>
          <w:i/>
          <w:iCs/>
          <w:spacing w:val="-3"/>
          <w:sz w:val="22"/>
          <w:szCs w:val="22"/>
        </w:rPr>
        <w:t>n CREG 097 de 2008 no existe restric</w:t>
      </w:r>
      <w:r>
        <w:rPr>
          <w:i/>
          <w:iCs/>
          <w:spacing w:val="-3"/>
          <w:sz w:val="22"/>
          <w:szCs w:val="22"/>
        </w:rPr>
        <w:t>c</w:t>
      </w:r>
      <w:r w:rsidRPr="00D44FAA">
        <w:rPr>
          <w:i/>
          <w:iCs/>
          <w:spacing w:val="-3"/>
          <w:sz w:val="22"/>
          <w:szCs w:val="22"/>
        </w:rPr>
        <w:t>i</w:t>
      </w:r>
      <w:r>
        <w:rPr>
          <w:i/>
          <w:iCs/>
          <w:spacing w:val="-3"/>
          <w:sz w:val="22"/>
          <w:szCs w:val="22"/>
        </w:rPr>
        <w:t>ó</w:t>
      </w:r>
      <w:r w:rsidRPr="00D44FAA">
        <w:rPr>
          <w:i/>
          <w:iCs/>
          <w:spacing w:val="-3"/>
          <w:sz w:val="22"/>
          <w:szCs w:val="22"/>
        </w:rPr>
        <w:t>n respecto a que el n</w:t>
      </w:r>
      <w:r>
        <w:rPr>
          <w:i/>
          <w:iCs/>
          <w:spacing w:val="-3"/>
          <w:sz w:val="22"/>
          <w:szCs w:val="22"/>
        </w:rPr>
        <w:t>ú</w:t>
      </w:r>
      <w:r w:rsidRPr="00D44FAA">
        <w:rPr>
          <w:i/>
          <w:iCs/>
          <w:spacing w:val="-3"/>
          <w:sz w:val="22"/>
          <w:szCs w:val="22"/>
        </w:rPr>
        <w:t>mero de bah</w:t>
      </w:r>
      <w:r>
        <w:rPr>
          <w:i/>
          <w:iCs/>
          <w:spacing w:val="-3"/>
          <w:sz w:val="22"/>
          <w:szCs w:val="22"/>
        </w:rPr>
        <w:t>í</w:t>
      </w:r>
      <w:r w:rsidRPr="00D44FAA">
        <w:rPr>
          <w:i/>
          <w:iCs/>
          <w:spacing w:val="-3"/>
          <w:sz w:val="22"/>
          <w:szCs w:val="22"/>
        </w:rPr>
        <w:t>as de reserv</w:t>
      </w:r>
      <w:r>
        <w:rPr>
          <w:i/>
          <w:iCs/>
          <w:spacing w:val="-3"/>
          <w:sz w:val="22"/>
          <w:szCs w:val="22"/>
        </w:rPr>
        <w:t>a</w:t>
      </w:r>
      <w:r w:rsidRPr="00D44FAA">
        <w:rPr>
          <w:i/>
          <w:iCs/>
          <w:spacing w:val="-3"/>
          <w:sz w:val="22"/>
          <w:szCs w:val="22"/>
        </w:rPr>
        <w:t xml:space="preserve"> deban ser del mismo nivel de tensi</w:t>
      </w:r>
      <w:r>
        <w:rPr>
          <w:i/>
          <w:iCs/>
          <w:spacing w:val="-3"/>
          <w:sz w:val="22"/>
          <w:szCs w:val="22"/>
        </w:rPr>
        <w:t>ó</w:t>
      </w:r>
      <w:r w:rsidRPr="00D44FAA">
        <w:rPr>
          <w:i/>
          <w:iCs/>
          <w:spacing w:val="-3"/>
          <w:sz w:val="22"/>
          <w:szCs w:val="22"/>
        </w:rPr>
        <w:t xml:space="preserve">n en </w:t>
      </w:r>
      <w:r>
        <w:rPr>
          <w:i/>
          <w:iCs/>
          <w:spacing w:val="-3"/>
          <w:sz w:val="22"/>
          <w:szCs w:val="22"/>
        </w:rPr>
        <w:t>l</w:t>
      </w:r>
      <w:r w:rsidRPr="00D44FAA">
        <w:rPr>
          <w:i/>
          <w:iCs/>
          <w:spacing w:val="-3"/>
          <w:sz w:val="22"/>
          <w:szCs w:val="22"/>
        </w:rPr>
        <w:t>a misma subestaci</w:t>
      </w:r>
      <w:r>
        <w:rPr>
          <w:i/>
          <w:iCs/>
          <w:spacing w:val="-3"/>
          <w:sz w:val="22"/>
          <w:szCs w:val="22"/>
        </w:rPr>
        <w:t>ó</w:t>
      </w:r>
      <w:r w:rsidRPr="00D44FAA">
        <w:rPr>
          <w:i/>
          <w:iCs/>
          <w:spacing w:val="-3"/>
          <w:sz w:val="22"/>
          <w:szCs w:val="22"/>
        </w:rPr>
        <w:t xml:space="preserve">n, solicitamos se reconozca 1 celda de reserva por cada una de las siguientes subestaciones: Patriotas, Rio Piedras y </w:t>
      </w:r>
      <w:r w:rsidR="007746C6" w:rsidRPr="00D44FAA">
        <w:rPr>
          <w:i/>
          <w:iCs/>
          <w:spacing w:val="-3"/>
          <w:sz w:val="22"/>
          <w:szCs w:val="22"/>
        </w:rPr>
        <w:t>Samac</w:t>
      </w:r>
      <w:r w:rsidR="007746C6">
        <w:rPr>
          <w:i/>
          <w:iCs/>
          <w:spacing w:val="-3"/>
          <w:sz w:val="22"/>
          <w:szCs w:val="22"/>
        </w:rPr>
        <w:t>á</w:t>
      </w:r>
      <w:r w:rsidRPr="00D44FAA">
        <w:rPr>
          <w:i/>
          <w:iCs/>
          <w:spacing w:val="-3"/>
          <w:sz w:val="22"/>
          <w:szCs w:val="22"/>
        </w:rPr>
        <w:t>, para un total de 3 celdas de reserv</w:t>
      </w:r>
      <w:r>
        <w:rPr>
          <w:i/>
          <w:iCs/>
          <w:spacing w:val="-3"/>
          <w:sz w:val="22"/>
          <w:szCs w:val="22"/>
        </w:rPr>
        <w:t>a</w:t>
      </w:r>
      <w:r w:rsidRPr="00D44FAA">
        <w:rPr>
          <w:i/>
          <w:iCs/>
          <w:spacing w:val="-3"/>
          <w:sz w:val="22"/>
          <w:szCs w:val="22"/>
        </w:rPr>
        <w:t xml:space="preserve"> ya que la subestaci</w:t>
      </w:r>
      <w:r>
        <w:rPr>
          <w:i/>
          <w:iCs/>
          <w:spacing w:val="-3"/>
          <w:sz w:val="22"/>
          <w:szCs w:val="22"/>
        </w:rPr>
        <w:t>ó</w:t>
      </w:r>
      <w:r w:rsidRPr="00D44FAA">
        <w:rPr>
          <w:i/>
          <w:iCs/>
          <w:spacing w:val="-3"/>
          <w:sz w:val="22"/>
          <w:szCs w:val="22"/>
        </w:rPr>
        <w:t>n Patriotas cuenta con 3 de 34.5 kV y 5 de 13.2 kV, la subestaci</w:t>
      </w:r>
      <w:r>
        <w:rPr>
          <w:i/>
          <w:iCs/>
          <w:spacing w:val="-3"/>
          <w:sz w:val="22"/>
          <w:szCs w:val="22"/>
        </w:rPr>
        <w:t>ó</w:t>
      </w:r>
      <w:r w:rsidRPr="00D44FAA">
        <w:rPr>
          <w:i/>
          <w:iCs/>
          <w:spacing w:val="-3"/>
          <w:sz w:val="22"/>
          <w:szCs w:val="22"/>
        </w:rPr>
        <w:t xml:space="preserve">n Rio Piedras cuenta con 3 de 34.5 kV y 5 de 13.2 kV y </w:t>
      </w:r>
      <w:r>
        <w:rPr>
          <w:i/>
          <w:iCs/>
          <w:spacing w:val="-3"/>
          <w:sz w:val="22"/>
          <w:szCs w:val="22"/>
        </w:rPr>
        <w:t>l</w:t>
      </w:r>
      <w:r w:rsidRPr="00D44FAA">
        <w:rPr>
          <w:i/>
          <w:iCs/>
          <w:spacing w:val="-3"/>
          <w:sz w:val="22"/>
          <w:szCs w:val="22"/>
        </w:rPr>
        <w:t>a subestaci</w:t>
      </w:r>
      <w:r>
        <w:rPr>
          <w:i/>
          <w:iCs/>
          <w:spacing w:val="-3"/>
          <w:sz w:val="22"/>
          <w:szCs w:val="22"/>
        </w:rPr>
        <w:t>ó</w:t>
      </w:r>
      <w:r w:rsidRPr="00D44FAA">
        <w:rPr>
          <w:i/>
          <w:iCs/>
          <w:spacing w:val="-3"/>
          <w:sz w:val="22"/>
          <w:szCs w:val="22"/>
        </w:rPr>
        <w:t xml:space="preserve">n </w:t>
      </w:r>
      <w:r w:rsidR="007746C6" w:rsidRPr="00D44FAA">
        <w:rPr>
          <w:i/>
          <w:iCs/>
          <w:spacing w:val="-3"/>
          <w:sz w:val="22"/>
          <w:szCs w:val="22"/>
        </w:rPr>
        <w:t>Samac</w:t>
      </w:r>
      <w:r w:rsidR="007746C6">
        <w:rPr>
          <w:i/>
          <w:iCs/>
          <w:spacing w:val="-3"/>
          <w:sz w:val="22"/>
          <w:szCs w:val="22"/>
        </w:rPr>
        <w:t>á</w:t>
      </w:r>
      <w:r w:rsidR="007746C6" w:rsidRPr="00D44FAA">
        <w:rPr>
          <w:i/>
          <w:iCs/>
          <w:spacing w:val="-3"/>
          <w:sz w:val="22"/>
          <w:szCs w:val="22"/>
        </w:rPr>
        <w:t xml:space="preserve"> </w:t>
      </w:r>
      <w:r w:rsidRPr="00D44FAA">
        <w:rPr>
          <w:i/>
          <w:iCs/>
          <w:spacing w:val="-3"/>
          <w:sz w:val="22"/>
          <w:szCs w:val="22"/>
        </w:rPr>
        <w:t>cuenta con 6 de</w:t>
      </w:r>
      <w:r>
        <w:rPr>
          <w:i/>
          <w:iCs/>
          <w:spacing w:val="-3"/>
          <w:sz w:val="22"/>
          <w:szCs w:val="22"/>
        </w:rPr>
        <w:t xml:space="preserve"> </w:t>
      </w:r>
      <w:r w:rsidRPr="00D44FAA">
        <w:rPr>
          <w:i/>
          <w:iCs/>
          <w:spacing w:val="-3"/>
          <w:sz w:val="22"/>
          <w:szCs w:val="22"/>
        </w:rPr>
        <w:t>34.5 kV y 5 de 13.2 kV.</w:t>
      </w:r>
    </w:p>
    <w:p w14:paraId="5973526A" w14:textId="5443D1B3" w:rsidR="00D44FAA" w:rsidRDefault="00D44FAA" w:rsidP="00D44FAA">
      <w:pPr>
        <w:ind w:left="567"/>
        <w:rPr>
          <w:i/>
          <w:iCs/>
          <w:spacing w:val="-3"/>
          <w:sz w:val="22"/>
          <w:szCs w:val="22"/>
        </w:rPr>
      </w:pPr>
      <w:r w:rsidRPr="00D44FAA">
        <w:rPr>
          <w:i/>
          <w:iCs/>
          <w:spacing w:val="-3"/>
          <w:sz w:val="22"/>
          <w:szCs w:val="22"/>
        </w:rPr>
        <w:t>Tambi</w:t>
      </w:r>
      <w:r>
        <w:rPr>
          <w:i/>
          <w:iCs/>
          <w:spacing w:val="-3"/>
          <w:sz w:val="22"/>
          <w:szCs w:val="22"/>
        </w:rPr>
        <w:t>é</w:t>
      </w:r>
      <w:r w:rsidRPr="00D44FAA">
        <w:rPr>
          <w:i/>
          <w:iCs/>
          <w:spacing w:val="-3"/>
          <w:sz w:val="22"/>
          <w:szCs w:val="22"/>
        </w:rPr>
        <w:t>n es de precisar, que estas celdas son requeridas par</w:t>
      </w:r>
      <w:r w:rsidR="00A750BD">
        <w:rPr>
          <w:i/>
          <w:iCs/>
          <w:spacing w:val="-3"/>
          <w:sz w:val="22"/>
          <w:szCs w:val="22"/>
        </w:rPr>
        <w:t>a</w:t>
      </w:r>
      <w:r w:rsidRPr="00D44FAA">
        <w:rPr>
          <w:i/>
          <w:iCs/>
          <w:spacing w:val="-3"/>
          <w:sz w:val="22"/>
          <w:szCs w:val="22"/>
        </w:rPr>
        <w:t xml:space="preserve"> cumplir los est</w:t>
      </w:r>
      <w:r>
        <w:rPr>
          <w:i/>
          <w:iCs/>
          <w:spacing w:val="-3"/>
          <w:sz w:val="22"/>
          <w:szCs w:val="22"/>
        </w:rPr>
        <w:t>á</w:t>
      </w:r>
      <w:r w:rsidRPr="00D44FAA">
        <w:rPr>
          <w:i/>
          <w:iCs/>
          <w:spacing w:val="-3"/>
          <w:sz w:val="22"/>
          <w:szCs w:val="22"/>
        </w:rPr>
        <w:t>ndares de calidad y su no reconocimiento violar</w:t>
      </w:r>
      <w:r>
        <w:rPr>
          <w:i/>
          <w:iCs/>
          <w:spacing w:val="-3"/>
          <w:sz w:val="22"/>
          <w:szCs w:val="22"/>
        </w:rPr>
        <w:t>í</w:t>
      </w:r>
      <w:r w:rsidRPr="00D44FAA">
        <w:rPr>
          <w:i/>
          <w:iCs/>
          <w:spacing w:val="-3"/>
          <w:sz w:val="22"/>
          <w:szCs w:val="22"/>
        </w:rPr>
        <w:t xml:space="preserve">a el principio de suficiencia financiera establecido </w:t>
      </w:r>
      <w:r w:rsidR="002E68A1" w:rsidRPr="00D44FAA">
        <w:rPr>
          <w:i/>
          <w:iCs/>
          <w:spacing w:val="-3"/>
          <w:sz w:val="22"/>
          <w:szCs w:val="22"/>
        </w:rPr>
        <w:t>com</w:t>
      </w:r>
      <w:r w:rsidR="002E68A1">
        <w:rPr>
          <w:i/>
          <w:iCs/>
          <w:spacing w:val="-3"/>
          <w:sz w:val="22"/>
          <w:szCs w:val="22"/>
        </w:rPr>
        <w:t>o</w:t>
      </w:r>
      <w:r w:rsidR="002E68A1" w:rsidRPr="00D44FAA">
        <w:rPr>
          <w:i/>
          <w:iCs/>
          <w:spacing w:val="-3"/>
          <w:sz w:val="22"/>
          <w:szCs w:val="22"/>
        </w:rPr>
        <w:t xml:space="preserve"> </w:t>
      </w:r>
      <w:r w:rsidRPr="00D44FAA">
        <w:rPr>
          <w:i/>
          <w:iCs/>
          <w:spacing w:val="-3"/>
          <w:sz w:val="22"/>
          <w:szCs w:val="22"/>
        </w:rPr>
        <w:t>criterio tarifario en la Ley 142</w:t>
      </w:r>
      <w:r>
        <w:rPr>
          <w:i/>
          <w:iCs/>
          <w:spacing w:val="-3"/>
          <w:sz w:val="22"/>
          <w:szCs w:val="22"/>
        </w:rPr>
        <w:t>.</w:t>
      </w:r>
    </w:p>
    <w:p w14:paraId="5173A5E1" w14:textId="72C88D5C" w:rsidR="00FE5A08" w:rsidRDefault="00FE5A08" w:rsidP="00FE5A08">
      <w:r>
        <w:t xml:space="preserve">El propósito de la remuneración de celdas de reserva es poder respaldar las subestaciones que cuentan con un número alto de celdas y </w:t>
      </w:r>
      <w:r w:rsidR="006B4993">
        <w:t xml:space="preserve">facilitar una sustitución en caso de ser requerida. Para este fin, se requiere que los equipos de protección </w:t>
      </w:r>
      <w:r w:rsidR="008559BE">
        <w:t xml:space="preserve">y de </w:t>
      </w:r>
      <w:r w:rsidR="00E43795">
        <w:t xml:space="preserve">corte </w:t>
      </w:r>
      <w:r w:rsidR="006B4993">
        <w:t xml:space="preserve">de la celda de respaldo sean iguales a los de la celda en operación. Dado que las especificaciones de las protecciones </w:t>
      </w:r>
      <w:r w:rsidR="00E43795">
        <w:t xml:space="preserve">y de los equipos de corte </w:t>
      </w:r>
      <w:r w:rsidR="006B4993">
        <w:t xml:space="preserve">son diferentes entre un nivel de tensión y otro, lo cual hace </w:t>
      </w:r>
      <w:r w:rsidR="00321D92">
        <w:t xml:space="preserve">que </w:t>
      </w:r>
      <w:r w:rsidR="006B4993">
        <w:t xml:space="preserve">la celda de respaldo solo sea funcional en el nivel de tensión al que ella pertenece, la CREG no acepta la solicitud de la EBSA.  </w:t>
      </w:r>
    </w:p>
    <w:p w14:paraId="7AA47C8A" w14:textId="7C2D7B6C" w:rsidR="00D44FAA" w:rsidRPr="008034DB" w:rsidRDefault="00D44FAA" w:rsidP="00DC4616">
      <w:pPr>
        <w:keepNext/>
        <w:ind w:left="567"/>
        <w:rPr>
          <w:b/>
          <w:bCs/>
          <w:i/>
          <w:iCs/>
          <w:spacing w:val="-3"/>
          <w:sz w:val="22"/>
          <w:szCs w:val="22"/>
        </w:rPr>
      </w:pPr>
      <w:r w:rsidRPr="008034DB">
        <w:rPr>
          <w:b/>
          <w:bCs/>
          <w:i/>
          <w:iCs/>
          <w:spacing w:val="-3"/>
          <w:sz w:val="22"/>
          <w:szCs w:val="22"/>
        </w:rPr>
        <w:lastRenderedPageBreak/>
        <w:t>1.1.</w:t>
      </w:r>
      <w:r>
        <w:rPr>
          <w:b/>
          <w:bCs/>
          <w:i/>
          <w:iCs/>
          <w:spacing w:val="-3"/>
          <w:sz w:val="22"/>
          <w:szCs w:val="22"/>
        </w:rPr>
        <w:t>7</w:t>
      </w:r>
      <w:r w:rsidRPr="008034DB">
        <w:rPr>
          <w:b/>
          <w:bCs/>
          <w:i/>
          <w:iCs/>
          <w:spacing w:val="-3"/>
          <w:sz w:val="22"/>
          <w:szCs w:val="22"/>
        </w:rPr>
        <w:t xml:space="preserve"> </w:t>
      </w:r>
      <w:r w:rsidRPr="00D44FAA">
        <w:rPr>
          <w:b/>
          <w:bCs/>
          <w:i/>
          <w:iCs/>
          <w:spacing w:val="-3"/>
          <w:sz w:val="22"/>
          <w:szCs w:val="22"/>
        </w:rPr>
        <w:t>Reconocimiento de activos de nivel de tensi</w:t>
      </w:r>
      <w:r>
        <w:rPr>
          <w:b/>
          <w:bCs/>
          <w:i/>
          <w:iCs/>
          <w:spacing w:val="-3"/>
          <w:sz w:val="22"/>
          <w:szCs w:val="22"/>
        </w:rPr>
        <w:t>ó</w:t>
      </w:r>
      <w:r w:rsidRPr="00D44FAA">
        <w:rPr>
          <w:b/>
          <w:bCs/>
          <w:i/>
          <w:iCs/>
          <w:spacing w:val="-3"/>
          <w:sz w:val="22"/>
          <w:szCs w:val="22"/>
        </w:rPr>
        <w:t>n 1</w:t>
      </w:r>
      <w:r w:rsidRPr="00796336">
        <w:rPr>
          <w:b/>
          <w:bCs/>
          <w:i/>
          <w:iCs/>
          <w:spacing w:val="-3"/>
          <w:sz w:val="22"/>
          <w:szCs w:val="22"/>
        </w:rPr>
        <w:t xml:space="preserve"> </w:t>
      </w:r>
    </w:p>
    <w:p w14:paraId="2A346C9E" w14:textId="1799C22F" w:rsidR="00D44FAA" w:rsidRPr="00D44FAA" w:rsidRDefault="00D44FAA" w:rsidP="00D44FAA">
      <w:pPr>
        <w:ind w:left="567"/>
        <w:rPr>
          <w:i/>
          <w:iCs/>
          <w:spacing w:val="-3"/>
          <w:sz w:val="22"/>
          <w:szCs w:val="22"/>
        </w:rPr>
      </w:pPr>
      <w:r w:rsidRPr="00D44FAA">
        <w:rPr>
          <w:i/>
          <w:iCs/>
          <w:spacing w:val="-3"/>
          <w:sz w:val="22"/>
          <w:szCs w:val="22"/>
        </w:rPr>
        <w:t>Efectivamente los transformadores y redes construidos con recursos p</w:t>
      </w:r>
      <w:r>
        <w:rPr>
          <w:i/>
          <w:iCs/>
          <w:spacing w:val="-3"/>
          <w:sz w:val="22"/>
          <w:szCs w:val="22"/>
        </w:rPr>
        <w:t>ú</w:t>
      </w:r>
      <w:r w:rsidRPr="00D44FAA">
        <w:rPr>
          <w:i/>
          <w:iCs/>
          <w:spacing w:val="-3"/>
          <w:sz w:val="22"/>
          <w:szCs w:val="22"/>
        </w:rPr>
        <w:t>blicos deben ser excluidos, raz</w:t>
      </w:r>
      <w:r>
        <w:rPr>
          <w:i/>
          <w:iCs/>
          <w:spacing w:val="-3"/>
          <w:sz w:val="22"/>
          <w:szCs w:val="22"/>
        </w:rPr>
        <w:t>ó</w:t>
      </w:r>
      <w:r w:rsidRPr="00D44FAA">
        <w:rPr>
          <w:i/>
          <w:iCs/>
          <w:spacing w:val="-3"/>
          <w:sz w:val="22"/>
          <w:szCs w:val="22"/>
        </w:rPr>
        <w:t>n por la cual no fueron incluidos estos dos aspectos, par parte de EBSA en el tr</w:t>
      </w:r>
      <w:r>
        <w:rPr>
          <w:i/>
          <w:iCs/>
          <w:spacing w:val="-3"/>
          <w:sz w:val="22"/>
          <w:szCs w:val="22"/>
        </w:rPr>
        <w:t>á</w:t>
      </w:r>
      <w:r w:rsidRPr="00D44FAA">
        <w:rPr>
          <w:i/>
          <w:iCs/>
          <w:spacing w:val="-3"/>
          <w:sz w:val="22"/>
          <w:szCs w:val="22"/>
        </w:rPr>
        <w:t xml:space="preserve">mite de </w:t>
      </w:r>
      <w:r>
        <w:rPr>
          <w:i/>
          <w:iCs/>
          <w:spacing w:val="-3"/>
          <w:sz w:val="22"/>
          <w:szCs w:val="22"/>
        </w:rPr>
        <w:t>l</w:t>
      </w:r>
      <w:r w:rsidRPr="00D44FAA">
        <w:rPr>
          <w:i/>
          <w:iCs/>
          <w:spacing w:val="-3"/>
          <w:sz w:val="22"/>
          <w:szCs w:val="22"/>
        </w:rPr>
        <w:t>a solicitud de ingresos.</w:t>
      </w:r>
    </w:p>
    <w:p w14:paraId="4CF3BC39" w14:textId="3997D976" w:rsidR="00D44FAA" w:rsidRPr="00D44FAA" w:rsidRDefault="00D44FAA" w:rsidP="00D44FAA">
      <w:pPr>
        <w:ind w:left="567"/>
        <w:rPr>
          <w:i/>
          <w:iCs/>
          <w:spacing w:val="-3"/>
          <w:sz w:val="22"/>
          <w:szCs w:val="22"/>
        </w:rPr>
      </w:pPr>
      <w:r w:rsidRPr="00D44FAA">
        <w:rPr>
          <w:i/>
          <w:iCs/>
          <w:spacing w:val="-3"/>
          <w:sz w:val="22"/>
          <w:szCs w:val="22"/>
        </w:rPr>
        <w:t>Sin embargo, del an</w:t>
      </w:r>
      <w:r>
        <w:rPr>
          <w:i/>
          <w:iCs/>
          <w:spacing w:val="-3"/>
          <w:sz w:val="22"/>
          <w:szCs w:val="22"/>
        </w:rPr>
        <w:t>á</w:t>
      </w:r>
      <w:r w:rsidRPr="00D44FAA">
        <w:rPr>
          <w:i/>
          <w:iCs/>
          <w:spacing w:val="-3"/>
          <w:sz w:val="22"/>
          <w:szCs w:val="22"/>
        </w:rPr>
        <w:t xml:space="preserve">lisis efectuado a </w:t>
      </w:r>
      <w:r>
        <w:rPr>
          <w:i/>
          <w:iCs/>
          <w:spacing w:val="-3"/>
          <w:sz w:val="22"/>
          <w:szCs w:val="22"/>
        </w:rPr>
        <w:t>l</w:t>
      </w:r>
      <w:r w:rsidRPr="00D44FAA">
        <w:rPr>
          <w:i/>
          <w:iCs/>
          <w:spacing w:val="-3"/>
          <w:sz w:val="22"/>
          <w:szCs w:val="22"/>
        </w:rPr>
        <w:t>a informaci</w:t>
      </w:r>
      <w:r>
        <w:rPr>
          <w:i/>
          <w:iCs/>
          <w:spacing w:val="-3"/>
          <w:sz w:val="22"/>
          <w:szCs w:val="22"/>
        </w:rPr>
        <w:t>ó</w:t>
      </w:r>
      <w:r w:rsidRPr="00D44FAA">
        <w:rPr>
          <w:i/>
          <w:iCs/>
          <w:spacing w:val="-3"/>
          <w:sz w:val="22"/>
          <w:szCs w:val="22"/>
        </w:rPr>
        <w:t xml:space="preserve">n que forma parte de </w:t>
      </w:r>
      <w:r>
        <w:rPr>
          <w:i/>
          <w:iCs/>
          <w:spacing w:val="-3"/>
          <w:sz w:val="22"/>
          <w:szCs w:val="22"/>
        </w:rPr>
        <w:t>l</w:t>
      </w:r>
      <w:r w:rsidRPr="00D44FAA">
        <w:rPr>
          <w:i/>
          <w:iCs/>
          <w:spacing w:val="-3"/>
          <w:sz w:val="22"/>
          <w:szCs w:val="22"/>
        </w:rPr>
        <w:t>a Resoluci</w:t>
      </w:r>
      <w:r>
        <w:rPr>
          <w:i/>
          <w:iCs/>
          <w:spacing w:val="-3"/>
          <w:sz w:val="22"/>
          <w:szCs w:val="22"/>
        </w:rPr>
        <w:t>ó</w:t>
      </w:r>
      <w:r w:rsidRPr="00D44FAA">
        <w:rPr>
          <w:i/>
          <w:iCs/>
          <w:spacing w:val="-3"/>
          <w:sz w:val="22"/>
          <w:szCs w:val="22"/>
        </w:rPr>
        <w:t>n recurrida tanto para el CRIN y CRIFO de las redes de baja tensi</w:t>
      </w:r>
      <w:r>
        <w:rPr>
          <w:i/>
          <w:iCs/>
          <w:spacing w:val="-3"/>
          <w:sz w:val="22"/>
          <w:szCs w:val="22"/>
        </w:rPr>
        <w:t>ó</w:t>
      </w:r>
      <w:r w:rsidRPr="00D44FAA">
        <w:rPr>
          <w:i/>
          <w:iCs/>
          <w:spacing w:val="-3"/>
          <w:sz w:val="22"/>
          <w:szCs w:val="22"/>
        </w:rPr>
        <w:t xml:space="preserve">n Nivel 1, se encuentra que la </w:t>
      </w:r>
      <w:r>
        <w:rPr>
          <w:i/>
          <w:iCs/>
          <w:spacing w:val="-3"/>
          <w:sz w:val="22"/>
          <w:szCs w:val="22"/>
        </w:rPr>
        <w:t>C</w:t>
      </w:r>
      <w:r w:rsidRPr="00D44FAA">
        <w:rPr>
          <w:i/>
          <w:iCs/>
          <w:spacing w:val="-3"/>
          <w:sz w:val="22"/>
          <w:szCs w:val="22"/>
        </w:rPr>
        <w:t>REG no reconoci</w:t>
      </w:r>
      <w:r>
        <w:rPr>
          <w:i/>
          <w:iCs/>
          <w:spacing w:val="-3"/>
          <w:sz w:val="22"/>
          <w:szCs w:val="22"/>
        </w:rPr>
        <w:t>ó</w:t>
      </w:r>
      <w:r w:rsidRPr="00D44FAA">
        <w:rPr>
          <w:i/>
          <w:iCs/>
          <w:spacing w:val="-3"/>
          <w:sz w:val="22"/>
          <w:szCs w:val="22"/>
        </w:rPr>
        <w:t xml:space="preserve"> en </w:t>
      </w:r>
      <w:r>
        <w:rPr>
          <w:i/>
          <w:iCs/>
          <w:spacing w:val="-3"/>
          <w:sz w:val="22"/>
          <w:szCs w:val="22"/>
        </w:rPr>
        <w:t>l</w:t>
      </w:r>
      <w:r w:rsidRPr="00D44FAA">
        <w:rPr>
          <w:i/>
          <w:iCs/>
          <w:spacing w:val="-3"/>
          <w:sz w:val="22"/>
          <w:szCs w:val="22"/>
        </w:rPr>
        <w:t>a resolu</w:t>
      </w:r>
      <w:r>
        <w:rPr>
          <w:i/>
          <w:iCs/>
          <w:spacing w:val="-3"/>
          <w:sz w:val="22"/>
          <w:szCs w:val="22"/>
        </w:rPr>
        <w:t>c</w:t>
      </w:r>
      <w:r w:rsidRPr="00D44FAA">
        <w:rPr>
          <w:i/>
          <w:iCs/>
          <w:spacing w:val="-3"/>
          <w:sz w:val="22"/>
          <w:szCs w:val="22"/>
        </w:rPr>
        <w:t>i</w:t>
      </w:r>
      <w:r>
        <w:rPr>
          <w:i/>
          <w:iCs/>
          <w:spacing w:val="-3"/>
          <w:sz w:val="22"/>
          <w:szCs w:val="22"/>
        </w:rPr>
        <w:t>ó</w:t>
      </w:r>
      <w:r w:rsidRPr="00D44FAA">
        <w:rPr>
          <w:i/>
          <w:iCs/>
          <w:spacing w:val="-3"/>
          <w:sz w:val="22"/>
          <w:szCs w:val="22"/>
        </w:rPr>
        <w:t>n CREG 177 de 2019, las redes de baja tensi</w:t>
      </w:r>
      <w:r>
        <w:rPr>
          <w:i/>
          <w:iCs/>
          <w:spacing w:val="-3"/>
          <w:sz w:val="22"/>
          <w:szCs w:val="22"/>
        </w:rPr>
        <w:t>ó</w:t>
      </w:r>
      <w:r w:rsidRPr="00D44FAA">
        <w:rPr>
          <w:i/>
          <w:iCs/>
          <w:spacing w:val="-3"/>
          <w:sz w:val="22"/>
          <w:szCs w:val="22"/>
        </w:rPr>
        <w:t>n asociadas a los transformadores de distribuci</w:t>
      </w:r>
      <w:r>
        <w:rPr>
          <w:i/>
          <w:iCs/>
          <w:spacing w:val="-3"/>
          <w:sz w:val="22"/>
          <w:szCs w:val="22"/>
        </w:rPr>
        <w:t>ó</w:t>
      </w:r>
      <w:r w:rsidRPr="00D44FAA">
        <w:rPr>
          <w:i/>
          <w:iCs/>
          <w:spacing w:val="-3"/>
          <w:sz w:val="22"/>
          <w:szCs w:val="22"/>
        </w:rPr>
        <w:t>n con capacidad m</w:t>
      </w:r>
      <w:r>
        <w:rPr>
          <w:i/>
          <w:iCs/>
          <w:spacing w:val="-3"/>
          <w:sz w:val="22"/>
          <w:szCs w:val="22"/>
        </w:rPr>
        <w:t>e</w:t>
      </w:r>
      <w:r w:rsidRPr="00D44FAA">
        <w:rPr>
          <w:i/>
          <w:iCs/>
          <w:spacing w:val="-3"/>
          <w:sz w:val="22"/>
          <w:szCs w:val="22"/>
        </w:rPr>
        <w:t xml:space="preserve">nor a igual a 15 </w:t>
      </w:r>
      <w:proofErr w:type="spellStart"/>
      <w:r w:rsidRPr="00D44FAA">
        <w:rPr>
          <w:i/>
          <w:iCs/>
          <w:spacing w:val="-3"/>
          <w:sz w:val="22"/>
          <w:szCs w:val="22"/>
        </w:rPr>
        <w:t>kVA</w:t>
      </w:r>
      <w:proofErr w:type="spellEnd"/>
      <w:r w:rsidRPr="00D44FAA">
        <w:rPr>
          <w:i/>
          <w:iCs/>
          <w:spacing w:val="-3"/>
          <w:sz w:val="22"/>
          <w:szCs w:val="22"/>
        </w:rPr>
        <w:t xml:space="preserve"> que atienden un solo usuario. </w:t>
      </w:r>
      <w:r w:rsidR="000B20EF" w:rsidRPr="00D44FAA">
        <w:rPr>
          <w:i/>
          <w:iCs/>
          <w:spacing w:val="-3"/>
          <w:sz w:val="22"/>
          <w:szCs w:val="22"/>
        </w:rPr>
        <w:t>P</w:t>
      </w:r>
      <w:r w:rsidR="000B20EF">
        <w:rPr>
          <w:i/>
          <w:iCs/>
          <w:spacing w:val="-3"/>
          <w:sz w:val="22"/>
          <w:szCs w:val="22"/>
        </w:rPr>
        <w:t>o</w:t>
      </w:r>
      <w:r w:rsidR="000B20EF" w:rsidRPr="00D44FAA">
        <w:rPr>
          <w:i/>
          <w:iCs/>
          <w:spacing w:val="-3"/>
          <w:sz w:val="22"/>
          <w:szCs w:val="22"/>
        </w:rPr>
        <w:t>r</w:t>
      </w:r>
      <w:r w:rsidRPr="00D44FAA">
        <w:rPr>
          <w:i/>
          <w:iCs/>
          <w:spacing w:val="-3"/>
          <w:sz w:val="22"/>
          <w:szCs w:val="22"/>
        </w:rPr>
        <w:t xml:space="preserve"> ell</w:t>
      </w:r>
      <w:r>
        <w:rPr>
          <w:i/>
          <w:iCs/>
          <w:spacing w:val="-3"/>
          <w:sz w:val="22"/>
          <w:szCs w:val="22"/>
        </w:rPr>
        <w:t>o</w:t>
      </w:r>
      <w:r w:rsidRPr="00D44FAA">
        <w:rPr>
          <w:i/>
          <w:iCs/>
          <w:spacing w:val="-3"/>
          <w:sz w:val="22"/>
          <w:szCs w:val="22"/>
        </w:rPr>
        <w:t>, EBSA considera que debe tenerse en cuenta que la exclusi</w:t>
      </w:r>
      <w:r>
        <w:rPr>
          <w:i/>
          <w:iCs/>
          <w:spacing w:val="-3"/>
          <w:sz w:val="22"/>
          <w:szCs w:val="22"/>
        </w:rPr>
        <w:t>ó</w:t>
      </w:r>
      <w:r w:rsidRPr="00D44FAA">
        <w:rPr>
          <w:i/>
          <w:iCs/>
          <w:spacing w:val="-3"/>
          <w:sz w:val="22"/>
          <w:szCs w:val="22"/>
        </w:rPr>
        <w:t>n de estas redes se aleja del criteri</w:t>
      </w:r>
      <w:r>
        <w:rPr>
          <w:i/>
          <w:iCs/>
          <w:spacing w:val="-3"/>
          <w:sz w:val="22"/>
          <w:szCs w:val="22"/>
        </w:rPr>
        <w:t>o</w:t>
      </w:r>
      <w:r w:rsidRPr="00D44FAA">
        <w:rPr>
          <w:i/>
          <w:iCs/>
          <w:spacing w:val="-3"/>
          <w:sz w:val="22"/>
          <w:szCs w:val="22"/>
        </w:rPr>
        <w:t xml:space="preserve"> de remuneraci</w:t>
      </w:r>
      <w:r>
        <w:rPr>
          <w:i/>
          <w:iCs/>
          <w:spacing w:val="-3"/>
          <w:sz w:val="22"/>
          <w:szCs w:val="22"/>
        </w:rPr>
        <w:t>ó</w:t>
      </w:r>
      <w:r w:rsidRPr="00D44FAA">
        <w:rPr>
          <w:i/>
          <w:iCs/>
          <w:spacing w:val="-3"/>
          <w:sz w:val="22"/>
          <w:szCs w:val="22"/>
        </w:rPr>
        <w:t>n de las redes de ba</w:t>
      </w:r>
      <w:r w:rsidR="00C14F98">
        <w:rPr>
          <w:i/>
          <w:iCs/>
          <w:spacing w:val="-3"/>
          <w:sz w:val="22"/>
          <w:szCs w:val="22"/>
        </w:rPr>
        <w:t>ja</w:t>
      </w:r>
      <w:r w:rsidRPr="00D44FAA">
        <w:rPr>
          <w:i/>
          <w:iCs/>
          <w:spacing w:val="-3"/>
          <w:sz w:val="22"/>
          <w:szCs w:val="22"/>
        </w:rPr>
        <w:t xml:space="preserve"> tensi</w:t>
      </w:r>
      <w:r>
        <w:rPr>
          <w:i/>
          <w:iCs/>
          <w:spacing w:val="-3"/>
          <w:sz w:val="22"/>
          <w:szCs w:val="22"/>
        </w:rPr>
        <w:t>ó</w:t>
      </w:r>
      <w:r w:rsidRPr="00D44FAA">
        <w:rPr>
          <w:i/>
          <w:iCs/>
          <w:spacing w:val="-3"/>
          <w:sz w:val="22"/>
          <w:szCs w:val="22"/>
        </w:rPr>
        <w:t>n as</w:t>
      </w:r>
      <w:r>
        <w:rPr>
          <w:i/>
          <w:iCs/>
          <w:spacing w:val="-3"/>
          <w:sz w:val="22"/>
          <w:szCs w:val="22"/>
        </w:rPr>
        <w:t>o</w:t>
      </w:r>
      <w:r w:rsidRPr="00D44FAA">
        <w:rPr>
          <w:i/>
          <w:iCs/>
          <w:spacing w:val="-3"/>
          <w:sz w:val="22"/>
          <w:szCs w:val="22"/>
        </w:rPr>
        <w:t xml:space="preserve">ciadas a transformadores de </w:t>
      </w:r>
      <w:r>
        <w:rPr>
          <w:i/>
          <w:iCs/>
          <w:spacing w:val="-3"/>
          <w:sz w:val="22"/>
          <w:szCs w:val="22"/>
        </w:rPr>
        <w:t>U</w:t>
      </w:r>
      <w:r w:rsidRPr="00D44FAA">
        <w:rPr>
          <w:i/>
          <w:iCs/>
          <w:spacing w:val="-3"/>
          <w:sz w:val="22"/>
          <w:szCs w:val="22"/>
        </w:rPr>
        <w:t>s</w:t>
      </w:r>
      <w:r>
        <w:rPr>
          <w:i/>
          <w:iCs/>
          <w:spacing w:val="-3"/>
          <w:sz w:val="22"/>
          <w:szCs w:val="22"/>
        </w:rPr>
        <w:t>o</w:t>
      </w:r>
      <w:r w:rsidRPr="00D44FAA">
        <w:rPr>
          <w:i/>
          <w:iCs/>
          <w:spacing w:val="-3"/>
          <w:sz w:val="22"/>
          <w:szCs w:val="22"/>
        </w:rPr>
        <w:t>, establecido en la Resoluci</w:t>
      </w:r>
      <w:r>
        <w:rPr>
          <w:i/>
          <w:iCs/>
          <w:spacing w:val="-3"/>
          <w:sz w:val="22"/>
          <w:szCs w:val="22"/>
        </w:rPr>
        <w:t>ó</w:t>
      </w:r>
      <w:r w:rsidRPr="00D44FAA">
        <w:rPr>
          <w:i/>
          <w:iCs/>
          <w:spacing w:val="-3"/>
          <w:sz w:val="22"/>
          <w:szCs w:val="22"/>
        </w:rPr>
        <w:t xml:space="preserve">n </w:t>
      </w:r>
      <w:r>
        <w:rPr>
          <w:i/>
          <w:iCs/>
          <w:spacing w:val="-3"/>
          <w:sz w:val="22"/>
          <w:szCs w:val="22"/>
        </w:rPr>
        <w:t>C</w:t>
      </w:r>
      <w:r w:rsidRPr="00D44FAA">
        <w:rPr>
          <w:i/>
          <w:iCs/>
          <w:spacing w:val="-3"/>
          <w:sz w:val="22"/>
          <w:szCs w:val="22"/>
        </w:rPr>
        <w:t>REG 097 de 2008, la cu</w:t>
      </w:r>
      <w:r>
        <w:rPr>
          <w:i/>
          <w:iCs/>
          <w:spacing w:val="-3"/>
          <w:sz w:val="22"/>
          <w:szCs w:val="22"/>
        </w:rPr>
        <w:t>a</w:t>
      </w:r>
      <w:r w:rsidRPr="00D44FAA">
        <w:rPr>
          <w:i/>
          <w:iCs/>
          <w:spacing w:val="-3"/>
          <w:sz w:val="22"/>
          <w:szCs w:val="22"/>
        </w:rPr>
        <w:t>l para la remuneraci</w:t>
      </w:r>
      <w:r>
        <w:rPr>
          <w:i/>
          <w:iCs/>
          <w:spacing w:val="-3"/>
          <w:sz w:val="22"/>
          <w:szCs w:val="22"/>
        </w:rPr>
        <w:t>ó</w:t>
      </w:r>
      <w:r w:rsidRPr="00D44FAA">
        <w:rPr>
          <w:i/>
          <w:iCs/>
          <w:spacing w:val="-3"/>
          <w:sz w:val="22"/>
          <w:szCs w:val="22"/>
        </w:rPr>
        <w:t>n de los activ</w:t>
      </w:r>
      <w:r w:rsidR="00C14F98">
        <w:rPr>
          <w:i/>
          <w:iCs/>
          <w:spacing w:val="-3"/>
          <w:sz w:val="22"/>
          <w:szCs w:val="22"/>
        </w:rPr>
        <w:t>o</w:t>
      </w:r>
      <w:r w:rsidRPr="00D44FAA">
        <w:rPr>
          <w:i/>
          <w:iCs/>
          <w:spacing w:val="-3"/>
          <w:sz w:val="22"/>
          <w:szCs w:val="22"/>
        </w:rPr>
        <w:t>s del Nivel 1 consider</w:t>
      </w:r>
      <w:r w:rsidR="00C14F98">
        <w:rPr>
          <w:i/>
          <w:iCs/>
          <w:spacing w:val="-3"/>
          <w:sz w:val="22"/>
          <w:szCs w:val="22"/>
        </w:rPr>
        <w:t>ó</w:t>
      </w:r>
      <w:r w:rsidRPr="00D44FAA">
        <w:rPr>
          <w:i/>
          <w:iCs/>
          <w:spacing w:val="-3"/>
          <w:sz w:val="22"/>
          <w:szCs w:val="22"/>
        </w:rPr>
        <w:t xml:space="preserve"> el criteri</w:t>
      </w:r>
      <w:r>
        <w:rPr>
          <w:i/>
          <w:iCs/>
          <w:spacing w:val="-3"/>
          <w:sz w:val="22"/>
          <w:szCs w:val="22"/>
        </w:rPr>
        <w:t>o</w:t>
      </w:r>
      <w:r w:rsidRPr="00D44FAA">
        <w:rPr>
          <w:i/>
          <w:iCs/>
          <w:spacing w:val="-3"/>
          <w:sz w:val="22"/>
          <w:szCs w:val="22"/>
        </w:rPr>
        <w:t xml:space="preserve"> de capacidad media de los transformadores y una longitud media de las redes, independiente del n</w:t>
      </w:r>
      <w:r>
        <w:rPr>
          <w:i/>
          <w:iCs/>
          <w:spacing w:val="-3"/>
          <w:sz w:val="22"/>
          <w:szCs w:val="22"/>
        </w:rPr>
        <w:t>ú</w:t>
      </w:r>
      <w:r w:rsidRPr="00D44FAA">
        <w:rPr>
          <w:i/>
          <w:iCs/>
          <w:spacing w:val="-3"/>
          <w:sz w:val="22"/>
          <w:szCs w:val="22"/>
        </w:rPr>
        <w:t>mer</w:t>
      </w:r>
      <w:r>
        <w:rPr>
          <w:i/>
          <w:iCs/>
          <w:spacing w:val="-3"/>
          <w:sz w:val="22"/>
          <w:szCs w:val="22"/>
        </w:rPr>
        <w:t>o</w:t>
      </w:r>
      <w:r w:rsidRPr="00D44FAA">
        <w:rPr>
          <w:i/>
          <w:iCs/>
          <w:spacing w:val="-3"/>
          <w:sz w:val="22"/>
          <w:szCs w:val="22"/>
        </w:rPr>
        <w:t xml:space="preserve"> de usuarios conectados a cada transformador, con lo cual da com</w:t>
      </w:r>
      <w:r w:rsidR="00C14F98">
        <w:rPr>
          <w:i/>
          <w:iCs/>
          <w:spacing w:val="-3"/>
          <w:sz w:val="22"/>
          <w:szCs w:val="22"/>
        </w:rPr>
        <w:t>o</w:t>
      </w:r>
      <w:r w:rsidRPr="00D44FAA">
        <w:rPr>
          <w:i/>
          <w:iCs/>
          <w:spacing w:val="-3"/>
          <w:sz w:val="22"/>
          <w:szCs w:val="22"/>
        </w:rPr>
        <w:t xml:space="preserve"> resultado un valor medi</w:t>
      </w:r>
      <w:r>
        <w:rPr>
          <w:i/>
          <w:iCs/>
          <w:spacing w:val="-3"/>
          <w:sz w:val="22"/>
          <w:szCs w:val="22"/>
        </w:rPr>
        <w:t>o</w:t>
      </w:r>
      <w:r w:rsidRPr="00D44FAA">
        <w:rPr>
          <w:i/>
          <w:iCs/>
          <w:spacing w:val="-3"/>
          <w:sz w:val="22"/>
          <w:szCs w:val="22"/>
        </w:rPr>
        <w:t xml:space="preserve"> para remunerar redes y un valor medi</w:t>
      </w:r>
      <w:r>
        <w:rPr>
          <w:i/>
          <w:iCs/>
          <w:spacing w:val="-3"/>
          <w:sz w:val="22"/>
          <w:szCs w:val="22"/>
        </w:rPr>
        <w:t>o</w:t>
      </w:r>
      <w:r w:rsidRPr="00D44FAA">
        <w:rPr>
          <w:i/>
          <w:iCs/>
          <w:spacing w:val="-3"/>
          <w:sz w:val="22"/>
          <w:szCs w:val="22"/>
        </w:rPr>
        <w:t xml:space="preserve"> </w:t>
      </w:r>
      <w:r w:rsidR="000B511C" w:rsidRPr="00D44FAA">
        <w:rPr>
          <w:i/>
          <w:iCs/>
          <w:spacing w:val="-3"/>
          <w:sz w:val="22"/>
          <w:szCs w:val="22"/>
        </w:rPr>
        <w:t>par</w:t>
      </w:r>
      <w:r w:rsidR="000B511C">
        <w:rPr>
          <w:i/>
          <w:iCs/>
          <w:spacing w:val="-3"/>
          <w:sz w:val="22"/>
          <w:szCs w:val="22"/>
        </w:rPr>
        <w:t>a</w:t>
      </w:r>
      <w:r w:rsidR="000B511C" w:rsidRPr="00D44FAA">
        <w:rPr>
          <w:i/>
          <w:iCs/>
          <w:spacing w:val="-3"/>
          <w:sz w:val="22"/>
          <w:szCs w:val="22"/>
        </w:rPr>
        <w:t xml:space="preserve"> </w:t>
      </w:r>
      <w:r w:rsidRPr="00D44FAA">
        <w:rPr>
          <w:i/>
          <w:iCs/>
          <w:spacing w:val="-3"/>
          <w:sz w:val="22"/>
          <w:szCs w:val="22"/>
        </w:rPr>
        <w:t>remunerar transformadores.</w:t>
      </w:r>
    </w:p>
    <w:p w14:paraId="0D57C16F" w14:textId="51E69770" w:rsidR="00D44FAA" w:rsidRDefault="00D44FAA" w:rsidP="00D44FAA">
      <w:pPr>
        <w:ind w:left="567"/>
        <w:rPr>
          <w:i/>
          <w:iCs/>
          <w:spacing w:val="-3"/>
          <w:sz w:val="22"/>
          <w:szCs w:val="22"/>
        </w:rPr>
      </w:pPr>
      <w:r w:rsidRPr="00D44FAA">
        <w:rPr>
          <w:i/>
          <w:iCs/>
          <w:spacing w:val="-3"/>
          <w:sz w:val="22"/>
          <w:szCs w:val="22"/>
        </w:rPr>
        <w:t>Adopt</w:t>
      </w:r>
      <w:r>
        <w:rPr>
          <w:i/>
          <w:iCs/>
          <w:spacing w:val="-3"/>
          <w:sz w:val="22"/>
          <w:szCs w:val="22"/>
        </w:rPr>
        <w:t>a</w:t>
      </w:r>
      <w:r w:rsidRPr="00D44FAA">
        <w:rPr>
          <w:i/>
          <w:iCs/>
          <w:spacing w:val="-3"/>
          <w:sz w:val="22"/>
          <w:szCs w:val="22"/>
        </w:rPr>
        <w:t>r el criteri</w:t>
      </w:r>
      <w:r>
        <w:rPr>
          <w:i/>
          <w:iCs/>
          <w:spacing w:val="-3"/>
          <w:sz w:val="22"/>
          <w:szCs w:val="22"/>
        </w:rPr>
        <w:t>o</w:t>
      </w:r>
      <w:r w:rsidRPr="00D44FAA">
        <w:rPr>
          <w:i/>
          <w:iCs/>
          <w:spacing w:val="-3"/>
          <w:sz w:val="22"/>
          <w:szCs w:val="22"/>
        </w:rPr>
        <w:t xml:space="preserve"> de no reconocimiento de las redes a un grupo de transformadores considerados de Uso, asumiend</w:t>
      </w:r>
      <w:r w:rsidR="005F4F5A">
        <w:rPr>
          <w:i/>
          <w:iCs/>
          <w:spacing w:val="-3"/>
          <w:sz w:val="22"/>
          <w:szCs w:val="22"/>
        </w:rPr>
        <w:t>o</w:t>
      </w:r>
      <w:r w:rsidRPr="00D44FAA">
        <w:rPr>
          <w:i/>
          <w:iCs/>
          <w:spacing w:val="-3"/>
          <w:sz w:val="22"/>
          <w:szCs w:val="22"/>
        </w:rPr>
        <w:t xml:space="preserve"> que no tienen red de baja tensi</w:t>
      </w:r>
      <w:r w:rsidR="005F4F5A">
        <w:rPr>
          <w:i/>
          <w:iCs/>
          <w:spacing w:val="-3"/>
          <w:sz w:val="22"/>
          <w:szCs w:val="22"/>
        </w:rPr>
        <w:t>ó</w:t>
      </w:r>
      <w:r w:rsidRPr="00D44FAA">
        <w:rPr>
          <w:i/>
          <w:iCs/>
          <w:spacing w:val="-3"/>
          <w:sz w:val="22"/>
          <w:szCs w:val="22"/>
        </w:rPr>
        <w:t>n, implica desconocer que la longitud media de las redes es el resultado de ponder</w:t>
      </w:r>
      <w:r w:rsidR="005F4F5A">
        <w:rPr>
          <w:i/>
          <w:iCs/>
          <w:spacing w:val="-3"/>
          <w:sz w:val="22"/>
          <w:szCs w:val="22"/>
        </w:rPr>
        <w:t>a</w:t>
      </w:r>
      <w:r w:rsidRPr="00D44FAA">
        <w:rPr>
          <w:i/>
          <w:iCs/>
          <w:spacing w:val="-3"/>
          <w:sz w:val="22"/>
          <w:szCs w:val="22"/>
        </w:rPr>
        <w:t>r redes con longitudes superiores a la media y transformadores inclusive sin red de baja tensi</w:t>
      </w:r>
      <w:r w:rsidR="005F4F5A">
        <w:rPr>
          <w:i/>
          <w:iCs/>
          <w:spacing w:val="-3"/>
          <w:sz w:val="22"/>
          <w:szCs w:val="22"/>
        </w:rPr>
        <w:t>ó</w:t>
      </w:r>
      <w:r w:rsidRPr="00D44FAA">
        <w:rPr>
          <w:i/>
          <w:iCs/>
          <w:spacing w:val="-3"/>
          <w:sz w:val="22"/>
          <w:szCs w:val="22"/>
        </w:rPr>
        <w:t>n. Por tanto, aun con la certeza de que algunos transformadores considerad</w:t>
      </w:r>
      <w:r w:rsidR="005F4F5A">
        <w:rPr>
          <w:i/>
          <w:iCs/>
          <w:spacing w:val="-3"/>
          <w:sz w:val="22"/>
          <w:szCs w:val="22"/>
        </w:rPr>
        <w:t>o</w:t>
      </w:r>
      <w:r w:rsidRPr="00D44FAA">
        <w:rPr>
          <w:i/>
          <w:iCs/>
          <w:spacing w:val="-3"/>
          <w:sz w:val="22"/>
          <w:szCs w:val="22"/>
        </w:rPr>
        <w:t>s de Us</w:t>
      </w:r>
      <w:r w:rsidR="005F4F5A">
        <w:rPr>
          <w:i/>
          <w:iCs/>
          <w:spacing w:val="-3"/>
          <w:sz w:val="22"/>
          <w:szCs w:val="22"/>
        </w:rPr>
        <w:t>o</w:t>
      </w:r>
      <w:r w:rsidRPr="00D44FAA">
        <w:rPr>
          <w:i/>
          <w:iCs/>
          <w:spacing w:val="-3"/>
          <w:sz w:val="22"/>
          <w:szCs w:val="22"/>
        </w:rPr>
        <w:t xml:space="preserve"> no tienen red de baja tensi</w:t>
      </w:r>
      <w:r w:rsidR="005F4F5A">
        <w:rPr>
          <w:i/>
          <w:iCs/>
          <w:spacing w:val="-3"/>
          <w:sz w:val="22"/>
          <w:szCs w:val="22"/>
        </w:rPr>
        <w:t>ó</w:t>
      </w:r>
      <w:r w:rsidRPr="00D44FAA">
        <w:rPr>
          <w:i/>
          <w:iCs/>
          <w:spacing w:val="-3"/>
          <w:sz w:val="22"/>
          <w:szCs w:val="22"/>
        </w:rPr>
        <w:t>n, no puede dejarse de remunerar dicha red de baja tensi</w:t>
      </w:r>
      <w:r w:rsidR="005F4F5A">
        <w:rPr>
          <w:i/>
          <w:iCs/>
          <w:spacing w:val="-3"/>
          <w:sz w:val="22"/>
          <w:szCs w:val="22"/>
        </w:rPr>
        <w:t>ó</w:t>
      </w:r>
      <w:r w:rsidRPr="00D44FAA">
        <w:rPr>
          <w:i/>
          <w:iCs/>
          <w:spacing w:val="-3"/>
          <w:sz w:val="22"/>
          <w:szCs w:val="22"/>
        </w:rPr>
        <w:t xml:space="preserve">n, puesto </w:t>
      </w:r>
      <w:r w:rsidR="005F4F5A">
        <w:rPr>
          <w:i/>
          <w:iCs/>
          <w:spacing w:val="-3"/>
          <w:sz w:val="22"/>
          <w:szCs w:val="22"/>
        </w:rPr>
        <w:t>q</w:t>
      </w:r>
      <w:r w:rsidRPr="00D44FAA">
        <w:rPr>
          <w:i/>
          <w:iCs/>
          <w:spacing w:val="-3"/>
          <w:sz w:val="22"/>
          <w:szCs w:val="22"/>
        </w:rPr>
        <w:t>u</w:t>
      </w:r>
      <w:r w:rsidR="005F4F5A">
        <w:rPr>
          <w:i/>
          <w:iCs/>
          <w:spacing w:val="-3"/>
          <w:sz w:val="22"/>
          <w:szCs w:val="22"/>
        </w:rPr>
        <w:t>e</w:t>
      </w:r>
      <w:r w:rsidRPr="00D44FAA">
        <w:rPr>
          <w:i/>
          <w:iCs/>
          <w:spacing w:val="-3"/>
          <w:sz w:val="22"/>
          <w:szCs w:val="22"/>
        </w:rPr>
        <w:t xml:space="preserve"> ello implicar</w:t>
      </w:r>
      <w:r w:rsidR="005F4F5A">
        <w:rPr>
          <w:i/>
          <w:iCs/>
          <w:spacing w:val="-3"/>
          <w:sz w:val="22"/>
          <w:szCs w:val="22"/>
        </w:rPr>
        <w:t>í</w:t>
      </w:r>
      <w:r w:rsidRPr="00D44FAA">
        <w:rPr>
          <w:i/>
          <w:iCs/>
          <w:spacing w:val="-3"/>
          <w:sz w:val="22"/>
          <w:szCs w:val="22"/>
        </w:rPr>
        <w:t>a recalcular la longitud promedio de las redes de baja tensi</w:t>
      </w:r>
      <w:r w:rsidR="005F4F5A">
        <w:rPr>
          <w:i/>
          <w:iCs/>
          <w:spacing w:val="-3"/>
          <w:sz w:val="22"/>
          <w:szCs w:val="22"/>
        </w:rPr>
        <w:t>ó</w:t>
      </w:r>
      <w:r w:rsidRPr="00D44FAA">
        <w:rPr>
          <w:i/>
          <w:iCs/>
          <w:spacing w:val="-3"/>
          <w:sz w:val="22"/>
          <w:szCs w:val="22"/>
        </w:rPr>
        <w:t>n de las redes diferentes a las excluidas p</w:t>
      </w:r>
      <w:r w:rsidR="005F4F5A">
        <w:rPr>
          <w:i/>
          <w:iCs/>
          <w:spacing w:val="-3"/>
          <w:sz w:val="22"/>
          <w:szCs w:val="22"/>
        </w:rPr>
        <w:t>o</w:t>
      </w:r>
      <w:r w:rsidRPr="00D44FAA">
        <w:rPr>
          <w:i/>
          <w:iCs/>
          <w:spacing w:val="-3"/>
          <w:sz w:val="22"/>
          <w:szCs w:val="22"/>
        </w:rPr>
        <w:t>r no tener redes de baja tensi</w:t>
      </w:r>
      <w:r w:rsidR="005F4F5A">
        <w:rPr>
          <w:i/>
          <w:iCs/>
          <w:spacing w:val="-3"/>
          <w:sz w:val="22"/>
          <w:szCs w:val="22"/>
        </w:rPr>
        <w:t>ó</w:t>
      </w:r>
      <w:r w:rsidRPr="00D44FAA">
        <w:rPr>
          <w:i/>
          <w:iCs/>
          <w:spacing w:val="-3"/>
          <w:sz w:val="22"/>
          <w:szCs w:val="22"/>
        </w:rPr>
        <w:t>n.</w:t>
      </w:r>
    </w:p>
    <w:p w14:paraId="5E314CD7" w14:textId="22578918" w:rsidR="001721C6" w:rsidRDefault="001A066D" w:rsidP="001721C6">
      <w:r>
        <w:t xml:space="preserve">Para analizar la solicitud del OR, acerca de reconocer las redes de nivel de tensión 1 conectadas a transformadores con capacidad menor a 15 </w:t>
      </w:r>
      <w:proofErr w:type="spellStart"/>
      <w:r>
        <w:t>kVA</w:t>
      </w:r>
      <w:proofErr w:type="spellEnd"/>
      <w:r>
        <w:t xml:space="preserve"> que atienden a un único usuario, se transcribe la siguiente definición, contenida en la Resolución CREG 015 de 2018</w:t>
      </w:r>
      <w:r w:rsidR="00E154C3">
        <w:t>,</w:t>
      </w:r>
      <w:r>
        <w:t xml:space="preserve"> y modificada a través de la Resolución CREG 036 de 2019. </w:t>
      </w:r>
    </w:p>
    <w:p w14:paraId="7C88A2B2" w14:textId="347101DF" w:rsidR="001A066D" w:rsidRPr="001A066D" w:rsidRDefault="001A066D" w:rsidP="001A066D">
      <w:pPr>
        <w:ind w:left="567"/>
        <w:rPr>
          <w:i/>
          <w:iCs/>
          <w:spacing w:val="-3"/>
          <w:sz w:val="22"/>
          <w:szCs w:val="22"/>
        </w:rPr>
      </w:pPr>
      <w:r w:rsidRPr="00C14F98">
        <w:rPr>
          <w:b/>
          <w:bCs/>
          <w:i/>
          <w:iCs/>
          <w:spacing w:val="-3"/>
          <w:sz w:val="22"/>
          <w:szCs w:val="22"/>
        </w:rPr>
        <w:t>Activos de nivel de tensión 1:</w:t>
      </w:r>
      <w:r w:rsidRPr="001A066D">
        <w:rPr>
          <w:i/>
          <w:iCs/>
          <w:spacing w:val="-3"/>
          <w:sz w:val="22"/>
          <w:szCs w:val="22"/>
        </w:rPr>
        <w:t xml:space="preserve"> son los conformados por las redes de transporte que operan a tensiones menores a 1 kV y los transformadores con voltaje secundario menor a 1 kV que las alimentan para atender dos o más usuarios, incluyendo las protecciones y equipos de maniobra asociados, excepto los que hacen parte de instalaciones internas. En esta clasificación se incluyen los transformadores de conexión con capacidad igual o inferior a 15 </w:t>
      </w:r>
      <w:proofErr w:type="spellStart"/>
      <w:r w:rsidRPr="001A066D">
        <w:rPr>
          <w:i/>
          <w:iCs/>
          <w:spacing w:val="-3"/>
          <w:sz w:val="22"/>
          <w:szCs w:val="22"/>
        </w:rPr>
        <w:t>kVA</w:t>
      </w:r>
      <w:proofErr w:type="spellEnd"/>
      <w:r w:rsidRPr="001A066D">
        <w:rPr>
          <w:i/>
          <w:iCs/>
          <w:spacing w:val="-3"/>
          <w:sz w:val="22"/>
          <w:szCs w:val="22"/>
        </w:rPr>
        <w:t>.</w:t>
      </w:r>
    </w:p>
    <w:p w14:paraId="77AFCC60" w14:textId="29A8D705" w:rsidR="001A066D" w:rsidRDefault="001A066D" w:rsidP="00C14F98">
      <w:pPr>
        <w:rPr>
          <w:i/>
          <w:iCs/>
          <w:spacing w:val="-3"/>
          <w:sz w:val="22"/>
          <w:szCs w:val="22"/>
        </w:rPr>
      </w:pPr>
      <w:r>
        <w:t xml:space="preserve">De la </w:t>
      </w:r>
      <w:r w:rsidR="00C14F98">
        <w:t xml:space="preserve">lectura de la definición anterior se concluye que las redes de nivel de tensión 1 conectadas a transformadores con capacidad menor a 15 </w:t>
      </w:r>
      <w:proofErr w:type="spellStart"/>
      <w:r w:rsidR="00C14F98">
        <w:t>kVA</w:t>
      </w:r>
      <w:proofErr w:type="spellEnd"/>
      <w:r w:rsidR="00C14F98">
        <w:t>, que atienden a un único usuario, no hacen parte de los activos de nivel de tensión 1. Por esta razón</w:t>
      </w:r>
      <w:r w:rsidR="00E154C3">
        <w:t>,</w:t>
      </w:r>
      <w:r w:rsidR="00C14F98">
        <w:t xml:space="preserve"> estas redes no pueden considerarse para calcular los ingresos de un OR.</w:t>
      </w:r>
    </w:p>
    <w:p w14:paraId="351B1E87" w14:textId="77777777" w:rsidR="001A066D" w:rsidRDefault="001A066D" w:rsidP="00D44FAA">
      <w:pPr>
        <w:ind w:left="567"/>
        <w:rPr>
          <w:i/>
          <w:iCs/>
          <w:spacing w:val="-3"/>
          <w:sz w:val="22"/>
          <w:szCs w:val="22"/>
        </w:rPr>
      </w:pPr>
    </w:p>
    <w:p w14:paraId="2B4802FB" w14:textId="3F1DB2BF" w:rsidR="00FD0C28" w:rsidRDefault="00FD0C28" w:rsidP="00DC4616">
      <w:pPr>
        <w:keepNext/>
        <w:ind w:left="567"/>
        <w:rPr>
          <w:b/>
          <w:bCs/>
          <w:i/>
          <w:iCs/>
          <w:spacing w:val="-3"/>
          <w:sz w:val="22"/>
          <w:szCs w:val="22"/>
        </w:rPr>
      </w:pPr>
      <w:r w:rsidRPr="00FD0C28">
        <w:rPr>
          <w:b/>
          <w:bCs/>
          <w:i/>
          <w:iCs/>
          <w:spacing w:val="-3"/>
          <w:sz w:val="22"/>
          <w:szCs w:val="22"/>
        </w:rPr>
        <w:t>1.2 Inventario de activos 2018</w:t>
      </w:r>
    </w:p>
    <w:p w14:paraId="715F1D14" w14:textId="7245ABBD" w:rsidR="00FD0C28" w:rsidRDefault="00FD0C28" w:rsidP="00D44FAA">
      <w:pPr>
        <w:ind w:left="567"/>
        <w:rPr>
          <w:i/>
          <w:iCs/>
          <w:spacing w:val="-3"/>
          <w:sz w:val="22"/>
          <w:szCs w:val="22"/>
        </w:rPr>
      </w:pPr>
      <w:r>
        <w:rPr>
          <w:i/>
          <w:iCs/>
          <w:spacing w:val="-3"/>
          <w:sz w:val="22"/>
          <w:szCs w:val="22"/>
        </w:rPr>
        <w:t xml:space="preserve">(…) </w:t>
      </w:r>
      <w:r w:rsidRPr="00FD0C28">
        <w:rPr>
          <w:i/>
          <w:iCs/>
          <w:spacing w:val="-3"/>
          <w:sz w:val="22"/>
          <w:szCs w:val="22"/>
        </w:rPr>
        <w:t>con relaci</w:t>
      </w:r>
      <w:r>
        <w:rPr>
          <w:i/>
          <w:iCs/>
          <w:spacing w:val="-3"/>
          <w:sz w:val="22"/>
          <w:szCs w:val="22"/>
        </w:rPr>
        <w:t>ó</w:t>
      </w:r>
      <w:r w:rsidRPr="00FD0C28">
        <w:rPr>
          <w:i/>
          <w:iCs/>
          <w:spacing w:val="-3"/>
          <w:sz w:val="22"/>
          <w:szCs w:val="22"/>
        </w:rPr>
        <w:t>n al inventario reconocido para otros niveles de tensi</w:t>
      </w:r>
      <w:r>
        <w:rPr>
          <w:i/>
          <w:iCs/>
          <w:spacing w:val="-3"/>
          <w:sz w:val="22"/>
          <w:szCs w:val="22"/>
        </w:rPr>
        <w:t>ó</w:t>
      </w:r>
      <w:r w:rsidRPr="00FD0C28">
        <w:rPr>
          <w:i/>
          <w:iCs/>
          <w:spacing w:val="-3"/>
          <w:sz w:val="22"/>
          <w:szCs w:val="22"/>
        </w:rPr>
        <w:t>n</w:t>
      </w:r>
      <w:r>
        <w:rPr>
          <w:i/>
          <w:iCs/>
          <w:spacing w:val="-3"/>
          <w:sz w:val="22"/>
          <w:szCs w:val="22"/>
        </w:rPr>
        <w:t xml:space="preserve"> </w:t>
      </w:r>
      <w:r w:rsidRPr="00FD0C28">
        <w:rPr>
          <w:i/>
          <w:iCs/>
          <w:spacing w:val="-3"/>
          <w:sz w:val="22"/>
          <w:szCs w:val="22"/>
        </w:rPr>
        <w:t>del a</w:t>
      </w:r>
      <w:r>
        <w:rPr>
          <w:i/>
          <w:iCs/>
          <w:spacing w:val="-3"/>
          <w:sz w:val="22"/>
          <w:szCs w:val="22"/>
        </w:rPr>
        <w:t>ñ</w:t>
      </w:r>
      <w:r w:rsidRPr="00FD0C28">
        <w:rPr>
          <w:i/>
          <w:iCs/>
          <w:spacing w:val="-3"/>
          <w:sz w:val="22"/>
          <w:szCs w:val="22"/>
        </w:rPr>
        <w:t>o 2018</w:t>
      </w:r>
      <w:r>
        <w:rPr>
          <w:i/>
          <w:iCs/>
          <w:spacing w:val="-3"/>
          <w:sz w:val="22"/>
          <w:szCs w:val="22"/>
        </w:rPr>
        <w:t xml:space="preserve"> [diferentes al 4]</w:t>
      </w:r>
      <w:r w:rsidRPr="00FD0C28">
        <w:rPr>
          <w:i/>
          <w:iCs/>
          <w:spacing w:val="-3"/>
          <w:sz w:val="22"/>
          <w:szCs w:val="22"/>
        </w:rPr>
        <w:t>, identificamos que la CREG no reconoci</w:t>
      </w:r>
      <w:r>
        <w:rPr>
          <w:i/>
          <w:iCs/>
          <w:spacing w:val="-3"/>
          <w:sz w:val="22"/>
          <w:szCs w:val="22"/>
        </w:rPr>
        <w:t>ó</w:t>
      </w:r>
      <w:r w:rsidRPr="00FD0C28">
        <w:rPr>
          <w:i/>
          <w:iCs/>
          <w:spacing w:val="-3"/>
          <w:sz w:val="22"/>
          <w:szCs w:val="22"/>
        </w:rPr>
        <w:t xml:space="preserve"> algunas UC asociadas a los siguientes proyectos y para lo cual EBSA solicita incluir dichas UC, en raz</w:t>
      </w:r>
      <w:r>
        <w:rPr>
          <w:i/>
          <w:iCs/>
          <w:spacing w:val="-3"/>
          <w:sz w:val="22"/>
          <w:szCs w:val="22"/>
        </w:rPr>
        <w:t>ó</w:t>
      </w:r>
      <w:r w:rsidRPr="00FD0C28">
        <w:rPr>
          <w:i/>
          <w:iCs/>
          <w:spacing w:val="-3"/>
          <w:sz w:val="22"/>
          <w:szCs w:val="22"/>
        </w:rPr>
        <w:t>n a que estos proyectos no fueron denominados adecuadamente y corresponden a proyectos nuevos asociados a ampliaci</w:t>
      </w:r>
      <w:r>
        <w:rPr>
          <w:i/>
          <w:iCs/>
          <w:spacing w:val="-3"/>
          <w:sz w:val="22"/>
          <w:szCs w:val="22"/>
        </w:rPr>
        <w:t>ó</w:t>
      </w:r>
      <w:r w:rsidRPr="00FD0C28">
        <w:rPr>
          <w:i/>
          <w:iCs/>
          <w:spacing w:val="-3"/>
          <w:sz w:val="22"/>
          <w:szCs w:val="22"/>
        </w:rPr>
        <w:t>n de red de media y baja tensi</w:t>
      </w:r>
      <w:r>
        <w:rPr>
          <w:i/>
          <w:iCs/>
          <w:spacing w:val="-3"/>
          <w:sz w:val="22"/>
          <w:szCs w:val="22"/>
        </w:rPr>
        <w:t>ó</w:t>
      </w:r>
      <w:r w:rsidRPr="00FD0C28">
        <w:rPr>
          <w:i/>
          <w:iCs/>
          <w:spacing w:val="-3"/>
          <w:sz w:val="22"/>
          <w:szCs w:val="22"/>
        </w:rPr>
        <w:t>n y son a activos de Uso, todos los cuales ya fueron construidos y se encuentran actual</w:t>
      </w:r>
      <w:r>
        <w:rPr>
          <w:i/>
          <w:iCs/>
          <w:spacing w:val="-3"/>
          <w:sz w:val="22"/>
          <w:szCs w:val="22"/>
        </w:rPr>
        <w:t>m</w:t>
      </w:r>
      <w:r w:rsidRPr="00FD0C28">
        <w:rPr>
          <w:i/>
          <w:iCs/>
          <w:spacing w:val="-3"/>
          <w:sz w:val="22"/>
          <w:szCs w:val="22"/>
        </w:rPr>
        <w:t>ente en operaci</w:t>
      </w:r>
      <w:r>
        <w:rPr>
          <w:i/>
          <w:iCs/>
          <w:spacing w:val="-3"/>
          <w:sz w:val="22"/>
          <w:szCs w:val="22"/>
        </w:rPr>
        <w:t>ó</w:t>
      </w:r>
      <w:r w:rsidRPr="00FD0C28">
        <w:rPr>
          <w:i/>
          <w:iCs/>
          <w:spacing w:val="-3"/>
          <w:sz w:val="22"/>
          <w:szCs w:val="22"/>
        </w:rPr>
        <w:t>n</w:t>
      </w:r>
      <w:r w:rsidR="00145C66">
        <w:rPr>
          <w:i/>
          <w:iCs/>
          <w:spacing w:val="-3"/>
          <w:sz w:val="22"/>
          <w:szCs w:val="22"/>
        </w:rPr>
        <w:t>.</w:t>
      </w:r>
    </w:p>
    <w:p w14:paraId="3A5E2E43" w14:textId="77777777" w:rsidR="008B64FE" w:rsidRDefault="008B64FE" w:rsidP="00F33C91"/>
    <w:p w14:paraId="49F20A12" w14:textId="6CDECCA8" w:rsidR="00FD0C28" w:rsidRDefault="00750F2E" w:rsidP="00F33C91">
      <w:r>
        <w:lastRenderedPageBreak/>
        <w:t>La CREG acepta incluir en el inventario los proyectos que fueron negados por esta razón. No obstante, el OR debe tene</w:t>
      </w:r>
      <w:r w:rsidR="00F33C91">
        <w:t>r</w:t>
      </w:r>
      <w:r>
        <w:t xml:space="preserve"> </w:t>
      </w:r>
      <w:r w:rsidR="00F33C91">
        <w:t>e</w:t>
      </w:r>
      <w:r>
        <w:t xml:space="preserve">n cuenta que estos activos </w:t>
      </w:r>
      <w:r w:rsidR="00625FAB">
        <w:t>s</w:t>
      </w:r>
      <w:r w:rsidR="00257C59">
        <w:t>o</w:t>
      </w:r>
      <w:r w:rsidR="00625FAB">
        <w:t xml:space="preserve">n </w:t>
      </w:r>
      <w:r>
        <w:t xml:space="preserve">sujetos de </w:t>
      </w:r>
      <w:r w:rsidR="00F33C91">
        <w:t>revisión durante la etapa de verificación del cumplimiento de la ejecución del plan de inversiones, en donde se revisará que cumplan las características bajo las cuales fueron incluidos en el inventario.</w:t>
      </w:r>
    </w:p>
    <w:p w14:paraId="1290C38F" w14:textId="77777777" w:rsidR="00F33C91" w:rsidRDefault="00F33C91" w:rsidP="00F33C91">
      <w:pPr>
        <w:rPr>
          <w:i/>
          <w:iCs/>
          <w:spacing w:val="-3"/>
          <w:sz w:val="22"/>
          <w:szCs w:val="22"/>
        </w:rPr>
      </w:pPr>
    </w:p>
    <w:p w14:paraId="73EC9CCE" w14:textId="4880144C" w:rsidR="00FD0C28" w:rsidRDefault="00FD0C28" w:rsidP="00F33C91">
      <w:pPr>
        <w:keepNext/>
        <w:ind w:left="567"/>
        <w:rPr>
          <w:b/>
          <w:bCs/>
          <w:i/>
          <w:iCs/>
          <w:spacing w:val="-3"/>
          <w:sz w:val="22"/>
          <w:szCs w:val="22"/>
        </w:rPr>
      </w:pPr>
      <w:r w:rsidRPr="00FD0C28">
        <w:rPr>
          <w:b/>
          <w:bCs/>
          <w:i/>
          <w:iCs/>
          <w:spacing w:val="-3"/>
          <w:sz w:val="22"/>
          <w:szCs w:val="22"/>
        </w:rPr>
        <w:t>1.3 Inventario del plan de inversiones</w:t>
      </w:r>
    </w:p>
    <w:p w14:paraId="7497875D" w14:textId="776ECFA7" w:rsidR="00FD0C28" w:rsidRDefault="00FD0C28" w:rsidP="00F33C91">
      <w:pPr>
        <w:keepNext/>
        <w:ind w:left="567"/>
        <w:rPr>
          <w:b/>
          <w:bCs/>
          <w:i/>
          <w:iCs/>
          <w:spacing w:val="-3"/>
          <w:sz w:val="22"/>
          <w:szCs w:val="22"/>
        </w:rPr>
      </w:pPr>
      <w:r w:rsidRPr="00FD0C28">
        <w:rPr>
          <w:b/>
          <w:bCs/>
          <w:i/>
          <w:iCs/>
          <w:spacing w:val="-3"/>
          <w:sz w:val="22"/>
          <w:szCs w:val="22"/>
        </w:rPr>
        <w:t>1.3</w:t>
      </w:r>
      <w:r>
        <w:rPr>
          <w:b/>
          <w:bCs/>
          <w:i/>
          <w:iCs/>
          <w:spacing w:val="-3"/>
          <w:sz w:val="22"/>
          <w:szCs w:val="22"/>
        </w:rPr>
        <w:t>.</w:t>
      </w:r>
      <w:r w:rsidRPr="00FD0C28">
        <w:rPr>
          <w:b/>
          <w:bCs/>
          <w:i/>
          <w:iCs/>
          <w:spacing w:val="-3"/>
          <w:sz w:val="22"/>
          <w:szCs w:val="22"/>
        </w:rPr>
        <w:t>1 Reconocimiento de activos de nivel de tensi</w:t>
      </w:r>
      <w:r>
        <w:rPr>
          <w:b/>
          <w:bCs/>
          <w:i/>
          <w:iCs/>
          <w:spacing w:val="-3"/>
          <w:sz w:val="22"/>
          <w:szCs w:val="22"/>
        </w:rPr>
        <w:t>ó</w:t>
      </w:r>
      <w:r w:rsidRPr="00FD0C28">
        <w:rPr>
          <w:b/>
          <w:bCs/>
          <w:i/>
          <w:iCs/>
          <w:spacing w:val="-3"/>
          <w:sz w:val="22"/>
          <w:szCs w:val="22"/>
        </w:rPr>
        <w:t>n 1</w:t>
      </w:r>
    </w:p>
    <w:p w14:paraId="65D54E44" w14:textId="20FDF642" w:rsidR="00FD0C28" w:rsidRPr="00FD0C28" w:rsidRDefault="00FD0C28" w:rsidP="00FD0C28">
      <w:pPr>
        <w:ind w:left="567"/>
        <w:rPr>
          <w:i/>
          <w:iCs/>
          <w:spacing w:val="-3"/>
          <w:sz w:val="22"/>
          <w:szCs w:val="22"/>
        </w:rPr>
      </w:pPr>
      <w:r w:rsidRPr="00FD0C28">
        <w:rPr>
          <w:i/>
          <w:iCs/>
          <w:spacing w:val="-3"/>
          <w:sz w:val="22"/>
          <w:szCs w:val="22"/>
        </w:rPr>
        <w:t>La CREG indica que:</w:t>
      </w:r>
    </w:p>
    <w:p w14:paraId="5F6DD306" w14:textId="6BB55E49" w:rsidR="00FD0C28" w:rsidRPr="00FD0C28" w:rsidRDefault="00FD0C28" w:rsidP="00FD0C28">
      <w:pPr>
        <w:ind w:left="567"/>
        <w:rPr>
          <w:i/>
          <w:iCs/>
          <w:spacing w:val="-3"/>
          <w:sz w:val="22"/>
          <w:szCs w:val="22"/>
        </w:rPr>
      </w:pPr>
      <w:r>
        <w:rPr>
          <w:i/>
          <w:iCs/>
          <w:spacing w:val="-3"/>
          <w:sz w:val="22"/>
          <w:szCs w:val="22"/>
        </w:rPr>
        <w:t>“</w:t>
      </w:r>
      <w:r w:rsidRPr="00FD0C28">
        <w:rPr>
          <w:i/>
          <w:iCs/>
          <w:spacing w:val="-3"/>
          <w:sz w:val="22"/>
          <w:szCs w:val="22"/>
        </w:rPr>
        <w:t>No</w:t>
      </w:r>
      <w:r>
        <w:rPr>
          <w:i/>
          <w:iCs/>
          <w:spacing w:val="-3"/>
          <w:sz w:val="22"/>
          <w:szCs w:val="22"/>
        </w:rPr>
        <w:t xml:space="preserve"> </w:t>
      </w:r>
      <w:r w:rsidRPr="00FD0C28">
        <w:rPr>
          <w:i/>
          <w:iCs/>
          <w:spacing w:val="-3"/>
          <w:sz w:val="22"/>
          <w:szCs w:val="22"/>
        </w:rPr>
        <w:t>se reconocieron los transformadores y redes reportados en el plan de inversiones del nivel de tensi</w:t>
      </w:r>
      <w:r>
        <w:rPr>
          <w:i/>
          <w:iCs/>
          <w:spacing w:val="-3"/>
          <w:sz w:val="22"/>
          <w:szCs w:val="22"/>
        </w:rPr>
        <w:t>ó</w:t>
      </w:r>
      <w:r w:rsidRPr="00FD0C28">
        <w:rPr>
          <w:i/>
          <w:iCs/>
          <w:spacing w:val="-3"/>
          <w:sz w:val="22"/>
          <w:szCs w:val="22"/>
        </w:rPr>
        <w:t>n 1 dad</w:t>
      </w:r>
      <w:r>
        <w:rPr>
          <w:i/>
          <w:iCs/>
          <w:spacing w:val="-3"/>
          <w:sz w:val="22"/>
          <w:szCs w:val="22"/>
        </w:rPr>
        <w:t>o</w:t>
      </w:r>
      <w:r w:rsidRPr="00FD0C28">
        <w:rPr>
          <w:i/>
          <w:iCs/>
          <w:spacing w:val="-3"/>
          <w:sz w:val="22"/>
          <w:szCs w:val="22"/>
        </w:rPr>
        <w:t xml:space="preserve"> que la informaci</w:t>
      </w:r>
      <w:r>
        <w:rPr>
          <w:i/>
          <w:iCs/>
          <w:spacing w:val="-3"/>
          <w:sz w:val="22"/>
          <w:szCs w:val="22"/>
        </w:rPr>
        <w:t>ó</w:t>
      </w:r>
      <w:r w:rsidRPr="00FD0C28">
        <w:rPr>
          <w:i/>
          <w:iCs/>
          <w:spacing w:val="-3"/>
          <w:sz w:val="22"/>
          <w:szCs w:val="22"/>
        </w:rPr>
        <w:t>n reportada por el OR no cumpli</w:t>
      </w:r>
      <w:r>
        <w:rPr>
          <w:i/>
          <w:iCs/>
          <w:spacing w:val="-3"/>
          <w:sz w:val="22"/>
          <w:szCs w:val="22"/>
        </w:rPr>
        <w:t>ó</w:t>
      </w:r>
      <w:r w:rsidRPr="00FD0C28">
        <w:rPr>
          <w:i/>
          <w:iCs/>
          <w:spacing w:val="-3"/>
          <w:sz w:val="22"/>
          <w:szCs w:val="22"/>
        </w:rPr>
        <w:t xml:space="preserve"> las caracter</w:t>
      </w:r>
      <w:r>
        <w:rPr>
          <w:i/>
          <w:iCs/>
          <w:spacing w:val="-3"/>
          <w:sz w:val="22"/>
          <w:szCs w:val="22"/>
        </w:rPr>
        <w:t>í</w:t>
      </w:r>
      <w:r w:rsidRPr="00FD0C28">
        <w:rPr>
          <w:i/>
          <w:iCs/>
          <w:spacing w:val="-3"/>
          <w:sz w:val="22"/>
          <w:szCs w:val="22"/>
        </w:rPr>
        <w:t>sticas necesarias exigidas para el reporte de los planes de inversiones. En particular, el OR asocia todo su plan de inversiones en este nivel a un mismo circuito y subestaci</w:t>
      </w:r>
      <w:r>
        <w:rPr>
          <w:i/>
          <w:iCs/>
          <w:spacing w:val="-3"/>
          <w:sz w:val="22"/>
          <w:szCs w:val="22"/>
        </w:rPr>
        <w:t>ó</w:t>
      </w:r>
      <w:r w:rsidRPr="00FD0C28">
        <w:rPr>
          <w:i/>
          <w:iCs/>
          <w:spacing w:val="-3"/>
          <w:sz w:val="22"/>
          <w:szCs w:val="22"/>
        </w:rPr>
        <w:t>n ficticia que no permiten realizar el seguimiento de la ejecuci</w:t>
      </w:r>
      <w:r>
        <w:rPr>
          <w:i/>
          <w:iCs/>
          <w:spacing w:val="-3"/>
          <w:sz w:val="22"/>
          <w:szCs w:val="22"/>
        </w:rPr>
        <w:t>ó</w:t>
      </w:r>
      <w:r w:rsidRPr="00FD0C28">
        <w:rPr>
          <w:i/>
          <w:iCs/>
          <w:spacing w:val="-3"/>
          <w:sz w:val="22"/>
          <w:szCs w:val="22"/>
        </w:rPr>
        <w:t>n de este plan".</w:t>
      </w:r>
    </w:p>
    <w:p w14:paraId="68E70593" w14:textId="5AF87B37" w:rsidR="00FD0C28" w:rsidRDefault="00FD0C28" w:rsidP="00FD0C28">
      <w:pPr>
        <w:ind w:left="567"/>
        <w:rPr>
          <w:i/>
          <w:iCs/>
          <w:spacing w:val="-3"/>
          <w:sz w:val="22"/>
          <w:szCs w:val="22"/>
        </w:rPr>
      </w:pPr>
      <w:r w:rsidRPr="00FD0C28">
        <w:rPr>
          <w:i/>
          <w:iCs/>
          <w:spacing w:val="-3"/>
          <w:sz w:val="22"/>
          <w:szCs w:val="22"/>
        </w:rPr>
        <w:t xml:space="preserve">Al respecto, se adjunta en el archivo de Excel </w:t>
      </w:r>
      <w:r>
        <w:rPr>
          <w:i/>
          <w:iCs/>
          <w:spacing w:val="-3"/>
          <w:sz w:val="22"/>
          <w:szCs w:val="22"/>
        </w:rPr>
        <w:t xml:space="preserve">(…) </w:t>
      </w:r>
      <w:r w:rsidRPr="00FD0C28">
        <w:rPr>
          <w:i/>
          <w:iCs/>
          <w:spacing w:val="-3"/>
          <w:sz w:val="22"/>
          <w:szCs w:val="22"/>
        </w:rPr>
        <w:t>la correcci</w:t>
      </w:r>
      <w:r>
        <w:rPr>
          <w:i/>
          <w:iCs/>
          <w:spacing w:val="-3"/>
          <w:sz w:val="22"/>
          <w:szCs w:val="22"/>
        </w:rPr>
        <w:t>ó</w:t>
      </w:r>
      <w:r w:rsidRPr="00FD0C28">
        <w:rPr>
          <w:i/>
          <w:iCs/>
          <w:spacing w:val="-3"/>
          <w:sz w:val="22"/>
          <w:szCs w:val="22"/>
        </w:rPr>
        <w:t>n en el campo "IUL ACTUALIZADO" asignando el IUL a cada unidad constructiv</w:t>
      </w:r>
      <w:r>
        <w:rPr>
          <w:i/>
          <w:iCs/>
          <w:spacing w:val="-3"/>
          <w:sz w:val="22"/>
          <w:szCs w:val="22"/>
        </w:rPr>
        <w:t>a</w:t>
      </w:r>
      <w:r w:rsidRPr="00FD0C28">
        <w:rPr>
          <w:i/>
          <w:iCs/>
          <w:spacing w:val="-3"/>
          <w:sz w:val="22"/>
          <w:szCs w:val="22"/>
        </w:rPr>
        <w:t xml:space="preserve"> correspondiente.</w:t>
      </w:r>
    </w:p>
    <w:p w14:paraId="5AB88660" w14:textId="343BBAB4" w:rsidR="0090486C" w:rsidRDefault="00F33C91" w:rsidP="00F33C91">
      <w:r>
        <w:t>De la información sum</w:t>
      </w:r>
      <w:r w:rsidR="0090486C">
        <w:t>i</w:t>
      </w:r>
      <w:r>
        <w:t>nistrada por el OR se pudo observar</w:t>
      </w:r>
      <w:r w:rsidR="0090486C">
        <w:t xml:space="preserve"> </w:t>
      </w:r>
      <w:r>
        <w:t>que se r</w:t>
      </w:r>
      <w:r w:rsidR="0090486C">
        <w:t>e</w:t>
      </w:r>
      <w:r>
        <w:t xml:space="preserve">alizó la corrección </w:t>
      </w:r>
      <w:r w:rsidR="0090486C">
        <w:t>de la vinculación de los activos asociados a redes y transformadores de nivel de tensión 1. Por lo anterior, la CREG encuentra que la información cumple los requisitos</w:t>
      </w:r>
      <w:r w:rsidR="00E154C3">
        <w:t>,</w:t>
      </w:r>
      <w:r w:rsidR="0090486C">
        <w:t xml:space="preserve"> y se acepta reconocer los activos que conforman el plan de inversiones de nivel 1 de la EBSA.</w:t>
      </w:r>
    </w:p>
    <w:p w14:paraId="10D3D689" w14:textId="20FEC670" w:rsidR="00F33C91" w:rsidRDefault="00F33C91" w:rsidP="00F33C91">
      <w:r>
        <w:t xml:space="preserve">No obstante, </w:t>
      </w:r>
      <w:r w:rsidR="0090486C">
        <w:t>se recuerda que todos los activos del plan de inversiones son</w:t>
      </w:r>
      <w:r>
        <w:t xml:space="preserve"> sujetos de revisión durante la etapa de verificación del cumplimiento de la ejecución del plan de inversiones.</w:t>
      </w:r>
    </w:p>
    <w:p w14:paraId="4CF291E5" w14:textId="77777777" w:rsidR="00F33C91" w:rsidRDefault="00F33C91" w:rsidP="00FD0C28">
      <w:pPr>
        <w:ind w:left="567"/>
        <w:rPr>
          <w:i/>
          <w:iCs/>
          <w:spacing w:val="-3"/>
          <w:sz w:val="22"/>
          <w:szCs w:val="22"/>
        </w:rPr>
      </w:pPr>
    </w:p>
    <w:p w14:paraId="74ECC036" w14:textId="62CF53A9" w:rsidR="00FD0C28" w:rsidRDefault="00FD0C28" w:rsidP="00DC4616">
      <w:pPr>
        <w:keepNext/>
        <w:ind w:left="567"/>
        <w:rPr>
          <w:b/>
          <w:bCs/>
          <w:i/>
          <w:iCs/>
          <w:spacing w:val="-3"/>
          <w:sz w:val="22"/>
          <w:szCs w:val="22"/>
        </w:rPr>
      </w:pPr>
      <w:r w:rsidRPr="00FD0C28">
        <w:rPr>
          <w:b/>
          <w:bCs/>
          <w:i/>
          <w:iCs/>
          <w:spacing w:val="-3"/>
          <w:sz w:val="22"/>
          <w:szCs w:val="22"/>
        </w:rPr>
        <w:t>1.3.2 Reconocimiento de equipos de l</w:t>
      </w:r>
      <w:r>
        <w:rPr>
          <w:b/>
          <w:bCs/>
          <w:i/>
          <w:iCs/>
          <w:spacing w:val="-3"/>
          <w:sz w:val="22"/>
          <w:szCs w:val="22"/>
        </w:rPr>
        <w:t>í</w:t>
      </w:r>
      <w:r w:rsidRPr="00FD0C28">
        <w:rPr>
          <w:b/>
          <w:bCs/>
          <w:i/>
          <w:iCs/>
          <w:spacing w:val="-3"/>
          <w:sz w:val="22"/>
          <w:szCs w:val="22"/>
        </w:rPr>
        <w:t>ne</w:t>
      </w:r>
      <w:r>
        <w:rPr>
          <w:b/>
          <w:bCs/>
          <w:i/>
          <w:iCs/>
          <w:spacing w:val="-3"/>
          <w:sz w:val="22"/>
          <w:szCs w:val="22"/>
        </w:rPr>
        <w:t>a</w:t>
      </w:r>
    </w:p>
    <w:p w14:paraId="61A95F33" w14:textId="28FEB883" w:rsidR="00FD0C28" w:rsidRDefault="00FD0C28" w:rsidP="00FD0C28">
      <w:pPr>
        <w:ind w:left="567"/>
        <w:rPr>
          <w:i/>
          <w:iCs/>
          <w:spacing w:val="-3"/>
          <w:sz w:val="22"/>
          <w:szCs w:val="22"/>
        </w:rPr>
      </w:pPr>
      <w:r w:rsidRPr="00FD0C28">
        <w:rPr>
          <w:i/>
          <w:iCs/>
          <w:spacing w:val="-3"/>
          <w:sz w:val="22"/>
          <w:szCs w:val="22"/>
        </w:rPr>
        <w:t>EBSA aclara a la CREG que todos los proyectos presentados en su Plan de Inversión 2019-2023 serán realizados con recursos propios. Involuntariamente se omitió realizar el diligenciamiento del campo "RPP" en los nuevos equipos de línea, para lo cual anexamos el archivo Excel (…) donde se diligencia este campo (…) con el número cero (0) indicando que los proyectos NO serán financiados con recursos públicos.</w:t>
      </w:r>
    </w:p>
    <w:p w14:paraId="6ACA6DDE" w14:textId="1CC13DE2" w:rsidR="0090486C" w:rsidRDefault="0090486C" w:rsidP="0090486C">
      <w:r>
        <w:t>Con respecto a esta solicitud</w:t>
      </w:r>
      <w:r w:rsidR="008C258C">
        <w:t>, la CREG encuentra correcto el ajuste y se reconocen los activos relacionados.</w:t>
      </w:r>
    </w:p>
    <w:p w14:paraId="4EF94172" w14:textId="4B5093AC" w:rsidR="00FD0C28" w:rsidRDefault="00FD0C28" w:rsidP="00FD0C28">
      <w:pPr>
        <w:ind w:left="567"/>
        <w:rPr>
          <w:i/>
          <w:iCs/>
          <w:spacing w:val="-3"/>
          <w:sz w:val="22"/>
          <w:szCs w:val="22"/>
        </w:rPr>
      </w:pPr>
    </w:p>
    <w:p w14:paraId="6D3DFE7B" w14:textId="22CA10EE" w:rsidR="00FD0C28" w:rsidRDefault="00FD0C28" w:rsidP="00DC4616">
      <w:pPr>
        <w:keepNext/>
        <w:ind w:left="567"/>
        <w:rPr>
          <w:b/>
          <w:bCs/>
          <w:i/>
          <w:iCs/>
          <w:spacing w:val="-3"/>
          <w:sz w:val="22"/>
          <w:szCs w:val="22"/>
        </w:rPr>
      </w:pPr>
      <w:r w:rsidRPr="00FD0C28">
        <w:rPr>
          <w:b/>
          <w:bCs/>
          <w:i/>
          <w:iCs/>
          <w:spacing w:val="-3"/>
          <w:sz w:val="22"/>
          <w:szCs w:val="22"/>
        </w:rPr>
        <w:t>1.3.3</w:t>
      </w:r>
      <w:r>
        <w:rPr>
          <w:b/>
          <w:bCs/>
          <w:i/>
          <w:iCs/>
          <w:spacing w:val="-3"/>
          <w:sz w:val="22"/>
          <w:szCs w:val="22"/>
        </w:rPr>
        <w:t xml:space="preserve"> </w:t>
      </w:r>
      <w:r w:rsidRPr="00FD0C28">
        <w:rPr>
          <w:b/>
          <w:bCs/>
          <w:i/>
          <w:iCs/>
          <w:spacing w:val="-3"/>
          <w:sz w:val="22"/>
          <w:szCs w:val="22"/>
        </w:rPr>
        <w:t>Reconocimiento de unidades constructivas especiales</w:t>
      </w:r>
    </w:p>
    <w:p w14:paraId="1C4360FE" w14:textId="405CCAFA" w:rsidR="00FD0C28" w:rsidRDefault="00FD0C28" w:rsidP="00FD0C28">
      <w:pPr>
        <w:ind w:left="567"/>
        <w:rPr>
          <w:i/>
          <w:iCs/>
          <w:spacing w:val="-3"/>
          <w:sz w:val="22"/>
          <w:szCs w:val="22"/>
        </w:rPr>
      </w:pPr>
      <w:r w:rsidRPr="00FD0C28">
        <w:rPr>
          <w:i/>
          <w:iCs/>
          <w:spacing w:val="-3"/>
          <w:sz w:val="22"/>
          <w:szCs w:val="22"/>
        </w:rPr>
        <w:t>Para este caso, adjuntamos el documento que incluye la totalidad de requisitos previstos en la Resoluci</w:t>
      </w:r>
      <w:r>
        <w:rPr>
          <w:i/>
          <w:iCs/>
          <w:spacing w:val="-3"/>
          <w:sz w:val="22"/>
          <w:szCs w:val="22"/>
        </w:rPr>
        <w:t>ó</w:t>
      </w:r>
      <w:r w:rsidRPr="00FD0C28">
        <w:rPr>
          <w:i/>
          <w:iCs/>
          <w:spacing w:val="-3"/>
          <w:sz w:val="22"/>
          <w:szCs w:val="22"/>
        </w:rPr>
        <w:t xml:space="preserve">n CREG 015 de 2018, el cual se denomina </w:t>
      </w:r>
      <w:r>
        <w:rPr>
          <w:i/>
          <w:iCs/>
          <w:spacing w:val="-3"/>
          <w:sz w:val="22"/>
          <w:szCs w:val="22"/>
        </w:rPr>
        <w:t xml:space="preserve">(…) </w:t>
      </w:r>
      <w:r w:rsidRPr="00FD0C28">
        <w:rPr>
          <w:i/>
          <w:iCs/>
          <w:spacing w:val="-3"/>
          <w:sz w:val="22"/>
          <w:szCs w:val="22"/>
        </w:rPr>
        <w:t>y que se detallan en el Cap</w:t>
      </w:r>
      <w:r>
        <w:rPr>
          <w:i/>
          <w:iCs/>
          <w:spacing w:val="-3"/>
          <w:sz w:val="22"/>
          <w:szCs w:val="22"/>
        </w:rPr>
        <w:t>í</w:t>
      </w:r>
      <w:r w:rsidRPr="00FD0C28">
        <w:rPr>
          <w:i/>
          <w:iCs/>
          <w:spacing w:val="-3"/>
          <w:sz w:val="22"/>
          <w:szCs w:val="22"/>
        </w:rPr>
        <w:t xml:space="preserve">tulo 3, "UC Especiales reportadas como INVA"; con el fin de que la CREG reconozca estas unidades constructivas especiales relacionadas </w:t>
      </w:r>
      <w:r w:rsidR="009030AA" w:rsidRPr="00FD0C28">
        <w:rPr>
          <w:i/>
          <w:iCs/>
          <w:spacing w:val="-3"/>
          <w:sz w:val="22"/>
          <w:szCs w:val="22"/>
        </w:rPr>
        <w:t>par</w:t>
      </w:r>
      <w:r w:rsidR="009030AA">
        <w:rPr>
          <w:i/>
          <w:iCs/>
          <w:spacing w:val="-3"/>
          <w:sz w:val="22"/>
          <w:szCs w:val="22"/>
        </w:rPr>
        <w:t>a</w:t>
      </w:r>
      <w:r w:rsidR="009030AA" w:rsidRPr="00FD0C28">
        <w:rPr>
          <w:i/>
          <w:iCs/>
          <w:spacing w:val="-3"/>
          <w:sz w:val="22"/>
          <w:szCs w:val="22"/>
        </w:rPr>
        <w:t xml:space="preserve"> </w:t>
      </w:r>
      <w:r w:rsidRPr="00FD0C28">
        <w:rPr>
          <w:i/>
          <w:iCs/>
          <w:spacing w:val="-3"/>
          <w:sz w:val="22"/>
          <w:szCs w:val="22"/>
        </w:rPr>
        <w:t>el periodo.</w:t>
      </w:r>
    </w:p>
    <w:p w14:paraId="3CAE51A0" w14:textId="75DE6B80" w:rsidR="008C258C" w:rsidRDefault="008C258C" w:rsidP="009030AA">
      <w:pPr>
        <w:spacing w:before="240"/>
      </w:pPr>
      <w:r>
        <w:t xml:space="preserve">Con respecto a las unidades constructivas especiales solicitadas por la empresa, la CREG encuentra que la información suministrada </w:t>
      </w:r>
      <w:r w:rsidR="00786E0F">
        <w:t>es la requerida y</w:t>
      </w:r>
      <w:r w:rsidR="00387367">
        <w:t>,</w:t>
      </w:r>
      <w:r w:rsidR="00786E0F">
        <w:t xml:space="preserve"> por tanto</w:t>
      </w:r>
      <w:r w:rsidR="00387367">
        <w:t>,</w:t>
      </w:r>
      <w:r w:rsidR="00786E0F">
        <w:t xml:space="preserve"> se acepta incluir</w:t>
      </w:r>
      <w:r>
        <w:t xml:space="preserve"> estos activos en el plan de inversiones de la </w:t>
      </w:r>
      <w:r w:rsidR="00786E0F">
        <w:t>EBSA</w:t>
      </w:r>
      <w:r>
        <w:t xml:space="preserve">. No obstante, el OR debe tener en cuenta que estos activos están sujetos de revisión durante </w:t>
      </w:r>
      <w:r>
        <w:lastRenderedPageBreak/>
        <w:t>la etapa de verificación del cumplimiento de la ejecución del plan de inversiones, en donde se revisará que cumplan las características bajo las cuales fueron incluidos en el inventario</w:t>
      </w:r>
      <w:r w:rsidR="00387367">
        <w:t>,</w:t>
      </w:r>
      <w:r>
        <w:t xml:space="preserve"> y se deberá entregar toda la información necesaria para identificar la</w:t>
      </w:r>
      <w:r w:rsidR="00EA1225">
        <w:t>s</w:t>
      </w:r>
      <w:r>
        <w:t xml:space="preserve"> características y costos de estos activos.</w:t>
      </w:r>
    </w:p>
    <w:p w14:paraId="7B6926D7" w14:textId="0C747A4B" w:rsidR="00E04DD8" w:rsidRDefault="00E04DD8" w:rsidP="008C258C">
      <w:r>
        <w:t xml:space="preserve">Adicionalmente, se considera importante </w:t>
      </w:r>
      <w:r w:rsidR="005C0168">
        <w:t>indicar</w:t>
      </w:r>
      <w:r w:rsidR="005C0168" w:rsidDel="005C0168">
        <w:t xml:space="preserve"> </w:t>
      </w:r>
      <w:r>
        <w:t>que d</w:t>
      </w:r>
      <w:r w:rsidR="00CF6950">
        <w:t>entro de la información sum</w:t>
      </w:r>
      <w:r>
        <w:t>i</w:t>
      </w:r>
      <w:r w:rsidR="00CF6950">
        <w:t>nistrada se encuentra que el OR</w:t>
      </w:r>
      <w:r w:rsidR="008C258C">
        <w:t xml:space="preserve"> solicitó el reconocimiento de UC especiales en </w:t>
      </w:r>
      <w:r w:rsidR="00AD1EE5">
        <w:t xml:space="preserve">el inventario </w:t>
      </w:r>
      <w:r w:rsidR="008C258C">
        <w:t>CRIN,</w:t>
      </w:r>
      <w:r>
        <w:t xml:space="preserve"> aunque esto no lo menciona en su recurso de reposición.</w:t>
      </w:r>
    </w:p>
    <w:p w14:paraId="74A7463D" w14:textId="072C93A0" w:rsidR="008C258C" w:rsidRDefault="00E04DD8" w:rsidP="008C258C">
      <w:r>
        <w:t>Al respecto</w:t>
      </w:r>
      <w:r w:rsidR="008C258C">
        <w:t xml:space="preserve"> </w:t>
      </w:r>
      <w:r w:rsidR="00CF6950">
        <w:t>d</w:t>
      </w:r>
      <w:r w:rsidR="00CF6950" w:rsidRPr="00CF6950">
        <w:t>ebe tenerse en cuenta que</w:t>
      </w:r>
      <w:r>
        <w:t>, según las reglas establecidas en la Resolución CREG 015 de 2018,</w:t>
      </w:r>
      <w:r w:rsidR="00CF6950" w:rsidRPr="00CF6950">
        <w:t xml:space="preserve"> para la remuneración de las inversiones ejecutadas con anterioridad al año 2019</w:t>
      </w:r>
      <w:r w:rsidR="00446F21">
        <w:t>,</w:t>
      </w:r>
      <w:r w:rsidR="00CF6950" w:rsidRPr="00CF6950">
        <w:t xml:space="preserve"> se utilizan las UC establecidas en </w:t>
      </w:r>
      <w:r>
        <w:t>e</w:t>
      </w:r>
      <w:r w:rsidR="00CF6950" w:rsidRPr="00CF6950">
        <w:t>l capítulo 15 del anexo general, en las cuales no se incluyó ninguna UC especial</w:t>
      </w:r>
      <w:r w:rsidR="00446F21">
        <w:t>,</w:t>
      </w:r>
      <w:r>
        <w:t xml:space="preserve"> ya que</w:t>
      </w:r>
      <w:r w:rsidR="00CF6950" w:rsidRPr="00CF6950">
        <w:t xml:space="preserve"> la aprobación de UC especiales</w:t>
      </w:r>
      <w:r>
        <w:t>,</w:t>
      </w:r>
      <w:r w:rsidR="00CF6950" w:rsidRPr="00CF6950">
        <w:t xml:space="preserve"> </w:t>
      </w:r>
      <w:r>
        <w:t>durante la aplicación de la metodología definida con la Resolución CREG 097 de 2008, requería un</w:t>
      </w:r>
      <w:r w:rsidR="00CF6950" w:rsidRPr="00CF6950">
        <w:t xml:space="preserve"> </w:t>
      </w:r>
      <w:r>
        <w:t>análisis particular</w:t>
      </w:r>
      <w:r w:rsidR="00446F21">
        <w:t>,</w:t>
      </w:r>
      <w:r>
        <w:t xml:space="preserve"> y su inclusión en el inventario se hacía a través de las reglas establecidas en capítulo 4 de del anexo general de dicha resolución.</w:t>
      </w:r>
      <w:r w:rsidR="00CF6950" w:rsidRPr="00CF6950">
        <w:t xml:space="preserve"> </w:t>
      </w:r>
    </w:p>
    <w:p w14:paraId="0D579978" w14:textId="77777777" w:rsidR="008C258C" w:rsidRPr="00FD0C28" w:rsidRDefault="008C258C" w:rsidP="00FD0C28">
      <w:pPr>
        <w:ind w:left="567"/>
        <w:rPr>
          <w:i/>
          <w:iCs/>
          <w:spacing w:val="-3"/>
          <w:sz w:val="22"/>
          <w:szCs w:val="22"/>
        </w:rPr>
      </w:pPr>
    </w:p>
    <w:p w14:paraId="13B1D5AB" w14:textId="1B7C7A08" w:rsidR="00FD0C28" w:rsidRPr="00FD0C28" w:rsidRDefault="00FD0C28" w:rsidP="00DC4616">
      <w:pPr>
        <w:keepNext/>
        <w:ind w:left="567"/>
        <w:rPr>
          <w:b/>
          <w:bCs/>
          <w:i/>
          <w:iCs/>
          <w:spacing w:val="-3"/>
          <w:sz w:val="22"/>
          <w:szCs w:val="22"/>
        </w:rPr>
      </w:pPr>
      <w:r w:rsidRPr="00FD0C28">
        <w:rPr>
          <w:b/>
          <w:bCs/>
          <w:i/>
          <w:iCs/>
          <w:spacing w:val="-3"/>
          <w:sz w:val="22"/>
          <w:szCs w:val="22"/>
        </w:rPr>
        <w:t>1.3.4 Reconocimiento de activos de proyectos de ampliación de red de MT y BT</w:t>
      </w:r>
    </w:p>
    <w:p w14:paraId="116234A4" w14:textId="698B9C22" w:rsidR="00FD0C28" w:rsidRDefault="00FD0C28" w:rsidP="00FD0C28">
      <w:pPr>
        <w:ind w:left="567"/>
        <w:rPr>
          <w:i/>
          <w:iCs/>
          <w:spacing w:val="-3"/>
          <w:sz w:val="22"/>
          <w:szCs w:val="22"/>
        </w:rPr>
      </w:pPr>
      <w:r w:rsidRPr="00FD0C28">
        <w:rPr>
          <w:i/>
          <w:iCs/>
          <w:spacing w:val="-3"/>
          <w:sz w:val="22"/>
          <w:szCs w:val="22"/>
        </w:rPr>
        <w:t>Al respecto, le informamos que dentro del Plan de Inversi</w:t>
      </w:r>
      <w:r>
        <w:rPr>
          <w:i/>
          <w:iCs/>
          <w:spacing w:val="-3"/>
          <w:sz w:val="22"/>
          <w:szCs w:val="22"/>
        </w:rPr>
        <w:t>ó</w:t>
      </w:r>
      <w:r w:rsidRPr="00FD0C28">
        <w:rPr>
          <w:i/>
          <w:iCs/>
          <w:spacing w:val="-3"/>
          <w:sz w:val="22"/>
          <w:szCs w:val="22"/>
        </w:rPr>
        <w:t>n se incluyeron los proyectos denominados "Nuevas L</w:t>
      </w:r>
      <w:r>
        <w:rPr>
          <w:i/>
          <w:iCs/>
          <w:spacing w:val="-3"/>
          <w:sz w:val="22"/>
          <w:szCs w:val="22"/>
        </w:rPr>
        <w:t>í</w:t>
      </w:r>
      <w:r w:rsidRPr="00FD0C28">
        <w:rPr>
          <w:i/>
          <w:iCs/>
          <w:spacing w:val="-3"/>
          <w:sz w:val="22"/>
          <w:szCs w:val="22"/>
        </w:rPr>
        <w:t xml:space="preserve">neas N2 </w:t>
      </w:r>
      <w:r>
        <w:rPr>
          <w:i/>
          <w:iCs/>
          <w:spacing w:val="-3"/>
          <w:sz w:val="22"/>
          <w:szCs w:val="22"/>
        </w:rPr>
        <w:t>–</w:t>
      </w:r>
      <w:r w:rsidRPr="00FD0C28">
        <w:rPr>
          <w:i/>
          <w:iCs/>
          <w:spacing w:val="-3"/>
          <w:sz w:val="22"/>
          <w:szCs w:val="22"/>
        </w:rPr>
        <w:t xml:space="preserve"> Tip</w:t>
      </w:r>
      <w:r>
        <w:rPr>
          <w:i/>
          <w:iCs/>
          <w:spacing w:val="-3"/>
          <w:sz w:val="22"/>
          <w:szCs w:val="22"/>
        </w:rPr>
        <w:t xml:space="preserve">o </w:t>
      </w:r>
      <w:r w:rsidRPr="00FD0C28">
        <w:rPr>
          <w:i/>
          <w:iCs/>
          <w:spacing w:val="-3"/>
          <w:sz w:val="22"/>
          <w:szCs w:val="22"/>
        </w:rPr>
        <w:t>II - A</w:t>
      </w:r>
      <w:r>
        <w:rPr>
          <w:i/>
          <w:iCs/>
          <w:spacing w:val="-3"/>
          <w:sz w:val="22"/>
          <w:szCs w:val="22"/>
        </w:rPr>
        <w:t>ño</w:t>
      </w:r>
      <w:r w:rsidRPr="00FD0C28">
        <w:rPr>
          <w:i/>
          <w:iCs/>
          <w:spacing w:val="-3"/>
          <w:sz w:val="22"/>
          <w:szCs w:val="22"/>
        </w:rPr>
        <w:t xml:space="preserve"> 2019/ 2020/ 2021/ 2022/ 2023" los cuales se identificaron como "</w:t>
      </w:r>
      <w:proofErr w:type="spellStart"/>
      <w:r w:rsidRPr="00FD0C28">
        <w:rPr>
          <w:i/>
          <w:iCs/>
          <w:spacing w:val="-3"/>
          <w:sz w:val="22"/>
          <w:szCs w:val="22"/>
        </w:rPr>
        <w:t>Subterranizaci</w:t>
      </w:r>
      <w:r>
        <w:rPr>
          <w:i/>
          <w:iCs/>
          <w:spacing w:val="-3"/>
          <w:sz w:val="22"/>
          <w:szCs w:val="22"/>
        </w:rPr>
        <w:t>ó</w:t>
      </w:r>
      <w:r w:rsidRPr="00FD0C28">
        <w:rPr>
          <w:i/>
          <w:iCs/>
          <w:spacing w:val="-3"/>
          <w:sz w:val="22"/>
          <w:szCs w:val="22"/>
        </w:rPr>
        <w:t>n</w:t>
      </w:r>
      <w:proofErr w:type="spellEnd"/>
      <w:r w:rsidRPr="00FD0C28">
        <w:rPr>
          <w:i/>
          <w:iCs/>
          <w:spacing w:val="-3"/>
          <w:sz w:val="22"/>
          <w:szCs w:val="22"/>
        </w:rPr>
        <w:t xml:space="preserve"> redes nuevos usuarios y compra de activos a terceros"; sin embargo aclaramos que son proyectos que corresponden a activos asociados a </w:t>
      </w:r>
      <w:r>
        <w:rPr>
          <w:i/>
          <w:iCs/>
          <w:spacing w:val="-3"/>
          <w:sz w:val="22"/>
          <w:szCs w:val="22"/>
        </w:rPr>
        <w:t>l</w:t>
      </w:r>
      <w:r w:rsidRPr="00FD0C28">
        <w:rPr>
          <w:i/>
          <w:iCs/>
          <w:spacing w:val="-3"/>
          <w:sz w:val="22"/>
          <w:szCs w:val="22"/>
        </w:rPr>
        <w:t>a expansi</w:t>
      </w:r>
      <w:r>
        <w:rPr>
          <w:i/>
          <w:iCs/>
          <w:spacing w:val="-3"/>
          <w:sz w:val="22"/>
          <w:szCs w:val="22"/>
        </w:rPr>
        <w:t>ó</w:t>
      </w:r>
      <w:r w:rsidRPr="00FD0C28">
        <w:rPr>
          <w:i/>
          <w:iCs/>
          <w:spacing w:val="-3"/>
          <w:sz w:val="22"/>
          <w:szCs w:val="22"/>
        </w:rPr>
        <w:t>n de redes para nuevos usuarios, los cuales entran en operaci</w:t>
      </w:r>
      <w:r>
        <w:rPr>
          <w:i/>
          <w:iCs/>
          <w:spacing w:val="-3"/>
          <w:sz w:val="22"/>
          <w:szCs w:val="22"/>
        </w:rPr>
        <w:t>ó</w:t>
      </w:r>
      <w:r w:rsidRPr="00FD0C28">
        <w:rPr>
          <w:i/>
          <w:iCs/>
          <w:spacing w:val="-3"/>
          <w:sz w:val="22"/>
          <w:szCs w:val="22"/>
        </w:rPr>
        <w:t>n a futuro y corresponden a activos de Uso, que s</w:t>
      </w:r>
      <w:r>
        <w:rPr>
          <w:i/>
          <w:iCs/>
          <w:spacing w:val="-3"/>
          <w:sz w:val="22"/>
          <w:szCs w:val="22"/>
        </w:rPr>
        <w:t>e</w:t>
      </w:r>
      <w:r w:rsidRPr="00FD0C28">
        <w:rPr>
          <w:i/>
          <w:iCs/>
          <w:spacing w:val="-3"/>
          <w:sz w:val="22"/>
          <w:szCs w:val="22"/>
        </w:rPr>
        <w:t>r</w:t>
      </w:r>
      <w:r>
        <w:rPr>
          <w:i/>
          <w:iCs/>
          <w:spacing w:val="-3"/>
          <w:sz w:val="22"/>
          <w:szCs w:val="22"/>
        </w:rPr>
        <w:t>á</w:t>
      </w:r>
      <w:r w:rsidRPr="00FD0C28">
        <w:rPr>
          <w:i/>
          <w:iCs/>
          <w:spacing w:val="-3"/>
          <w:sz w:val="22"/>
          <w:szCs w:val="22"/>
        </w:rPr>
        <w:t xml:space="preserve">n desarrollados con recursos propios. Con base </w:t>
      </w:r>
      <w:r>
        <w:rPr>
          <w:i/>
          <w:iCs/>
          <w:spacing w:val="-3"/>
          <w:sz w:val="22"/>
          <w:szCs w:val="22"/>
        </w:rPr>
        <w:t>e</w:t>
      </w:r>
      <w:r w:rsidRPr="00FD0C28">
        <w:rPr>
          <w:i/>
          <w:iCs/>
          <w:spacing w:val="-3"/>
          <w:sz w:val="22"/>
          <w:szCs w:val="22"/>
        </w:rPr>
        <w:t>n lo anterior, adjuntamos archivo Excel</w:t>
      </w:r>
      <w:r>
        <w:rPr>
          <w:i/>
          <w:iCs/>
          <w:spacing w:val="-3"/>
          <w:sz w:val="22"/>
          <w:szCs w:val="22"/>
        </w:rPr>
        <w:t xml:space="preserve"> (…) </w:t>
      </w:r>
      <w:r w:rsidRPr="00FD0C28">
        <w:rPr>
          <w:i/>
          <w:iCs/>
          <w:spacing w:val="-3"/>
          <w:sz w:val="22"/>
          <w:szCs w:val="22"/>
        </w:rPr>
        <w:t xml:space="preserve">donde se ajusta </w:t>
      </w:r>
      <w:r>
        <w:rPr>
          <w:i/>
          <w:iCs/>
          <w:spacing w:val="-3"/>
          <w:sz w:val="22"/>
          <w:szCs w:val="22"/>
        </w:rPr>
        <w:t>l</w:t>
      </w:r>
      <w:r w:rsidRPr="00FD0C28">
        <w:rPr>
          <w:i/>
          <w:iCs/>
          <w:spacing w:val="-3"/>
          <w:sz w:val="22"/>
          <w:szCs w:val="22"/>
        </w:rPr>
        <w:t>a identificaci</w:t>
      </w:r>
      <w:r>
        <w:rPr>
          <w:i/>
          <w:iCs/>
          <w:spacing w:val="-3"/>
          <w:sz w:val="22"/>
          <w:szCs w:val="22"/>
        </w:rPr>
        <w:t>ó</w:t>
      </w:r>
      <w:r w:rsidRPr="00FD0C28">
        <w:rPr>
          <w:i/>
          <w:iCs/>
          <w:spacing w:val="-3"/>
          <w:sz w:val="22"/>
          <w:szCs w:val="22"/>
        </w:rPr>
        <w:t>n de cada uno de los proyectos.</w:t>
      </w:r>
    </w:p>
    <w:p w14:paraId="55B19048" w14:textId="6B8433F5" w:rsidR="00513153" w:rsidRDefault="00513153" w:rsidP="00513153">
      <w:r>
        <w:t xml:space="preserve">La CREG acepta incluir en el inventario los proyectos que fueron negados por esta razón. No obstante, el OR debe tener en cuenta que estos activos </w:t>
      </w:r>
      <w:r w:rsidR="00086868">
        <w:t xml:space="preserve">son </w:t>
      </w:r>
      <w:r>
        <w:t>sujetos de revisión durante la etapa de verificación del cumplimiento de la ejecución del plan de inversiones, en donde se revisará que cumplan las características bajo las cuales fueron incluidos en el inventario.</w:t>
      </w:r>
    </w:p>
    <w:p w14:paraId="3330B967" w14:textId="77777777" w:rsidR="00513153" w:rsidRDefault="00513153" w:rsidP="00FD0C28">
      <w:pPr>
        <w:ind w:left="567"/>
        <w:rPr>
          <w:i/>
          <w:iCs/>
          <w:spacing w:val="-3"/>
          <w:sz w:val="22"/>
          <w:szCs w:val="22"/>
        </w:rPr>
      </w:pPr>
    </w:p>
    <w:p w14:paraId="70F07D49" w14:textId="03CF46AE" w:rsidR="00FD0C28" w:rsidRPr="00FD0C28" w:rsidRDefault="00FD0C28" w:rsidP="00DC4616">
      <w:pPr>
        <w:keepNext/>
        <w:ind w:left="567"/>
        <w:rPr>
          <w:b/>
          <w:bCs/>
          <w:i/>
          <w:iCs/>
          <w:spacing w:val="-3"/>
          <w:sz w:val="22"/>
          <w:szCs w:val="22"/>
        </w:rPr>
      </w:pPr>
      <w:r w:rsidRPr="00FD0C28">
        <w:rPr>
          <w:b/>
          <w:bCs/>
          <w:i/>
          <w:iCs/>
          <w:spacing w:val="-3"/>
          <w:sz w:val="22"/>
          <w:szCs w:val="22"/>
        </w:rPr>
        <w:t xml:space="preserve">1.3.5 </w:t>
      </w:r>
      <w:r w:rsidRPr="00FD0C28">
        <w:rPr>
          <w:b/>
          <w:bCs/>
          <w:i/>
          <w:iCs/>
          <w:spacing w:val="-3"/>
          <w:sz w:val="22"/>
          <w:szCs w:val="22"/>
        </w:rPr>
        <w:tab/>
        <w:t>Reconocimiento de proyectos de nivel de tensi</w:t>
      </w:r>
      <w:r>
        <w:rPr>
          <w:b/>
          <w:bCs/>
          <w:i/>
          <w:iCs/>
          <w:spacing w:val="-3"/>
          <w:sz w:val="22"/>
          <w:szCs w:val="22"/>
        </w:rPr>
        <w:t>ó</w:t>
      </w:r>
      <w:r w:rsidRPr="00FD0C28">
        <w:rPr>
          <w:b/>
          <w:bCs/>
          <w:i/>
          <w:iCs/>
          <w:spacing w:val="-3"/>
          <w:sz w:val="22"/>
          <w:szCs w:val="22"/>
        </w:rPr>
        <w:t>n 4</w:t>
      </w:r>
    </w:p>
    <w:p w14:paraId="780C9433" w14:textId="1491F242" w:rsidR="00FD0C28" w:rsidRPr="00A7172C" w:rsidRDefault="00F5250B" w:rsidP="00DC4616">
      <w:pPr>
        <w:keepNext/>
        <w:ind w:left="567"/>
        <w:rPr>
          <w:b/>
          <w:bCs/>
          <w:i/>
          <w:iCs/>
          <w:spacing w:val="-3"/>
          <w:sz w:val="22"/>
          <w:szCs w:val="22"/>
        </w:rPr>
      </w:pPr>
      <w:r w:rsidRPr="00A7172C">
        <w:rPr>
          <w:b/>
          <w:bCs/>
          <w:i/>
          <w:iCs/>
          <w:spacing w:val="-3"/>
          <w:sz w:val="22"/>
          <w:szCs w:val="22"/>
        </w:rPr>
        <w:t>1.3.5.1 Proyecto Muiscas STR</w:t>
      </w:r>
    </w:p>
    <w:p w14:paraId="33AE5604" w14:textId="35583910" w:rsidR="00F5250B" w:rsidRPr="00F5250B" w:rsidRDefault="00F5250B" w:rsidP="00F5250B">
      <w:pPr>
        <w:ind w:left="567"/>
        <w:rPr>
          <w:i/>
          <w:iCs/>
          <w:spacing w:val="-3"/>
          <w:sz w:val="22"/>
          <w:szCs w:val="22"/>
        </w:rPr>
      </w:pPr>
      <w:r w:rsidRPr="00F5250B">
        <w:rPr>
          <w:i/>
          <w:iCs/>
          <w:spacing w:val="-3"/>
          <w:sz w:val="22"/>
          <w:szCs w:val="22"/>
        </w:rPr>
        <w:t>Se solicita a la CREG que las Unidades Constructivas sean aprobadas y valoradas bajo Resoluci</w:t>
      </w:r>
      <w:r>
        <w:rPr>
          <w:i/>
          <w:iCs/>
          <w:spacing w:val="-3"/>
          <w:sz w:val="22"/>
          <w:szCs w:val="22"/>
        </w:rPr>
        <w:t>ó</w:t>
      </w:r>
      <w:r w:rsidRPr="00F5250B">
        <w:rPr>
          <w:i/>
          <w:iCs/>
          <w:spacing w:val="-3"/>
          <w:sz w:val="22"/>
          <w:szCs w:val="22"/>
        </w:rPr>
        <w:t>n 015 de 2018 capitulo 14, en virtud de los siguientes argumentos:</w:t>
      </w:r>
    </w:p>
    <w:p w14:paraId="71D55099" w14:textId="632942B8" w:rsidR="00F5250B" w:rsidRPr="00F5250B" w:rsidRDefault="00F5250B" w:rsidP="00F5250B">
      <w:pPr>
        <w:ind w:left="567"/>
        <w:rPr>
          <w:i/>
          <w:iCs/>
          <w:spacing w:val="-3"/>
          <w:sz w:val="22"/>
          <w:szCs w:val="22"/>
        </w:rPr>
      </w:pPr>
      <w:r w:rsidRPr="00F5250B">
        <w:rPr>
          <w:i/>
          <w:iCs/>
          <w:spacing w:val="-3"/>
          <w:sz w:val="22"/>
          <w:szCs w:val="22"/>
        </w:rPr>
        <w:t xml:space="preserve">1) Este proyecto cuenta con concepto de la UPME </w:t>
      </w:r>
      <w:r>
        <w:rPr>
          <w:i/>
          <w:iCs/>
          <w:spacing w:val="-3"/>
          <w:sz w:val="22"/>
          <w:szCs w:val="22"/>
        </w:rPr>
        <w:t xml:space="preserve">(…) y </w:t>
      </w:r>
      <w:r w:rsidRPr="00F5250B">
        <w:rPr>
          <w:i/>
          <w:iCs/>
          <w:spacing w:val="-3"/>
          <w:sz w:val="22"/>
          <w:szCs w:val="22"/>
        </w:rPr>
        <w:t>entrar</w:t>
      </w:r>
      <w:r w:rsidR="005C0963">
        <w:rPr>
          <w:i/>
          <w:iCs/>
          <w:spacing w:val="-3"/>
          <w:sz w:val="22"/>
          <w:szCs w:val="22"/>
        </w:rPr>
        <w:t>á</w:t>
      </w:r>
      <w:r w:rsidRPr="00F5250B">
        <w:rPr>
          <w:i/>
          <w:iCs/>
          <w:spacing w:val="-3"/>
          <w:sz w:val="22"/>
          <w:szCs w:val="22"/>
        </w:rPr>
        <w:t xml:space="preserve"> en operaci</w:t>
      </w:r>
      <w:r>
        <w:rPr>
          <w:i/>
          <w:iCs/>
          <w:spacing w:val="-3"/>
          <w:sz w:val="22"/>
          <w:szCs w:val="22"/>
        </w:rPr>
        <w:t>ó</w:t>
      </w:r>
      <w:r w:rsidRPr="00F5250B">
        <w:rPr>
          <w:i/>
          <w:iCs/>
          <w:spacing w:val="-3"/>
          <w:sz w:val="22"/>
          <w:szCs w:val="22"/>
        </w:rPr>
        <w:t>n comercial en el mes de diciembre de 2019.</w:t>
      </w:r>
    </w:p>
    <w:p w14:paraId="1F81FD90" w14:textId="7629D11D" w:rsidR="00F5250B" w:rsidRPr="00F5250B" w:rsidRDefault="00F5250B" w:rsidP="00F5250B">
      <w:pPr>
        <w:ind w:left="567"/>
        <w:rPr>
          <w:i/>
          <w:iCs/>
          <w:spacing w:val="-3"/>
          <w:sz w:val="22"/>
          <w:szCs w:val="22"/>
        </w:rPr>
      </w:pPr>
      <w:r w:rsidRPr="00F5250B">
        <w:rPr>
          <w:i/>
          <w:iCs/>
          <w:spacing w:val="-3"/>
          <w:sz w:val="22"/>
          <w:szCs w:val="22"/>
        </w:rPr>
        <w:t xml:space="preserve">2) El concepto UPME fue emitido con anterioridad </w:t>
      </w:r>
      <w:r w:rsidR="00A473E4">
        <w:rPr>
          <w:i/>
          <w:iCs/>
          <w:spacing w:val="-3"/>
          <w:sz w:val="22"/>
          <w:szCs w:val="22"/>
        </w:rPr>
        <w:t xml:space="preserve">a la </w:t>
      </w:r>
      <w:r w:rsidRPr="00F5250B">
        <w:rPr>
          <w:i/>
          <w:iCs/>
          <w:spacing w:val="-3"/>
          <w:sz w:val="22"/>
          <w:szCs w:val="22"/>
        </w:rPr>
        <w:t>entrada en vigencia de la Resoluci</w:t>
      </w:r>
      <w:r>
        <w:rPr>
          <w:i/>
          <w:iCs/>
          <w:spacing w:val="-3"/>
          <w:sz w:val="22"/>
          <w:szCs w:val="22"/>
        </w:rPr>
        <w:t>ó</w:t>
      </w:r>
      <w:r w:rsidRPr="00F5250B">
        <w:rPr>
          <w:i/>
          <w:iCs/>
          <w:spacing w:val="-3"/>
          <w:sz w:val="22"/>
          <w:szCs w:val="22"/>
        </w:rPr>
        <w:t xml:space="preserve">n 015 de 2018 </w:t>
      </w:r>
      <w:r w:rsidR="00826AB2">
        <w:rPr>
          <w:i/>
          <w:iCs/>
          <w:spacing w:val="-3"/>
          <w:sz w:val="22"/>
          <w:szCs w:val="22"/>
        </w:rPr>
        <w:t>(…)</w:t>
      </w:r>
    </w:p>
    <w:p w14:paraId="58E93A14" w14:textId="49CA3E5B" w:rsidR="00F5250B" w:rsidRPr="00F5250B" w:rsidRDefault="00F5250B" w:rsidP="00F5250B">
      <w:pPr>
        <w:ind w:left="567"/>
        <w:rPr>
          <w:i/>
          <w:iCs/>
          <w:spacing w:val="-3"/>
          <w:sz w:val="22"/>
          <w:szCs w:val="22"/>
        </w:rPr>
      </w:pPr>
      <w:r w:rsidRPr="00F5250B">
        <w:rPr>
          <w:i/>
          <w:iCs/>
          <w:spacing w:val="-3"/>
          <w:sz w:val="22"/>
          <w:szCs w:val="22"/>
        </w:rPr>
        <w:t>3)  La Resoluci</w:t>
      </w:r>
      <w:r>
        <w:rPr>
          <w:i/>
          <w:iCs/>
          <w:spacing w:val="-3"/>
          <w:sz w:val="22"/>
          <w:szCs w:val="22"/>
        </w:rPr>
        <w:t>ó</w:t>
      </w:r>
      <w:r w:rsidRPr="00F5250B">
        <w:rPr>
          <w:i/>
          <w:iCs/>
          <w:spacing w:val="-3"/>
          <w:sz w:val="22"/>
          <w:szCs w:val="22"/>
        </w:rPr>
        <w:t>n</w:t>
      </w:r>
      <w:r>
        <w:rPr>
          <w:i/>
          <w:iCs/>
          <w:spacing w:val="-3"/>
          <w:sz w:val="22"/>
          <w:szCs w:val="22"/>
        </w:rPr>
        <w:t xml:space="preserve"> </w:t>
      </w:r>
      <w:r w:rsidRPr="00F5250B">
        <w:rPr>
          <w:i/>
          <w:iCs/>
          <w:spacing w:val="-3"/>
          <w:sz w:val="22"/>
          <w:szCs w:val="22"/>
        </w:rPr>
        <w:t>015 de 2008 dispone en el literal H del art</w:t>
      </w:r>
      <w:r>
        <w:rPr>
          <w:i/>
          <w:iCs/>
          <w:spacing w:val="-3"/>
          <w:sz w:val="22"/>
          <w:szCs w:val="22"/>
        </w:rPr>
        <w:t>í</w:t>
      </w:r>
      <w:r w:rsidRPr="00F5250B">
        <w:rPr>
          <w:i/>
          <w:iCs/>
          <w:spacing w:val="-3"/>
          <w:sz w:val="22"/>
          <w:szCs w:val="22"/>
        </w:rPr>
        <w:t>culo 4 " Las unidades constructivas del nivel de tensi</w:t>
      </w:r>
      <w:r>
        <w:rPr>
          <w:i/>
          <w:iCs/>
          <w:spacing w:val="-3"/>
          <w:sz w:val="22"/>
          <w:szCs w:val="22"/>
        </w:rPr>
        <w:t>ó</w:t>
      </w:r>
      <w:r w:rsidRPr="00F5250B">
        <w:rPr>
          <w:i/>
          <w:iCs/>
          <w:spacing w:val="-3"/>
          <w:sz w:val="22"/>
          <w:szCs w:val="22"/>
        </w:rPr>
        <w:t xml:space="preserve">n 4 de los proyectos </w:t>
      </w:r>
      <w:r>
        <w:rPr>
          <w:i/>
          <w:iCs/>
          <w:spacing w:val="-3"/>
          <w:sz w:val="22"/>
          <w:szCs w:val="22"/>
        </w:rPr>
        <w:t>q</w:t>
      </w:r>
      <w:r w:rsidRPr="00F5250B">
        <w:rPr>
          <w:i/>
          <w:iCs/>
          <w:spacing w:val="-3"/>
          <w:sz w:val="22"/>
          <w:szCs w:val="22"/>
        </w:rPr>
        <w:t>ue a la fecha de entrada en vigencia de esta resolu</w:t>
      </w:r>
      <w:r>
        <w:rPr>
          <w:i/>
          <w:iCs/>
          <w:spacing w:val="-3"/>
          <w:sz w:val="22"/>
          <w:szCs w:val="22"/>
        </w:rPr>
        <w:t>c</w:t>
      </w:r>
      <w:r w:rsidRPr="00F5250B">
        <w:rPr>
          <w:i/>
          <w:iCs/>
          <w:spacing w:val="-3"/>
          <w:sz w:val="22"/>
          <w:szCs w:val="22"/>
        </w:rPr>
        <w:t>i</w:t>
      </w:r>
      <w:r>
        <w:rPr>
          <w:i/>
          <w:iCs/>
          <w:spacing w:val="-3"/>
          <w:sz w:val="22"/>
          <w:szCs w:val="22"/>
        </w:rPr>
        <w:t>ó</w:t>
      </w:r>
      <w:r w:rsidRPr="00F5250B">
        <w:rPr>
          <w:i/>
          <w:iCs/>
          <w:spacing w:val="-3"/>
          <w:sz w:val="22"/>
          <w:szCs w:val="22"/>
        </w:rPr>
        <w:t>n se encuentren en construc</w:t>
      </w:r>
      <w:r>
        <w:rPr>
          <w:i/>
          <w:iCs/>
          <w:spacing w:val="-3"/>
          <w:sz w:val="22"/>
          <w:szCs w:val="22"/>
        </w:rPr>
        <w:t>c</w:t>
      </w:r>
      <w:r w:rsidRPr="00F5250B">
        <w:rPr>
          <w:i/>
          <w:iCs/>
          <w:spacing w:val="-3"/>
          <w:sz w:val="22"/>
          <w:szCs w:val="22"/>
        </w:rPr>
        <w:t>i</w:t>
      </w:r>
      <w:r>
        <w:rPr>
          <w:i/>
          <w:iCs/>
          <w:spacing w:val="-3"/>
          <w:sz w:val="22"/>
          <w:szCs w:val="22"/>
        </w:rPr>
        <w:t>ó</w:t>
      </w:r>
      <w:r w:rsidRPr="00F5250B">
        <w:rPr>
          <w:i/>
          <w:iCs/>
          <w:spacing w:val="-3"/>
          <w:sz w:val="22"/>
          <w:szCs w:val="22"/>
        </w:rPr>
        <w:t xml:space="preserve">n y </w:t>
      </w:r>
      <w:r w:rsidR="005C0963">
        <w:rPr>
          <w:i/>
          <w:iCs/>
          <w:spacing w:val="-3"/>
          <w:sz w:val="22"/>
          <w:szCs w:val="22"/>
        </w:rPr>
        <w:t>q</w:t>
      </w:r>
      <w:r w:rsidRPr="00F5250B">
        <w:rPr>
          <w:i/>
          <w:iCs/>
          <w:spacing w:val="-3"/>
          <w:sz w:val="22"/>
          <w:szCs w:val="22"/>
        </w:rPr>
        <w:t>ue ten</w:t>
      </w:r>
      <w:r>
        <w:rPr>
          <w:i/>
          <w:iCs/>
          <w:spacing w:val="-3"/>
          <w:sz w:val="22"/>
          <w:szCs w:val="22"/>
        </w:rPr>
        <w:t>g</w:t>
      </w:r>
      <w:r w:rsidRPr="00F5250B">
        <w:rPr>
          <w:i/>
          <w:iCs/>
          <w:spacing w:val="-3"/>
          <w:sz w:val="22"/>
          <w:szCs w:val="22"/>
        </w:rPr>
        <w:t xml:space="preserve">an concepto favorable de la UPME, se </w:t>
      </w:r>
      <w:r w:rsidR="004638BD" w:rsidRPr="00F5250B">
        <w:rPr>
          <w:i/>
          <w:iCs/>
          <w:spacing w:val="-3"/>
          <w:sz w:val="22"/>
          <w:szCs w:val="22"/>
        </w:rPr>
        <w:t>valorar</w:t>
      </w:r>
      <w:r w:rsidR="004638BD">
        <w:rPr>
          <w:i/>
          <w:iCs/>
          <w:spacing w:val="-3"/>
          <w:sz w:val="22"/>
          <w:szCs w:val="22"/>
        </w:rPr>
        <w:t>á</w:t>
      </w:r>
      <w:r w:rsidR="004638BD" w:rsidRPr="00F5250B">
        <w:rPr>
          <w:i/>
          <w:iCs/>
          <w:spacing w:val="-3"/>
          <w:sz w:val="22"/>
          <w:szCs w:val="22"/>
        </w:rPr>
        <w:t xml:space="preserve">n </w:t>
      </w:r>
      <w:r w:rsidRPr="00F5250B">
        <w:rPr>
          <w:i/>
          <w:iCs/>
          <w:spacing w:val="-3"/>
          <w:sz w:val="22"/>
          <w:szCs w:val="22"/>
        </w:rPr>
        <w:t>con las UC del cap</w:t>
      </w:r>
      <w:r>
        <w:rPr>
          <w:i/>
          <w:iCs/>
          <w:spacing w:val="-3"/>
          <w:sz w:val="22"/>
          <w:szCs w:val="22"/>
        </w:rPr>
        <w:t>í</w:t>
      </w:r>
      <w:r w:rsidRPr="00F5250B">
        <w:rPr>
          <w:i/>
          <w:iCs/>
          <w:spacing w:val="-3"/>
          <w:sz w:val="22"/>
          <w:szCs w:val="22"/>
        </w:rPr>
        <w:t>tulo 15 de esta resoluci</w:t>
      </w:r>
      <w:r>
        <w:rPr>
          <w:i/>
          <w:iCs/>
          <w:spacing w:val="-3"/>
          <w:sz w:val="22"/>
          <w:szCs w:val="22"/>
        </w:rPr>
        <w:t>ó</w:t>
      </w:r>
      <w:r w:rsidRPr="00F5250B">
        <w:rPr>
          <w:i/>
          <w:iCs/>
          <w:spacing w:val="-3"/>
          <w:sz w:val="22"/>
          <w:szCs w:val="22"/>
        </w:rPr>
        <w:t>n y deben est</w:t>
      </w:r>
      <w:r>
        <w:rPr>
          <w:i/>
          <w:iCs/>
          <w:spacing w:val="-3"/>
          <w:sz w:val="22"/>
          <w:szCs w:val="22"/>
        </w:rPr>
        <w:t>a</w:t>
      </w:r>
      <w:r w:rsidRPr="00F5250B">
        <w:rPr>
          <w:i/>
          <w:iCs/>
          <w:spacing w:val="-3"/>
          <w:sz w:val="22"/>
          <w:szCs w:val="22"/>
        </w:rPr>
        <w:t>r incluidas en el plan de inversi</w:t>
      </w:r>
      <w:r>
        <w:rPr>
          <w:i/>
          <w:iCs/>
          <w:spacing w:val="-3"/>
          <w:sz w:val="22"/>
          <w:szCs w:val="22"/>
        </w:rPr>
        <w:t>ó</w:t>
      </w:r>
      <w:r w:rsidRPr="00F5250B">
        <w:rPr>
          <w:i/>
          <w:iCs/>
          <w:spacing w:val="-3"/>
          <w:sz w:val="22"/>
          <w:szCs w:val="22"/>
        </w:rPr>
        <w:t>n".</w:t>
      </w:r>
    </w:p>
    <w:p w14:paraId="10C247EC" w14:textId="675E7C06" w:rsidR="00F5250B" w:rsidRPr="00F5250B" w:rsidRDefault="00F5250B" w:rsidP="00F5250B">
      <w:pPr>
        <w:ind w:left="567"/>
        <w:rPr>
          <w:i/>
          <w:iCs/>
          <w:spacing w:val="-3"/>
          <w:sz w:val="22"/>
          <w:szCs w:val="22"/>
        </w:rPr>
      </w:pPr>
      <w:r w:rsidRPr="00F5250B">
        <w:rPr>
          <w:i/>
          <w:iCs/>
          <w:spacing w:val="-3"/>
          <w:sz w:val="22"/>
          <w:szCs w:val="22"/>
        </w:rPr>
        <w:lastRenderedPageBreak/>
        <w:t>4) La construc</w:t>
      </w:r>
      <w:r>
        <w:rPr>
          <w:i/>
          <w:iCs/>
          <w:spacing w:val="-3"/>
          <w:sz w:val="22"/>
          <w:szCs w:val="22"/>
        </w:rPr>
        <w:t>c</w:t>
      </w:r>
      <w:r w:rsidRPr="00F5250B">
        <w:rPr>
          <w:i/>
          <w:iCs/>
          <w:spacing w:val="-3"/>
          <w:sz w:val="22"/>
          <w:szCs w:val="22"/>
        </w:rPr>
        <w:t>i</w:t>
      </w:r>
      <w:r>
        <w:rPr>
          <w:i/>
          <w:iCs/>
          <w:spacing w:val="-3"/>
          <w:sz w:val="22"/>
          <w:szCs w:val="22"/>
        </w:rPr>
        <w:t>ó</w:t>
      </w:r>
      <w:r w:rsidRPr="00F5250B">
        <w:rPr>
          <w:i/>
          <w:iCs/>
          <w:spacing w:val="-3"/>
          <w:sz w:val="22"/>
          <w:szCs w:val="22"/>
        </w:rPr>
        <w:t>n de la subestaci</w:t>
      </w:r>
      <w:r>
        <w:rPr>
          <w:i/>
          <w:iCs/>
          <w:spacing w:val="-3"/>
          <w:sz w:val="22"/>
          <w:szCs w:val="22"/>
        </w:rPr>
        <w:t>ó</w:t>
      </w:r>
      <w:r w:rsidRPr="00F5250B">
        <w:rPr>
          <w:i/>
          <w:iCs/>
          <w:spacing w:val="-3"/>
          <w:sz w:val="22"/>
          <w:szCs w:val="22"/>
        </w:rPr>
        <w:t>n del proyecto Muiscas empez</w:t>
      </w:r>
      <w:r>
        <w:rPr>
          <w:i/>
          <w:iCs/>
          <w:spacing w:val="-3"/>
          <w:sz w:val="22"/>
          <w:szCs w:val="22"/>
        </w:rPr>
        <w:t>ó</w:t>
      </w:r>
      <w:r w:rsidRPr="00F5250B">
        <w:rPr>
          <w:i/>
          <w:iCs/>
          <w:spacing w:val="-3"/>
          <w:sz w:val="22"/>
          <w:szCs w:val="22"/>
        </w:rPr>
        <w:t xml:space="preserve"> en el mes de abril de 2019, es decir, de manera posterior a la entrada en vigencia de la Resoluci</w:t>
      </w:r>
      <w:r>
        <w:rPr>
          <w:i/>
          <w:iCs/>
          <w:spacing w:val="-3"/>
          <w:sz w:val="22"/>
          <w:szCs w:val="22"/>
        </w:rPr>
        <w:t>ó</w:t>
      </w:r>
      <w:r w:rsidRPr="00F5250B">
        <w:rPr>
          <w:i/>
          <w:iCs/>
          <w:spacing w:val="-3"/>
          <w:sz w:val="22"/>
          <w:szCs w:val="22"/>
        </w:rPr>
        <w:t>n 015 de 2018. Por ende, este proyecto no cumple con las premisas previstas en el literal h. del art</w:t>
      </w:r>
      <w:r>
        <w:rPr>
          <w:i/>
          <w:iCs/>
          <w:spacing w:val="-3"/>
          <w:sz w:val="22"/>
          <w:szCs w:val="22"/>
        </w:rPr>
        <w:t>í</w:t>
      </w:r>
      <w:r w:rsidRPr="00F5250B">
        <w:rPr>
          <w:i/>
          <w:iCs/>
          <w:spacing w:val="-3"/>
          <w:sz w:val="22"/>
          <w:szCs w:val="22"/>
        </w:rPr>
        <w:t>culo 4 anteriormente citado.</w:t>
      </w:r>
    </w:p>
    <w:p w14:paraId="6A081950" w14:textId="27D05408" w:rsidR="00F5250B" w:rsidRDefault="00F5250B" w:rsidP="00F5250B">
      <w:pPr>
        <w:ind w:left="567"/>
        <w:rPr>
          <w:i/>
          <w:iCs/>
          <w:spacing w:val="-3"/>
          <w:sz w:val="22"/>
          <w:szCs w:val="22"/>
        </w:rPr>
      </w:pPr>
      <w:r>
        <w:rPr>
          <w:i/>
          <w:iCs/>
          <w:spacing w:val="-3"/>
          <w:sz w:val="22"/>
          <w:szCs w:val="22"/>
        </w:rPr>
        <w:t>(…)</w:t>
      </w:r>
    </w:p>
    <w:p w14:paraId="413BFF20" w14:textId="526BDE7B" w:rsidR="00F5250B" w:rsidRDefault="00F5250B" w:rsidP="00F5250B">
      <w:pPr>
        <w:ind w:left="567"/>
        <w:rPr>
          <w:i/>
          <w:iCs/>
          <w:spacing w:val="-3"/>
          <w:sz w:val="22"/>
          <w:szCs w:val="22"/>
        </w:rPr>
      </w:pPr>
      <w:r w:rsidRPr="00F5250B">
        <w:rPr>
          <w:i/>
          <w:iCs/>
          <w:spacing w:val="-3"/>
          <w:sz w:val="22"/>
          <w:szCs w:val="22"/>
        </w:rPr>
        <w:t xml:space="preserve">7) Por lo tanto, solicitamos a la </w:t>
      </w:r>
      <w:r>
        <w:rPr>
          <w:i/>
          <w:iCs/>
          <w:spacing w:val="-3"/>
          <w:sz w:val="22"/>
          <w:szCs w:val="22"/>
        </w:rPr>
        <w:t>C</w:t>
      </w:r>
      <w:r w:rsidRPr="00F5250B">
        <w:rPr>
          <w:i/>
          <w:iCs/>
          <w:spacing w:val="-3"/>
          <w:sz w:val="22"/>
          <w:szCs w:val="22"/>
        </w:rPr>
        <w:t>REG, que las Unidades Constructivas sean valoradas en los t</w:t>
      </w:r>
      <w:r>
        <w:rPr>
          <w:i/>
          <w:iCs/>
          <w:spacing w:val="-3"/>
          <w:sz w:val="22"/>
          <w:szCs w:val="22"/>
        </w:rPr>
        <w:t>é</w:t>
      </w:r>
      <w:r w:rsidRPr="00F5250B">
        <w:rPr>
          <w:i/>
          <w:iCs/>
          <w:spacing w:val="-3"/>
          <w:sz w:val="22"/>
          <w:szCs w:val="22"/>
        </w:rPr>
        <w:t>r</w:t>
      </w:r>
      <w:r>
        <w:rPr>
          <w:i/>
          <w:iCs/>
          <w:spacing w:val="-3"/>
          <w:sz w:val="22"/>
          <w:szCs w:val="22"/>
        </w:rPr>
        <w:t>m</w:t>
      </w:r>
      <w:r w:rsidRPr="00F5250B">
        <w:rPr>
          <w:i/>
          <w:iCs/>
          <w:spacing w:val="-3"/>
          <w:sz w:val="22"/>
          <w:szCs w:val="22"/>
        </w:rPr>
        <w:t>inos previstos en el cap</w:t>
      </w:r>
      <w:r>
        <w:rPr>
          <w:i/>
          <w:iCs/>
          <w:spacing w:val="-3"/>
          <w:sz w:val="22"/>
          <w:szCs w:val="22"/>
        </w:rPr>
        <w:t>í</w:t>
      </w:r>
      <w:r w:rsidRPr="00F5250B">
        <w:rPr>
          <w:i/>
          <w:iCs/>
          <w:spacing w:val="-3"/>
          <w:sz w:val="22"/>
          <w:szCs w:val="22"/>
        </w:rPr>
        <w:t>tulo 14 de la Resoluci</w:t>
      </w:r>
      <w:r>
        <w:rPr>
          <w:i/>
          <w:iCs/>
          <w:spacing w:val="-3"/>
          <w:sz w:val="22"/>
          <w:szCs w:val="22"/>
        </w:rPr>
        <w:t>ó</w:t>
      </w:r>
      <w:r w:rsidRPr="00F5250B">
        <w:rPr>
          <w:i/>
          <w:iCs/>
          <w:spacing w:val="-3"/>
          <w:sz w:val="22"/>
          <w:szCs w:val="22"/>
        </w:rPr>
        <w:t>n 015 de 2018, y no bajo el cap</w:t>
      </w:r>
      <w:r>
        <w:rPr>
          <w:i/>
          <w:iCs/>
          <w:spacing w:val="-3"/>
          <w:sz w:val="22"/>
          <w:szCs w:val="22"/>
        </w:rPr>
        <w:t>í</w:t>
      </w:r>
      <w:r w:rsidRPr="00F5250B">
        <w:rPr>
          <w:i/>
          <w:iCs/>
          <w:spacing w:val="-3"/>
          <w:sz w:val="22"/>
          <w:szCs w:val="22"/>
        </w:rPr>
        <w:t>tulo 15 de esta misma resolu</w:t>
      </w:r>
      <w:r>
        <w:rPr>
          <w:i/>
          <w:iCs/>
          <w:spacing w:val="-3"/>
          <w:sz w:val="22"/>
          <w:szCs w:val="22"/>
        </w:rPr>
        <w:t>c</w:t>
      </w:r>
      <w:r w:rsidRPr="00F5250B">
        <w:rPr>
          <w:i/>
          <w:iCs/>
          <w:spacing w:val="-3"/>
          <w:sz w:val="22"/>
          <w:szCs w:val="22"/>
        </w:rPr>
        <w:t>i</w:t>
      </w:r>
      <w:r>
        <w:rPr>
          <w:i/>
          <w:iCs/>
          <w:spacing w:val="-3"/>
          <w:sz w:val="22"/>
          <w:szCs w:val="22"/>
        </w:rPr>
        <w:t>ó</w:t>
      </w:r>
      <w:r w:rsidRPr="00F5250B">
        <w:rPr>
          <w:i/>
          <w:iCs/>
          <w:spacing w:val="-3"/>
          <w:sz w:val="22"/>
          <w:szCs w:val="22"/>
        </w:rPr>
        <w:t>n.</w:t>
      </w:r>
    </w:p>
    <w:p w14:paraId="08C76A5A" w14:textId="3A642FFC" w:rsidR="00C24B30" w:rsidRDefault="00C24B30" w:rsidP="00C24B30">
      <w:r>
        <w:t>Al respecto se encuentra que, si bien fue en el reporte del OR fue en donde se indicó que el proyecto se encontraba en construcción, la CREG acepta la corrección e incluye en el inventario los activos del proyecto Muiscas, asimilados a las UC constructivas del capítulo 14 de la Resolución CREG 015 de 2018.</w:t>
      </w:r>
    </w:p>
    <w:p w14:paraId="4EC0A39B" w14:textId="77777777" w:rsidR="00F5250B" w:rsidRPr="00F5250B" w:rsidRDefault="00F5250B" w:rsidP="00F5250B">
      <w:pPr>
        <w:ind w:left="567"/>
        <w:rPr>
          <w:i/>
          <w:iCs/>
          <w:spacing w:val="-3"/>
          <w:sz w:val="22"/>
          <w:szCs w:val="22"/>
        </w:rPr>
      </w:pPr>
    </w:p>
    <w:p w14:paraId="4F5147DA" w14:textId="28A825E7" w:rsidR="00F5250B" w:rsidRPr="00A7172C" w:rsidRDefault="00A7172C" w:rsidP="00DC4616">
      <w:pPr>
        <w:keepNext/>
        <w:ind w:left="567"/>
        <w:rPr>
          <w:b/>
          <w:bCs/>
          <w:i/>
          <w:iCs/>
          <w:spacing w:val="-3"/>
          <w:sz w:val="22"/>
          <w:szCs w:val="22"/>
        </w:rPr>
      </w:pPr>
      <w:r w:rsidRPr="00A7172C">
        <w:rPr>
          <w:b/>
          <w:bCs/>
          <w:i/>
          <w:iCs/>
          <w:spacing w:val="-3"/>
          <w:sz w:val="22"/>
          <w:szCs w:val="22"/>
        </w:rPr>
        <w:t>1.3.5.2 Otros Proyectos nivel tensi</w:t>
      </w:r>
      <w:r>
        <w:rPr>
          <w:b/>
          <w:bCs/>
          <w:i/>
          <w:iCs/>
          <w:spacing w:val="-3"/>
          <w:sz w:val="22"/>
          <w:szCs w:val="22"/>
        </w:rPr>
        <w:t>ó</w:t>
      </w:r>
      <w:r w:rsidRPr="00A7172C">
        <w:rPr>
          <w:b/>
          <w:bCs/>
          <w:i/>
          <w:iCs/>
          <w:spacing w:val="-3"/>
          <w:sz w:val="22"/>
          <w:szCs w:val="22"/>
        </w:rPr>
        <w:t>n 4 - STR (Tipo de Inversi</w:t>
      </w:r>
      <w:r>
        <w:rPr>
          <w:b/>
          <w:bCs/>
          <w:i/>
          <w:iCs/>
          <w:spacing w:val="-3"/>
          <w:sz w:val="22"/>
          <w:szCs w:val="22"/>
        </w:rPr>
        <w:t>ó</w:t>
      </w:r>
      <w:r w:rsidRPr="00A7172C">
        <w:rPr>
          <w:b/>
          <w:bCs/>
          <w:i/>
          <w:iCs/>
          <w:spacing w:val="-3"/>
          <w:sz w:val="22"/>
          <w:szCs w:val="22"/>
        </w:rPr>
        <w:t>n IV)</w:t>
      </w:r>
    </w:p>
    <w:p w14:paraId="76A95C55" w14:textId="294B6678" w:rsidR="00FD0C28" w:rsidRDefault="00A7172C" w:rsidP="00A7172C">
      <w:pPr>
        <w:ind w:left="567"/>
        <w:rPr>
          <w:i/>
          <w:iCs/>
          <w:spacing w:val="-3"/>
          <w:sz w:val="22"/>
          <w:szCs w:val="22"/>
        </w:rPr>
      </w:pPr>
      <w:r w:rsidRPr="00A7172C">
        <w:rPr>
          <w:i/>
          <w:iCs/>
          <w:spacing w:val="-3"/>
          <w:sz w:val="22"/>
          <w:szCs w:val="22"/>
        </w:rPr>
        <w:t xml:space="preserve">EBSA solicita respetuosamente a la CREG que </w:t>
      </w:r>
      <w:r>
        <w:rPr>
          <w:i/>
          <w:iCs/>
          <w:spacing w:val="-3"/>
          <w:sz w:val="22"/>
          <w:szCs w:val="22"/>
        </w:rPr>
        <w:t>sí</w:t>
      </w:r>
      <w:r w:rsidRPr="00A7172C">
        <w:rPr>
          <w:i/>
          <w:iCs/>
          <w:spacing w:val="-3"/>
          <w:sz w:val="22"/>
          <w:szCs w:val="22"/>
        </w:rPr>
        <w:t xml:space="preserve"> se reconozcan</w:t>
      </w:r>
      <w:r>
        <w:rPr>
          <w:i/>
          <w:iCs/>
          <w:spacing w:val="-3"/>
          <w:sz w:val="22"/>
          <w:szCs w:val="22"/>
        </w:rPr>
        <w:t xml:space="preserve"> los </w:t>
      </w:r>
      <w:r w:rsidRPr="00A7172C">
        <w:rPr>
          <w:i/>
          <w:iCs/>
          <w:spacing w:val="-3"/>
          <w:sz w:val="22"/>
          <w:szCs w:val="22"/>
        </w:rPr>
        <w:t>proyectos de inversi</w:t>
      </w:r>
      <w:r>
        <w:rPr>
          <w:i/>
          <w:iCs/>
          <w:spacing w:val="-3"/>
          <w:sz w:val="22"/>
          <w:szCs w:val="22"/>
        </w:rPr>
        <w:t>ó</w:t>
      </w:r>
      <w:r w:rsidRPr="00A7172C">
        <w:rPr>
          <w:i/>
          <w:iCs/>
          <w:spacing w:val="-3"/>
          <w:sz w:val="22"/>
          <w:szCs w:val="22"/>
        </w:rPr>
        <w:t>n del nivel de tensi</w:t>
      </w:r>
      <w:r>
        <w:rPr>
          <w:i/>
          <w:iCs/>
          <w:spacing w:val="-3"/>
          <w:sz w:val="22"/>
          <w:szCs w:val="22"/>
        </w:rPr>
        <w:t>ón</w:t>
      </w:r>
      <w:r w:rsidRPr="00A7172C">
        <w:rPr>
          <w:i/>
          <w:iCs/>
          <w:spacing w:val="-3"/>
          <w:sz w:val="22"/>
          <w:szCs w:val="22"/>
        </w:rPr>
        <w:t xml:space="preserve"> 4 (Tipo IV), en virtud de los argumentos que se esgrimen a continua</w:t>
      </w:r>
      <w:r>
        <w:rPr>
          <w:i/>
          <w:iCs/>
          <w:spacing w:val="-3"/>
          <w:sz w:val="22"/>
          <w:szCs w:val="22"/>
        </w:rPr>
        <w:t>c</w:t>
      </w:r>
      <w:r w:rsidRPr="00A7172C">
        <w:rPr>
          <w:i/>
          <w:iCs/>
          <w:spacing w:val="-3"/>
          <w:sz w:val="22"/>
          <w:szCs w:val="22"/>
        </w:rPr>
        <w:t>i</w:t>
      </w:r>
      <w:r>
        <w:rPr>
          <w:i/>
          <w:iCs/>
          <w:spacing w:val="-3"/>
          <w:sz w:val="22"/>
          <w:szCs w:val="22"/>
        </w:rPr>
        <w:t>ó</w:t>
      </w:r>
      <w:r w:rsidRPr="00A7172C">
        <w:rPr>
          <w:i/>
          <w:iCs/>
          <w:spacing w:val="-3"/>
          <w:sz w:val="22"/>
          <w:szCs w:val="22"/>
        </w:rPr>
        <w:t>n</w:t>
      </w:r>
    </w:p>
    <w:p w14:paraId="1DE3F660" w14:textId="58917E97" w:rsidR="00FD0C28" w:rsidRDefault="00AE5082" w:rsidP="00AE5082">
      <w:pPr>
        <w:ind w:left="567"/>
        <w:rPr>
          <w:i/>
          <w:iCs/>
          <w:spacing w:val="-3"/>
          <w:sz w:val="22"/>
          <w:szCs w:val="22"/>
        </w:rPr>
      </w:pPr>
      <w:r w:rsidRPr="00DB55BA">
        <w:rPr>
          <w:b/>
          <w:bCs/>
          <w:i/>
          <w:iCs/>
          <w:spacing w:val="-3"/>
          <w:sz w:val="22"/>
          <w:szCs w:val="22"/>
        </w:rPr>
        <w:t>A)</w:t>
      </w:r>
      <w:r>
        <w:rPr>
          <w:i/>
          <w:iCs/>
          <w:spacing w:val="-3"/>
          <w:sz w:val="22"/>
          <w:szCs w:val="22"/>
        </w:rPr>
        <w:t xml:space="preserve"> </w:t>
      </w:r>
      <w:r w:rsidR="00A7172C" w:rsidRPr="00AE5082">
        <w:rPr>
          <w:i/>
          <w:iCs/>
          <w:spacing w:val="-3"/>
          <w:sz w:val="22"/>
          <w:szCs w:val="22"/>
        </w:rPr>
        <w:t>Inexistencia del requisito legal (aprobación UPME) en la Resolución 015 de 2018 tiara la aprobación de provectos Tipo IV:</w:t>
      </w:r>
    </w:p>
    <w:p w14:paraId="44FDC588" w14:textId="7E47E4EE" w:rsidR="00AE5082" w:rsidRPr="00AE5082" w:rsidRDefault="00AE5082" w:rsidP="00AE5082">
      <w:pPr>
        <w:ind w:left="567"/>
        <w:rPr>
          <w:i/>
          <w:iCs/>
          <w:spacing w:val="-3"/>
          <w:sz w:val="22"/>
          <w:szCs w:val="22"/>
        </w:rPr>
      </w:pPr>
      <w:r>
        <w:rPr>
          <w:i/>
          <w:iCs/>
          <w:spacing w:val="-3"/>
          <w:sz w:val="22"/>
          <w:szCs w:val="22"/>
        </w:rPr>
        <w:t xml:space="preserve">(…) </w:t>
      </w:r>
      <w:r w:rsidRPr="00AE5082">
        <w:rPr>
          <w:i/>
          <w:iCs/>
          <w:spacing w:val="-3"/>
          <w:sz w:val="22"/>
          <w:szCs w:val="22"/>
        </w:rPr>
        <w:t>dad</w:t>
      </w:r>
      <w:r>
        <w:rPr>
          <w:i/>
          <w:iCs/>
          <w:spacing w:val="-3"/>
          <w:sz w:val="22"/>
          <w:szCs w:val="22"/>
        </w:rPr>
        <w:t>o</w:t>
      </w:r>
      <w:r w:rsidRPr="00AE5082">
        <w:rPr>
          <w:i/>
          <w:iCs/>
          <w:spacing w:val="-3"/>
          <w:sz w:val="22"/>
          <w:szCs w:val="22"/>
        </w:rPr>
        <w:t xml:space="preserve"> que l</w:t>
      </w:r>
      <w:r>
        <w:rPr>
          <w:i/>
          <w:iCs/>
          <w:spacing w:val="-3"/>
          <w:sz w:val="22"/>
          <w:szCs w:val="22"/>
        </w:rPr>
        <w:t>o</w:t>
      </w:r>
      <w:r w:rsidRPr="00AE5082">
        <w:rPr>
          <w:i/>
          <w:iCs/>
          <w:spacing w:val="-3"/>
          <w:sz w:val="22"/>
          <w:szCs w:val="22"/>
        </w:rPr>
        <w:t xml:space="preserve">s proyectos que fueron presentados por la EBSA </w:t>
      </w:r>
      <w:r w:rsidR="00444227" w:rsidRPr="00AE5082">
        <w:rPr>
          <w:i/>
          <w:iCs/>
          <w:spacing w:val="-3"/>
          <w:sz w:val="22"/>
          <w:szCs w:val="22"/>
        </w:rPr>
        <w:t>par</w:t>
      </w:r>
      <w:r w:rsidR="00444227">
        <w:rPr>
          <w:i/>
          <w:iCs/>
          <w:spacing w:val="-3"/>
          <w:sz w:val="22"/>
          <w:szCs w:val="22"/>
        </w:rPr>
        <w:t>a</w:t>
      </w:r>
      <w:r w:rsidR="00444227" w:rsidRPr="00AE5082">
        <w:rPr>
          <w:i/>
          <w:iCs/>
          <w:spacing w:val="-3"/>
          <w:sz w:val="22"/>
          <w:szCs w:val="22"/>
        </w:rPr>
        <w:t xml:space="preserve"> </w:t>
      </w:r>
      <w:r w:rsidRPr="00AE5082">
        <w:rPr>
          <w:i/>
          <w:iCs/>
          <w:spacing w:val="-3"/>
          <w:sz w:val="22"/>
          <w:szCs w:val="22"/>
        </w:rPr>
        <w:t xml:space="preserve">su reconocimiento </w:t>
      </w:r>
      <w:r w:rsidR="00444227" w:rsidRPr="00AE5082">
        <w:rPr>
          <w:i/>
          <w:iCs/>
          <w:spacing w:val="-3"/>
          <w:sz w:val="22"/>
          <w:szCs w:val="22"/>
        </w:rPr>
        <w:t>com</w:t>
      </w:r>
      <w:r w:rsidR="00444227">
        <w:rPr>
          <w:i/>
          <w:iCs/>
          <w:spacing w:val="-3"/>
          <w:sz w:val="22"/>
          <w:szCs w:val="22"/>
        </w:rPr>
        <w:t>o</w:t>
      </w:r>
      <w:r w:rsidR="00444227" w:rsidRPr="00AE5082">
        <w:rPr>
          <w:i/>
          <w:iCs/>
          <w:spacing w:val="-3"/>
          <w:sz w:val="22"/>
          <w:szCs w:val="22"/>
        </w:rPr>
        <w:t xml:space="preserve"> </w:t>
      </w:r>
      <w:r w:rsidRPr="00AE5082">
        <w:rPr>
          <w:i/>
          <w:iCs/>
          <w:spacing w:val="-3"/>
          <w:sz w:val="22"/>
          <w:szCs w:val="22"/>
        </w:rPr>
        <w:t>proyectos de inversi</w:t>
      </w:r>
      <w:r>
        <w:rPr>
          <w:i/>
          <w:iCs/>
          <w:spacing w:val="-3"/>
          <w:sz w:val="22"/>
          <w:szCs w:val="22"/>
        </w:rPr>
        <w:t>ó</w:t>
      </w:r>
      <w:r w:rsidRPr="00AE5082">
        <w:rPr>
          <w:i/>
          <w:iCs/>
          <w:spacing w:val="-3"/>
          <w:sz w:val="22"/>
          <w:szCs w:val="22"/>
        </w:rPr>
        <w:t xml:space="preserve">n son todos proyectos Tipo IV, no le </w:t>
      </w:r>
      <w:r>
        <w:rPr>
          <w:i/>
          <w:iCs/>
          <w:spacing w:val="-3"/>
          <w:sz w:val="22"/>
          <w:szCs w:val="22"/>
        </w:rPr>
        <w:t>e</w:t>
      </w:r>
      <w:r w:rsidRPr="00AE5082">
        <w:rPr>
          <w:i/>
          <w:iCs/>
          <w:spacing w:val="-3"/>
          <w:sz w:val="22"/>
          <w:szCs w:val="22"/>
        </w:rPr>
        <w:t xml:space="preserve">s dable a la </w:t>
      </w:r>
      <w:r>
        <w:rPr>
          <w:i/>
          <w:iCs/>
          <w:spacing w:val="-3"/>
          <w:sz w:val="22"/>
          <w:szCs w:val="22"/>
        </w:rPr>
        <w:t>C</w:t>
      </w:r>
      <w:r w:rsidRPr="00AE5082">
        <w:rPr>
          <w:i/>
          <w:iCs/>
          <w:spacing w:val="-3"/>
          <w:sz w:val="22"/>
          <w:szCs w:val="22"/>
        </w:rPr>
        <w:t>REG desconocerlos con base en la falta de aporte de tal concepto UPME</w:t>
      </w:r>
      <w:r w:rsidR="00486261">
        <w:rPr>
          <w:i/>
          <w:iCs/>
          <w:spacing w:val="-3"/>
          <w:sz w:val="22"/>
          <w:szCs w:val="22"/>
        </w:rPr>
        <w:t>,</w:t>
      </w:r>
    </w:p>
    <w:p w14:paraId="498CFE52" w14:textId="272669E9" w:rsidR="00FD0C28" w:rsidRDefault="00AE5082" w:rsidP="00FD0C28">
      <w:pPr>
        <w:ind w:left="567"/>
        <w:rPr>
          <w:i/>
          <w:iCs/>
          <w:spacing w:val="-3"/>
          <w:sz w:val="22"/>
          <w:szCs w:val="22"/>
        </w:rPr>
      </w:pPr>
      <w:r>
        <w:rPr>
          <w:i/>
          <w:iCs/>
          <w:spacing w:val="-3"/>
          <w:sz w:val="22"/>
          <w:szCs w:val="22"/>
        </w:rPr>
        <w:t xml:space="preserve">(…) </w:t>
      </w:r>
      <w:r w:rsidRPr="00AE5082">
        <w:rPr>
          <w:i/>
          <w:iCs/>
          <w:spacing w:val="-3"/>
          <w:sz w:val="22"/>
          <w:szCs w:val="22"/>
        </w:rPr>
        <w:t xml:space="preserve">es viable concluir que no le es posible a la </w:t>
      </w:r>
      <w:r>
        <w:rPr>
          <w:i/>
          <w:iCs/>
          <w:spacing w:val="-3"/>
          <w:sz w:val="22"/>
          <w:szCs w:val="22"/>
        </w:rPr>
        <w:t>C</w:t>
      </w:r>
      <w:r w:rsidRPr="00AE5082">
        <w:rPr>
          <w:i/>
          <w:iCs/>
          <w:spacing w:val="-3"/>
          <w:sz w:val="22"/>
          <w:szCs w:val="22"/>
        </w:rPr>
        <w:t>REG exigir a los OR requisitos adicionales a los taxativamente incluidos en la regulaci</w:t>
      </w:r>
      <w:r>
        <w:rPr>
          <w:i/>
          <w:iCs/>
          <w:spacing w:val="-3"/>
          <w:sz w:val="22"/>
          <w:szCs w:val="22"/>
        </w:rPr>
        <w:t>ó</w:t>
      </w:r>
      <w:r w:rsidRPr="00AE5082">
        <w:rPr>
          <w:i/>
          <w:iCs/>
          <w:spacing w:val="-3"/>
          <w:sz w:val="22"/>
          <w:szCs w:val="22"/>
        </w:rPr>
        <w:t xml:space="preserve">n tarifaria </w:t>
      </w:r>
      <w:r w:rsidR="00C87DC1" w:rsidRPr="00AE5082">
        <w:rPr>
          <w:i/>
          <w:iCs/>
          <w:spacing w:val="-3"/>
          <w:sz w:val="22"/>
          <w:szCs w:val="22"/>
        </w:rPr>
        <w:t>par</w:t>
      </w:r>
      <w:r w:rsidR="00C87DC1">
        <w:rPr>
          <w:i/>
          <w:iCs/>
          <w:spacing w:val="-3"/>
          <w:sz w:val="22"/>
          <w:szCs w:val="22"/>
        </w:rPr>
        <w:t>a</w:t>
      </w:r>
      <w:r w:rsidR="00C87DC1" w:rsidRPr="00AE5082">
        <w:rPr>
          <w:i/>
          <w:iCs/>
          <w:spacing w:val="-3"/>
          <w:sz w:val="22"/>
          <w:szCs w:val="22"/>
        </w:rPr>
        <w:t xml:space="preserve"> </w:t>
      </w:r>
      <w:r w:rsidRPr="00AE5082">
        <w:rPr>
          <w:i/>
          <w:iCs/>
          <w:spacing w:val="-3"/>
          <w:sz w:val="22"/>
          <w:szCs w:val="22"/>
        </w:rPr>
        <w:t>el reconocimiento de los planes de inversi</w:t>
      </w:r>
      <w:r>
        <w:rPr>
          <w:i/>
          <w:iCs/>
          <w:spacing w:val="-3"/>
          <w:sz w:val="22"/>
          <w:szCs w:val="22"/>
        </w:rPr>
        <w:t>ó</w:t>
      </w:r>
      <w:r w:rsidRPr="00AE5082">
        <w:rPr>
          <w:i/>
          <w:iCs/>
          <w:spacing w:val="-3"/>
          <w:sz w:val="22"/>
          <w:szCs w:val="22"/>
        </w:rPr>
        <w:t>n Tipo IV, pues esto contrariar</w:t>
      </w:r>
      <w:r>
        <w:rPr>
          <w:i/>
          <w:iCs/>
          <w:spacing w:val="-3"/>
          <w:sz w:val="22"/>
          <w:szCs w:val="22"/>
        </w:rPr>
        <w:t>í</w:t>
      </w:r>
      <w:r w:rsidRPr="00AE5082">
        <w:rPr>
          <w:i/>
          <w:iCs/>
          <w:spacing w:val="-3"/>
          <w:sz w:val="22"/>
          <w:szCs w:val="22"/>
        </w:rPr>
        <w:t>a el principio de legalidad al establecerse ca</w:t>
      </w:r>
      <w:r w:rsidR="005C0963">
        <w:rPr>
          <w:i/>
          <w:iCs/>
          <w:spacing w:val="-3"/>
          <w:sz w:val="22"/>
          <w:szCs w:val="22"/>
        </w:rPr>
        <w:t>rg</w:t>
      </w:r>
      <w:r w:rsidRPr="00AE5082">
        <w:rPr>
          <w:i/>
          <w:iCs/>
          <w:spacing w:val="-3"/>
          <w:sz w:val="22"/>
          <w:szCs w:val="22"/>
        </w:rPr>
        <w:t>as adicionales a los consagradas en la ley</w:t>
      </w:r>
      <w:r w:rsidR="005C0963">
        <w:rPr>
          <w:i/>
          <w:iCs/>
          <w:spacing w:val="-3"/>
          <w:sz w:val="22"/>
          <w:szCs w:val="22"/>
        </w:rPr>
        <w:t>.</w:t>
      </w:r>
    </w:p>
    <w:p w14:paraId="09A360CA" w14:textId="685CA99E" w:rsidR="00FD0C28" w:rsidRDefault="00DB55BA" w:rsidP="00FD0C28">
      <w:pPr>
        <w:ind w:left="567"/>
        <w:rPr>
          <w:i/>
          <w:iCs/>
          <w:spacing w:val="-3"/>
          <w:sz w:val="22"/>
          <w:szCs w:val="22"/>
        </w:rPr>
      </w:pPr>
      <w:r w:rsidRPr="00DB55BA">
        <w:rPr>
          <w:b/>
          <w:bCs/>
          <w:i/>
          <w:iCs/>
          <w:spacing w:val="-3"/>
          <w:sz w:val="22"/>
          <w:szCs w:val="22"/>
        </w:rPr>
        <w:t>B)</w:t>
      </w:r>
      <w:r w:rsidRPr="00DB55BA">
        <w:rPr>
          <w:i/>
          <w:iCs/>
          <w:spacing w:val="-3"/>
          <w:sz w:val="22"/>
          <w:szCs w:val="22"/>
        </w:rPr>
        <w:t xml:space="preserve"> Conceptos UPME actualmente en tr</w:t>
      </w:r>
      <w:r>
        <w:rPr>
          <w:i/>
          <w:iCs/>
          <w:spacing w:val="-3"/>
          <w:sz w:val="22"/>
          <w:szCs w:val="22"/>
        </w:rPr>
        <w:t>á</w:t>
      </w:r>
      <w:r w:rsidR="00D97194">
        <w:rPr>
          <w:i/>
          <w:iCs/>
          <w:spacing w:val="-3"/>
          <w:sz w:val="22"/>
          <w:szCs w:val="22"/>
        </w:rPr>
        <w:t>m</w:t>
      </w:r>
      <w:r w:rsidRPr="00DB55BA">
        <w:rPr>
          <w:i/>
          <w:iCs/>
          <w:spacing w:val="-3"/>
          <w:sz w:val="22"/>
          <w:szCs w:val="22"/>
        </w:rPr>
        <w:t>ite</w:t>
      </w:r>
    </w:p>
    <w:p w14:paraId="089DC249" w14:textId="731E0247" w:rsidR="00DB55BA" w:rsidRDefault="00DB55BA" w:rsidP="00FD0C28">
      <w:pPr>
        <w:ind w:left="567"/>
        <w:rPr>
          <w:i/>
          <w:iCs/>
          <w:spacing w:val="-3"/>
          <w:sz w:val="22"/>
          <w:szCs w:val="22"/>
        </w:rPr>
      </w:pPr>
      <w:r w:rsidRPr="00DB55BA">
        <w:rPr>
          <w:i/>
          <w:iCs/>
          <w:spacing w:val="-3"/>
          <w:sz w:val="22"/>
          <w:szCs w:val="22"/>
        </w:rPr>
        <w:t xml:space="preserve">No </w:t>
      </w:r>
      <w:proofErr w:type="gramStart"/>
      <w:r w:rsidRPr="00DB55BA">
        <w:rPr>
          <w:i/>
          <w:iCs/>
          <w:spacing w:val="-3"/>
          <w:sz w:val="22"/>
          <w:szCs w:val="22"/>
        </w:rPr>
        <w:t>obstante</w:t>
      </w:r>
      <w:proofErr w:type="gramEnd"/>
      <w:r w:rsidRPr="00DB55BA">
        <w:rPr>
          <w:i/>
          <w:iCs/>
          <w:spacing w:val="-3"/>
          <w:sz w:val="22"/>
          <w:szCs w:val="22"/>
        </w:rPr>
        <w:t xml:space="preserve"> lo descrito en el literal (A) anterior y, aun cuando tal concepto UPME no es necesari</w:t>
      </w:r>
      <w:r>
        <w:rPr>
          <w:i/>
          <w:iCs/>
          <w:spacing w:val="-3"/>
          <w:sz w:val="22"/>
          <w:szCs w:val="22"/>
        </w:rPr>
        <w:t>o</w:t>
      </w:r>
      <w:r w:rsidRPr="00DB55BA">
        <w:rPr>
          <w:i/>
          <w:iCs/>
          <w:spacing w:val="-3"/>
          <w:sz w:val="22"/>
          <w:szCs w:val="22"/>
        </w:rPr>
        <w:t xml:space="preserve"> aportarlo se</w:t>
      </w:r>
      <w:r>
        <w:rPr>
          <w:i/>
          <w:iCs/>
          <w:spacing w:val="-3"/>
          <w:sz w:val="22"/>
          <w:szCs w:val="22"/>
        </w:rPr>
        <w:t>gú</w:t>
      </w:r>
      <w:r w:rsidRPr="00DB55BA">
        <w:rPr>
          <w:i/>
          <w:iCs/>
          <w:spacing w:val="-3"/>
          <w:sz w:val="22"/>
          <w:szCs w:val="22"/>
        </w:rPr>
        <w:t>n los t</w:t>
      </w:r>
      <w:r>
        <w:rPr>
          <w:i/>
          <w:iCs/>
          <w:spacing w:val="-3"/>
          <w:sz w:val="22"/>
          <w:szCs w:val="22"/>
        </w:rPr>
        <w:t>é</w:t>
      </w:r>
      <w:r w:rsidRPr="00DB55BA">
        <w:rPr>
          <w:i/>
          <w:iCs/>
          <w:spacing w:val="-3"/>
          <w:sz w:val="22"/>
          <w:szCs w:val="22"/>
        </w:rPr>
        <w:t xml:space="preserve">rminos de </w:t>
      </w:r>
      <w:r>
        <w:rPr>
          <w:i/>
          <w:iCs/>
          <w:spacing w:val="-3"/>
          <w:sz w:val="22"/>
          <w:szCs w:val="22"/>
        </w:rPr>
        <w:t>l</w:t>
      </w:r>
      <w:r w:rsidRPr="00DB55BA">
        <w:rPr>
          <w:i/>
          <w:iCs/>
          <w:spacing w:val="-3"/>
          <w:sz w:val="22"/>
          <w:szCs w:val="22"/>
        </w:rPr>
        <w:t>a legislaci</w:t>
      </w:r>
      <w:r>
        <w:rPr>
          <w:i/>
          <w:iCs/>
          <w:spacing w:val="-3"/>
          <w:sz w:val="22"/>
          <w:szCs w:val="22"/>
        </w:rPr>
        <w:t>ó</w:t>
      </w:r>
      <w:r w:rsidRPr="00DB55BA">
        <w:rPr>
          <w:i/>
          <w:iCs/>
          <w:spacing w:val="-3"/>
          <w:sz w:val="22"/>
          <w:szCs w:val="22"/>
        </w:rPr>
        <w:t>n vigente, EBSA s</w:t>
      </w:r>
      <w:r>
        <w:rPr>
          <w:i/>
          <w:iCs/>
          <w:spacing w:val="-3"/>
          <w:sz w:val="22"/>
          <w:szCs w:val="22"/>
        </w:rPr>
        <w:t>í</w:t>
      </w:r>
      <w:r w:rsidRPr="00DB55BA">
        <w:rPr>
          <w:i/>
          <w:iCs/>
          <w:spacing w:val="-3"/>
          <w:sz w:val="22"/>
          <w:szCs w:val="22"/>
        </w:rPr>
        <w:t xml:space="preserve"> procedi</w:t>
      </w:r>
      <w:r>
        <w:rPr>
          <w:i/>
          <w:iCs/>
          <w:spacing w:val="-3"/>
          <w:sz w:val="22"/>
          <w:szCs w:val="22"/>
        </w:rPr>
        <w:t>ó</w:t>
      </w:r>
      <w:r w:rsidRPr="00DB55BA">
        <w:rPr>
          <w:i/>
          <w:iCs/>
          <w:spacing w:val="-3"/>
          <w:sz w:val="22"/>
          <w:szCs w:val="22"/>
        </w:rPr>
        <w:t xml:space="preserve"> a solicitar los siguiente</w:t>
      </w:r>
      <w:r w:rsidR="005C0963">
        <w:rPr>
          <w:i/>
          <w:iCs/>
          <w:spacing w:val="-3"/>
          <w:sz w:val="22"/>
          <w:szCs w:val="22"/>
        </w:rPr>
        <w:t>s</w:t>
      </w:r>
      <w:r w:rsidRPr="00DB55BA">
        <w:rPr>
          <w:i/>
          <w:iCs/>
          <w:spacing w:val="-3"/>
          <w:sz w:val="22"/>
          <w:szCs w:val="22"/>
        </w:rPr>
        <w:t xml:space="preserve"> conceptos a </w:t>
      </w:r>
      <w:r>
        <w:rPr>
          <w:i/>
          <w:iCs/>
          <w:spacing w:val="-3"/>
          <w:sz w:val="22"/>
          <w:szCs w:val="22"/>
        </w:rPr>
        <w:t>l</w:t>
      </w:r>
      <w:r w:rsidRPr="00DB55BA">
        <w:rPr>
          <w:i/>
          <w:iCs/>
          <w:spacing w:val="-3"/>
          <w:sz w:val="22"/>
          <w:szCs w:val="22"/>
        </w:rPr>
        <w:t xml:space="preserve">a UPME, procurando actuar de </w:t>
      </w:r>
      <w:r>
        <w:rPr>
          <w:i/>
          <w:iCs/>
          <w:spacing w:val="-3"/>
          <w:sz w:val="22"/>
          <w:szCs w:val="22"/>
        </w:rPr>
        <w:t>l</w:t>
      </w:r>
      <w:r w:rsidRPr="00DB55BA">
        <w:rPr>
          <w:i/>
          <w:iCs/>
          <w:spacing w:val="-3"/>
          <w:sz w:val="22"/>
          <w:szCs w:val="22"/>
        </w:rPr>
        <w:t>a manera m</w:t>
      </w:r>
      <w:r>
        <w:rPr>
          <w:i/>
          <w:iCs/>
          <w:spacing w:val="-3"/>
          <w:sz w:val="22"/>
          <w:szCs w:val="22"/>
        </w:rPr>
        <w:t>á</w:t>
      </w:r>
      <w:r w:rsidRPr="00DB55BA">
        <w:rPr>
          <w:i/>
          <w:iCs/>
          <w:spacing w:val="-3"/>
          <w:sz w:val="22"/>
          <w:szCs w:val="22"/>
        </w:rPr>
        <w:t>s diligente posible</w:t>
      </w:r>
    </w:p>
    <w:p w14:paraId="2D856F0B" w14:textId="767165DA" w:rsidR="00DB55BA" w:rsidRDefault="00DB55BA" w:rsidP="00FD0C28">
      <w:pPr>
        <w:ind w:left="567"/>
        <w:rPr>
          <w:i/>
          <w:iCs/>
          <w:spacing w:val="-3"/>
          <w:sz w:val="22"/>
          <w:szCs w:val="22"/>
        </w:rPr>
      </w:pPr>
      <w:r w:rsidRPr="00DB55BA">
        <w:rPr>
          <w:i/>
          <w:iCs/>
          <w:spacing w:val="-3"/>
          <w:sz w:val="22"/>
          <w:szCs w:val="22"/>
        </w:rPr>
        <w:t>La solicitud de la EBSA ante la UPME fue oportuna y se hizo de una manera diligente. No obstante, lo anterior, a la fecha de este recurs</w:t>
      </w:r>
      <w:r>
        <w:rPr>
          <w:i/>
          <w:iCs/>
          <w:spacing w:val="-3"/>
          <w:sz w:val="22"/>
          <w:szCs w:val="22"/>
        </w:rPr>
        <w:t>o</w:t>
      </w:r>
      <w:r w:rsidRPr="00DB55BA">
        <w:rPr>
          <w:i/>
          <w:iCs/>
          <w:spacing w:val="-3"/>
          <w:sz w:val="22"/>
          <w:szCs w:val="22"/>
        </w:rPr>
        <w:t>, la UPME no ha contestado a la solicitud de la EBSA.</w:t>
      </w:r>
    </w:p>
    <w:p w14:paraId="775D4C23" w14:textId="36E4EF2F" w:rsidR="00DB55BA" w:rsidRDefault="00DB55BA" w:rsidP="00FD0C28">
      <w:pPr>
        <w:ind w:left="567"/>
        <w:rPr>
          <w:i/>
          <w:iCs/>
          <w:spacing w:val="-3"/>
          <w:sz w:val="22"/>
          <w:szCs w:val="22"/>
        </w:rPr>
      </w:pPr>
      <w:r>
        <w:rPr>
          <w:i/>
          <w:iCs/>
          <w:spacing w:val="-3"/>
          <w:sz w:val="22"/>
          <w:szCs w:val="22"/>
        </w:rPr>
        <w:t>(…)</w:t>
      </w:r>
    </w:p>
    <w:p w14:paraId="07B8ADA7" w14:textId="07B9D568" w:rsidR="00DB55BA" w:rsidRDefault="00DB55BA" w:rsidP="00FD0C28">
      <w:pPr>
        <w:ind w:left="567"/>
        <w:rPr>
          <w:i/>
          <w:iCs/>
          <w:spacing w:val="-3"/>
          <w:sz w:val="22"/>
          <w:szCs w:val="22"/>
        </w:rPr>
      </w:pPr>
      <w:r w:rsidRPr="00DB55BA">
        <w:rPr>
          <w:i/>
          <w:iCs/>
          <w:spacing w:val="-3"/>
          <w:sz w:val="22"/>
          <w:szCs w:val="22"/>
        </w:rPr>
        <w:t>En conclusi</w:t>
      </w:r>
      <w:r>
        <w:rPr>
          <w:i/>
          <w:iCs/>
          <w:spacing w:val="-3"/>
          <w:sz w:val="22"/>
          <w:szCs w:val="22"/>
        </w:rPr>
        <w:t>ó</w:t>
      </w:r>
      <w:r w:rsidRPr="00DB55BA">
        <w:rPr>
          <w:i/>
          <w:iCs/>
          <w:spacing w:val="-3"/>
          <w:sz w:val="22"/>
          <w:szCs w:val="22"/>
        </w:rPr>
        <w:t>n, dado que (i) el aporte del concepto UPME no es un requisito legal bajo la Resoluci</w:t>
      </w:r>
      <w:r>
        <w:rPr>
          <w:i/>
          <w:iCs/>
          <w:spacing w:val="-3"/>
          <w:sz w:val="22"/>
          <w:szCs w:val="22"/>
        </w:rPr>
        <w:t>ó</w:t>
      </w:r>
      <w:r w:rsidRPr="00DB55BA">
        <w:rPr>
          <w:i/>
          <w:iCs/>
          <w:spacing w:val="-3"/>
          <w:sz w:val="22"/>
          <w:szCs w:val="22"/>
        </w:rPr>
        <w:t>n 015 de 2018 para el reconocimiento de proyectos Tipo IV (ver literal (A) anterior) y (</w:t>
      </w:r>
      <w:proofErr w:type="spellStart"/>
      <w:r w:rsidRPr="00DB55BA">
        <w:rPr>
          <w:i/>
          <w:iCs/>
          <w:spacing w:val="-3"/>
          <w:sz w:val="22"/>
          <w:szCs w:val="22"/>
        </w:rPr>
        <w:t>ii</w:t>
      </w:r>
      <w:proofErr w:type="spellEnd"/>
      <w:r w:rsidRPr="00DB55BA">
        <w:rPr>
          <w:i/>
          <w:iCs/>
          <w:spacing w:val="-3"/>
          <w:sz w:val="22"/>
          <w:szCs w:val="22"/>
        </w:rPr>
        <w:t>) EBSA, en todo caso, si present</w:t>
      </w:r>
      <w:r>
        <w:rPr>
          <w:i/>
          <w:iCs/>
          <w:spacing w:val="-3"/>
          <w:sz w:val="22"/>
          <w:szCs w:val="22"/>
        </w:rPr>
        <w:t>ó</w:t>
      </w:r>
      <w:r w:rsidRPr="00DB55BA">
        <w:rPr>
          <w:i/>
          <w:iCs/>
          <w:spacing w:val="-3"/>
          <w:sz w:val="22"/>
          <w:szCs w:val="22"/>
        </w:rPr>
        <w:t xml:space="preserve"> su solicitud ante la UPME de manera oportuna y diligente con </w:t>
      </w:r>
      <w:r>
        <w:rPr>
          <w:i/>
          <w:iCs/>
          <w:spacing w:val="-3"/>
          <w:sz w:val="22"/>
          <w:szCs w:val="22"/>
        </w:rPr>
        <w:t>l</w:t>
      </w:r>
      <w:r w:rsidRPr="00DB55BA">
        <w:rPr>
          <w:i/>
          <w:iCs/>
          <w:spacing w:val="-3"/>
          <w:sz w:val="22"/>
          <w:szCs w:val="22"/>
        </w:rPr>
        <w:t>a convicci</w:t>
      </w:r>
      <w:r>
        <w:rPr>
          <w:i/>
          <w:iCs/>
          <w:spacing w:val="-3"/>
          <w:sz w:val="22"/>
          <w:szCs w:val="22"/>
        </w:rPr>
        <w:t>ó</w:t>
      </w:r>
      <w:r w:rsidRPr="00DB55BA">
        <w:rPr>
          <w:i/>
          <w:iCs/>
          <w:spacing w:val="-3"/>
          <w:sz w:val="22"/>
          <w:szCs w:val="22"/>
        </w:rPr>
        <w:t>n que la misma seria atendida dentro del plaz</w:t>
      </w:r>
      <w:r w:rsidR="005C0963">
        <w:rPr>
          <w:i/>
          <w:iCs/>
          <w:spacing w:val="-3"/>
          <w:sz w:val="22"/>
          <w:szCs w:val="22"/>
        </w:rPr>
        <w:t>o</w:t>
      </w:r>
      <w:r w:rsidRPr="00DB55BA">
        <w:rPr>
          <w:i/>
          <w:iCs/>
          <w:spacing w:val="-3"/>
          <w:sz w:val="22"/>
          <w:szCs w:val="22"/>
        </w:rPr>
        <w:t xml:space="preserve"> de cualquier petici</w:t>
      </w:r>
      <w:r>
        <w:rPr>
          <w:i/>
          <w:iCs/>
          <w:spacing w:val="-3"/>
          <w:sz w:val="22"/>
          <w:szCs w:val="22"/>
        </w:rPr>
        <w:t>ó</w:t>
      </w:r>
      <w:r w:rsidRPr="00DB55BA">
        <w:rPr>
          <w:i/>
          <w:iCs/>
          <w:spacing w:val="-3"/>
          <w:sz w:val="22"/>
          <w:szCs w:val="22"/>
        </w:rPr>
        <w:t>n y se obtendr</w:t>
      </w:r>
      <w:r>
        <w:rPr>
          <w:i/>
          <w:iCs/>
          <w:spacing w:val="-3"/>
          <w:sz w:val="22"/>
          <w:szCs w:val="22"/>
        </w:rPr>
        <w:t>í</w:t>
      </w:r>
      <w:r w:rsidRPr="00DB55BA">
        <w:rPr>
          <w:i/>
          <w:iCs/>
          <w:spacing w:val="-3"/>
          <w:sz w:val="22"/>
          <w:szCs w:val="22"/>
        </w:rPr>
        <w:t>a una respuesta conclusiv</w:t>
      </w:r>
      <w:r>
        <w:rPr>
          <w:i/>
          <w:iCs/>
          <w:spacing w:val="-3"/>
          <w:sz w:val="22"/>
          <w:szCs w:val="22"/>
        </w:rPr>
        <w:t>a</w:t>
      </w:r>
      <w:r w:rsidRPr="00DB55BA">
        <w:rPr>
          <w:i/>
          <w:iCs/>
          <w:spacing w:val="-3"/>
          <w:sz w:val="22"/>
          <w:szCs w:val="22"/>
        </w:rPr>
        <w:t xml:space="preserve">, </w:t>
      </w:r>
      <w:r>
        <w:rPr>
          <w:i/>
          <w:iCs/>
          <w:spacing w:val="-3"/>
          <w:sz w:val="22"/>
          <w:szCs w:val="22"/>
        </w:rPr>
        <w:t>c</w:t>
      </w:r>
      <w:r w:rsidRPr="00DB55BA">
        <w:rPr>
          <w:i/>
          <w:iCs/>
          <w:spacing w:val="-3"/>
          <w:sz w:val="22"/>
          <w:szCs w:val="22"/>
        </w:rPr>
        <w:t>lara y definitoria frente a lo solicit</w:t>
      </w:r>
      <w:r>
        <w:rPr>
          <w:i/>
          <w:iCs/>
          <w:spacing w:val="-3"/>
          <w:sz w:val="22"/>
          <w:szCs w:val="22"/>
        </w:rPr>
        <w:t>a</w:t>
      </w:r>
      <w:r w:rsidRPr="00DB55BA">
        <w:rPr>
          <w:i/>
          <w:iCs/>
          <w:spacing w:val="-3"/>
          <w:sz w:val="22"/>
          <w:szCs w:val="22"/>
        </w:rPr>
        <w:t>d</w:t>
      </w:r>
      <w:r>
        <w:rPr>
          <w:i/>
          <w:iCs/>
          <w:spacing w:val="-3"/>
          <w:sz w:val="22"/>
          <w:szCs w:val="22"/>
        </w:rPr>
        <w:t>o</w:t>
      </w:r>
      <w:r w:rsidRPr="00DB55BA">
        <w:rPr>
          <w:i/>
          <w:iCs/>
          <w:spacing w:val="-3"/>
          <w:sz w:val="22"/>
          <w:szCs w:val="22"/>
        </w:rPr>
        <w:t xml:space="preserve"> y (</w:t>
      </w:r>
      <w:proofErr w:type="spellStart"/>
      <w:r w:rsidRPr="00DB55BA">
        <w:rPr>
          <w:i/>
          <w:iCs/>
          <w:spacing w:val="-3"/>
          <w:sz w:val="22"/>
          <w:szCs w:val="22"/>
        </w:rPr>
        <w:t>iii</w:t>
      </w:r>
      <w:proofErr w:type="spellEnd"/>
      <w:r w:rsidRPr="00DB55BA">
        <w:rPr>
          <w:i/>
          <w:iCs/>
          <w:spacing w:val="-3"/>
          <w:sz w:val="22"/>
          <w:szCs w:val="22"/>
        </w:rPr>
        <w:t xml:space="preserve">) toda vez que </w:t>
      </w:r>
      <w:r>
        <w:rPr>
          <w:i/>
          <w:iCs/>
          <w:spacing w:val="-3"/>
          <w:sz w:val="22"/>
          <w:szCs w:val="22"/>
        </w:rPr>
        <w:t>l</w:t>
      </w:r>
      <w:r w:rsidRPr="00DB55BA">
        <w:rPr>
          <w:i/>
          <w:iCs/>
          <w:spacing w:val="-3"/>
          <w:sz w:val="22"/>
          <w:szCs w:val="22"/>
        </w:rPr>
        <w:t>a UPME no ha dada respuesta a la fecha de este recurs</w:t>
      </w:r>
      <w:r>
        <w:rPr>
          <w:i/>
          <w:iCs/>
          <w:spacing w:val="-3"/>
          <w:sz w:val="22"/>
          <w:szCs w:val="22"/>
        </w:rPr>
        <w:t>o</w:t>
      </w:r>
      <w:r w:rsidRPr="00DB55BA">
        <w:rPr>
          <w:i/>
          <w:iCs/>
          <w:spacing w:val="-3"/>
          <w:sz w:val="22"/>
          <w:szCs w:val="22"/>
        </w:rPr>
        <w:t xml:space="preserve">, se solicita respetuosamente a la CREG que </w:t>
      </w:r>
      <w:r w:rsidR="00994E30" w:rsidRPr="00DB55BA">
        <w:rPr>
          <w:i/>
          <w:iCs/>
          <w:spacing w:val="-3"/>
          <w:sz w:val="22"/>
          <w:szCs w:val="22"/>
        </w:rPr>
        <w:t>s</w:t>
      </w:r>
      <w:r w:rsidR="00994E30">
        <w:rPr>
          <w:i/>
          <w:iCs/>
          <w:spacing w:val="-3"/>
          <w:sz w:val="22"/>
          <w:szCs w:val="22"/>
        </w:rPr>
        <w:t>í</w:t>
      </w:r>
      <w:r w:rsidR="00994E30" w:rsidRPr="00DB55BA">
        <w:rPr>
          <w:i/>
          <w:iCs/>
          <w:spacing w:val="-3"/>
          <w:sz w:val="22"/>
          <w:szCs w:val="22"/>
        </w:rPr>
        <w:t xml:space="preserve"> </w:t>
      </w:r>
      <w:r w:rsidRPr="00DB55BA">
        <w:rPr>
          <w:i/>
          <w:iCs/>
          <w:spacing w:val="-3"/>
          <w:sz w:val="22"/>
          <w:szCs w:val="22"/>
        </w:rPr>
        <w:t>se reconozcan los proyectos de inversi</w:t>
      </w:r>
      <w:r>
        <w:rPr>
          <w:i/>
          <w:iCs/>
          <w:spacing w:val="-3"/>
          <w:sz w:val="22"/>
          <w:szCs w:val="22"/>
        </w:rPr>
        <w:t>ó</w:t>
      </w:r>
      <w:r w:rsidRPr="00DB55BA">
        <w:rPr>
          <w:i/>
          <w:iCs/>
          <w:spacing w:val="-3"/>
          <w:sz w:val="22"/>
          <w:szCs w:val="22"/>
        </w:rPr>
        <w:t>n del nivel de tensi</w:t>
      </w:r>
      <w:r>
        <w:rPr>
          <w:i/>
          <w:iCs/>
          <w:spacing w:val="-3"/>
          <w:sz w:val="22"/>
          <w:szCs w:val="22"/>
        </w:rPr>
        <w:t>ó</w:t>
      </w:r>
      <w:r w:rsidRPr="00DB55BA">
        <w:rPr>
          <w:i/>
          <w:iCs/>
          <w:spacing w:val="-3"/>
          <w:sz w:val="22"/>
          <w:szCs w:val="22"/>
        </w:rPr>
        <w:t xml:space="preserve">n 4 (Tipo IV) que fueron presentados en la solicitud de </w:t>
      </w:r>
      <w:r>
        <w:rPr>
          <w:i/>
          <w:iCs/>
          <w:spacing w:val="-3"/>
          <w:sz w:val="22"/>
          <w:szCs w:val="22"/>
        </w:rPr>
        <w:t>l</w:t>
      </w:r>
      <w:r w:rsidRPr="00DB55BA">
        <w:rPr>
          <w:i/>
          <w:iCs/>
          <w:spacing w:val="-3"/>
          <w:sz w:val="22"/>
          <w:szCs w:val="22"/>
        </w:rPr>
        <w:t>a EBSA</w:t>
      </w:r>
      <w:r>
        <w:rPr>
          <w:i/>
          <w:iCs/>
          <w:spacing w:val="-3"/>
          <w:sz w:val="22"/>
          <w:szCs w:val="22"/>
        </w:rPr>
        <w:t>.</w:t>
      </w:r>
    </w:p>
    <w:p w14:paraId="3DBF23BF" w14:textId="55FA9089" w:rsidR="00DB55BA" w:rsidRDefault="00DB55BA" w:rsidP="00FD0C28">
      <w:pPr>
        <w:ind w:left="567"/>
        <w:rPr>
          <w:i/>
          <w:iCs/>
          <w:spacing w:val="-3"/>
          <w:sz w:val="22"/>
          <w:szCs w:val="22"/>
        </w:rPr>
      </w:pPr>
      <w:r>
        <w:rPr>
          <w:i/>
          <w:iCs/>
          <w:spacing w:val="-3"/>
          <w:sz w:val="22"/>
          <w:szCs w:val="22"/>
        </w:rPr>
        <w:t xml:space="preserve">(…) </w:t>
      </w:r>
      <w:r w:rsidRPr="00DB55BA">
        <w:rPr>
          <w:i/>
          <w:iCs/>
          <w:spacing w:val="-3"/>
          <w:sz w:val="22"/>
          <w:szCs w:val="22"/>
        </w:rPr>
        <w:t xml:space="preserve">en el evento en que la </w:t>
      </w:r>
      <w:r>
        <w:rPr>
          <w:i/>
          <w:iCs/>
          <w:spacing w:val="-3"/>
          <w:sz w:val="22"/>
          <w:szCs w:val="22"/>
        </w:rPr>
        <w:t>C</w:t>
      </w:r>
      <w:r w:rsidRPr="00DB55BA">
        <w:rPr>
          <w:i/>
          <w:iCs/>
          <w:spacing w:val="-3"/>
          <w:sz w:val="22"/>
          <w:szCs w:val="22"/>
        </w:rPr>
        <w:t>REG reitere su posi</w:t>
      </w:r>
      <w:r>
        <w:rPr>
          <w:i/>
          <w:iCs/>
          <w:spacing w:val="-3"/>
          <w:sz w:val="22"/>
          <w:szCs w:val="22"/>
        </w:rPr>
        <w:t>c</w:t>
      </w:r>
      <w:r w:rsidRPr="00DB55BA">
        <w:rPr>
          <w:i/>
          <w:iCs/>
          <w:spacing w:val="-3"/>
          <w:sz w:val="22"/>
          <w:szCs w:val="22"/>
        </w:rPr>
        <w:t>i</w:t>
      </w:r>
      <w:r>
        <w:rPr>
          <w:i/>
          <w:iCs/>
          <w:spacing w:val="-3"/>
          <w:sz w:val="22"/>
          <w:szCs w:val="22"/>
        </w:rPr>
        <w:t>ó</w:t>
      </w:r>
      <w:r w:rsidRPr="00DB55BA">
        <w:rPr>
          <w:i/>
          <w:iCs/>
          <w:spacing w:val="-3"/>
          <w:sz w:val="22"/>
          <w:szCs w:val="22"/>
        </w:rPr>
        <w:t xml:space="preserve">n, reiteramos nuestra solicitud subsidiaria consistente en que la CREG aclare e incluya de manera expresa en su </w:t>
      </w:r>
      <w:r w:rsidRPr="00DB55BA">
        <w:rPr>
          <w:i/>
          <w:iCs/>
          <w:spacing w:val="-3"/>
          <w:sz w:val="22"/>
          <w:szCs w:val="22"/>
        </w:rPr>
        <w:lastRenderedPageBreak/>
        <w:t>resoluci</w:t>
      </w:r>
      <w:r>
        <w:rPr>
          <w:i/>
          <w:iCs/>
          <w:spacing w:val="-3"/>
          <w:sz w:val="22"/>
          <w:szCs w:val="22"/>
        </w:rPr>
        <w:t>ó</w:t>
      </w:r>
      <w:r w:rsidRPr="00DB55BA">
        <w:rPr>
          <w:i/>
          <w:iCs/>
          <w:spacing w:val="-3"/>
          <w:sz w:val="22"/>
          <w:szCs w:val="22"/>
        </w:rPr>
        <w:t xml:space="preserve">n, que estos proyectos </w:t>
      </w:r>
      <w:r w:rsidR="001226B9" w:rsidRPr="00DB55BA">
        <w:rPr>
          <w:i/>
          <w:iCs/>
          <w:spacing w:val="-3"/>
          <w:sz w:val="22"/>
          <w:szCs w:val="22"/>
        </w:rPr>
        <w:t>s</w:t>
      </w:r>
      <w:r w:rsidR="001226B9">
        <w:rPr>
          <w:i/>
          <w:iCs/>
          <w:spacing w:val="-3"/>
          <w:sz w:val="22"/>
          <w:szCs w:val="22"/>
        </w:rPr>
        <w:t>í</w:t>
      </w:r>
      <w:r w:rsidR="001226B9" w:rsidRPr="00DB55BA">
        <w:rPr>
          <w:i/>
          <w:iCs/>
          <w:spacing w:val="-3"/>
          <w:sz w:val="22"/>
          <w:szCs w:val="22"/>
        </w:rPr>
        <w:t xml:space="preserve"> </w:t>
      </w:r>
      <w:r w:rsidRPr="00DB55BA">
        <w:rPr>
          <w:i/>
          <w:iCs/>
          <w:spacing w:val="-3"/>
          <w:sz w:val="22"/>
          <w:szCs w:val="22"/>
        </w:rPr>
        <w:t>ser</w:t>
      </w:r>
      <w:r>
        <w:rPr>
          <w:i/>
          <w:iCs/>
          <w:spacing w:val="-3"/>
          <w:sz w:val="22"/>
          <w:szCs w:val="22"/>
        </w:rPr>
        <w:t>á</w:t>
      </w:r>
      <w:r w:rsidRPr="00DB55BA">
        <w:rPr>
          <w:i/>
          <w:iCs/>
          <w:spacing w:val="-3"/>
          <w:sz w:val="22"/>
          <w:szCs w:val="22"/>
        </w:rPr>
        <w:t xml:space="preserve">n incluidos </w:t>
      </w:r>
      <w:r w:rsidR="001226B9" w:rsidRPr="00DB55BA">
        <w:rPr>
          <w:i/>
          <w:iCs/>
          <w:spacing w:val="-3"/>
          <w:sz w:val="22"/>
          <w:szCs w:val="22"/>
        </w:rPr>
        <w:t>com</w:t>
      </w:r>
      <w:r w:rsidR="001226B9">
        <w:rPr>
          <w:i/>
          <w:iCs/>
          <w:spacing w:val="-3"/>
          <w:sz w:val="22"/>
          <w:szCs w:val="22"/>
        </w:rPr>
        <w:t>o</w:t>
      </w:r>
      <w:r w:rsidR="001226B9" w:rsidRPr="00DB55BA">
        <w:rPr>
          <w:i/>
          <w:iCs/>
          <w:spacing w:val="-3"/>
          <w:sz w:val="22"/>
          <w:szCs w:val="22"/>
        </w:rPr>
        <w:t xml:space="preserve"> </w:t>
      </w:r>
      <w:r w:rsidRPr="00DB55BA">
        <w:rPr>
          <w:i/>
          <w:iCs/>
          <w:spacing w:val="-3"/>
          <w:sz w:val="22"/>
          <w:szCs w:val="22"/>
        </w:rPr>
        <w:t>inversi</w:t>
      </w:r>
      <w:r>
        <w:rPr>
          <w:i/>
          <w:iCs/>
          <w:spacing w:val="-3"/>
          <w:sz w:val="22"/>
          <w:szCs w:val="22"/>
        </w:rPr>
        <w:t>ó</w:t>
      </w:r>
      <w:r w:rsidRPr="00DB55BA">
        <w:rPr>
          <w:i/>
          <w:iCs/>
          <w:spacing w:val="-3"/>
          <w:sz w:val="22"/>
          <w:szCs w:val="22"/>
        </w:rPr>
        <w:t>n aprobada en el Plan de inversi</w:t>
      </w:r>
      <w:r>
        <w:rPr>
          <w:i/>
          <w:iCs/>
          <w:spacing w:val="-3"/>
          <w:sz w:val="22"/>
          <w:szCs w:val="22"/>
        </w:rPr>
        <w:t>ó</w:t>
      </w:r>
      <w:r w:rsidRPr="00DB55BA">
        <w:rPr>
          <w:i/>
          <w:iCs/>
          <w:spacing w:val="-3"/>
          <w:sz w:val="22"/>
          <w:szCs w:val="22"/>
        </w:rPr>
        <w:t>n (IN</w:t>
      </w:r>
      <w:r>
        <w:rPr>
          <w:i/>
          <w:iCs/>
          <w:spacing w:val="-3"/>
          <w:sz w:val="22"/>
          <w:szCs w:val="22"/>
        </w:rPr>
        <w:t>VA</w:t>
      </w:r>
      <w:r w:rsidRPr="00DB55BA">
        <w:rPr>
          <w:i/>
          <w:iCs/>
          <w:spacing w:val="-3"/>
          <w:sz w:val="22"/>
          <w:szCs w:val="22"/>
          <w:vertAlign w:val="subscript"/>
        </w:rPr>
        <w:t>j,4</w:t>
      </w:r>
      <w:r w:rsidRPr="00DB55BA">
        <w:rPr>
          <w:i/>
          <w:iCs/>
          <w:spacing w:val="-3"/>
          <w:sz w:val="22"/>
          <w:szCs w:val="22"/>
        </w:rPr>
        <w:t>) de la EBSA una vez cuenten con el aval de la UPME.</w:t>
      </w:r>
    </w:p>
    <w:p w14:paraId="795182C3" w14:textId="4E8F1FF4" w:rsidR="002E4ED6" w:rsidRDefault="00376A86" w:rsidP="00722B74">
      <w:pPr>
        <w:spacing w:before="240"/>
      </w:pPr>
      <w:r>
        <w:t xml:space="preserve">Con respecto a los tipos de proyectos de inversión incluidos en la Resolución CREG 015 de 2018, a </w:t>
      </w:r>
      <w:proofErr w:type="gramStart"/>
      <w:r>
        <w:t>continuación</w:t>
      </w:r>
      <w:proofErr w:type="gramEnd"/>
      <w:r>
        <w:t xml:space="preserve"> se transcribe</w:t>
      </w:r>
      <w:r w:rsidR="005C0963">
        <w:t xml:space="preserve"> la definición de </w:t>
      </w:r>
      <w:r>
        <w:t>cada uno de ellos</w:t>
      </w:r>
      <w:r w:rsidR="005C0963">
        <w:t>, según lo establecido en el numeral 6 del anexo general</w:t>
      </w:r>
      <w:r>
        <w:t>.</w:t>
      </w:r>
    </w:p>
    <w:p w14:paraId="7B791D71" w14:textId="7C7A3920" w:rsidR="00282191" w:rsidRPr="00282191" w:rsidRDefault="00282191" w:rsidP="00DC4616">
      <w:pPr>
        <w:keepNext/>
        <w:ind w:left="567"/>
        <w:rPr>
          <w:b/>
          <w:bCs/>
          <w:i/>
          <w:iCs/>
          <w:spacing w:val="-3"/>
          <w:sz w:val="22"/>
          <w:szCs w:val="22"/>
        </w:rPr>
      </w:pPr>
      <w:r w:rsidRPr="00282191">
        <w:rPr>
          <w:b/>
          <w:bCs/>
          <w:i/>
          <w:iCs/>
          <w:spacing w:val="-3"/>
          <w:sz w:val="22"/>
          <w:szCs w:val="22"/>
        </w:rPr>
        <w:t>CAPÍTULO 6. PLANES DE INVERSIÓN</w:t>
      </w:r>
    </w:p>
    <w:p w14:paraId="5ECD9AB2" w14:textId="44549230" w:rsidR="00282191" w:rsidRPr="00282191" w:rsidRDefault="00282191" w:rsidP="00282191">
      <w:pPr>
        <w:ind w:left="567"/>
        <w:rPr>
          <w:i/>
          <w:iCs/>
          <w:spacing w:val="-3"/>
          <w:sz w:val="22"/>
          <w:szCs w:val="22"/>
        </w:rPr>
      </w:pPr>
      <w:r w:rsidRPr="00282191">
        <w:rPr>
          <w:i/>
          <w:iCs/>
          <w:spacing w:val="-3"/>
          <w:sz w:val="22"/>
          <w:szCs w:val="22"/>
        </w:rPr>
        <w:t>Los OR deben presentar el plan de inversión para el periodo tarifario considerando los siguientes tipos de proyectos:</w:t>
      </w:r>
    </w:p>
    <w:p w14:paraId="10B47BBA" w14:textId="081E495A" w:rsidR="00282191" w:rsidRPr="00282191" w:rsidRDefault="00282191" w:rsidP="00282191">
      <w:pPr>
        <w:ind w:left="567"/>
        <w:rPr>
          <w:i/>
          <w:iCs/>
          <w:spacing w:val="-3"/>
          <w:sz w:val="22"/>
          <w:szCs w:val="22"/>
        </w:rPr>
      </w:pPr>
      <w:r w:rsidRPr="00282191">
        <w:rPr>
          <w:i/>
          <w:iCs/>
          <w:spacing w:val="-3"/>
          <w:sz w:val="22"/>
          <w:szCs w:val="22"/>
        </w:rPr>
        <w:t>a.</w:t>
      </w:r>
      <w:r>
        <w:rPr>
          <w:i/>
          <w:iCs/>
          <w:spacing w:val="-3"/>
          <w:sz w:val="22"/>
          <w:szCs w:val="22"/>
        </w:rPr>
        <w:t xml:space="preserve"> </w:t>
      </w:r>
      <w:r w:rsidRPr="00282191">
        <w:rPr>
          <w:i/>
          <w:iCs/>
          <w:spacing w:val="-3"/>
          <w:sz w:val="22"/>
          <w:szCs w:val="22"/>
        </w:rPr>
        <w:t xml:space="preserve">Tipo I: proyectos de inversión motivados en la atención de demanda que ocasionan el remplazo de activos existentes para obtener una mayor capacidad del sistema. </w:t>
      </w:r>
    </w:p>
    <w:p w14:paraId="76FB58F9" w14:textId="122A1109" w:rsidR="00282191" w:rsidRPr="00282191" w:rsidRDefault="00282191" w:rsidP="00282191">
      <w:pPr>
        <w:ind w:left="567"/>
        <w:rPr>
          <w:i/>
          <w:iCs/>
          <w:spacing w:val="-3"/>
          <w:sz w:val="22"/>
          <w:szCs w:val="22"/>
        </w:rPr>
      </w:pPr>
      <w:r w:rsidRPr="00282191">
        <w:rPr>
          <w:i/>
          <w:iCs/>
          <w:spacing w:val="-3"/>
          <w:sz w:val="22"/>
          <w:szCs w:val="22"/>
        </w:rPr>
        <w:t>b.</w:t>
      </w:r>
      <w:r>
        <w:rPr>
          <w:i/>
          <w:iCs/>
          <w:spacing w:val="-3"/>
          <w:sz w:val="22"/>
          <w:szCs w:val="22"/>
        </w:rPr>
        <w:t xml:space="preserve"> </w:t>
      </w:r>
      <w:r w:rsidRPr="00282191">
        <w:rPr>
          <w:i/>
          <w:iCs/>
          <w:spacing w:val="-3"/>
          <w:sz w:val="22"/>
          <w:szCs w:val="22"/>
        </w:rPr>
        <w:t xml:space="preserve">Tipo II: proyectos de inversión motivados en la atención de demanda que ocasionan la instalación de nuevos activos sin reemplazo de activos de existentes. </w:t>
      </w:r>
    </w:p>
    <w:p w14:paraId="23913076" w14:textId="7BC93329" w:rsidR="00282191" w:rsidRPr="00282191" w:rsidRDefault="00282191" w:rsidP="00282191">
      <w:pPr>
        <w:ind w:left="567"/>
        <w:rPr>
          <w:i/>
          <w:iCs/>
          <w:spacing w:val="-3"/>
          <w:sz w:val="22"/>
          <w:szCs w:val="22"/>
        </w:rPr>
      </w:pPr>
      <w:r w:rsidRPr="00282191">
        <w:rPr>
          <w:i/>
          <w:iCs/>
          <w:spacing w:val="-3"/>
          <w:sz w:val="22"/>
          <w:szCs w:val="22"/>
        </w:rPr>
        <w:t>c.</w:t>
      </w:r>
      <w:r>
        <w:rPr>
          <w:i/>
          <w:iCs/>
          <w:spacing w:val="-3"/>
          <w:sz w:val="22"/>
          <w:szCs w:val="22"/>
        </w:rPr>
        <w:t xml:space="preserve"> </w:t>
      </w:r>
      <w:r w:rsidRPr="00282191">
        <w:rPr>
          <w:i/>
          <w:iCs/>
          <w:spacing w:val="-3"/>
          <w:sz w:val="22"/>
          <w:szCs w:val="22"/>
        </w:rPr>
        <w:t>Tipo III: proyectos de inversión no motivados en la atención de demanda que remplazan activos existentes sin obtener una mayor capacidad del sistema.</w:t>
      </w:r>
    </w:p>
    <w:p w14:paraId="13FCD6D7" w14:textId="09A89009" w:rsidR="00282191" w:rsidRPr="00282191" w:rsidRDefault="00282191" w:rsidP="00282191">
      <w:pPr>
        <w:ind w:left="567"/>
        <w:rPr>
          <w:i/>
          <w:iCs/>
          <w:spacing w:val="-3"/>
          <w:sz w:val="22"/>
          <w:szCs w:val="22"/>
        </w:rPr>
      </w:pPr>
      <w:r w:rsidRPr="00282191">
        <w:rPr>
          <w:i/>
          <w:iCs/>
          <w:spacing w:val="-3"/>
          <w:sz w:val="22"/>
          <w:szCs w:val="22"/>
        </w:rPr>
        <w:t>d.</w:t>
      </w:r>
      <w:r>
        <w:rPr>
          <w:i/>
          <w:iCs/>
          <w:spacing w:val="-3"/>
          <w:sz w:val="22"/>
          <w:szCs w:val="22"/>
        </w:rPr>
        <w:t xml:space="preserve"> </w:t>
      </w:r>
      <w:r w:rsidRPr="00282191">
        <w:rPr>
          <w:i/>
          <w:iCs/>
          <w:spacing w:val="-3"/>
          <w:sz w:val="22"/>
          <w:szCs w:val="22"/>
        </w:rPr>
        <w:t>Tipo IV: proyectos de inversión no motivados en la atención de demanda que ocasionan la instalación de nuevos activos.</w:t>
      </w:r>
    </w:p>
    <w:p w14:paraId="142E8A6A" w14:textId="6F0FEAAE" w:rsidR="00D97194" w:rsidRDefault="00282191" w:rsidP="00282191">
      <w:pPr>
        <w:ind w:left="567"/>
        <w:rPr>
          <w:i/>
          <w:iCs/>
          <w:spacing w:val="-3"/>
          <w:sz w:val="22"/>
          <w:szCs w:val="22"/>
        </w:rPr>
      </w:pPr>
      <w:r w:rsidRPr="00282191">
        <w:rPr>
          <w:i/>
          <w:iCs/>
          <w:spacing w:val="-3"/>
          <w:sz w:val="22"/>
          <w:szCs w:val="22"/>
        </w:rPr>
        <w:t>El OR debe asignar cada uno de los proyectos de inversión a los tipos señalados anteriormente.</w:t>
      </w:r>
    </w:p>
    <w:p w14:paraId="39B6C7AF" w14:textId="591A941D" w:rsidR="001451F0" w:rsidRDefault="001451F0" w:rsidP="00D564D2">
      <w:pPr>
        <w:spacing w:before="240"/>
      </w:pPr>
      <w:r>
        <w:t xml:space="preserve">Con base en </w:t>
      </w:r>
      <w:r w:rsidR="00706054">
        <w:t xml:space="preserve">el </w:t>
      </w:r>
      <w:r>
        <w:t>numeral</w:t>
      </w:r>
      <w:r w:rsidR="00706054">
        <w:t xml:space="preserve"> transcrito, entiende la CREG que</w:t>
      </w:r>
      <w:r>
        <w:t xml:space="preserve"> el OR es el responsable de asignar el tipo al que corresponde el proyecto, considerando la definición de cada uno.</w:t>
      </w:r>
    </w:p>
    <w:p w14:paraId="0A322159" w14:textId="1903B743" w:rsidR="00282191" w:rsidRDefault="00282191" w:rsidP="00282191">
      <w:r>
        <w:t>Adicionalmente, el numeral 6.3.3.2 del mismo anexo establece:</w:t>
      </w:r>
    </w:p>
    <w:p w14:paraId="0B720404" w14:textId="77777777" w:rsidR="00282191" w:rsidRPr="00282191" w:rsidRDefault="00282191" w:rsidP="00DC4616">
      <w:pPr>
        <w:keepNext/>
        <w:ind w:left="567"/>
        <w:rPr>
          <w:b/>
          <w:bCs/>
          <w:i/>
          <w:iCs/>
          <w:spacing w:val="-3"/>
          <w:sz w:val="22"/>
          <w:szCs w:val="22"/>
        </w:rPr>
      </w:pPr>
      <w:r w:rsidRPr="00282191">
        <w:rPr>
          <w:b/>
          <w:bCs/>
          <w:i/>
          <w:iCs/>
          <w:spacing w:val="-3"/>
          <w:sz w:val="22"/>
          <w:szCs w:val="22"/>
        </w:rPr>
        <w:t>6.3.3.2</w:t>
      </w:r>
      <w:r w:rsidRPr="00282191">
        <w:rPr>
          <w:b/>
          <w:bCs/>
          <w:i/>
          <w:iCs/>
          <w:spacing w:val="-3"/>
          <w:sz w:val="22"/>
          <w:szCs w:val="22"/>
        </w:rPr>
        <w:tab/>
        <w:t>Inversiones Tipo IV</w:t>
      </w:r>
    </w:p>
    <w:p w14:paraId="3010B205" w14:textId="77777777" w:rsidR="00282191" w:rsidRPr="00282191" w:rsidRDefault="00282191" w:rsidP="00282191">
      <w:pPr>
        <w:ind w:left="567"/>
        <w:rPr>
          <w:i/>
          <w:iCs/>
          <w:spacing w:val="-3"/>
          <w:sz w:val="22"/>
          <w:szCs w:val="22"/>
        </w:rPr>
      </w:pPr>
      <w:r w:rsidRPr="00282191">
        <w:rPr>
          <w:i/>
          <w:iCs/>
          <w:spacing w:val="-3"/>
          <w:sz w:val="22"/>
          <w:szCs w:val="22"/>
        </w:rPr>
        <w:t>El OR debe presentar dentro del plan de inversión los proyectos para el mejoramiento en la calidad y confiablidad del servicio, reducción y mantenimiento de pérdidas, renovación tecnológica de los activos de uso del sistema y otras áreas que identifique de acuerdo con los siguientes criterios y lineamientos:</w:t>
      </w:r>
    </w:p>
    <w:p w14:paraId="3E9A318C" w14:textId="57086396" w:rsidR="00282191" w:rsidRPr="00376A86" w:rsidRDefault="00376A86" w:rsidP="00376A86">
      <w:pPr>
        <w:ind w:left="567"/>
        <w:rPr>
          <w:i/>
          <w:iCs/>
          <w:spacing w:val="-3"/>
          <w:sz w:val="22"/>
          <w:szCs w:val="22"/>
        </w:rPr>
      </w:pPr>
      <w:r>
        <w:rPr>
          <w:i/>
          <w:iCs/>
          <w:spacing w:val="-3"/>
          <w:sz w:val="22"/>
          <w:szCs w:val="22"/>
        </w:rPr>
        <w:t xml:space="preserve">a. </w:t>
      </w:r>
      <w:r w:rsidR="00282191" w:rsidRPr="00376A86">
        <w:rPr>
          <w:i/>
          <w:iCs/>
          <w:spacing w:val="-3"/>
          <w:sz w:val="22"/>
          <w:szCs w:val="22"/>
        </w:rPr>
        <w:t xml:space="preserve">Los proyectos de inversión deben estar orientados al mejoramiento en la calidad del servicio a partir de inversiones eficientes en activos que permitan asegurar la continuidad y confiabilidad en la prestación del servicio.  </w:t>
      </w:r>
    </w:p>
    <w:p w14:paraId="50AAFEDD" w14:textId="566A6CDB" w:rsidR="00282191" w:rsidRDefault="00282191" w:rsidP="00282191">
      <w:pPr>
        <w:ind w:left="567"/>
        <w:rPr>
          <w:i/>
          <w:iCs/>
          <w:spacing w:val="-3"/>
          <w:sz w:val="22"/>
          <w:szCs w:val="22"/>
        </w:rPr>
      </w:pPr>
      <w:r>
        <w:rPr>
          <w:i/>
          <w:iCs/>
          <w:spacing w:val="-3"/>
          <w:sz w:val="22"/>
          <w:szCs w:val="22"/>
        </w:rPr>
        <w:t>(…)</w:t>
      </w:r>
    </w:p>
    <w:p w14:paraId="4BDEED04" w14:textId="47678A32" w:rsidR="00376A86" w:rsidRDefault="00376A86" w:rsidP="00282191">
      <w:pPr>
        <w:ind w:left="567"/>
        <w:rPr>
          <w:i/>
          <w:iCs/>
          <w:spacing w:val="-3"/>
          <w:sz w:val="22"/>
          <w:szCs w:val="22"/>
        </w:rPr>
      </w:pPr>
      <w:r w:rsidRPr="00376A86">
        <w:rPr>
          <w:i/>
          <w:iCs/>
          <w:spacing w:val="-3"/>
          <w:sz w:val="22"/>
          <w:szCs w:val="22"/>
        </w:rPr>
        <w:t>e.</w:t>
      </w:r>
      <w:r>
        <w:rPr>
          <w:i/>
          <w:iCs/>
          <w:spacing w:val="-3"/>
          <w:sz w:val="22"/>
          <w:szCs w:val="22"/>
        </w:rPr>
        <w:t xml:space="preserve"> </w:t>
      </w:r>
      <w:r w:rsidRPr="00376A86">
        <w:rPr>
          <w:i/>
          <w:iCs/>
          <w:spacing w:val="-3"/>
          <w:sz w:val="22"/>
          <w:szCs w:val="22"/>
        </w:rPr>
        <w:t>Los OR podrán presentar proyectos de inversión, requeridos para la reducción de pérdidas de energía, que correspondan a la instalación de activos de uso como redes antifraude, equipos de medida en transformadores de distribución, transformadores de distribución, etc.</w:t>
      </w:r>
    </w:p>
    <w:p w14:paraId="70FAD3D9" w14:textId="6C250805" w:rsidR="00282191" w:rsidRDefault="00282191" w:rsidP="007F2363">
      <w:pPr>
        <w:spacing w:before="240"/>
      </w:pPr>
      <w:r>
        <w:t xml:space="preserve">De lo transcrito es claro que los proyectos Tipo IV son aquellos orientados al mejoramiento de la calidad y confiabilidad del servicio </w:t>
      </w:r>
      <w:r w:rsidR="00376A86">
        <w:t xml:space="preserve">o a la reducción de los niveles de pérdidas </w:t>
      </w:r>
      <w:r w:rsidR="001451F0">
        <w:t>y</w:t>
      </w:r>
      <w:r w:rsidR="00376A86">
        <w:t>,</w:t>
      </w:r>
      <w:r w:rsidR="001451F0">
        <w:t xml:space="preserve"> por tanto</w:t>
      </w:r>
      <w:r w:rsidR="00376A86">
        <w:t>,</w:t>
      </w:r>
      <w:r w:rsidR="001451F0">
        <w:t xml:space="preserve"> un proyecto </w:t>
      </w:r>
      <w:r w:rsidR="00706054">
        <w:t>catalogado</w:t>
      </w:r>
      <w:r w:rsidR="001451F0">
        <w:t xml:space="preserve"> en este tipo debe </w:t>
      </w:r>
      <w:r w:rsidR="00706054">
        <w:t>buscar principalmente</w:t>
      </w:r>
      <w:r w:rsidR="001451F0">
        <w:t xml:space="preserve"> </w:t>
      </w:r>
      <w:r w:rsidR="00376A86">
        <w:t>alguno de estos</w:t>
      </w:r>
      <w:r w:rsidR="001451F0">
        <w:t xml:space="preserve"> objetivo</w:t>
      </w:r>
      <w:r w:rsidR="00376A86">
        <w:t>s</w:t>
      </w:r>
      <w:r w:rsidR="00616C5F">
        <w:t>.</w:t>
      </w:r>
    </w:p>
    <w:p w14:paraId="61A07C86" w14:textId="0B93E424" w:rsidR="00706054" w:rsidRDefault="00706054" w:rsidP="00282191">
      <w:r>
        <w:t>Dado que cualquier proyecto ejecutado en un sistema puede repercutir en diferentes aspectos, es importante que el OR identifique la función y el objetivo principal del proyecto al momento de clasificarlo.</w:t>
      </w:r>
    </w:p>
    <w:p w14:paraId="045BE260" w14:textId="23FA6DBA" w:rsidR="001451F0" w:rsidRDefault="00706054" w:rsidP="00282191">
      <w:r>
        <w:lastRenderedPageBreak/>
        <w:t xml:space="preserve">Por lo anterior, si bien la CREG acepta incluir </w:t>
      </w:r>
      <w:r w:rsidR="00376A86">
        <w:t xml:space="preserve">en el inventario del plan de inversiones </w:t>
      </w:r>
      <w:r w:rsidR="00B75CDF">
        <w:t xml:space="preserve">los proyectos </w:t>
      </w:r>
      <w:r w:rsidR="00376A86">
        <w:t>Tipo IV solicitados por el OR, sin haberse expedido aún el concepto UPME</w:t>
      </w:r>
      <w:r w:rsidR="00B75CDF">
        <w:t>,</w:t>
      </w:r>
      <w:r>
        <w:t xml:space="preserve"> </w:t>
      </w:r>
      <w:r w:rsidR="00B75CDF">
        <w:t>se recuerda que en la etapa de verificación de la ejecución del plan se verificará la correcta clasificación de los proyectos o</w:t>
      </w:r>
      <w:r w:rsidR="00616C5F">
        <w:t>,</w:t>
      </w:r>
      <w:r w:rsidR="00B75CDF">
        <w:t xml:space="preserve"> de lo contrario</w:t>
      </w:r>
      <w:r w:rsidR="00376A86">
        <w:t>,</w:t>
      </w:r>
      <w:r w:rsidR="00B75CDF">
        <w:t xml:space="preserve"> se exigirá el cumplimento de los requisitos a los que realmente correspond</w:t>
      </w:r>
      <w:r w:rsidR="00616C5F">
        <w:t>e</w:t>
      </w:r>
      <w:r w:rsidR="00376A86">
        <w:t xml:space="preserve"> para considerar que el proyecto se ha ejecutado</w:t>
      </w:r>
      <w:r w:rsidR="00B75CDF">
        <w:t>.</w:t>
      </w:r>
    </w:p>
    <w:p w14:paraId="5091B49F" w14:textId="77777777" w:rsidR="00282191" w:rsidRDefault="00282191" w:rsidP="00282191">
      <w:pPr>
        <w:ind w:left="567"/>
        <w:rPr>
          <w:i/>
          <w:iCs/>
          <w:spacing w:val="-3"/>
          <w:sz w:val="22"/>
          <w:szCs w:val="22"/>
        </w:rPr>
      </w:pPr>
    </w:p>
    <w:p w14:paraId="5BB200A4" w14:textId="4AE291D4" w:rsidR="00D97194" w:rsidRPr="00D97194" w:rsidRDefault="00D97194" w:rsidP="00DC4616">
      <w:pPr>
        <w:keepNext/>
        <w:ind w:left="567"/>
        <w:rPr>
          <w:b/>
          <w:bCs/>
          <w:i/>
          <w:iCs/>
          <w:spacing w:val="-3"/>
          <w:sz w:val="22"/>
          <w:szCs w:val="22"/>
        </w:rPr>
      </w:pPr>
      <w:r w:rsidRPr="00D97194">
        <w:rPr>
          <w:b/>
          <w:bCs/>
          <w:i/>
          <w:iCs/>
          <w:spacing w:val="-3"/>
          <w:sz w:val="22"/>
          <w:szCs w:val="22"/>
        </w:rPr>
        <w:t>1.3.6 Reconocimiento del Sistema de Gestión de Activos</w:t>
      </w:r>
    </w:p>
    <w:p w14:paraId="12F19FD1" w14:textId="5DC14C27" w:rsidR="00D97194" w:rsidRDefault="00D97194" w:rsidP="00FD0C28">
      <w:pPr>
        <w:ind w:left="567"/>
        <w:rPr>
          <w:i/>
          <w:iCs/>
          <w:spacing w:val="-3"/>
          <w:sz w:val="22"/>
          <w:szCs w:val="22"/>
        </w:rPr>
      </w:pPr>
      <w:r>
        <w:rPr>
          <w:i/>
          <w:iCs/>
          <w:spacing w:val="-3"/>
          <w:sz w:val="22"/>
          <w:szCs w:val="22"/>
        </w:rPr>
        <w:t>(…)</w:t>
      </w:r>
    </w:p>
    <w:p w14:paraId="7245E9C5" w14:textId="10EED215" w:rsidR="00D97194" w:rsidRDefault="00D97194" w:rsidP="00FD0C28">
      <w:pPr>
        <w:ind w:left="567"/>
        <w:rPr>
          <w:i/>
          <w:iCs/>
          <w:spacing w:val="-3"/>
          <w:sz w:val="22"/>
          <w:szCs w:val="22"/>
        </w:rPr>
      </w:pPr>
      <w:r w:rsidRPr="00D97194">
        <w:rPr>
          <w:i/>
          <w:iCs/>
          <w:spacing w:val="-3"/>
          <w:sz w:val="22"/>
          <w:szCs w:val="22"/>
        </w:rPr>
        <w:t>La informaci</w:t>
      </w:r>
      <w:r>
        <w:rPr>
          <w:i/>
          <w:iCs/>
          <w:spacing w:val="-3"/>
          <w:sz w:val="22"/>
          <w:szCs w:val="22"/>
        </w:rPr>
        <w:t>ó</w:t>
      </w:r>
      <w:r w:rsidRPr="00D97194">
        <w:rPr>
          <w:i/>
          <w:iCs/>
          <w:spacing w:val="-3"/>
          <w:sz w:val="22"/>
          <w:szCs w:val="22"/>
        </w:rPr>
        <w:t xml:space="preserve">n faltante </w:t>
      </w:r>
      <w:r w:rsidR="00CE7ACC" w:rsidRPr="00D97194">
        <w:rPr>
          <w:i/>
          <w:iCs/>
          <w:spacing w:val="-3"/>
          <w:sz w:val="22"/>
          <w:szCs w:val="22"/>
        </w:rPr>
        <w:t>par</w:t>
      </w:r>
      <w:r w:rsidR="00CE7ACC">
        <w:rPr>
          <w:i/>
          <w:iCs/>
          <w:spacing w:val="-3"/>
          <w:sz w:val="22"/>
          <w:szCs w:val="22"/>
        </w:rPr>
        <w:t>a</w:t>
      </w:r>
      <w:r w:rsidR="00CE7ACC" w:rsidRPr="00D97194">
        <w:rPr>
          <w:i/>
          <w:iCs/>
          <w:spacing w:val="-3"/>
          <w:sz w:val="22"/>
          <w:szCs w:val="22"/>
        </w:rPr>
        <w:t xml:space="preserve"> </w:t>
      </w:r>
      <w:r w:rsidRPr="00D97194">
        <w:rPr>
          <w:i/>
          <w:iCs/>
          <w:spacing w:val="-3"/>
          <w:sz w:val="22"/>
          <w:szCs w:val="22"/>
        </w:rPr>
        <w:t>el reconocimiento del sistema de gest</w:t>
      </w:r>
      <w:r>
        <w:rPr>
          <w:i/>
          <w:iCs/>
          <w:spacing w:val="-3"/>
          <w:sz w:val="22"/>
          <w:szCs w:val="22"/>
        </w:rPr>
        <w:t>ión</w:t>
      </w:r>
      <w:r w:rsidRPr="00D97194">
        <w:rPr>
          <w:i/>
          <w:iCs/>
          <w:spacing w:val="-3"/>
          <w:sz w:val="22"/>
          <w:szCs w:val="22"/>
        </w:rPr>
        <w:t xml:space="preserve"> de activos solicitado por EBSA se incluye en detalle y de forma complet</w:t>
      </w:r>
      <w:r>
        <w:rPr>
          <w:i/>
          <w:iCs/>
          <w:spacing w:val="-3"/>
          <w:sz w:val="22"/>
          <w:szCs w:val="22"/>
        </w:rPr>
        <w:t>a</w:t>
      </w:r>
      <w:r w:rsidRPr="00D97194">
        <w:rPr>
          <w:i/>
          <w:iCs/>
          <w:spacing w:val="-3"/>
          <w:sz w:val="22"/>
          <w:szCs w:val="22"/>
        </w:rPr>
        <w:t xml:space="preserve"> a continuaci</w:t>
      </w:r>
      <w:r>
        <w:rPr>
          <w:i/>
          <w:iCs/>
          <w:spacing w:val="-3"/>
          <w:sz w:val="22"/>
          <w:szCs w:val="22"/>
        </w:rPr>
        <w:t>ó</w:t>
      </w:r>
      <w:r w:rsidRPr="00D97194">
        <w:rPr>
          <w:i/>
          <w:iCs/>
          <w:spacing w:val="-3"/>
          <w:sz w:val="22"/>
          <w:szCs w:val="22"/>
        </w:rPr>
        <w:t>n. Por ende, se solicita respetuosamente a la CREG que se proceda con el reconocimiento del sistema de gest</w:t>
      </w:r>
      <w:r>
        <w:rPr>
          <w:i/>
          <w:iCs/>
          <w:spacing w:val="-3"/>
          <w:sz w:val="22"/>
          <w:szCs w:val="22"/>
        </w:rPr>
        <w:t>ión</w:t>
      </w:r>
      <w:r w:rsidRPr="00D97194">
        <w:rPr>
          <w:i/>
          <w:iCs/>
          <w:spacing w:val="-3"/>
          <w:sz w:val="22"/>
          <w:szCs w:val="22"/>
        </w:rPr>
        <w:t xml:space="preserve"> de activos solicitado en virtud del aporte de </w:t>
      </w:r>
      <w:r>
        <w:rPr>
          <w:i/>
          <w:iCs/>
          <w:spacing w:val="-3"/>
          <w:sz w:val="22"/>
          <w:szCs w:val="22"/>
        </w:rPr>
        <w:t>l</w:t>
      </w:r>
      <w:r w:rsidRPr="00D97194">
        <w:rPr>
          <w:i/>
          <w:iCs/>
          <w:spacing w:val="-3"/>
          <w:sz w:val="22"/>
          <w:szCs w:val="22"/>
        </w:rPr>
        <w:t>a informaci</w:t>
      </w:r>
      <w:r>
        <w:rPr>
          <w:i/>
          <w:iCs/>
          <w:spacing w:val="-3"/>
          <w:sz w:val="22"/>
          <w:szCs w:val="22"/>
        </w:rPr>
        <w:t>ó</w:t>
      </w:r>
      <w:r w:rsidRPr="00D97194">
        <w:rPr>
          <w:i/>
          <w:iCs/>
          <w:spacing w:val="-3"/>
          <w:sz w:val="22"/>
          <w:szCs w:val="22"/>
        </w:rPr>
        <w:t>n faltante.</w:t>
      </w:r>
    </w:p>
    <w:p w14:paraId="30252162" w14:textId="77A950DC" w:rsidR="00CE3F87" w:rsidRDefault="00697DF1" w:rsidP="00CE3F87">
      <w:r w:rsidRPr="00697DF1">
        <w:t>Con base en la información suministrada por la EBSA, la CREG incluye en el inventario las inversiones necesarias para la implementación del sistema de gestión de activos. No obstante, no se reconocen los componentes del sistema que se relacionan con gastos de AOM.</w:t>
      </w:r>
    </w:p>
    <w:p w14:paraId="779D3E2C" w14:textId="77777777" w:rsidR="00AB668B" w:rsidRPr="00FD0C28" w:rsidRDefault="00AB668B" w:rsidP="00FD0C28">
      <w:pPr>
        <w:ind w:left="567"/>
        <w:rPr>
          <w:i/>
          <w:iCs/>
          <w:spacing w:val="-3"/>
          <w:sz w:val="22"/>
          <w:szCs w:val="22"/>
        </w:rPr>
      </w:pPr>
    </w:p>
    <w:p w14:paraId="577708F7" w14:textId="70F7626B" w:rsidR="00D97194" w:rsidRDefault="00D97194" w:rsidP="00D97194">
      <w:pPr>
        <w:rPr>
          <w:spacing w:val="-3"/>
        </w:rPr>
      </w:pPr>
      <w:r>
        <w:rPr>
          <w:b/>
          <w:bCs/>
          <w:spacing w:val="-3"/>
        </w:rPr>
        <w:t>Solicitud 2</w:t>
      </w:r>
      <w:r w:rsidRPr="00221B7B">
        <w:rPr>
          <w:b/>
          <w:bCs/>
          <w:spacing w:val="-3"/>
        </w:rPr>
        <w:t>.</w:t>
      </w:r>
      <w:r>
        <w:rPr>
          <w:b/>
          <w:bCs/>
          <w:spacing w:val="-3"/>
        </w:rPr>
        <w:t xml:space="preserve"> AOM. </w:t>
      </w:r>
      <w:r w:rsidRPr="00221B7B">
        <w:rPr>
          <w:spacing w:val="-3"/>
        </w:rPr>
        <w:t xml:space="preserve">El OR </w:t>
      </w:r>
      <w:r w:rsidR="008301BF" w:rsidRPr="008301BF">
        <w:rPr>
          <w:spacing w:val="-3"/>
        </w:rPr>
        <w:t>indica que</w:t>
      </w:r>
      <w:r w:rsidR="00446F21">
        <w:rPr>
          <w:spacing w:val="-3"/>
        </w:rPr>
        <w:t>,</w:t>
      </w:r>
      <w:r w:rsidR="008301BF" w:rsidRPr="008301BF">
        <w:rPr>
          <w:spacing w:val="-3"/>
        </w:rPr>
        <w:t xml:space="preserve"> para algunas comparaciones de valores, mostradas en la Resolución CREG 177 de 2019 y en el documento CREG 114 de 2019, la Comisión no tuvo en cuenta el alcance a la información entregada en la solicitud de ingresos, presentado mediante radicado CREG E-2019-001175 del 30 de enero de 2019.</w:t>
      </w:r>
    </w:p>
    <w:p w14:paraId="4BF5CDC9" w14:textId="494172ED" w:rsidR="008301BF" w:rsidRDefault="008301BF" w:rsidP="00D97194">
      <w:pPr>
        <w:rPr>
          <w:spacing w:val="-3"/>
        </w:rPr>
      </w:pPr>
      <w:r w:rsidRPr="008301BF">
        <w:rPr>
          <w:spacing w:val="-3"/>
        </w:rPr>
        <w:t>Además, solicita que se modifique el cálculo del valor de AOM, con base en lo siguiente:</w:t>
      </w:r>
    </w:p>
    <w:p w14:paraId="088AE65A" w14:textId="132AD99F" w:rsidR="008301BF" w:rsidRPr="008301BF" w:rsidRDefault="008301BF" w:rsidP="008301BF">
      <w:pPr>
        <w:ind w:left="567"/>
        <w:rPr>
          <w:i/>
          <w:iCs/>
          <w:spacing w:val="-3"/>
          <w:sz w:val="22"/>
          <w:szCs w:val="22"/>
        </w:rPr>
      </w:pPr>
      <w:r>
        <w:rPr>
          <w:i/>
          <w:iCs/>
          <w:spacing w:val="-3"/>
          <w:sz w:val="22"/>
          <w:szCs w:val="22"/>
        </w:rPr>
        <w:t>(</w:t>
      </w:r>
      <w:r w:rsidRPr="008301BF">
        <w:rPr>
          <w:i/>
          <w:iCs/>
          <w:spacing w:val="-3"/>
          <w:sz w:val="22"/>
          <w:szCs w:val="22"/>
        </w:rPr>
        <w:t>…</w:t>
      </w:r>
      <w:r>
        <w:rPr>
          <w:i/>
          <w:iCs/>
          <w:spacing w:val="-3"/>
          <w:sz w:val="22"/>
          <w:szCs w:val="22"/>
        </w:rPr>
        <w:t>)</w:t>
      </w:r>
      <w:r w:rsidRPr="008301BF">
        <w:rPr>
          <w:i/>
          <w:iCs/>
          <w:spacing w:val="-3"/>
          <w:sz w:val="22"/>
          <w:szCs w:val="22"/>
        </w:rPr>
        <w:t xml:space="preserve"> el AOM se debe calcular con un factor de eficiencia de 0,99, en razón a que para el cálculo del factor de eficiencia se deben excluir los gastos de gestión de pérdidas de los gastos de AOM base de distribución, insumo que requiere el modelo de cálculo de este factor de eficiencia. Lo anterior es necesario para mantener la consistencia con la metodología de cálculo del mismo AOM base de distribución, que descuenta el AOM del control de pérdidas, de acuerdo con lo previsto en la Resolución 015 de 2018, numeral 4.1 “AOM BASE A RECONOCER”.</w:t>
      </w:r>
    </w:p>
    <w:p w14:paraId="53B3D28D" w14:textId="77777777" w:rsidR="008301BF" w:rsidRPr="008301BF" w:rsidRDefault="008301BF" w:rsidP="008301BF">
      <w:pPr>
        <w:ind w:left="567"/>
        <w:rPr>
          <w:i/>
          <w:iCs/>
          <w:spacing w:val="-3"/>
          <w:sz w:val="22"/>
          <w:szCs w:val="22"/>
        </w:rPr>
      </w:pPr>
      <w:r w:rsidRPr="008301BF">
        <w:rPr>
          <w:i/>
          <w:iCs/>
          <w:spacing w:val="-3"/>
          <w:sz w:val="22"/>
          <w:szCs w:val="22"/>
        </w:rPr>
        <w:t>(…)</w:t>
      </w:r>
    </w:p>
    <w:p w14:paraId="34A14C7B" w14:textId="77777777" w:rsidR="008301BF" w:rsidRPr="008301BF" w:rsidRDefault="008301BF" w:rsidP="008301BF">
      <w:pPr>
        <w:ind w:left="567"/>
        <w:rPr>
          <w:i/>
          <w:iCs/>
          <w:spacing w:val="-3"/>
          <w:sz w:val="22"/>
          <w:szCs w:val="22"/>
        </w:rPr>
      </w:pPr>
      <w:r w:rsidRPr="008301BF">
        <w:rPr>
          <w:i/>
          <w:iCs/>
          <w:spacing w:val="-3"/>
          <w:sz w:val="22"/>
          <w:szCs w:val="22"/>
        </w:rPr>
        <w:t>Para mejor comprensión de nuestra sustentación, nos permitimos desarrollar el cálculo del AOM base de distribución, con la formulación dada en la Resolución CREG 015 de 2018:</w:t>
      </w:r>
    </w:p>
    <w:p w14:paraId="2AFFDBAF" w14:textId="63FA567E" w:rsidR="008301BF" w:rsidRPr="008301BF" w:rsidRDefault="008834A0" w:rsidP="008301BF">
      <w:pPr>
        <w:rPr>
          <w:i/>
          <w:iCs/>
          <w:spacing w:val="-3"/>
          <w:lang w:val="es-CO"/>
        </w:rPr>
      </w:pPr>
      <m:oMathPara>
        <m:oMath>
          <m:sSub>
            <m:sSubPr>
              <m:ctrlPr>
                <w:rPr>
                  <w:rFonts w:ascii="Cambria Math" w:hAnsi="Cambria Math"/>
                  <w:spacing w:val="-3"/>
                  <w:lang w:val="es-MX"/>
                </w:rPr>
              </m:ctrlPr>
            </m:sSubPr>
            <m:e>
              <m:r>
                <w:rPr>
                  <w:rFonts w:ascii="Cambria Math" w:hAnsi="Cambria Math"/>
                  <w:spacing w:val="-3"/>
                  <w:lang w:val="es-MX"/>
                </w:rPr>
                <m:t>AOMbase</m:t>
              </m:r>
            </m:e>
            <m:sub>
              <m:r>
                <w:rPr>
                  <w:rFonts w:ascii="Cambria Math" w:hAnsi="Cambria Math"/>
                  <w:spacing w:val="-3"/>
                  <w:lang w:val="es-MX"/>
                </w:rPr>
                <m:t>j</m:t>
              </m:r>
            </m:sub>
          </m:sSub>
          <m:r>
            <m:rPr>
              <m:sty m:val="p"/>
            </m:rPr>
            <w:rPr>
              <w:rFonts w:ascii="Cambria Math" w:hAnsi="Cambria Math"/>
              <w:spacing w:val="-3"/>
              <w:lang w:val="es-MX"/>
            </w:rPr>
            <m:t>=</m:t>
          </m:r>
          <m:d>
            <m:dPr>
              <m:ctrlPr>
                <w:rPr>
                  <w:rFonts w:ascii="Cambria Math" w:hAnsi="Cambria Math"/>
                  <w:i/>
                  <w:spacing w:val="-3"/>
                  <w:lang w:val="es-MX"/>
                </w:rPr>
              </m:ctrlPr>
            </m:dPr>
            <m:e>
              <m:func>
                <m:funcPr>
                  <m:ctrlPr>
                    <w:rPr>
                      <w:rFonts w:ascii="Cambria Math" w:hAnsi="Cambria Math"/>
                      <w:i/>
                      <w:spacing w:val="-3"/>
                      <w:lang w:val="es-MX"/>
                    </w:rPr>
                  </m:ctrlPr>
                </m:funcPr>
                <m:fName>
                  <m:r>
                    <m:rPr>
                      <m:sty m:val="p"/>
                    </m:rPr>
                    <w:rPr>
                      <w:rFonts w:ascii="Cambria Math" w:hAnsi="Cambria Math"/>
                      <w:spacing w:val="-3"/>
                      <w:lang w:val="es-MX"/>
                    </w:rPr>
                    <m:t>máx</m:t>
                  </m:r>
                </m:fName>
                <m:e>
                  <m:r>
                    <w:rPr>
                      <w:rFonts w:ascii="Cambria Math" w:hAnsi="Cambria Math"/>
                      <w:spacing w:val="-3"/>
                      <w:lang w:val="es-MX"/>
                    </w:rPr>
                    <m:t xml:space="preserve"> </m:t>
                  </m:r>
                  <m:d>
                    <m:dPr>
                      <m:ctrlPr>
                        <w:rPr>
                          <w:rFonts w:ascii="Cambria Math" w:hAnsi="Cambria Math"/>
                          <w:i/>
                          <w:spacing w:val="-3"/>
                          <w:lang w:val="es-MX"/>
                        </w:rPr>
                      </m:ctrlPr>
                    </m:dPr>
                    <m:e>
                      <m:sSub>
                        <m:sSubPr>
                          <m:ctrlPr>
                            <w:rPr>
                              <w:rFonts w:ascii="Cambria Math" w:hAnsi="Cambria Math"/>
                              <w:i/>
                              <w:spacing w:val="-3"/>
                              <w:lang w:val="es-MX"/>
                            </w:rPr>
                          </m:ctrlPr>
                        </m:sSubPr>
                        <m:e>
                          <m:r>
                            <w:rPr>
                              <w:rFonts w:ascii="Cambria Math" w:hAnsi="Cambria Math"/>
                              <w:spacing w:val="-3"/>
                              <w:lang w:val="es-MX"/>
                            </w:rPr>
                            <m:t>AOMINI</m:t>
                          </m:r>
                        </m:e>
                        <m:sub>
                          <m:r>
                            <w:rPr>
                              <w:rFonts w:ascii="Cambria Math" w:hAnsi="Cambria Math"/>
                              <w:spacing w:val="-3"/>
                              <w:lang w:val="es-MX"/>
                            </w:rPr>
                            <m:t>j</m:t>
                          </m:r>
                        </m:sub>
                      </m:sSub>
                      <m:r>
                        <w:rPr>
                          <w:rFonts w:ascii="Cambria Math" w:hAnsi="Cambria Math"/>
                          <w:spacing w:val="-3"/>
                          <w:lang w:val="es-MX"/>
                        </w:rPr>
                        <m:t>,</m:t>
                      </m:r>
                      <m:sSub>
                        <m:sSubPr>
                          <m:ctrlPr>
                            <w:rPr>
                              <w:rFonts w:ascii="Cambria Math" w:hAnsi="Cambria Math"/>
                              <w:i/>
                              <w:spacing w:val="-3"/>
                              <w:lang w:val="es-MX"/>
                            </w:rPr>
                          </m:ctrlPr>
                        </m:sSubPr>
                        <m:e>
                          <m:r>
                            <w:rPr>
                              <w:rFonts w:ascii="Cambria Math" w:hAnsi="Cambria Math"/>
                              <w:spacing w:val="-3"/>
                              <w:lang w:val="es-MX"/>
                            </w:rPr>
                            <m:t>AOMOB</m:t>
                          </m:r>
                        </m:e>
                        <m:sub>
                          <m:r>
                            <w:rPr>
                              <w:rFonts w:ascii="Cambria Math" w:hAnsi="Cambria Math"/>
                              <w:spacing w:val="-3"/>
                              <w:lang w:val="es-MX"/>
                            </w:rPr>
                            <m:t>j</m:t>
                          </m:r>
                        </m:sub>
                      </m:sSub>
                    </m:e>
                  </m:d>
                </m:e>
              </m:func>
              <m:r>
                <w:rPr>
                  <w:rFonts w:ascii="Cambria Math" w:hAnsi="Cambria Math"/>
                  <w:spacing w:val="-3"/>
                  <w:lang w:val="es-MX"/>
                </w:rPr>
                <m:t>-</m:t>
              </m:r>
              <m:sSub>
                <m:sSubPr>
                  <m:ctrlPr>
                    <w:rPr>
                      <w:rFonts w:ascii="Cambria Math" w:hAnsi="Cambria Math"/>
                      <w:i/>
                      <w:spacing w:val="-3"/>
                      <w:lang w:val="es-MX"/>
                    </w:rPr>
                  </m:ctrlPr>
                </m:sSubPr>
                <m:e>
                  <m:r>
                    <w:rPr>
                      <w:rFonts w:ascii="Cambria Math" w:hAnsi="Cambria Math"/>
                      <w:spacing w:val="-3"/>
                      <w:lang w:val="es-MX"/>
                    </w:rPr>
                    <m:t>AOMP</m:t>
                  </m:r>
                </m:e>
                <m:sub>
                  <m:r>
                    <w:rPr>
                      <w:rFonts w:ascii="Cambria Math" w:hAnsi="Cambria Math"/>
                      <w:spacing w:val="-3"/>
                      <w:lang w:val="es-MX"/>
                    </w:rPr>
                    <m:t>j</m:t>
                  </m:r>
                </m:sub>
              </m:sSub>
              <m:r>
                <w:rPr>
                  <w:rFonts w:ascii="Cambria Math" w:hAnsi="Cambria Math"/>
                  <w:spacing w:val="-3"/>
                  <w:lang w:val="es-MX"/>
                </w:rPr>
                <m:t>+</m:t>
              </m:r>
              <m:sSub>
                <m:sSubPr>
                  <m:ctrlPr>
                    <w:rPr>
                      <w:rFonts w:ascii="Cambria Math" w:hAnsi="Cambria Math"/>
                      <w:i/>
                      <w:spacing w:val="-3"/>
                      <w:lang w:val="es-MX"/>
                    </w:rPr>
                  </m:ctrlPr>
                </m:sSubPr>
                <m:e>
                  <m:r>
                    <w:rPr>
                      <w:rFonts w:ascii="Cambria Math" w:hAnsi="Cambria Math"/>
                      <w:spacing w:val="-3"/>
                      <w:lang w:val="es-MX"/>
                    </w:rPr>
                    <m:t>AMB</m:t>
                  </m:r>
                </m:e>
                <m:sub>
                  <m:r>
                    <w:rPr>
                      <w:rFonts w:ascii="Cambria Math" w:hAnsi="Cambria Math"/>
                      <w:spacing w:val="-3"/>
                      <w:lang w:val="es-MX"/>
                    </w:rPr>
                    <m:t>j</m:t>
                  </m:r>
                </m:sub>
              </m:sSub>
            </m:e>
          </m:d>
          <m:r>
            <w:rPr>
              <w:rFonts w:ascii="Cambria Math" w:hAnsi="Cambria Math"/>
              <w:spacing w:val="-3"/>
              <w:lang w:val="es-MX"/>
            </w:rPr>
            <m:t>*</m:t>
          </m:r>
          <m:f>
            <m:fPr>
              <m:ctrlPr>
                <w:rPr>
                  <w:rFonts w:ascii="Cambria Math" w:hAnsi="Cambria Math"/>
                  <w:i/>
                  <w:spacing w:val="-3"/>
                  <w:lang w:val="es-MX"/>
                </w:rPr>
              </m:ctrlPr>
            </m:fPr>
            <m:num>
              <m:sSub>
                <m:sSubPr>
                  <m:ctrlPr>
                    <w:rPr>
                      <w:rFonts w:ascii="Cambria Math" w:hAnsi="Cambria Math"/>
                      <w:i/>
                      <w:spacing w:val="-3"/>
                      <w:lang w:val="es-MX"/>
                    </w:rPr>
                  </m:ctrlPr>
                </m:sSubPr>
                <m:e>
                  <m:r>
                    <w:rPr>
                      <w:rFonts w:ascii="Cambria Math" w:hAnsi="Cambria Math"/>
                      <w:spacing w:val="-3"/>
                      <w:lang w:val="es-MX"/>
                    </w:rPr>
                    <m:t>IPP</m:t>
                  </m:r>
                </m:e>
                <m:sub>
                  <m:r>
                    <w:rPr>
                      <w:rFonts w:ascii="Cambria Math" w:hAnsi="Cambria Math"/>
                      <w:spacing w:val="-3"/>
                      <w:lang w:val="es-MX"/>
                    </w:rPr>
                    <m:t>FC</m:t>
                  </m:r>
                </m:sub>
              </m:sSub>
            </m:num>
            <m:den>
              <m:sSub>
                <m:sSubPr>
                  <m:ctrlPr>
                    <w:rPr>
                      <w:rFonts w:ascii="Cambria Math" w:hAnsi="Cambria Math"/>
                      <w:i/>
                      <w:spacing w:val="-3"/>
                      <w:lang w:val="es-MX"/>
                    </w:rPr>
                  </m:ctrlPr>
                </m:sSubPr>
                <m:e>
                  <m:r>
                    <w:rPr>
                      <w:rFonts w:ascii="Cambria Math" w:hAnsi="Cambria Math"/>
                      <w:spacing w:val="-3"/>
                      <w:lang w:val="es-MX"/>
                    </w:rPr>
                    <m:t>IPP</m:t>
                  </m:r>
                </m:e>
                <m:sub>
                  <m:r>
                    <w:rPr>
                      <w:rFonts w:ascii="Cambria Math" w:hAnsi="Cambria Math"/>
                      <w:spacing w:val="-3"/>
                      <w:lang w:val="es-MX"/>
                    </w:rPr>
                    <m:t>2016</m:t>
                  </m:r>
                </m:sub>
              </m:sSub>
            </m:den>
          </m:f>
        </m:oMath>
      </m:oMathPara>
    </w:p>
    <w:p w14:paraId="349B899D" w14:textId="77777777" w:rsidR="008301BF" w:rsidRPr="008301BF" w:rsidRDefault="008301BF" w:rsidP="008301BF">
      <w:pPr>
        <w:ind w:left="567"/>
        <w:rPr>
          <w:i/>
          <w:iCs/>
          <w:spacing w:val="-3"/>
          <w:sz w:val="22"/>
          <w:szCs w:val="22"/>
        </w:rPr>
      </w:pPr>
      <w:r w:rsidRPr="008301BF">
        <w:rPr>
          <w:i/>
          <w:iCs/>
          <w:spacing w:val="-3"/>
          <w:sz w:val="22"/>
          <w:szCs w:val="22"/>
        </w:rPr>
        <w:t xml:space="preserve">El AOM a reconocer se denomina el </w:t>
      </w:r>
      <w:proofErr w:type="spellStart"/>
      <w:r w:rsidRPr="008301BF">
        <w:rPr>
          <w:i/>
          <w:iCs/>
          <w:spacing w:val="-3"/>
          <w:sz w:val="22"/>
          <w:szCs w:val="22"/>
        </w:rPr>
        <w:t>AOMBase</w:t>
      </w:r>
      <w:r w:rsidRPr="007A02F8">
        <w:rPr>
          <w:i/>
          <w:spacing w:val="-3"/>
          <w:sz w:val="22"/>
          <w:szCs w:val="22"/>
          <w:vertAlign w:val="subscript"/>
        </w:rPr>
        <w:t>j</w:t>
      </w:r>
      <w:proofErr w:type="spellEnd"/>
      <w:r w:rsidRPr="008301BF">
        <w:rPr>
          <w:i/>
          <w:iCs/>
          <w:spacing w:val="-3"/>
          <w:sz w:val="22"/>
          <w:szCs w:val="22"/>
        </w:rPr>
        <w:t xml:space="preserve">, a su vez para su cálculo se debe realizar la comparación entre los valores </w:t>
      </w:r>
      <w:proofErr w:type="spellStart"/>
      <w:r w:rsidRPr="008301BF">
        <w:rPr>
          <w:i/>
          <w:iCs/>
          <w:spacing w:val="-3"/>
          <w:sz w:val="22"/>
          <w:szCs w:val="22"/>
        </w:rPr>
        <w:t>AOMINI</w:t>
      </w:r>
      <w:r w:rsidRPr="00392B03">
        <w:rPr>
          <w:i/>
          <w:spacing w:val="-3"/>
          <w:sz w:val="22"/>
          <w:szCs w:val="22"/>
          <w:vertAlign w:val="subscript"/>
        </w:rPr>
        <w:t>j</w:t>
      </w:r>
      <w:proofErr w:type="spellEnd"/>
      <w:r w:rsidRPr="008301BF">
        <w:rPr>
          <w:i/>
          <w:iCs/>
          <w:spacing w:val="-3"/>
          <w:sz w:val="22"/>
          <w:szCs w:val="22"/>
        </w:rPr>
        <w:t xml:space="preserve"> y </w:t>
      </w:r>
      <w:proofErr w:type="spellStart"/>
      <w:r w:rsidRPr="008301BF">
        <w:rPr>
          <w:i/>
          <w:iCs/>
          <w:spacing w:val="-3"/>
          <w:sz w:val="22"/>
          <w:szCs w:val="22"/>
        </w:rPr>
        <w:t>AOMOB</w:t>
      </w:r>
      <w:r w:rsidRPr="00392B03">
        <w:rPr>
          <w:i/>
          <w:spacing w:val="-3"/>
          <w:sz w:val="22"/>
          <w:szCs w:val="22"/>
          <w:vertAlign w:val="subscript"/>
        </w:rPr>
        <w:t>j</w:t>
      </w:r>
      <w:proofErr w:type="spellEnd"/>
      <w:r w:rsidRPr="008301BF">
        <w:rPr>
          <w:i/>
          <w:iCs/>
          <w:spacing w:val="-3"/>
          <w:sz w:val="22"/>
          <w:szCs w:val="22"/>
        </w:rPr>
        <w:t xml:space="preserve">. Para el caso de EBSA corresponde emplear en el cálculo del </w:t>
      </w:r>
      <w:proofErr w:type="spellStart"/>
      <w:r w:rsidRPr="008301BF">
        <w:rPr>
          <w:i/>
          <w:iCs/>
          <w:spacing w:val="-3"/>
          <w:sz w:val="22"/>
          <w:szCs w:val="22"/>
        </w:rPr>
        <w:t>AOMbase</w:t>
      </w:r>
      <w:r w:rsidRPr="00392B03">
        <w:rPr>
          <w:i/>
          <w:spacing w:val="-3"/>
          <w:sz w:val="22"/>
          <w:szCs w:val="22"/>
          <w:vertAlign w:val="subscript"/>
        </w:rPr>
        <w:t>j</w:t>
      </w:r>
      <w:proofErr w:type="spellEnd"/>
      <w:r w:rsidRPr="008301BF">
        <w:rPr>
          <w:i/>
          <w:iCs/>
          <w:spacing w:val="-3"/>
          <w:sz w:val="22"/>
          <w:szCs w:val="22"/>
        </w:rPr>
        <w:t xml:space="preserve">, el </w:t>
      </w:r>
      <w:proofErr w:type="spellStart"/>
      <w:r w:rsidRPr="008301BF">
        <w:rPr>
          <w:i/>
          <w:iCs/>
          <w:spacing w:val="-3"/>
          <w:sz w:val="22"/>
          <w:szCs w:val="22"/>
        </w:rPr>
        <w:t>AOMOB</w:t>
      </w:r>
      <w:r w:rsidRPr="00392B03">
        <w:rPr>
          <w:i/>
          <w:spacing w:val="-3"/>
          <w:sz w:val="22"/>
          <w:szCs w:val="22"/>
          <w:vertAlign w:val="subscript"/>
        </w:rPr>
        <w:t>j</w:t>
      </w:r>
      <w:proofErr w:type="spellEnd"/>
      <w:r w:rsidRPr="008301BF">
        <w:rPr>
          <w:i/>
          <w:iCs/>
          <w:spacing w:val="-3"/>
          <w:sz w:val="22"/>
          <w:szCs w:val="22"/>
        </w:rPr>
        <w:t>, ya que este es el máximo.</w:t>
      </w:r>
    </w:p>
    <w:p w14:paraId="4DFB18FC" w14:textId="77777777" w:rsidR="008301BF" w:rsidRPr="008301BF" w:rsidRDefault="008301BF" w:rsidP="008301BF">
      <w:pPr>
        <w:ind w:left="567"/>
        <w:rPr>
          <w:i/>
          <w:iCs/>
          <w:spacing w:val="-3"/>
          <w:sz w:val="22"/>
          <w:szCs w:val="22"/>
        </w:rPr>
      </w:pPr>
      <w:r w:rsidRPr="008301BF">
        <w:rPr>
          <w:i/>
          <w:iCs/>
          <w:spacing w:val="-3"/>
          <w:sz w:val="22"/>
          <w:szCs w:val="22"/>
        </w:rPr>
        <w:t xml:space="preserve">A su vez, el </w:t>
      </w:r>
      <w:proofErr w:type="spellStart"/>
      <w:r w:rsidRPr="008301BF">
        <w:rPr>
          <w:i/>
          <w:iCs/>
          <w:spacing w:val="-3"/>
          <w:sz w:val="22"/>
          <w:szCs w:val="22"/>
        </w:rPr>
        <w:t>AOMOB</w:t>
      </w:r>
      <w:r w:rsidRPr="008F524B">
        <w:rPr>
          <w:i/>
          <w:spacing w:val="-3"/>
          <w:sz w:val="22"/>
          <w:szCs w:val="22"/>
          <w:vertAlign w:val="subscript"/>
        </w:rPr>
        <w:t>j</w:t>
      </w:r>
      <w:proofErr w:type="spellEnd"/>
      <w:r w:rsidRPr="008301BF">
        <w:rPr>
          <w:i/>
          <w:iCs/>
          <w:spacing w:val="-3"/>
          <w:sz w:val="22"/>
          <w:szCs w:val="22"/>
        </w:rPr>
        <w:t xml:space="preserve"> se calcula empleando la siguiente expresión:</w:t>
      </w:r>
    </w:p>
    <w:p w14:paraId="34FA6A4B" w14:textId="093F4688" w:rsidR="008301BF" w:rsidRPr="008301BF" w:rsidRDefault="008834A0" w:rsidP="008301BF">
      <w:pPr>
        <w:rPr>
          <w:i/>
          <w:iCs/>
          <w:spacing w:val="-3"/>
          <w:lang w:val="es-CO"/>
        </w:rPr>
      </w:pPr>
      <m:oMathPara>
        <m:oMath>
          <m:sSub>
            <m:sSubPr>
              <m:ctrlPr>
                <w:rPr>
                  <w:rFonts w:ascii="Cambria Math" w:hAnsi="Cambria Math"/>
                  <w:i/>
                  <w:spacing w:val="-3"/>
                  <w:lang w:val="es-MX"/>
                </w:rPr>
              </m:ctrlPr>
            </m:sSubPr>
            <m:e>
              <m:r>
                <w:rPr>
                  <w:rFonts w:ascii="Cambria Math" w:hAnsi="Cambria Math"/>
                  <w:spacing w:val="-3"/>
                  <w:lang w:val="es-MX"/>
                </w:rPr>
                <m:t>AOMOB</m:t>
              </m:r>
            </m:e>
            <m:sub>
              <m:r>
                <w:rPr>
                  <w:rFonts w:ascii="Cambria Math" w:hAnsi="Cambria Math"/>
                  <w:spacing w:val="-3"/>
                  <w:lang w:val="es-MX"/>
                </w:rPr>
                <m:t>j</m:t>
              </m:r>
            </m:sub>
          </m:sSub>
          <m:r>
            <w:rPr>
              <w:rFonts w:ascii="Cambria Math" w:hAnsi="Cambria Math"/>
              <w:spacing w:val="-3"/>
              <w:lang w:val="es-MX"/>
            </w:rPr>
            <m:t>=</m:t>
          </m:r>
          <m:sSub>
            <m:sSubPr>
              <m:ctrlPr>
                <w:rPr>
                  <w:rFonts w:ascii="Cambria Math" w:hAnsi="Cambria Math"/>
                  <w:i/>
                  <w:spacing w:val="-3"/>
                  <w:lang w:val="es-MX"/>
                </w:rPr>
              </m:ctrlPr>
            </m:sSubPr>
            <m:e>
              <m:r>
                <w:rPr>
                  <w:rFonts w:ascii="Cambria Math" w:hAnsi="Cambria Math"/>
                  <w:spacing w:val="-3"/>
                  <w:lang w:val="es-MX"/>
                </w:rPr>
                <m:t>fe</m:t>
              </m:r>
            </m:e>
            <m:sub>
              <m:r>
                <w:rPr>
                  <w:rFonts w:ascii="Cambria Math" w:hAnsi="Cambria Math"/>
                  <w:spacing w:val="-3"/>
                  <w:lang w:val="es-MX"/>
                </w:rPr>
                <m:t>j</m:t>
              </m:r>
            </m:sub>
          </m:sSub>
          <m:r>
            <w:rPr>
              <w:rFonts w:ascii="Cambria Math" w:hAnsi="Cambria Math"/>
              <w:spacing w:val="-3"/>
              <w:lang w:val="es-MX"/>
            </w:rPr>
            <m:t>*</m:t>
          </m:r>
          <m:sSub>
            <m:sSubPr>
              <m:ctrlPr>
                <w:rPr>
                  <w:rFonts w:ascii="Cambria Math" w:hAnsi="Cambria Math"/>
                  <w:i/>
                  <w:spacing w:val="-3"/>
                  <w:lang w:val="es-MX"/>
                </w:rPr>
              </m:ctrlPr>
            </m:sSubPr>
            <m:e>
              <m:r>
                <w:rPr>
                  <w:rFonts w:ascii="Cambria Math" w:hAnsi="Cambria Math"/>
                  <w:spacing w:val="-3"/>
                  <w:lang w:val="es-MX"/>
                </w:rPr>
                <m:t>AOMD</m:t>
              </m:r>
            </m:e>
            <m:sub>
              <m:r>
                <w:rPr>
                  <w:rFonts w:ascii="Cambria Math" w:hAnsi="Cambria Math"/>
                  <w:spacing w:val="-3"/>
                  <w:lang w:val="es-MX"/>
                </w:rPr>
                <m:t>j,12-16</m:t>
              </m:r>
            </m:sub>
          </m:sSub>
        </m:oMath>
      </m:oMathPara>
    </w:p>
    <w:p w14:paraId="05CC848F" w14:textId="77777777" w:rsidR="008301BF" w:rsidRPr="008301BF" w:rsidRDefault="008301BF" w:rsidP="008301BF">
      <w:pPr>
        <w:ind w:left="567"/>
        <w:rPr>
          <w:i/>
          <w:iCs/>
          <w:spacing w:val="-3"/>
          <w:sz w:val="22"/>
          <w:szCs w:val="22"/>
        </w:rPr>
      </w:pPr>
      <w:r w:rsidRPr="008301BF">
        <w:rPr>
          <w:i/>
          <w:iCs/>
          <w:spacing w:val="-3"/>
          <w:sz w:val="22"/>
          <w:szCs w:val="22"/>
        </w:rPr>
        <w:t xml:space="preserve">En la formulación del cálculo del </w:t>
      </w:r>
      <w:proofErr w:type="spellStart"/>
      <w:r w:rsidRPr="008301BF">
        <w:rPr>
          <w:i/>
          <w:iCs/>
          <w:spacing w:val="-3"/>
          <w:sz w:val="22"/>
          <w:szCs w:val="22"/>
        </w:rPr>
        <w:t>AOMbase</w:t>
      </w:r>
      <w:r w:rsidRPr="008F524B">
        <w:rPr>
          <w:i/>
          <w:spacing w:val="-3"/>
          <w:sz w:val="22"/>
          <w:szCs w:val="22"/>
          <w:vertAlign w:val="subscript"/>
        </w:rPr>
        <w:t>j</w:t>
      </w:r>
      <w:proofErr w:type="spellEnd"/>
      <w:r w:rsidRPr="008301BF">
        <w:rPr>
          <w:i/>
          <w:iCs/>
          <w:spacing w:val="-3"/>
          <w:sz w:val="22"/>
          <w:szCs w:val="22"/>
        </w:rPr>
        <w:t xml:space="preserve"> se utiliza el </w:t>
      </w:r>
      <w:proofErr w:type="spellStart"/>
      <w:r w:rsidRPr="008301BF">
        <w:rPr>
          <w:i/>
          <w:iCs/>
          <w:spacing w:val="-3"/>
          <w:sz w:val="22"/>
          <w:szCs w:val="22"/>
        </w:rPr>
        <w:t>AOMOB</w:t>
      </w:r>
      <w:r w:rsidRPr="008F524B">
        <w:rPr>
          <w:i/>
          <w:spacing w:val="-3"/>
          <w:sz w:val="22"/>
          <w:szCs w:val="22"/>
          <w:vertAlign w:val="subscript"/>
        </w:rPr>
        <w:t>j</w:t>
      </w:r>
      <w:proofErr w:type="spellEnd"/>
      <w:r w:rsidRPr="008301BF">
        <w:rPr>
          <w:i/>
          <w:iCs/>
          <w:spacing w:val="-3"/>
          <w:sz w:val="22"/>
          <w:szCs w:val="22"/>
        </w:rPr>
        <w:t xml:space="preserve"> el cual es afectado por un factor de eficiencia, </w:t>
      </w:r>
      <w:proofErr w:type="spellStart"/>
      <w:r w:rsidRPr="008301BF">
        <w:rPr>
          <w:i/>
          <w:iCs/>
          <w:spacing w:val="-3"/>
          <w:sz w:val="22"/>
          <w:szCs w:val="22"/>
        </w:rPr>
        <w:t>fe</w:t>
      </w:r>
      <w:r w:rsidRPr="003E1D30">
        <w:rPr>
          <w:i/>
          <w:spacing w:val="-3"/>
          <w:sz w:val="22"/>
          <w:szCs w:val="22"/>
          <w:vertAlign w:val="subscript"/>
        </w:rPr>
        <w:t>j</w:t>
      </w:r>
      <w:proofErr w:type="spellEnd"/>
      <w:r w:rsidRPr="008301BF">
        <w:rPr>
          <w:i/>
          <w:iCs/>
          <w:spacing w:val="-3"/>
          <w:sz w:val="22"/>
          <w:szCs w:val="22"/>
        </w:rPr>
        <w:t xml:space="preserve">, que para su cálculo incluye los gastos de AOM de perdidas </w:t>
      </w:r>
      <w:proofErr w:type="spellStart"/>
      <w:r w:rsidRPr="008301BF">
        <w:rPr>
          <w:i/>
          <w:iCs/>
          <w:spacing w:val="-3"/>
          <w:sz w:val="22"/>
          <w:szCs w:val="22"/>
        </w:rPr>
        <w:lastRenderedPageBreak/>
        <w:t>AOMP</w:t>
      </w:r>
      <w:r w:rsidRPr="003E1D30">
        <w:rPr>
          <w:i/>
          <w:spacing w:val="-3"/>
          <w:sz w:val="22"/>
          <w:szCs w:val="22"/>
          <w:vertAlign w:val="subscript"/>
        </w:rPr>
        <w:t>j</w:t>
      </w:r>
      <w:proofErr w:type="spellEnd"/>
      <w:r w:rsidRPr="008301BF">
        <w:rPr>
          <w:i/>
          <w:iCs/>
          <w:spacing w:val="-3"/>
          <w:sz w:val="22"/>
          <w:szCs w:val="22"/>
        </w:rPr>
        <w:t xml:space="preserve">; pero como además el AOM de pérdidas </w:t>
      </w:r>
      <w:proofErr w:type="spellStart"/>
      <w:r w:rsidRPr="008301BF">
        <w:rPr>
          <w:i/>
          <w:iCs/>
          <w:spacing w:val="-3"/>
          <w:sz w:val="22"/>
          <w:szCs w:val="22"/>
        </w:rPr>
        <w:t>AOMP</w:t>
      </w:r>
      <w:r w:rsidRPr="003E1D30">
        <w:rPr>
          <w:i/>
          <w:spacing w:val="-3"/>
          <w:sz w:val="22"/>
          <w:szCs w:val="22"/>
          <w:vertAlign w:val="subscript"/>
        </w:rPr>
        <w:t>j</w:t>
      </w:r>
      <w:proofErr w:type="spellEnd"/>
      <w:r w:rsidRPr="008301BF">
        <w:rPr>
          <w:i/>
          <w:iCs/>
          <w:spacing w:val="-3"/>
          <w:sz w:val="22"/>
          <w:szCs w:val="22"/>
        </w:rPr>
        <w:t xml:space="preserve"> se descuenta completo, entonces en el cálculo del factor de eficiencia no deberían incluirse los gastos de AOM de perdidas </w:t>
      </w:r>
      <w:proofErr w:type="spellStart"/>
      <w:r w:rsidRPr="008301BF">
        <w:rPr>
          <w:i/>
          <w:iCs/>
          <w:spacing w:val="-3"/>
          <w:sz w:val="22"/>
          <w:szCs w:val="22"/>
        </w:rPr>
        <w:t>AOMP</w:t>
      </w:r>
      <w:r w:rsidRPr="00932D9E">
        <w:rPr>
          <w:i/>
          <w:spacing w:val="-3"/>
          <w:sz w:val="22"/>
          <w:szCs w:val="22"/>
          <w:vertAlign w:val="subscript"/>
        </w:rPr>
        <w:t>j</w:t>
      </w:r>
      <w:proofErr w:type="spellEnd"/>
      <w:r w:rsidRPr="008301BF">
        <w:rPr>
          <w:i/>
          <w:iCs/>
          <w:spacing w:val="-3"/>
          <w:sz w:val="22"/>
          <w:szCs w:val="22"/>
        </w:rPr>
        <w:t xml:space="preserve"> para ser consistentes en el cálculo el AOM de distribución. </w:t>
      </w:r>
    </w:p>
    <w:p w14:paraId="1206161A" w14:textId="77777777" w:rsidR="008301BF" w:rsidRPr="008301BF" w:rsidRDefault="008301BF" w:rsidP="008301BF">
      <w:pPr>
        <w:ind w:left="567"/>
        <w:rPr>
          <w:i/>
          <w:iCs/>
          <w:spacing w:val="-3"/>
          <w:sz w:val="22"/>
          <w:szCs w:val="22"/>
        </w:rPr>
      </w:pPr>
      <w:r w:rsidRPr="008301BF">
        <w:rPr>
          <w:i/>
          <w:iCs/>
          <w:spacing w:val="-3"/>
          <w:sz w:val="22"/>
          <w:szCs w:val="22"/>
        </w:rPr>
        <w:t xml:space="preserve">El aspecto a considerar aquí es que la remuneración del AOM de Distribución no incluye el AOM pérdidas, puesto que el AOM pérdidas se remunera de forma separada. </w:t>
      </w:r>
    </w:p>
    <w:p w14:paraId="0E8AA71C" w14:textId="79BCC429" w:rsidR="008301BF" w:rsidRPr="008301BF" w:rsidRDefault="008301BF" w:rsidP="008301BF">
      <w:pPr>
        <w:ind w:left="567"/>
        <w:rPr>
          <w:i/>
          <w:iCs/>
          <w:spacing w:val="-3"/>
          <w:sz w:val="22"/>
          <w:szCs w:val="22"/>
        </w:rPr>
      </w:pPr>
      <w:r w:rsidRPr="008301BF">
        <w:rPr>
          <w:i/>
          <w:iCs/>
          <w:spacing w:val="-3"/>
          <w:sz w:val="22"/>
          <w:szCs w:val="22"/>
        </w:rPr>
        <w:t>Por tanto, si no se excluyen los gastos de AOM pérdidas para el cálculo del factor de eficiencia del AOM de Distribución, se tendrá un factor de eficiencia inferior</w:t>
      </w:r>
      <w:r w:rsidR="00B75567">
        <w:rPr>
          <w:i/>
          <w:iCs/>
          <w:spacing w:val="-3"/>
          <w:sz w:val="22"/>
          <w:szCs w:val="22"/>
        </w:rPr>
        <w:t>,</w:t>
      </w:r>
      <w:r w:rsidRPr="008301BF">
        <w:rPr>
          <w:i/>
          <w:iCs/>
          <w:spacing w:val="-3"/>
          <w:sz w:val="22"/>
          <w:szCs w:val="22"/>
        </w:rPr>
        <w:t xml:space="preserve"> lo cual refleja una ineficiencia en sus costos de AOM de Distribución que no es real. </w:t>
      </w:r>
    </w:p>
    <w:p w14:paraId="78399178" w14:textId="77777777" w:rsidR="008301BF" w:rsidRPr="008301BF" w:rsidRDefault="008301BF" w:rsidP="008301BF">
      <w:pPr>
        <w:ind w:left="567"/>
        <w:rPr>
          <w:i/>
          <w:iCs/>
          <w:spacing w:val="-3"/>
          <w:sz w:val="22"/>
          <w:szCs w:val="22"/>
        </w:rPr>
      </w:pPr>
      <w:r w:rsidRPr="008301BF">
        <w:rPr>
          <w:i/>
          <w:iCs/>
          <w:spacing w:val="-3"/>
          <w:sz w:val="22"/>
          <w:szCs w:val="22"/>
        </w:rPr>
        <w:t xml:space="preserve">En consecuencia, EBSA solicita que para el cálculo del factor de eficiencia de los gastos de AOM de distribución se retiren los gastos de AOM de gestión de pérdidas y, por lo tanto, el factor de eficiencia a aplicar debería ser de 0,99. </w:t>
      </w:r>
    </w:p>
    <w:p w14:paraId="538EA08E" w14:textId="77777777" w:rsidR="008301BF" w:rsidRPr="008301BF" w:rsidRDefault="008301BF" w:rsidP="008301BF">
      <w:pPr>
        <w:ind w:left="567"/>
        <w:rPr>
          <w:i/>
          <w:iCs/>
          <w:spacing w:val="-3"/>
          <w:sz w:val="22"/>
          <w:szCs w:val="22"/>
        </w:rPr>
      </w:pPr>
      <w:r w:rsidRPr="008301BF">
        <w:rPr>
          <w:i/>
          <w:iCs/>
          <w:spacing w:val="-3"/>
          <w:sz w:val="22"/>
          <w:szCs w:val="22"/>
        </w:rPr>
        <w:t>De otra forma, aplicar un factor de eficiencia de 0,89, en cuyo cálculo se han incluido los gastos de AOM en gestión de pérdidas, para guardar consistencia, se tendrían que descontar los gastos de AOM en gestión de pérdidas, pero eficientes.</w:t>
      </w:r>
    </w:p>
    <w:p w14:paraId="21B23A16" w14:textId="77777777" w:rsidR="008301BF" w:rsidRPr="008301BF" w:rsidRDefault="008301BF" w:rsidP="008301BF">
      <w:pPr>
        <w:ind w:left="567"/>
        <w:rPr>
          <w:i/>
          <w:iCs/>
          <w:spacing w:val="-3"/>
          <w:sz w:val="22"/>
          <w:szCs w:val="22"/>
        </w:rPr>
      </w:pPr>
      <w:r w:rsidRPr="008301BF">
        <w:rPr>
          <w:i/>
          <w:iCs/>
          <w:spacing w:val="-3"/>
          <w:sz w:val="22"/>
          <w:szCs w:val="22"/>
        </w:rPr>
        <w:t xml:space="preserve">La aplicación del factor de eficiencia debe ser consistente en su cálculo y los resultados no deben generar detrimento del reconocimiento de los gastos eficientes, ya que esto no haría viable la operación eficiente de la empresa, afectaría la calidad del servicio y vulneraría el principio de suficiencia financiera. </w:t>
      </w:r>
    </w:p>
    <w:p w14:paraId="686FA7EC" w14:textId="34C41D5C" w:rsidR="008301BF" w:rsidRDefault="008301BF" w:rsidP="00611962">
      <w:pPr>
        <w:spacing w:after="0"/>
        <w:ind w:left="567"/>
        <w:rPr>
          <w:i/>
          <w:iCs/>
          <w:spacing w:val="-3"/>
          <w:sz w:val="22"/>
          <w:szCs w:val="22"/>
        </w:rPr>
      </w:pPr>
      <w:r w:rsidRPr="008301BF">
        <w:rPr>
          <w:i/>
          <w:iCs/>
          <w:spacing w:val="-3"/>
          <w:sz w:val="22"/>
          <w:szCs w:val="22"/>
        </w:rPr>
        <w:t>De otra parte, en el análisis de la información entregada por parte de la CREG se puede observar que el valor del AOM base para cada nivel de tensión incluido en el artículo 7 de la resolución 177 de 2019, presenta una diferencia entre el texto de dicha resolución y el documento CREG-114 con archivo anexo “Calculo ingresos D EBSA.xlsx". Lo anterior se puede evidenciar analizando el valor para el AOM base de los niveles 2 y 3 que se está calculando con base en la información del año t</w:t>
      </w:r>
      <w:r w:rsidRPr="00D117A9">
        <w:rPr>
          <w:i/>
          <w:spacing w:val="-3"/>
          <w:sz w:val="22"/>
          <w:szCs w:val="22"/>
          <w:vertAlign w:val="subscript"/>
        </w:rPr>
        <w:t>2</w:t>
      </w:r>
      <w:r w:rsidRPr="008301BF">
        <w:rPr>
          <w:i/>
          <w:iCs/>
          <w:spacing w:val="-3"/>
          <w:sz w:val="22"/>
          <w:szCs w:val="22"/>
        </w:rPr>
        <w:t xml:space="preserve">. En </w:t>
      </w:r>
      <w:proofErr w:type="gramStart"/>
      <w:r w:rsidRPr="008301BF">
        <w:rPr>
          <w:i/>
          <w:iCs/>
          <w:spacing w:val="-3"/>
          <w:sz w:val="22"/>
          <w:szCs w:val="22"/>
        </w:rPr>
        <w:t>consecuencia</w:t>
      </w:r>
      <w:proofErr w:type="gramEnd"/>
      <w:r w:rsidRPr="008301BF">
        <w:rPr>
          <w:i/>
          <w:iCs/>
          <w:spacing w:val="-3"/>
          <w:sz w:val="22"/>
          <w:szCs w:val="22"/>
        </w:rPr>
        <w:t xml:space="preserve"> solicitamos sea verificado y corregido este aspecto.</w:t>
      </w:r>
    </w:p>
    <w:p w14:paraId="62A71136" w14:textId="77777777" w:rsidR="00611962" w:rsidRPr="008301BF" w:rsidRDefault="00611962" w:rsidP="00611962">
      <w:pPr>
        <w:spacing w:after="0"/>
        <w:ind w:left="567"/>
        <w:rPr>
          <w:i/>
          <w:iCs/>
          <w:spacing w:val="-3"/>
          <w:sz w:val="22"/>
          <w:szCs w:val="22"/>
        </w:rPr>
      </w:pPr>
    </w:p>
    <w:p w14:paraId="3F3A5DAF" w14:textId="77777777" w:rsidR="008301BF" w:rsidRPr="008301BF" w:rsidRDefault="008301BF" w:rsidP="00611962">
      <w:pPr>
        <w:spacing w:before="0"/>
        <w:rPr>
          <w:spacing w:val="-3"/>
        </w:rPr>
      </w:pPr>
      <w:r w:rsidRPr="008301BF">
        <w:rPr>
          <w:spacing w:val="-3"/>
        </w:rPr>
        <w:t>Con respecto a los argumentos presentados por el OR, la CREG encuentra lo siguiente:</w:t>
      </w:r>
    </w:p>
    <w:p w14:paraId="4955A7FC" w14:textId="63B19CC7" w:rsidR="008301BF" w:rsidRPr="008301BF" w:rsidRDefault="008301BF" w:rsidP="008301BF">
      <w:pPr>
        <w:rPr>
          <w:spacing w:val="-3"/>
          <w:lang w:val="es-CO"/>
        </w:rPr>
      </w:pPr>
      <w:r w:rsidRPr="008301BF">
        <w:rPr>
          <w:spacing w:val="-3"/>
          <w:lang w:val="es-CO"/>
        </w:rPr>
        <w:t xml:space="preserve">En cuanto a la solicitud de ajustar los valores de AOM, es necesario tener en cuenta que la mayor parte de </w:t>
      </w:r>
      <w:r w:rsidR="00FE0EDE">
        <w:rPr>
          <w:spacing w:val="-3"/>
          <w:lang w:val="es-CO"/>
        </w:rPr>
        <w:t>los argumentos</w:t>
      </w:r>
      <w:r w:rsidR="00FE0EDE" w:rsidRPr="008301BF">
        <w:rPr>
          <w:spacing w:val="-3"/>
          <w:lang w:val="es-CO"/>
        </w:rPr>
        <w:t xml:space="preserve"> </w:t>
      </w:r>
      <w:r w:rsidRPr="008301BF">
        <w:rPr>
          <w:spacing w:val="-3"/>
          <w:lang w:val="es-CO"/>
        </w:rPr>
        <w:t xml:space="preserve">hacen referencia a procedimientos de cálculo </w:t>
      </w:r>
      <w:r w:rsidR="004C1604" w:rsidRPr="004C1604">
        <w:rPr>
          <w:spacing w:val="-3"/>
          <w:lang w:val="es-CO"/>
        </w:rPr>
        <w:t>establecidos en la Resolución CREG 015 de 2018</w:t>
      </w:r>
      <w:r w:rsidRPr="008301BF">
        <w:rPr>
          <w:spacing w:val="-3"/>
          <w:lang w:val="es-CO"/>
        </w:rPr>
        <w:t xml:space="preserve"> y sus modificaciones, que es una resolución de carácter general. Por esta razón, en la respuesta a los argumentos solo se </w:t>
      </w:r>
      <w:r w:rsidR="00F5126C" w:rsidRPr="008301BF">
        <w:rPr>
          <w:spacing w:val="-3"/>
          <w:lang w:val="es-CO"/>
        </w:rPr>
        <w:t>ha</w:t>
      </w:r>
      <w:r w:rsidR="00F5126C">
        <w:rPr>
          <w:spacing w:val="-3"/>
          <w:lang w:val="es-CO"/>
        </w:rPr>
        <w:t>rá</w:t>
      </w:r>
      <w:r w:rsidR="00F5126C" w:rsidRPr="008301BF">
        <w:rPr>
          <w:spacing w:val="-3"/>
          <w:lang w:val="es-CO"/>
        </w:rPr>
        <w:t xml:space="preserve"> </w:t>
      </w:r>
      <w:r w:rsidRPr="008301BF">
        <w:rPr>
          <w:spacing w:val="-3"/>
          <w:lang w:val="es-CO"/>
        </w:rPr>
        <w:t>referencia a los relacionados con la Resolución CREG 177 de 2019, que es una resolución de carácter particular, contra la que aplica el recurso presentado.</w:t>
      </w:r>
    </w:p>
    <w:p w14:paraId="761A4AA1" w14:textId="77777777" w:rsidR="008301BF" w:rsidRPr="008301BF" w:rsidRDefault="008301BF" w:rsidP="008301BF">
      <w:pPr>
        <w:rPr>
          <w:spacing w:val="-3"/>
          <w:lang w:val="es-CO"/>
        </w:rPr>
      </w:pPr>
      <w:r w:rsidRPr="008301BF">
        <w:rPr>
          <w:spacing w:val="-3"/>
          <w:lang w:val="es-CO"/>
        </w:rPr>
        <w:t>En la comunicación que entregó EBSA, mediante radicado CREG E-2019-001175 del 30 de enero de 2019, con la que dio alcance a la entregada inicialmente, presenta dos formularios de solicitud de ingresos: dependiendo de si se considera a DIACO conectado o no conectado directamente al STN. Además, para los dos formularios incluye la siguiente frase: “adicionalmente corrige algunos errores de la información presentada previamente en nuestra solicitud de aprobación de cargos”. Por esta razón, no fue evidente el cambio que menciona la empresa en el cálculo del factor de eficiencia para los gastos de AOM.</w:t>
      </w:r>
    </w:p>
    <w:p w14:paraId="69AE0BC1" w14:textId="77777777" w:rsidR="008301BF" w:rsidRPr="008301BF" w:rsidRDefault="008301BF" w:rsidP="008301BF">
      <w:pPr>
        <w:rPr>
          <w:spacing w:val="-3"/>
          <w:lang w:val="es-CO"/>
        </w:rPr>
      </w:pPr>
      <w:r w:rsidRPr="008301BF">
        <w:rPr>
          <w:spacing w:val="-3"/>
          <w:lang w:val="es-CO"/>
        </w:rPr>
        <w:t>Al revisar en los dos formularios la información relacionada con el cálculo del factor de eficiencia, hoja “Capítulo 4”, se encuentra lo siguiente:</w:t>
      </w:r>
    </w:p>
    <w:p w14:paraId="5505E253" w14:textId="73E8CF23" w:rsidR="008301BF" w:rsidRPr="008301BF" w:rsidRDefault="000E53CD" w:rsidP="004C1604">
      <w:pPr>
        <w:jc w:val="center"/>
        <w:rPr>
          <w:spacing w:val="-3"/>
          <w:lang w:val="es-CO"/>
        </w:rPr>
      </w:pPr>
      <w:r>
        <w:rPr>
          <w:noProof/>
        </w:rPr>
        <w:lastRenderedPageBreak/>
        <w:drawing>
          <wp:inline distT="0" distB="0" distL="0" distR="0" wp14:anchorId="3EE0BE59" wp14:editId="4EF3283C">
            <wp:extent cx="3467540" cy="1711906"/>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562" t="20865" r="54766" b="43421"/>
                    <a:stretch/>
                  </pic:blipFill>
                  <pic:spPr bwMode="auto">
                    <a:xfrm>
                      <a:off x="0" y="0"/>
                      <a:ext cx="3521973" cy="1738779"/>
                    </a:xfrm>
                    <a:prstGeom prst="rect">
                      <a:avLst/>
                    </a:prstGeom>
                    <a:ln>
                      <a:noFill/>
                    </a:ln>
                    <a:extLst>
                      <a:ext uri="{53640926-AAD7-44D8-BBD7-CCE9431645EC}">
                        <a14:shadowObscured xmlns:a14="http://schemas.microsoft.com/office/drawing/2010/main"/>
                      </a:ext>
                    </a:extLst>
                  </pic:spPr>
                </pic:pic>
              </a:graphicData>
            </a:graphic>
          </wp:inline>
        </w:drawing>
      </w:r>
    </w:p>
    <w:p w14:paraId="5DC8639D" w14:textId="5A09309B" w:rsidR="008301BF" w:rsidRPr="008301BF" w:rsidRDefault="008301BF" w:rsidP="008301BF">
      <w:pPr>
        <w:rPr>
          <w:spacing w:val="-3"/>
          <w:lang w:val="es-CO"/>
        </w:rPr>
      </w:pPr>
      <w:r w:rsidRPr="008301BF">
        <w:rPr>
          <w:spacing w:val="-3"/>
          <w:lang w:val="es-CO"/>
        </w:rPr>
        <w:t>Si bien</w:t>
      </w:r>
      <w:r w:rsidR="00B97D1D">
        <w:rPr>
          <w:spacing w:val="-3"/>
          <w:lang w:val="es-CO"/>
        </w:rPr>
        <w:t>,</w:t>
      </w:r>
      <w:r w:rsidRPr="008301BF">
        <w:rPr>
          <w:spacing w:val="-3"/>
          <w:lang w:val="es-CO"/>
        </w:rPr>
        <w:t xml:space="preserve"> en la celda B46 se muestra un valor de 0,999 como factor de eficiencia, llama la atención la fórmula que contiene esta celda:</w:t>
      </w:r>
    </w:p>
    <w:p w14:paraId="6BA27997" w14:textId="77777777" w:rsidR="008301BF" w:rsidRPr="008301BF" w:rsidRDefault="008301BF" w:rsidP="004C1604">
      <w:pPr>
        <w:jc w:val="center"/>
        <w:rPr>
          <w:spacing w:val="-3"/>
          <w:lang w:val="es-CO"/>
        </w:rPr>
      </w:pPr>
      <w:r w:rsidRPr="008301BF">
        <w:rPr>
          <w:spacing w:val="-3"/>
          <w:lang w:val="es-CO"/>
        </w:rPr>
        <w:t>=+C50*0+0,998887474651613</w:t>
      </w:r>
    </w:p>
    <w:p w14:paraId="531F83D9" w14:textId="5AEF8F50" w:rsidR="008301BF" w:rsidRPr="008301BF" w:rsidRDefault="008301BF" w:rsidP="008301BF">
      <w:pPr>
        <w:rPr>
          <w:spacing w:val="-3"/>
          <w:lang w:val="es-CO"/>
        </w:rPr>
      </w:pPr>
      <w:r w:rsidRPr="008301BF">
        <w:rPr>
          <w:spacing w:val="-3"/>
          <w:lang w:val="es-CO"/>
        </w:rPr>
        <w:t xml:space="preserve">Con lo que se </w:t>
      </w:r>
      <w:r w:rsidR="000E53CD">
        <w:rPr>
          <w:spacing w:val="-3"/>
          <w:lang w:val="es-CO"/>
        </w:rPr>
        <w:t>observa</w:t>
      </w:r>
      <w:r w:rsidR="000E53CD" w:rsidRPr="008301BF">
        <w:rPr>
          <w:spacing w:val="-3"/>
          <w:lang w:val="es-CO"/>
        </w:rPr>
        <w:t xml:space="preserve"> </w:t>
      </w:r>
      <w:r w:rsidRPr="008301BF">
        <w:rPr>
          <w:spacing w:val="-3"/>
          <w:lang w:val="es-CO"/>
        </w:rPr>
        <w:t>que el resultado mostrado es introducido manualmente. Si no se hubiera cambiado la fórmula, la celda B46 debería contener un valor igual al de la celda C50, esto es, 0,8925.</w:t>
      </w:r>
    </w:p>
    <w:p w14:paraId="7B120E8B" w14:textId="3359E733" w:rsidR="008301BF" w:rsidRPr="008301BF" w:rsidRDefault="008301BF" w:rsidP="008301BF">
      <w:pPr>
        <w:rPr>
          <w:spacing w:val="-3"/>
          <w:lang w:val="es-CO"/>
        </w:rPr>
      </w:pPr>
      <w:r w:rsidRPr="008301BF">
        <w:rPr>
          <w:spacing w:val="-3"/>
          <w:lang w:val="es-CO"/>
        </w:rPr>
        <w:t xml:space="preserve">De lo anterior se concluye que, con los números reportados por la empresa en la nueva entrega de información, el factor de eficiencia obtenido de acuerdo con el modelo de cálculo publicado por la CREG, </w:t>
      </w:r>
      <w:r w:rsidR="000E53CD">
        <w:rPr>
          <w:spacing w:val="-3"/>
          <w:lang w:val="es-CO"/>
        </w:rPr>
        <w:t>y utilizando la información de la empresa</w:t>
      </w:r>
      <w:r w:rsidRPr="008301BF">
        <w:rPr>
          <w:spacing w:val="-3"/>
          <w:lang w:val="es-CO"/>
        </w:rPr>
        <w:t>, es de 0,8925.</w:t>
      </w:r>
    </w:p>
    <w:p w14:paraId="7EC4EE37" w14:textId="77777777" w:rsidR="008301BF" w:rsidRPr="008301BF" w:rsidRDefault="008301BF" w:rsidP="008301BF">
      <w:pPr>
        <w:rPr>
          <w:spacing w:val="-3"/>
          <w:lang w:val="es-CO"/>
        </w:rPr>
      </w:pPr>
      <w:r w:rsidRPr="008301BF">
        <w:rPr>
          <w:spacing w:val="-3"/>
          <w:lang w:val="es-CO"/>
        </w:rPr>
        <w:t>De otra parte, para la verificación del cálculo del factor de eficiencia, la Comisión compara los valores reportados para algunas de las variables utilizadas en el modelo de eficiencia y hace los ajustes pertinentes. A esto se hace referencia con lo mencionado en el numeral 2.6.2 del Documento CREG 114 de 2019:</w:t>
      </w:r>
    </w:p>
    <w:p w14:paraId="63F3C0C5" w14:textId="77777777" w:rsidR="008301BF" w:rsidRPr="008301BF" w:rsidRDefault="008301BF" w:rsidP="004C1604">
      <w:pPr>
        <w:ind w:left="567"/>
        <w:rPr>
          <w:i/>
          <w:iCs/>
          <w:spacing w:val="-3"/>
          <w:sz w:val="22"/>
          <w:szCs w:val="22"/>
        </w:rPr>
      </w:pPr>
      <w:r w:rsidRPr="008301BF">
        <w:rPr>
          <w:i/>
          <w:iCs/>
          <w:spacing w:val="-3"/>
          <w:sz w:val="22"/>
          <w:szCs w:val="22"/>
        </w:rPr>
        <w:t>2.6.2</w:t>
      </w:r>
      <w:r w:rsidRPr="008301BF">
        <w:rPr>
          <w:i/>
          <w:iCs/>
          <w:spacing w:val="-3"/>
          <w:sz w:val="22"/>
          <w:szCs w:val="22"/>
        </w:rPr>
        <w:tab/>
        <w:t>AOM</w:t>
      </w:r>
    </w:p>
    <w:p w14:paraId="19372B19" w14:textId="77777777" w:rsidR="008301BF" w:rsidRPr="008301BF" w:rsidRDefault="008301BF" w:rsidP="004C1604">
      <w:pPr>
        <w:ind w:left="567"/>
        <w:rPr>
          <w:i/>
          <w:iCs/>
          <w:spacing w:val="-3"/>
          <w:sz w:val="22"/>
          <w:szCs w:val="22"/>
        </w:rPr>
      </w:pPr>
      <w:r w:rsidRPr="008301BF">
        <w:rPr>
          <w:i/>
          <w:iCs/>
          <w:spacing w:val="-3"/>
          <w:sz w:val="22"/>
          <w:szCs w:val="22"/>
        </w:rPr>
        <w:t>Para estimar el factor de eficiencia, los datos de ventas por nivel de tensión y el total de usuarios para el periodo 2012-2016 así como la composición de costos y gastos se tomaron de la información reportada al SUI. La de ventas y usuarios, se toma de una consulta realizada el 20 de mayo de 2019 y la de costos y gastos, de una consulta hecha al Sistema Unificado de Costos y Gastos, SUCG, el 16 de mayo de 2019.</w:t>
      </w:r>
    </w:p>
    <w:p w14:paraId="747D1646" w14:textId="77777777" w:rsidR="008301BF" w:rsidRPr="008301BF" w:rsidRDefault="008301BF" w:rsidP="004C1604">
      <w:pPr>
        <w:ind w:left="567"/>
        <w:rPr>
          <w:i/>
          <w:iCs/>
          <w:spacing w:val="-3"/>
          <w:sz w:val="22"/>
          <w:szCs w:val="22"/>
        </w:rPr>
      </w:pPr>
      <w:r w:rsidRPr="008301BF">
        <w:rPr>
          <w:i/>
          <w:iCs/>
          <w:spacing w:val="-3"/>
          <w:sz w:val="22"/>
          <w:szCs w:val="22"/>
        </w:rPr>
        <w:t>Comparando los anteriores valores con los reportados por la empresa, se encuentran diferencias en las ventas del nivel de tensión 2 (entre el -4,7% en el año 2012 y el 0,6% en 2013) y en el nivel de tensión 3 (entre el -1,2% en el año 2013 y el 0,6% en 2014). Para el número de usuarios las diferencias no superan el 0,3%. En cuanto a la composición de costos y gastos, se observa que los valores entregados en la solicitud son superiores a los obtenidos en la consulta.</w:t>
      </w:r>
    </w:p>
    <w:p w14:paraId="7DCC8478" w14:textId="47DBE8E2" w:rsidR="008301BF" w:rsidRDefault="008301BF" w:rsidP="004C1604">
      <w:pPr>
        <w:ind w:left="567"/>
        <w:rPr>
          <w:i/>
          <w:iCs/>
          <w:spacing w:val="-3"/>
          <w:sz w:val="22"/>
          <w:szCs w:val="22"/>
        </w:rPr>
      </w:pPr>
      <w:r w:rsidRPr="008301BF">
        <w:rPr>
          <w:i/>
          <w:iCs/>
          <w:spacing w:val="-3"/>
          <w:sz w:val="22"/>
          <w:szCs w:val="22"/>
        </w:rPr>
        <w:t>Con base en lo anterior el factor de eficiencia es de 0,8788 a diferencia del entregado en la solicitud, del 0,8919.</w:t>
      </w:r>
    </w:p>
    <w:p w14:paraId="2A02F857" w14:textId="35B58D0A" w:rsidR="008301BF" w:rsidRPr="008301BF" w:rsidRDefault="008301BF" w:rsidP="008301BF">
      <w:pPr>
        <w:rPr>
          <w:spacing w:val="-3"/>
          <w:lang w:val="es-CO"/>
        </w:rPr>
      </w:pPr>
      <w:r w:rsidRPr="008301BF">
        <w:rPr>
          <w:spacing w:val="-3"/>
          <w:lang w:val="es-CO"/>
        </w:rPr>
        <w:t>Entonces, incluyendo la nueva información, tomada de los formularios recibidos con el radicado CREG E-2019-001175, y con los mismos ajustes menciona</w:t>
      </w:r>
      <w:r w:rsidR="000E53CD">
        <w:rPr>
          <w:spacing w:val="-3"/>
          <w:lang w:val="es-CO"/>
        </w:rPr>
        <w:t>d</w:t>
      </w:r>
      <w:r w:rsidRPr="008301BF">
        <w:rPr>
          <w:spacing w:val="-3"/>
          <w:lang w:val="es-CO"/>
        </w:rPr>
        <w:t xml:space="preserve">os en el Documento CREG 114 de 2019, se obtiene que el factor de eficiencia es de 0,8794. La diferencia la origina un incremento del 0,4%, en promedio, de los kilómetros de red rural de nivel de tensión 2. </w:t>
      </w:r>
    </w:p>
    <w:p w14:paraId="4EFDE81D" w14:textId="31DC80F8" w:rsidR="008301BF" w:rsidRPr="008301BF" w:rsidRDefault="008301BF" w:rsidP="008301BF">
      <w:pPr>
        <w:rPr>
          <w:spacing w:val="-3"/>
          <w:lang w:val="es-CO"/>
        </w:rPr>
      </w:pPr>
      <w:r w:rsidRPr="008301BF">
        <w:rPr>
          <w:spacing w:val="-3"/>
          <w:lang w:val="es-CO"/>
        </w:rPr>
        <w:t>Con base en el análisis anterior, el factor de eficiencia se cambiará de 0,8788</w:t>
      </w:r>
      <w:r w:rsidR="000E53CD">
        <w:rPr>
          <w:spacing w:val="-3"/>
          <w:lang w:val="es-CO"/>
        </w:rPr>
        <w:t>, aprobado en la Resolución CREG 177 de 2019,</w:t>
      </w:r>
      <w:r w:rsidRPr="008301BF">
        <w:rPr>
          <w:spacing w:val="-3"/>
          <w:lang w:val="es-CO"/>
        </w:rPr>
        <w:t xml:space="preserve"> a 0,8794.</w:t>
      </w:r>
    </w:p>
    <w:p w14:paraId="7DBE7773" w14:textId="1EF13991" w:rsidR="008301BF" w:rsidRDefault="008301BF" w:rsidP="008301BF">
      <w:pPr>
        <w:rPr>
          <w:spacing w:val="-3"/>
          <w:lang w:val="es-CO"/>
        </w:rPr>
      </w:pPr>
      <w:r w:rsidRPr="008301BF">
        <w:rPr>
          <w:spacing w:val="-3"/>
          <w:lang w:val="es-CO"/>
        </w:rPr>
        <w:lastRenderedPageBreak/>
        <w:t>Ahora, con respecto a la afirmación de que lo aprobado en el artículo 7 de la Resolución CREG 177 de 2019 difiere del contenido del archivo Excel denominado “Cálculo ingresos D EBSA .xlsx”, adjunto al Documento CREG 144 de 2019, se encuentra que en el artículo 7 de la resolución está la siguiente tabla:</w:t>
      </w:r>
    </w:p>
    <w:p w14:paraId="0EF96B98" w14:textId="77777777" w:rsidR="008301BF" w:rsidRPr="008301BF" w:rsidRDefault="008301BF" w:rsidP="009B1F0F">
      <w:pPr>
        <w:spacing w:before="240"/>
        <w:jc w:val="center"/>
        <w:rPr>
          <w:spacing w:val="-3"/>
          <w:sz w:val="22"/>
          <w:szCs w:val="22"/>
        </w:rPr>
      </w:pPr>
      <w:r w:rsidRPr="008301BF">
        <w:rPr>
          <w:spacing w:val="-3"/>
          <w:sz w:val="22"/>
          <w:szCs w:val="22"/>
        </w:rPr>
        <w:t>Tabla 11 AOM base por nivel de tensión</w:t>
      </w:r>
    </w:p>
    <w:tbl>
      <w:tblPr>
        <w:tblW w:w="3539" w:type="dxa"/>
        <w:jc w:val="center"/>
        <w:tblCellMar>
          <w:left w:w="70" w:type="dxa"/>
          <w:right w:w="70" w:type="dxa"/>
        </w:tblCellMar>
        <w:tblLook w:val="04A0" w:firstRow="1" w:lastRow="0" w:firstColumn="1" w:lastColumn="0" w:noHBand="0" w:noVBand="1"/>
      </w:tblPr>
      <w:tblGrid>
        <w:gridCol w:w="1413"/>
        <w:gridCol w:w="2126"/>
      </w:tblGrid>
      <w:tr w:rsidR="004C1604" w:rsidRPr="008301BF" w14:paraId="53D87192" w14:textId="77777777" w:rsidTr="004C1604">
        <w:trPr>
          <w:trHeight w:val="20"/>
          <w:tblHeader/>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16097" w14:textId="77777777" w:rsidR="008301BF" w:rsidRPr="008301BF" w:rsidRDefault="008301BF" w:rsidP="004C1604">
            <w:pPr>
              <w:spacing w:before="0" w:after="0"/>
              <w:jc w:val="center"/>
              <w:rPr>
                <w:b/>
                <w:bCs/>
                <w:spacing w:val="-3"/>
                <w:sz w:val="20"/>
                <w:szCs w:val="20"/>
                <w:lang w:val="es-CO"/>
              </w:rPr>
            </w:pPr>
            <w:r w:rsidRPr="008301BF">
              <w:rPr>
                <w:b/>
                <w:bCs/>
                <w:spacing w:val="-3"/>
                <w:sz w:val="20"/>
                <w:szCs w:val="20"/>
                <w:lang w:val="es-CO"/>
              </w:rPr>
              <w:t>Variable</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703476F" w14:textId="77777777" w:rsidR="008301BF" w:rsidRPr="008301BF" w:rsidRDefault="008301BF" w:rsidP="004C1604">
            <w:pPr>
              <w:spacing w:before="0" w:after="0"/>
              <w:jc w:val="center"/>
              <w:rPr>
                <w:b/>
                <w:bCs/>
                <w:spacing w:val="-3"/>
                <w:sz w:val="20"/>
                <w:szCs w:val="20"/>
                <w:lang w:val="es-CO"/>
              </w:rPr>
            </w:pPr>
            <w:r w:rsidRPr="008301BF">
              <w:rPr>
                <w:b/>
                <w:bCs/>
                <w:spacing w:val="-3"/>
                <w:sz w:val="20"/>
                <w:szCs w:val="20"/>
                <w:lang w:val="es-CO"/>
              </w:rPr>
              <w:t>Pesos de diciembre de 2017</w:t>
            </w:r>
          </w:p>
        </w:tc>
      </w:tr>
      <w:tr w:rsidR="004C1604" w:rsidRPr="008301BF" w14:paraId="499D2C14" w14:textId="77777777" w:rsidTr="004C1604">
        <w:trPr>
          <w:trHeight w:val="20"/>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3189DECF" w14:textId="77777777" w:rsidR="008301BF" w:rsidRPr="008301BF" w:rsidRDefault="008301BF" w:rsidP="004C1604">
            <w:pPr>
              <w:spacing w:before="0" w:after="0"/>
              <w:rPr>
                <w:i/>
                <w:iCs/>
                <w:spacing w:val="-3"/>
                <w:sz w:val="20"/>
                <w:szCs w:val="20"/>
                <w:lang w:val="es-CO"/>
              </w:rPr>
            </w:pPr>
            <w:r w:rsidRPr="008301BF">
              <w:rPr>
                <w:i/>
                <w:iCs/>
                <w:spacing w:val="-3"/>
                <w:sz w:val="20"/>
                <w:szCs w:val="20"/>
                <w:lang w:val="es-CO"/>
              </w:rPr>
              <w:t>AOMbase</w:t>
            </w:r>
            <w:r w:rsidRPr="008301BF">
              <w:rPr>
                <w:i/>
                <w:iCs/>
                <w:spacing w:val="-3"/>
                <w:sz w:val="20"/>
                <w:szCs w:val="20"/>
                <w:vertAlign w:val="subscript"/>
                <w:lang w:val="es-CO"/>
              </w:rPr>
              <w:t>j,4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56CD7" w14:textId="77777777" w:rsidR="008301BF" w:rsidRPr="008301BF" w:rsidRDefault="008301BF" w:rsidP="000E53CD">
            <w:pPr>
              <w:spacing w:before="0" w:after="0"/>
              <w:jc w:val="right"/>
              <w:rPr>
                <w:spacing w:val="-3"/>
                <w:sz w:val="20"/>
                <w:szCs w:val="20"/>
                <w:lang w:val="es-CO"/>
              </w:rPr>
            </w:pPr>
            <w:r w:rsidRPr="008301BF">
              <w:rPr>
                <w:spacing w:val="-3"/>
                <w:sz w:val="20"/>
                <w:szCs w:val="20"/>
              </w:rPr>
              <w:t>6.701.769.975</w:t>
            </w:r>
          </w:p>
        </w:tc>
      </w:tr>
      <w:tr w:rsidR="004C1604" w:rsidRPr="008301BF" w14:paraId="6EDD35AC" w14:textId="77777777" w:rsidTr="004C1604">
        <w:trPr>
          <w:trHeight w:val="20"/>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2DB0C90B" w14:textId="77777777" w:rsidR="008301BF" w:rsidRPr="008301BF" w:rsidRDefault="008301BF" w:rsidP="004C1604">
            <w:pPr>
              <w:spacing w:before="0" w:after="0"/>
              <w:rPr>
                <w:i/>
                <w:iCs/>
                <w:spacing w:val="-3"/>
                <w:sz w:val="20"/>
                <w:szCs w:val="20"/>
                <w:lang w:val="es-CO"/>
              </w:rPr>
            </w:pPr>
            <w:r w:rsidRPr="008301BF">
              <w:rPr>
                <w:i/>
                <w:iCs/>
                <w:spacing w:val="-3"/>
                <w:sz w:val="20"/>
                <w:szCs w:val="20"/>
                <w:lang w:val="es-CO"/>
              </w:rPr>
              <w:t>AOMbase</w:t>
            </w:r>
            <w:r w:rsidRPr="008301BF">
              <w:rPr>
                <w:i/>
                <w:iCs/>
                <w:spacing w:val="-3"/>
                <w:sz w:val="20"/>
                <w:szCs w:val="20"/>
                <w:vertAlign w:val="subscript"/>
                <w:lang w:val="es-CO"/>
              </w:rPr>
              <w:t>j,3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721D734D" w14:textId="77777777" w:rsidR="008301BF" w:rsidRPr="008301BF" w:rsidRDefault="008301BF" w:rsidP="000E53CD">
            <w:pPr>
              <w:spacing w:before="0" w:after="0"/>
              <w:jc w:val="right"/>
              <w:rPr>
                <w:spacing w:val="-3"/>
                <w:sz w:val="20"/>
                <w:szCs w:val="20"/>
                <w:lang w:val="es-CO"/>
              </w:rPr>
            </w:pPr>
            <w:r w:rsidRPr="008301BF">
              <w:rPr>
                <w:spacing w:val="-3"/>
                <w:sz w:val="20"/>
                <w:szCs w:val="20"/>
              </w:rPr>
              <w:t>5.503.412.303</w:t>
            </w:r>
          </w:p>
        </w:tc>
      </w:tr>
      <w:tr w:rsidR="004C1604" w:rsidRPr="008301BF" w14:paraId="319DDEF0" w14:textId="77777777" w:rsidTr="004C1604">
        <w:trPr>
          <w:trHeight w:val="20"/>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37610C7C" w14:textId="77777777" w:rsidR="008301BF" w:rsidRPr="008301BF" w:rsidRDefault="008301BF" w:rsidP="004C1604">
            <w:pPr>
              <w:spacing w:before="0" w:after="0"/>
              <w:rPr>
                <w:i/>
                <w:iCs/>
                <w:spacing w:val="-3"/>
                <w:sz w:val="20"/>
                <w:szCs w:val="20"/>
                <w:lang w:val="es-CO"/>
              </w:rPr>
            </w:pPr>
            <w:r w:rsidRPr="008301BF">
              <w:rPr>
                <w:i/>
                <w:iCs/>
                <w:spacing w:val="-3"/>
                <w:sz w:val="20"/>
                <w:szCs w:val="20"/>
                <w:lang w:val="es-CO"/>
              </w:rPr>
              <w:t>AOMbase</w:t>
            </w:r>
            <w:r w:rsidRPr="008301BF">
              <w:rPr>
                <w:i/>
                <w:iCs/>
                <w:spacing w:val="-3"/>
                <w:sz w:val="20"/>
                <w:szCs w:val="20"/>
                <w:vertAlign w:val="subscript"/>
                <w:lang w:val="es-CO"/>
              </w:rPr>
              <w:t>j,2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128B469" w14:textId="77777777" w:rsidR="008301BF" w:rsidRPr="008301BF" w:rsidRDefault="008301BF" w:rsidP="000E53CD">
            <w:pPr>
              <w:spacing w:before="0" w:after="0"/>
              <w:jc w:val="right"/>
              <w:rPr>
                <w:spacing w:val="-3"/>
                <w:sz w:val="20"/>
                <w:szCs w:val="20"/>
                <w:lang w:val="es-CO"/>
              </w:rPr>
            </w:pPr>
            <w:r w:rsidRPr="008301BF">
              <w:rPr>
                <w:spacing w:val="-3"/>
                <w:sz w:val="20"/>
                <w:szCs w:val="20"/>
              </w:rPr>
              <w:t>14.616.744.830</w:t>
            </w:r>
          </w:p>
        </w:tc>
      </w:tr>
      <w:tr w:rsidR="004C1604" w:rsidRPr="008301BF" w14:paraId="6DA6E452" w14:textId="77777777" w:rsidTr="004C1604">
        <w:trPr>
          <w:trHeight w:val="20"/>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107E58E9" w14:textId="77777777" w:rsidR="008301BF" w:rsidRPr="008301BF" w:rsidRDefault="008301BF" w:rsidP="004C1604">
            <w:pPr>
              <w:spacing w:before="0" w:after="0"/>
              <w:rPr>
                <w:i/>
                <w:iCs/>
                <w:spacing w:val="-3"/>
                <w:sz w:val="20"/>
                <w:szCs w:val="20"/>
                <w:lang w:val="es-CO"/>
              </w:rPr>
            </w:pPr>
            <w:r w:rsidRPr="008301BF">
              <w:rPr>
                <w:i/>
                <w:iCs/>
                <w:spacing w:val="-3"/>
                <w:sz w:val="20"/>
                <w:szCs w:val="20"/>
                <w:lang w:val="es-CO"/>
              </w:rPr>
              <w:t>AOMbase</w:t>
            </w:r>
            <w:r w:rsidRPr="008301BF">
              <w:rPr>
                <w:i/>
                <w:iCs/>
                <w:spacing w:val="-3"/>
                <w:sz w:val="20"/>
                <w:szCs w:val="20"/>
                <w:vertAlign w:val="subscript"/>
                <w:lang w:val="es-CO"/>
              </w:rPr>
              <w:t>j,1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5A258D34" w14:textId="77777777" w:rsidR="008301BF" w:rsidRPr="008301BF" w:rsidRDefault="008301BF" w:rsidP="000E53CD">
            <w:pPr>
              <w:spacing w:before="0" w:after="0"/>
              <w:jc w:val="right"/>
              <w:rPr>
                <w:spacing w:val="-3"/>
                <w:sz w:val="20"/>
                <w:szCs w:val="20"/>
                <w:lang w:val="es-CO"/>
              </w:rPr>
            </w:pPr>
            <w:r w:rsidRPr="008301BF">
              <w:rPr>
                <w:spacing w:val="-3"/>
                <w:sz w:val="20"/>
                <w:szCs w:val="20"/>
              </w:rPr>
              <w:t>6.206.464.857</w:t>
            </w:r>
          </w:p>
        </w:tc>
      </w:tr>
    </w:tbl>
    <w:p w14:paraId="7F0BF9D5" w14:textId="1E087DBE" w:rsidR="008301BF" w:rsidRPr="008301BF" w:rsidRDefault="008301BF" w:rsidP="009B1F0F">
      <w:pPr>
        <w:spacing w:before="240"/>
        <w:rPr>
          <w:spacing w:val="-3"/>
          <w:lang w:val="es-CO"/>
        </w:rPr>
      </w:pPr>
      <w:r w:rsidRPr="008301BF">
        <w:rPr>
          <w:spacing w:val="-3"/>
          <w:lang w:val="es-CO"/>
        </w:rPr>
        <w:t xml:space="preserve">Estos valores </w:t>
      </w:r>
      <w:r w:rsidR="000E53CD">
        <w:rPr>
          <w:spacing w:val="-3"/>
          <w:lang w:val="es-CO"/>
        </w:rPr>
        <w:t xml:space="preserve">son iguales a los </w:t>
      </w:r>
      <w:r w:rsidR="00EE3D03">
        <w:rPr>
          <w:spacing w:val="-3"/>
          <w:lang w:val="es-CO"/>
        </w:rPr>
        <w:t>obteni</w:t>
      </w:r>
      <w:r w:rsidR="000E53CD">
        <w:rPr>
          <w:spacing w:val="-3"/>
          <w:lang w:val="es-CO"/>
        </w:rPr>
        <w:t>dos en el modelo de cálculo de ingresos, en la fila 198 de</w:t>
      </w:r>
      <w:r w:rsidR="000E53CD" w:rsidRPr="00AA4BB2">
        <w:rPr>
          <w:spacing w:val="-3"/>
          <w:lang w:val="es-CO"/>
        </w:rPr>
        <w:t xml:space="preserve"> </w:t>
      </w:r>
      <w:r w:rsidR="000E53CD" w:rsidRPr="008301BF">
        <w:rPr>
          <w:spacing w:val="-3"/>
          <w:lang w:val="es-CO"/>
        </w:rPr>
        <w:t>la hoja “Capítulo 4”</w:t>
      </w:r>
      <w:r w:rsidR="00B97D1D">
        <w:rPr>
          <w:spacing w:val="-3"/>
          <w:lang w:val="es-CO"/>
        </w:rPr>
        <w:t>,</w:t>
      </w:r>
      <w:r w:rsidR="000E53CD">
        <w:rPr>
          <w:spacing w:val="-3"/>
          <w:lang w:val="es-CO"/>
        </w:rPr>
        <w:t xml:space="preserve"> y que a la vez </w:t>
      </w:r>
      <w:r w:rsidRPr="008301BF">
        <w:rPr>
          <w:spacing w:val="-3"/>
          <w:lang w:val="es-CO"/>
        </w:rPr>
        <w:t xml:space="preserve">se llevan a la fila 8 de la misma hoja, donde el valor del </w:t>
      </w:r>
      <w:proofErr w:type="spellStart"/>
      <w:r w:rsidRPr="008301BF">
        <w:rPr>
          <w:spacing w:val="-3"/>
          <w:lang w:val="es-CO"/>
        </w:rPr>
        <w:t>AOMbase</w:t>
      </w:r>
      <w:proofErr w:type="spellEnd"/>
      <w:r w:rsidRPr="008301BF">
        <w:rPr>
          <w:spacing w:val="-3"/>
          <w:lang w:val="es-CO"/>
        </w:rPr>
        <w:t xml:space="preserve"> es el mismo, por nivel de tensión, para cada uno de los cinco años formulados en esa fila (años desde t=1 hasta t=5)</w:t>
      </w:r>
      <w:r w:rsidR="000E53CD">
        <w:rPr>
          <w:spacing w:val="-3"/>
          <w:lang w:val="es-CO"/>
        </w:rPr>
        <w:t xml:space="preserve">. </w:t>
      </w:r>
      <w:r w:rsidR="000E53CD" w:rsidRPr="00E12C23">
        <w:t xml:space="preserve">Si las diferencias se observan al comparar con los valores mostrados en la hoja “Resultados”, es de aclarar que allí los ingresos anuales no solamente corresponden al </w:t>
      </w:r>
      <w:proofErr w:type="spellStart"/>
      <w:r w:rsidR="000E53CD" w:rsidRPr="00E12C23">
        <w:t>AOMbase</w:t>
      </w:r>
      <w:proofErr w:type="spellEnd"/>
      <w:r w:rsidR="00B97D1D">
        <w:t>,</w:t>
      </w:r>
      <w:r w:rsidR="000E53CD" w:rsidRPr="00E12C23">
        <w:t xml:space="preserve"> sino que incluyen una estimación de los AOM ocasionados por las nuevas inversiones y, por eso, </w:t>
      </w:r>
      <w:r w:rsidR="000E53CD">
        <w:t>puede</w:t>
      </w:r>
      <w:r w:rsidR="0018166A">
        <w:t>n</w:t>
      </w:r>
      <w:r w:rsidR="000E53CD">
        <w:t xml:space="preserve"> n</w:t>
      </w:r>
      <w:r w:rsidR="000E53CD" w:rsidRPr="00E12C23">
        <w:t>o s</w:t>
      </w:r>
      <w:r w:rsidR="000E53CD">
        <w:t>er</w:t>
      </w:r>
      <w:r w:rsidR="000E53CD" w:rsidRPr="00E12C23">
        <w:t xml:space="preserve"> iguales.</w:t>
      </w:r>
    </w:p>
    <w:p w14:paraId="5177E836" w14:textId="097C6D9F" w:rsidR="008301BF" w:rsidRPr="008301BF" w:rsidRDefault="008301BF" w:rsidP="008301BF">
      <w:pPr>
        <w:rPr>
          <w:spacing w:val="-3"/>
          <w:lang w:val="es-CO"/>
        </w:rPr>
      </w:pPr>
      <w:r w:rsidRPr="008301BF">
        <w:rPr>
          <w:spacing w:val="-3"/>
          <w:lang w:val="es-CO"/>
        </w:rPr>
        <w:t>De donde se concluye que, a partir del argumento de la empresa, no es posible identificar el aspecto que solicita verificar y corregir.</w:t>
      </w:r>
    </w:p>
    <w:p w14:paraId="202136E3" w14:textId="77777777" w:rsidR="00AB668B" w:rsidRDefault="00AB668B" w:rsidP="00D97194">
      <w:pPr>
        <w:rPr>
          <w:spacing w:val="-3"/>
          <w:lang w:val="es-CO"/>
        </w:rPr>
      </w:pPr>
    </w:p>
    <w:p w14:paraId="1A40A845" w14:textId="1819BD21" w:rsidR="007200B6" w:rsidRDefault="007200B6" w:rsidP="00E75A8D">
      <w:pPr>
        <w:rPr>
          <w:spacing w:val="-3"/>
        </w:rPr>
      </w:pPr>
      <w:r>
        <w:rPr>
          <w:b/>
          <w:bCs/>
          <w:spacing w:val="-3"/>
        </w:rPr>
        <w:t>Solicitud 3</w:t>
      </w:r>
      <w:r w:rsidRPr="00221B7B">
        <w:rPr>
          <w:b/>
          <w:bCs/>
          <w:spacing w:val="-3"/>
        </w:rPr>
        <w:t>.</w:t>
      </w:r>
      <w:r>
        <w:rPr>
          <w:b/>
          <w:bCs/>
          <w:spacing w:val="-3"/>
        </w:rPr>
        <w:t xml:space="preserve"> Pérdidas. </w:t>
      </w:r>
      <w:r w:rsidRPr="00221B7B">
        <w:rPr>
          <w:spacing w:val="-3"/>
        </w:rPr>
        <w:t xml:space="preserve">El OR </w:t>
      </w:r>
      <w:r w:rsidR="00E75A8D">
        <w:rPr>
          <w:spacing w:val="-3"/>
        </w:rPr>
        <w:t xml:space="preserve">solicita: i) </w:t>
      </w:r>
      <w:r w:rsidR="00E75A8D" w:rsidRPr="00E75A8D">
        <w:rPr>
          <w:spacing w:val="-3"/>
        </w:rPr>
        <w:t>que par</w:t>
      </w:r>
      <w:r w:rsidR="00E75A8D">
        <w:rPr>
          <w:spacing w:val="-3"/>
        </w:rPr>
        <w:t>a</w:t>
      </w:r>
      <w:r w:rsidR="00E75A8D" w:rsidRPr="00E75A8D">
        <w:rPr>
          <w:spacing w:val="-3"/>
        </w:rPr>
        <w:t xml:space="preserve"> correr el modelo </w:t>
      </w:r>
      <w:r w:rsidR="00E75A8D">
        <w:rPr>
          <w:spacing w:val="-3"/>
        </w:rPr>
        <w:t>l</w:t>
      </w:r>
      <w:r w:rsidR="00E75A8D" w:rsidRPr="00E75A8D">
        <w:rPr>
          <w:spacing w:val="-3"/>
        </w:rPr>
        <w:t xml:space="preserve">a CREG emplee </w:t>
      </w:r>
      <w:r w:rsidR="00E75A8D">
        <w:rPr>
          <w:spacing w:val="-3"/>
        </w:rPr>
        <w:t>l</w:t>
      </w:r>
      <w:r w:rsidR="00E75A8D" w:rsidRPr="00E75A8D">
        <w:rPr>
          <w:spacing w:val="-3"/>
        </w:rPr>
        <w:t>a informaci</w:t>
      </w:r>
      <w:r w:rsidR="00E75A8D">
        <w:rPr>
          <w:spacing w:val="-3"/>
        </w:rPr>
        <w:t>ó</w:t>
      </w:r>
      <w:r w:rsidR="00E75A8D" w:rsidRPr="00E75A8D">
        <w:rPr>
          <w:spacing w:val="-3"/>
        </w:rPr>
        <w:t>n real entregada por EBSA,</w:t>
      </w:r>
      <w:r w:rsidR="00E75A8D">
        <w:rPr>
          <w:spacing w:val="-3"/>
        </w:rPr>
        <w:t xml:space="preserve"> </w:t>
      </w:r>
      <w:proofErr w:type="spellStart"/>
      <w:r w:rsidR="00E75A8D">
        <w:rPr>
          <w:spacing w:val="-3"/>
        </w:rPr>
        <w:t>ii</w:t>
      </w:r>
      <w:proofErr w:type="spellEnd"/>
      <w:r w:rsidR="00E75A8D">
        <w:rPr>
          <w:spacing w:val="-3"/>
        </w:rPr>
        <w:t>) q</w:t>
      </w:r>
      <w:r w:rsidR="00E75A8D" w:rsidRPr="00E75A8D">
        <w:rPr>
          <w:spacing w:val="-3"/>
        </w:rPr>
        <w:t>ue la CREG permita a EBSA</w:t>
      </w:r>
      <w:r w:rsidR="00E75A8D">
        <w:rPr>
          <w:spacing w:val="-3"/>
        </w:rPr>
        <w:t xml:space="preserve"> </w:t>
      </w:r>
      <w:r w:rsidR="00E75A8D" w:rsidRPr="00E75A8D">
        <w:rPr>
          <w:spacing w:val="-3"/>
        </w:rPr>
        <w:t>el acceso al model</w:t>
      </w:r>
      <w:r w:rsidR="00E75A8D">
        <w:rPr>
          <w:spacing w:val="-3"/>
        </w:rPr>
        <w:t>o</w:t>
      </w:r>
      <w:r w:rsidR="00E75A8D" w:rsidRPr="00E75A8D">
        <w:rPr>
          <w:spacing w:val="-3"/>
        </w:rPr>
        <w:t xml:space="preserve"> para verificar el resultado</w:t>
      </w:r>
      <w:r w:rsidR="00E75A8D">
        <w:rPr>
          <w:spacing w:val="-3"/>
        </w:rPr>
        <w:t xml:space="preserve">, </w:t>
      </w:r>
      <w:proofErr w:type="spellStart"/>
      <w:r w:rsidR="00E75A8D">
        <w:rPr>
          <w:spacing w:val="-3"/>
        </w:rPr>
        <w:t>iii</w:t>
      </w:r>
      <w:proofErr w:type="spellEnd"/>
      <w:r w:rsidR="00E75A8D">
        <w:rPr>
          <w:spacing w:val="-3"/>
        </w:rPr>
        <w:t xml:space="preserve">) </w:t>
      </w:r>
      <w:r w:rsidR="00E75A8D" w:rsidRPr="00E75A8D">
        <w:rPr>
          <w:spacing w:val="-3"/>
        </w:rPr>
        <w:t>En la eventualidad de que el modelo converja, que se determine el costo anual de</w:t>
      </w:r>
      <w:r w:rsidR="00E75A8D">
        <w:rPr>
          <w:spacing w:val="-3"/>
        </w:rPr>
        <w:t xml:space="preserve"> </w:t>
      </w:r>
      <w:r w:rsidR="00E75A8D" w:rsidRPr="00E75A8D">
        <w:rPr>
          <w:spacing w:val="-3"/>
        </w:rPr>
        <w:t>mantenimiento de p</w:t>
      </w:r>
      <w:r w:rsidR="00E75A8D">
        <w:rPr>
          <w:spacing w:val="-3"/>
        </w:rPr>
        <w:t>é</w:t>
      </w:r>
      <w:r w:rsidR="00E75A8D" w:rsidRPr="00E75A8D">
        <w:rPr>
          <w:spacing w:val="-3"/>
        </w:rPr>
        <w:t>rdidas</w:t>
      </w:r>
      <w:r w:rsidR="00E75A8D">
        <w:rPr>
          <w:spacing w:val="-3"/>
        </w:rPr>
        <w:t xml:space="preserve"> y </w:t>
      </w:r>
      <w:proofErr w:type="spellStart"/>
      <w:r w:rsidR="00E75A8D">
        <w:rPr>
          <w:spacing w:val="-3"/>
        </w:rPr>
        <w:t>iv</w:t>
      </w:r>
      <w:proofErr w:type="spellEnd"/>
      <w:r w:rsidR="00E75A8D">
        <w:rPr>
          <w:spacing w:val="-3"/>
        </w:rPr>
        <w:t>) e</w:t>
      </w:r>
      <w:r w:rsidR="00E75A8D" w:rsidRPr="00E75A8D">
        <w:rPr>
          <w:spacing w:val="-3"/>
        </w:rPr>
        <w:t>n la eventualidad de que el model</w:t>
      </w:r>
      <w:r w:rsidR="00E75A8D">
        <w:rPr>
          <w:spacing w:val="-3"/>
        </w:rPr>
        <w:t>o</w:t>
      </w:r>
      <w:r w:rsidR="00E75A8D" w:rsidRPr="00E75A8D">
        <w:rPr>
          <w:spacing w:val="-3"/>
        </w:rPr>
        <w:t xml:space="preserve"> no converja, que se le reconozca a la EBSA </w:t>
      </w:r>
      <w:r w:rsidR="00E75A8D">
        <w:rPr>
          <w:spacing w:val="-3"/>
        </w:rPr>
        <w:t>lo</w:t>
      </w:r>
      <w:r w:rsidR="00E75A8D" w:rsidRPr="00E75A8D">
        <w:rPr>
          <w:spacing w:val="-3"/>
        </w:rPr>
        <w:t>, necesario</w:t>
      </w:r>
      <w:r w:rsidR="00E75A8D">
        <w:rPr>
          <w:spacing w:val="-3"/>
        </w:rPr>
        <w:t xml:space="preserve"> </w:t>
      </w:r>
      <w:r w:rsidR="00E75A8D" w:rsidRPr="00E75A8D">
        <w:rPr>
          <w:spacing w:val="-3"/>
        </w:rPr>
        <w:t xml:space="preserve">para mantener el nivel de perdidas eficiente, lo cual corresponde a </w:t>
      </w:r>
      <w:r w:rsidR="00E75A8D">
        <w:rPr>
          <w:spacing w:val="-3"/>
        </w:rPr>
        <w:t>l</w:t>
      </w:r>
      <w:r w:rsidR="00E75A8D" w:rsidRPr="00E75A8D">
        <w:rPr>
          <w:spacing w:val="-3"/>
        </w:rPr>
        <w:t>o requerido en la solicitud de ingresos.</w:t>
      </w:r>
    </w:p>
    <w:p w14:paraId="2FD83428" w14:textId="04B08A09" w:rsidR="00E75A8D" w:rsidRDefault="00E75A8D" w:rsidP="00E75A8D">
      <w:pPr>
        <w:rPr>
          <w:spacing w:val="-3"/>
        </w:rPr>
      </w:pPr>
      <w:r>
        <w:rPr>
          <w:spacing w:val="-3"/>
        </w:rPr>
        <w:t>La solicitud es soportada con base en los siguientes argumentos:</w:t>
      </w:r>
    </w:p>
    <w:p w14:paraId="3EE9359D" w14:textId="74420AEC" w:rsidR="007200B6" w:rsidRDefault="007200B6" w:rsidP="000E53CD">
      <w:pPr>
        <w:spacing w:after="0"/>
        <w:ind w:left="567"/>
        <w:rPr>
          <w:i/>
          <w:iCs/>
          <w:spacing w:val="-3"/>
          <w:sz w:val="22"/>
          <w:szCs w:val="22"/>
        </w:rPr>
      </w:pPr>
      <w:r w:rsidRPr="0051267F">
        <w:rPr>
          <w:i/>
          <w:iCs/>
          <w:spacing w:val="-3"/>
          <w:sz w:val="22"/>
          <w:szCs w:val="22"/>
        </w:rPr>
        <w:t>El numeral 7.3.2.2 numeral j, del Anexo general de la Resoluci</w:t>
      </w:r>
      <w:r w:rsidR="00781282" w:rsidRPr="0051267F">
        <w:rPr>
          <w:i/>
          <w:iCs/>
          <w:spacing w:val="-3"/>
          <w:sz w:val="22"/>
          <w:szCs w:val="22"/>
        </w:rPr>
        <w:t>ó</w:t>
      </w:r>
      <w:r w:rsidRPr="0051267F">
        <w:rPr>
          <w:i/>
          <w:iCs/>
          <w:spacing w:val="-3"/>
          <w:sz w:val="22"/>
          <w:szCs w:val="22"/>
        </w:rPr>
        <w:t>n CREG 015 de 2018, establece:</w:t>
      </w:r>
    </w:p>
    <w:p w14:paraId="0A0B0111" w14:textId="79854FCF" w:rsidR="007200B6" w:rsidRDefault="0051267F" w:rsidP="000E53CD">
      <w:pPr>
        <w:spacing w:after="0"/>
        <w:ind w:left="567"/>
        <w:rPr>
          <w:i/>
          <w:iCs/>
          <w:spacing w:val="-3"/>
          <w:sz w:val="22"/>
          <w:szCs w:val="22"/>
        </w:rPr>
      </w:pPr>
      <w:r w:rsidRPr="0051267F">
        <w:rPr>
          <w:i/>
          <w:iCs/>
          <w:spacing w:val="-3"/>
          <w:sz w:val="22"/>
          <w:szCs w:val="22"/>
        </w:rPr>
        <w:t>“j</w:t>
      </w:r>
      <w:r w:rsidR="007200B6" w:rsidRPr="0051267F">
        <w:rPr>
          <w:i/>
          <w:iCs/>
          <w:spacing w:val="-3"/>
          <w:sz w:val="22"/>
          <w:szCs w:val="22"/>
        </w:rPr>
        <w:t>- Para efectos del c</w:t>
      </w:r>
      <w:r w:rsidR="00781282" w:rsidRPr="0051267F">
        <w:rPr>
          <w:i/>
          <w:iCs/>
          <w:spacing w:val="-3"/>
          <w:sz w:val="22"/>
          <w:szCs w:val="22"/>
        </w:rPr>
        <w:t>á</w:t>
      </w:r>
      <w:r w:rsidR="007200B6" w:rsidRPr="0051267F">
        <w:rPr>
          <w:i/>
          <w:iCs/>
          <w:spacing w:val="-3"/>
          <w:sz w:val="22"/>
          <w:szCs w:val="22"/>
        </w:rPr>
        <w:t xml:space="preserve">lculo de la variable </w:t>
      </w:r>
      <w:proofErr w:type="spellStart"/>
      <w:r w:rsidR="00D1675F" w:rsidRPr="0051267F">
        <w:rPr>
          <w:i/>
          <w:iCs/>
          <w:spacing w:val="-3"/>
          <w:sz w:val="22"/>
          <w:szCs w:val="22"/>
        </w:rPr>
        <w:t>CPCE</w:t>
      </w:r>
      <w:r w:rsidR="00D1675F">
        <w:rPr>
          <w:i/>
          <w:iCs/>
          <w:spacing w:val="-3"/>
          <w:sz w:val="22"/>
          <w:szCs w:val="22"/>
        </w:rPr>
        <w:t>j</w:t>
      </w:r>
      <w:proofErr w:type="spellEnd"/>
      <w:r w:rsidR="00D1675F" w:rsidRPr="0051267F">
        <w:rPr>
          <w:i/>
          <w:iCs/>
          <w:spacing w:val="-3"/>
          <w:sz w:val="22"/>
          <w:szCs w:val="22"/>
        </w:rPr>
        <w:t xml:space="preserve"> </w:t>
      </w:r>
      <w:r w:rsidR="007200B6" w:rsidRPr="0051267F">
        <w:rPr>
          <w:i/>
          <w:iCs/>
          <w:spacing w:val="-3"/>
          <w:sz w:val="22"/>
          <w:szCs w:val="22"/>
        </w:rPr>
        <w:t xml:space="preserve">en el </w:t>
      </w:r>
      <w:r w:rsidR="009F7086" w:rsidRPr="0051267F">
        <w:rPr>
          <w:i/>
          <w:iCs/>
          <w:spacing w:val="-3"/>
          <w:sz w:val="22"/>
          <w:szCs w:val="22"/>
        </w:rPr>
        <w:t>cas</w:t>
      </w:r>
      <w:r w:rsidR="009F7086">
        <w:rPr>
          <w:i/>
          <w:iCs/>
          <w:spacing w:val="-3"/>
          <w:sz w:val="22"/>
          <w:szCs w:val="22"/>
        </w:rPr>
        <w:t>o</w:t>
      </w:r>
      <w:r w:rsidR="007200B6" w:rsidRPr="0051267F">
        <w:rPr>
          <w:i/>
          <w:iCs/>
          <w:spacing w:val="-3"/>
          <w:sz w:val="22"/>
          <w:szCs w:val="22"/>
        </w:rPr>
        <w:t xml:space="preserve"> de los planes de mantenimiento de perdidas, se tendr</w:t>
      </w:r>
      <w:r w:rsidR="00781282" w:rsidRPr="0051267F">
        <w:rPr>
          <w:i/>
          <w:iCs/>
          <w:spacing w:val="-3"/>
          <w:sz w:val="22"/>
          <w:szCs w:val="22"/>
        </w:rPr>
        <w:t>á</w:t>
      </w:r>
      <w:r w:rsidR="007200B6" w:rsidRPr="0051267F">
        <w:rPr>
          <w:i/>
          <w:iCs/>
          <w:spacing w:val="-3"/>
          <w:sz w:val="22"/>
          <w:szCs w:val="22"/>
        </w:rPr>
        <w:t xml:space="preserve"> en cuenta que el </w:t>
      </w:r>
      <w:r w:rsidR="00781282" w:rsidRPr="0051267F">
        <w:rPr>
          <w:i/>
          <w:iCs/>
          <w:spacing w:val="-3"/>
          <w:sz w:val="22"/>
          <w:szCs w:val="22"/>
        </w:rPr>
        <w:t>í</w:t>
      </w:r>
      <w:r w:rsidR="007200B6" w:rsidRPr="0051267F">
        <w:rPr>
          <w:i/>
          <w:iCs/>
          <w:spacing w:val="-3"/>
          <w:sz w:val="22"/>
          <w:szCs w:val="22"/>
        </w:rPr>
        <w:t>ndice de perdidas ini</w:t>
      </w:r>
      <w:r w:rsidR="00781282" w:rsidRPr="0051267F">
        <w:rPr>
          <w:i/>
          <w:iCs/>
          <w:spacing w:val="-3"/>
          <w:sz w:val="22"/>
          <w:szCs w:val="22"/>
        </w:rPr>
        <w:t>c</w:t>
      </w:r>
      <w:r w:rsidR="007200B6" w:rsidRPr="0051267F">
        <w:rPr>
          <w:i/>
          <w:iCs/>
          <w:spacing w:val="-3"/>
          <w:sz w:val="22"/>
          <w:szCs w:val="22"/>
        </w:rPr>
        <w:t xml:space="preserve">ial es igual al eficiente y </w:t>
      </w:r>
      <w:r w:rsidR="00781282" w:rsidRPr="0051267F">
        <w:rPr>
          <w:i/>
          <w:iCs/>
          <w:spacing w:val="-3"/>
          <w:sz w:val="22"/>
          <w:szCs w:val="22"/>
        </w:rPr>
        <w:t>el í</w:t>
      </w:r>
      <w:r w:rsidR="007200B6" w:rsidRPr="0051267F">
        <w:rPr>
          <w:i/>
          <w:iCs/>
          <w:spacing w:val="-3"/>
          <w:sz w:val="22"/>
          <w:szCs w:val="22"/>
        </w:rPr>
        <w:t>ndice de meta es inferior en un punto porcentual al primero. Las dem</w:t>
      </w:r>
      <w:r w:rsidRPr="0051267F">
        <w:rPr>
          <w:i/>
          <w:iCs/>
          <w:spacing w:val="-3"/>
          <w:sz w:val="22"/>
          <w:szCs w:val="22"/>
        </w:rPr>
        <w:t>á</w:t>
      </w:r>
      <w:r w:rsidR="007200B6" w:rsidRPr="0051267F">
        <w:rPr>
          <w:i/>
          <w:iCs/>
          <w:spacing w:val="-3"/>
          <w:sz w:val="22"/>
          <w:szCs w:val="22"/>
        </w:rPr>
        <w:t>s variables, com</w:t>
      </w:r>
      <w:r w:rsidRPr="0051267F">
        <w:rPr>
          <w:i/>
          <w:iCs/>
          <w:spacing w:val="-3"/>
          <w:sz w:val="22"/>
          <w:szCs w:val="22"/>
        </w:rPr>
        <w:t xml:space="preserve">o </w:t>
      </w:r>
      <w:r w:rsidR="007200B6" w:rsidRPr="0051267F">
        <w:rPr>
          <w:i/>
          <w:iCs/>
          <w:spacing w:val="-3"/>
          <w:sz w:val="22"/>
          <w:szCs w:val="22"/>
        </w:rPr>
        <w:t>energ</w:t>
      </w:r>
      <w:r w:rsidRPr="0051267F">
        <w:rPr>
          <w:i/>
          <w:iCs/>
          <w:spacing w:val="-3"/>
          <w:sz w:val="22"/>
          <w:szCs w:val="22"/>
        </w:rPr>
        <w:t>í</w:t>
      </w:r>
      <w:r w:rsidR="007200B6" w:rsidRPr="0051267F">
        <w:rPr>
          <w:i/>
          <w:iCs/>
          <w:spacing w:val="-3"/>
          <w:sz w:val="22"/>
          <w:szCs w:val="22"/>
        </w:rPr>
        <w:t>a de entrada y salida de los a</w:t>
      </w:r>
      <w:r w:rsidRPr="0051267F">
        <w:rPr>
          <w:i/>
          <w:iCs/>
          <w:spacing w:val="-3"/>
          <w:sz w:val="22"/>
          <w:szCs w:val="22"/>
        </w:rPr>
        <w:t>ñ</w:t>
      </w:r>
      <w:r w:rsidR="007200B6" w:rsidRPr="0051267F">
        <w:rPr>
          <w:i/>
          <w:iCs/>
          <w:spacing w:val="-3"/>
          <w:sz w:val="22"/>
          <w:szCs w:val="22"/>
        </w:rPr>
        <w:t>os t y t-1, deber</w:t>
      </w:r>
      <w:r w:rsidRPr="0051267F">
        <w:rPr>
          <w:i/>
          <w:iCs/>
          <w:spacing w:val="-3"/>
          <w:sz w:val="22"/>
          <w:szCs w:val="22"/>
        </w:rPr>
        <w:t>á</w:t>
      </w:r>
      <w:r w:rsidR="007200B6" w:rsidRPr="0051267F">
        <w:rPr>
          <w:i/>
          <w:iCs/>
          <w:spacing w:val="-3"/>
          <w:sz w:val="22"/>
          <w:szCs w:val="22"/>
        </w:rPr>
        <w:t>n est</w:t>
      </w:r>
      <w:r w:rsidRPr="0051267F">
        <w:rPr>
          <w:i/>
          <w:iCs/>
          <w:spacing w:val="-3"/>
          <w:sz w:val="22"/>
          <w:szCs w:val="22"/>
        </w:rPr>
        <w:t>a</w:t>
      </w:r>
      <w:r w:rsidR="007200B6" w:rsidRPr="0051267F">
        <w:rPr>
          <w:i/>
          <w:iCs/>
          <w:spacing w:val="-3"/>
          <w:sz w:val="22"/>
          <w:szCs w:val="22"/>
        </w:rPr>
        <w:t xml:space="preserve">r acorde con estos </w:t>
      </w:r>
      <w:r w:rsidRPr="0051267F">
        <w:rPr>
          <w:i/>
          <w:iCs/>
          <w:spacing w:val="-3"/>
          <w:sz w:val="22"/>
          <w:szCs w:val="22"/>
        </w:rPr>
        <w:t>í</w:t>
      </w:r>
      <w:r w:rsidR="007200B6" w:rsidRPr="0051267F">
        <w:rPr>
          <w:i/>
          <w:iCs/>
          <w:spacing w:val="-3"/>
          <w:sz w:val="22"/>
          <w:szCs w:val="22"/>
        </w:rPr>
        <w:t>ndices."</w:t>
      </w:r>
    </w:p>
    <w:p w14:paraId="753F3AC4" w14:textId="496CBB66" w:rsidR="007200B6" w:rsidRDefault="007200B6" w:rsidP="000E53CD">
      <w:pPr>
        <w:spacing w:after="0"/>
        <w:ind w:left="567"/>
        <w:rPr>
          <w:i/>
          <w:iCs/>
          <w:spacing w:val="-3"/>
          <w:sz w:val="22"/>
          <w:szCs w:val="22"/>
        </w:rPr>
      </w:pPr>
      <w:r w:rsidRPr="0051267F">
        <w:rPr>
          <w:i/>
          <w:iCs/>
          <w:spacing w:val="-3"/>
          <w:sz w:val="22"/>
          <w:szCs w:val="22"/>
        </w:rPr>
        <w:t>Adicionalmente se debe t</w:t>
      </w:r>
      <w:r w:rsidR="0051267F">
        <w:rPr>
          <w:i/>
          <w:iCs/>
          <w:spacing w:val="-3"/>
          <w:sz w:val="22"/>
          <w:szCs w:val="22"/>
        </w:rPr>
        <w:t>e</w:t>
      </w:r>
      <w:r w:rsidRPr="0051267F">
        <w:rPr>
          <w:i/>
          <w:iCs/>
          <w:spacing w:val="-3"/>
          <w:sz w:val="22"/>
          <w:szCs w:val="22"/>
        </w:rPr>
        <w:t>ner en cuenta que para la EBSA m</w:t>
      </w:r>
      <w:r w:rsidR="0051267F">
        <w:rPr>
          <w:i/>
          <w:iCs/>
          <w:spacing w:val="-3"/>
          <w:sz w:val="22"/>
          <w:szCs w:val="22"/>
        </w:rPr>
        <w:t>á</w:t>
      </w:r>
      <w:r w:rsidRPr="0051267F">
        <w:rPr>
          <w:i/>
          <w:iCs/>
          <w:spacing w:val="-3"/>
          <w:sz w:val="22"/>
          <w:szCs w:val="22"/>
        </w:rPr>
        <w:t xml:space="preserve">s del 30% de las </w:t>
      </w:r>
      <w:r w:rsidR="0051267F">
        <w:rPr>
          <w:i/>
          <w:iCs/>
          <w:spacing w:val="-3"/>
          <w:sz w:val="22"/>
          <w:szCs w:val="22"/>
        </w:rPr>
        <w:t>v</w:t>
      </w:r>
      <w:r w:rsidRPr="0051267F">
        <w:rPr>
          <w:i/>
          <w:iCs/>
          <w:spacing w:val="-3"/>
          <w:sz w:val="22"/>
          <w:szCs w:val="22"/>
        </w:rPr>
        <w:t>entas de energ</w:t>
      </w:r>
      <w:r w:rsidR="0051267F">
        <w:rPr>
          <w:i/>
          <w:iCs/>
          <w:spacing w:val="-3"/>
          <w:sz w:val="22"/>
          <w:szCs w:val="22"/>
        </w:rPr>
        <w:t>í</w:t>
      </w:r>
      <w:r w:rsidRPr="0051267F">
        <w:rPr>
          <w:i/>
          <w:iCs/>
          <w:spacing w:val="-3"/>
          <w:sz w:val="22"/>
          <w:szCs w:val="22"/>
        </w:rPr>
        <w:t xml:space="preserve">a realizadas en el sistema operado por </w:t>
      </w:r>
      <w:r w:rsidR="0051267F">
        <w:rPr>
          <w:i/>
          <w:iCs/>
          <w:spacing w:val="-3"/>
          <w:sz w:val="22"/>
          <w:szCs w:val="22"/>
        </w:rPr>
        <w:t>l</w:t>
      </w:r>
      <w:r w:rsidRPr="0051267F">
        <w:rPr>
          <w:i/>
          <w:iCs/>
          <w:spacing w:val="-3"/>
          <w:sz w:val="22"/>
          <w:szCs w:val="22"/>
        </w:rPr>
        <w:t>a EBSA se realizan en el nivel de tensi</w:t>
      </w:r>
      <w:r w:rsidR="0051267F">
        <w:rPr>
          <w:i/>
          <w:iCs/>
          <w:spacing w:val="-3"/>
          <w:sz w:val="22"/>
          <w:szCs w:val="22"/>
        </w:rPr>
        <w:t>ó</w:t>
      </w:r>
      <w:r w:rsidRPr="0051267F">
        <w:rPr>
          <w:i/>
          <w:iCs/>
          <w:spacing w:val="-3"/>
          <w:sz w:val="22"/>
          <w:szCs w:val="22"/>
        </w:rPr>
        <w:t>n 4, aspecto que debe ser considerado, en el c</w:t>
      </w:r>
      <w:r w:rsidR="0051267F">
        <w:rPr>
          <w:i/>
          <w:iCs/>
          <w:spacing w:val="-3"/>
          <w:sz w:val="22"/>
          <w:szCs w:val="22"/>
        </w:rPr>
        <w:t>á</w:t>
      </w:r>
      <w:r w:rsidRPr="0051267F">
        <w:rPr>
          <w:i/>
          <w:iCs/>
          <w:spacing w:val="-3"/>
          <w:sz w:val="22"/>
          <w:szCs w:val="22"/>
        </w:rPr>
        <w:t xml:space="preserve">lculo del </w:t>
      </w:r>
      <w:proofErr w:type="spellStart"/>
      <w:r w:rsidRPr="0051267F">
        <w:rPr>
          <w:i/>
          <w:iCs/>
          <w:spacing w:val="-3"/>
          <w:sz w:val="22"/>
          <w:szCs w:val="22"/>
        </w:rPr>
        <w:t>CAP</w:t>
      </w:r>
      <w:r w:rsidR="0051267F" w:rsidRPr="00AF4052">
        <w:rPr>
          <w:i/>
          <w:spacing w:val="-3"/>
          <w:sz w:val="22"/>
          <w:szCs w:val="22"/>
          <w:vertAlign w:val="subscript"/>
        </w:rPr>
        <w:t>j</w:t>
      </w:r>
      <w:proofErr w:type="spellEnd"/>
      <w:r w:rsidR="0051267F">
        <w:rPr>
          <w:i/>
          <w:iCs/>
          <w:spacing w:val="-3"/>
          <w:sz w:val="22"/>
          <w:szCs w:val="22"/>
        </w:rPr>
        <w:t>.</w:t>
      </w:r>
    </w:p>
    <w:p w14:paraId="464AF1F1" w14:textId="0A53A23A" w:rsidR="007200B6" w:rsidRPr="0051267F" w:rsidRDefault="007200B6" w:rsidP="000E53CD">
      <w:pPr>
        <w:spacing w:after="0"/>
        <w:ind w:left="567"/>
        <w:rPr>
          <w:i/>
          <w:iCs/>
          <w:spacing w:val="-3"/>
          <w:sz w:val="22"/>
          <w:szCs w:val="22"/>
        </w:rPr>
      </w:pPr>
      <w:r w:rsidRPr="0051267F">
        <w:rPr>
          <w:i/>
          <w:iCs/>
          <w:spacing w:val="-3"/>
          <w:sz w:val="22"/>
          <w:szCs w:val="22"/>
        </w:rPr>
        <w:t>"Cuando en un mercado de comercializaci</w:t>
      </w:r>
      <w:r w:rsidR="0051267F">
        <w:rPr>
          <w:i/>
          <w:iCs/>
          <w:spacing w:val="-3"/>
          <w:sz w:val="22"/>
          <w:szCs w:val="22"/>
        </w:rPr>
        <w:t>ó</w:t>
      </w:r>
      <w:r w:rsidRPr="0051267F">
        <w:rPr>
          <w:i/>
          <w:iCs/>
          <w:spacing w:val="-3"/>
          <w:sz w:val="22"/>
          <w:szCs w:val="22"/>
        </w:rPr>
        <w:t>n la energ</w:t>
      </w:r>
      <w:r w:rsidR="0051267F">
        <w:rPr>
          <w:i/>
          <w:iCs/>
          <w:spacing w:val="-3"/>
          <w:sz w:val="22"/>
          <w:szCs w:val="22"/>
        </w:rPr>
        <w:t>í</w:t>
      </w:r>
      <w:r w:rsidRPr="0051267F">
        <w:rPr>
          <w:i/>
          <w:iCs/>
          <w:spacing w:val="-3"/>
          <w:sz w:val="22"/>
          <w:szCs w:val="22"/>
        </w:rPr>
        <w:t>a vendida a usuarios en el nivel de tensi</w:t>
      </w:r>
      <w:r w:rsidR="0051267F">
        <w:rPr>
          <w:i/>
          <w:iCs/>
          <w:spacing w:val="-3"/>
          <w:sz w:val="22"/>
          <w:szCs w:val="22"/>
        </w:rPr>
        <w:t>ó</w:t>
      </w:r>
      <w:r w:rsidRPr="0051267F">
        <w:rPr>
          <w:i/>
          <w:iCs/>
          <w:spacing w:val="-3"/>
          <w:sz w:val="22"/>
          <w:szCs w:val="22"/>
        </w:rPr>
        <w:t>n 4 sea igual o superior a</w:t>
      </w:r>
      <w:r w:rsidR="0051267F">
        <w:rPr>
          <w:i/>
          <w:iCs/>
          <w:spacing w:val="-3"/>
          <w:sz w:val="22"/>
          <w:szCs w:val="22"/>
        </w:rPr>
        <w:t>l</w:t>
      </w:r>
      <w:r w:rsidRPr="0051267F">
        <w:rPr>
          <w:i/>
          <w:iCs/>
          <w:spacing w:val="-3"/>
          <w:sz w:val="22"/>
          <w:szCs w:val="22"/>
        </w:rPr>
        <w:t xml:space="preserve"> 30 % de las </w:t>
      </w:r>
      <w:r w:rsidR="0051267F">
        <w:rPr>
          <w:i/>
          <w:iCs/>
          <w:spacing w:val="-3"/>
          <w:sz w:val="22"/>
          <w:szCs w:val="22"/>
        </w:rPr>
        <w:t>v</w:t>
      </w:r>
      <w:r w:rsidRPr="0051267F">
        <w:rPr>
          <w:i/>
          <w:iCs/>
          <w:spacing w:val="-3"/>
          <w:sz w:val="22"/>
          <w:szCs w:val="22"/>
        </w:rPr>
        <w:t xml:space="preserve">entas totales en </w:t>
      </w:r>
      <w:r w:rsidR="0051267F">
        <w:rPr>
          <w:i/>
          <w:iCs/>
          <w:spacing w:val="-3"/>
          <w:sz w:val="22"/>
          <w:szCs w:val="22"/>
        </w:rPr>
        <w:t>dicho</w:t>
      </w:r>
      <w:r w:rsidRPr="0051267F">
        <w:rPr>
          <w:i/>
          <w:iCs/>
          <w:spacing w:val="-3"/>
          <w:sz w:val="22"/>
          <w:szCs w:val="22"/>
        </w:rPr>
        <w:t xml:space="preserve"> mercado sin </w:t>
      </w:r>
      <w:r w:rsidR="0051267F">
        <w:rPr>
          <w:i/>
          <w:iCs/>
          <w:spacing w:val="-3"/>
          <w:sz w:val="22"/>
          <w:szCs w:val="22"/>
        </w:rPr>
        <w:t>incluir</w:t>
      </w:r>
      <w:r w:rsidRPr="0051267F">
        <w:rPr>
          <w:i/>
          <w:iCs/>
          <w:spacing w:val="-3"/>
          <w:sz w:val="22"/>
          <w:szCs w:val="22"/>
        </w:rPr>
        <w:t xml:space="preserve"> las </w:t>
      </w:r>
      <w:r w:rsidR="0051267F">
        <w:rPr>
          <w:i/>
          <w:iCs/>
          <w:spacing w:val="-3"/>
          <w:sz w:val="22"/>
          <w:szCs w:val="22"/>
        </w:rPr>
        <w:t>v</w:t>
      </w:r>
      <w:r w:rsidRPr="0051267F">
        <w:rPr>
          <w:i/>
          <w:iCs/>
          <w:spacing w:val="-3"/>
          <w:sz w:val="22"/>
          <w:szCs w:val="22"/>
        </w:rPr>
        <w:t xml:space="preserve">entas en el STN, las </w:t>
      </w:r>
      <w:r w:rsidR="0051267F">
        <w:rPr>
          <w:i/>
          <w:iCs/>
          <w:spacing w:val="-3"/>
          <w:sz w:val="22"/>
          <w:szCs w:val="22"/>
        </w:rPr>
        <w:t>v</w:t>
      </w:r>
      <w:r w:rsidRPr="0051267F">
        <w:rPr>
          <w:i/>
          <w:iCs/>
          <w:spacing w:val="-3"/>
          <w:sz w:val="22"/>
          <w:szCs w:val="22"/>
        </w:rPr>
        <w:t>entas en el nivel de tensi</w:t>
      </w:r>
      <w:r w:rsidR="0051267F">
        <w:rPr>
          <w:i/>
          <w:iCs/>
          <w:spacing w:val="-3"/>
          <w:sz w:val="22"/>
          <w:szCs w:val="22"/>
        </w:rPr>
        <w:t>ó</w:t>
      </w:r>
      <w:r w:rsidRPr="0051267F">
        <w:rPr>
          <w:i/>
          <w:iCs/>
          <w:spacing w:val="-3"/>
          <w:sz w:val="22"/>
          <w:szCs w:val="22"/>
        </w:rPr>
        <w:t>n 4 no se incluir</w:t>
      </w:r>
      <w:r w:rsidR="0051267F">
        <w:rPr>
          <w:i/>
          <w:iCs/>
          <w:spacing w:val="-3"/>
          <w:sz w:val="22"/>
          <w:szCs w:val="22"/>
        </w:rPr>
        <w:t>á</w:t>
      </w:r>
      <w:r w:rsidRPr="0051267F">
        <w:rPr>
          <w:i/>
          <w:iCs/>
          <w:spacing w:val="-3"/>
          <w:sz w:val="22"/>
          <w:szCs w:val="22"/>
        </w:rPr>
        <w:t>n en la energ</w:t>
      </w:r>
      <w:r w:rsidR="0051267F">
        <w:rPr>
          <w:i/>
          <w:iCs/>
          <w:spacing w:val="-3"/>
          <w:sz w:val="22"/>
          <w:szCs w:val="22"/>
        </w:rPr>
        <w:t>í</w:t>
      </w:r>
      <w:r w:rsidRPr="0051267F">
        <w:rPr>
          <w:i/>
          <w:iCs/>
          <w:spacing w:val="-3"/>
          <w:sz w:val="22"/>
          <w:szCs w:val="22"/>
        </w:rPr>
        <w:t>a de salida y de la energ</w:t>
      </w:r>
      <w:r w:rsidR="0051267F">
        <w:rPr>
          <w:i/>
          <w:iCs/>
          <w:spacing w:val="-3"/>
          <w:sz w:val="22"/>
          <w:szCs w:val="22"/>
        </w:rPr>
        <w:t>í</w:t>
      </w:r>
      <w:r w:rsidRPr="0051267F">
        <w:rPr>
          <w:i/>
          <w:iCs/>
          <w:spacing w:val="-3"/>
          <w:sz w:val="22"/>
          <w:szCs w:val="22"/>
        </w:rPr>
        <w:t xml:space="preserve">a de entrada se debe descontar las </w:t>
      </w:r>
      <w:r w:rsidR="0051267F">
        <w:rPr>
          <w:i/>
          <w:iCs/>
          <w:spacing w:val="-3"/>
          <w:sz w:val="22"/>
          <w:szCs w:val="22"/>
        </w:rPr>
        <w:t>v</w:t>
      </w:r>
      <w:r w:rsidRPr="0051267F">
        <w:rPr>
          <w:i/>
          <w:iCs/>
          <w:spacing w:val="-3"/>
          <w:sz w:val="22"/>
          <w:szCs w:val="22"/>
        </w:rPr>
        <w:t>entas de energ</w:t>
      </w:r>
      <w:r w:rsidR="0051267F">
        <w:rPr>
          <w:i/>
          <w:iCs/>
          <w:spacing w:val="-3"/>
          <w:sz w:val="22"/>
          <w:szCs w:val="22"/>
        </w:rPr>
        <w:t>í</w:t>
      </w:r>
      <w:r w:rsidRPr="0051267F">
        <w:rPr>
          <w:i/>
          <w:iCs/>
          <w:spacing w:val="-3"/>
          <w:sz w:val="22"/>
          <w:szCs w:val="22"/>
        </w:rPr>
        <w:t>a del nivel de tensi</w:t>
      </w:r>
      <w:r w:rsidR="0051267F">
        <w:rPr>
          <w:i/>
          <w:iCs/>
          <w:spacing w:val="-3"/>
          <w:sz w:val="22"/>
          <w:szCs w:val="22"/>
        </w:rPr>
        <w:t>ó</w:t>
      </w:r>
      <w:r w:rsidRPr="0051267F">
        <w:rPr>
          <w:i/>
          <w:iCs/>
          <w:spacing w:val="-3"/>
          <w:sz w:val="22"/>
          <w:szCs w:val="22"/>
        </w:rPr>
        <w:t>n 4 afectadas p</w:t>
      </w:r>
      <w:r w:rsidR="0051267F">
        <w:rPr>
          <w:i/>
          <w:iCs/>
          <w:spacing w:val="-3"/>
          <w:sz w:val="22"/>
          <w:szCs w:val="22"/>
        </w:rPr>
        <w:t>o</w:t>
      </w:r>
      <w:r w:rsidRPr="0051267F">
        <w:rPr>
          <w:i/>
          <w:iCs/>
          <w:spacing w:val="-3"/>
          <w:sz w:val="22"/>
          <w:szCs w:val="22"/>
        </w:rPr>
        <w:t xml:space="preserve">r las </w:t>
      </w:r>
      <w:r w:rsidR="0097795E" w:rsidRPr="0051267F">
        <w:rPr>
          <w:i/>
          <w:iCs/>
          <w:spacing w:val="-3"/>
          <w:sz w:val="22"/>
          <w:szCs w:val="22"/>
        </w:rPr>
        <w:t>p</w:t>
      </w:r>
      <w:r w:rsidR="0097795E">
        <w:rPr>
          <w:i/>
          <w:iCs/>
          <w:spacing w:val="-3"/>
          <w:sz w:val="22"/>
          <w:szCs w:val="22"/>
        </w:rPr>
        <w:t>é</w:t>
      </w:r>
      <w:r w:rsidR="0097795E" w:rsidRPr="0051267F">
        <w:rPr>
          <w:i/>
          <w:iCs/>
          <w:spacing w:val="-3"/>
          <w:sz w:val="22"/>
          <w:szCs w:val="22"/>
        </w:rPr>
        <w:t xml:space="preserve">rdidas </w:t>
      </w:r>
      <w:r w:rsidRPr="0051267F">
        <w:rPr>
          <w:i/>
          <w:iCs/>
          <w:spacing w:val="-3"/>
          <w:sz w:val="22"/>
          <w:szCs w:val="22"/>
        </w:rPr>
        <w:t>reconocidas."</w:t>
      </w:r>
    </w:p>
    <w:p w14:paraId="6E81F3E7" w14:textId="6BB8AF8E" w:rsidR="007200B6" w:rsidRDefault="007200B6" w:rsidP="000E53CD">
      <w:pPr>
        <w:spacing w:after="0"/>
        <w:ind w:left="567"/>
        <w:rPr>
          <w:i/>
          <w:iCs/>
          <w:spacing w:val="-3"/>
          <w:sz w:val="22"/>
          <w:szCs w:val="22"/>
        </w:rPr>
      </w:pPr>
      <w:r w:rsidRPr="0051267F">
        <w:rPr>
          <w:i/>
          <w:iCs/>
          <w:spacing w:val="-3"/>
          <w:sz w:val="22"/>
          <w:szCs w:val="22"/>
        </w:rPr>
        <w:lastRenderedPageBreak/>
        <w:t>Aplicando lo establecido en la Resoluci</w:t>
      </w:r>
      <w:r w:rsidR="0051267F">
        <w:rPr>
          <w:i/>
          <w:iCs/>
          <w:spacing w:val="-3"/>
          <w:sz w:val="22"/>
          <w:szCs w:val="22"/>
        </w:rPr>
        <w:t>ó</w:t>
      </w:r>
      <w:r w:rsidRPr="0051267F">
        <w:rPr>
          <w:i/>
          <w:iCs/>
          <w:spacing w:val="-3"/>
          <w:sz w:val="22"/>
          <w:szCs w:val="22"/>
        </w:rPr>
        <w:t>n 015 de 2018, EBSA accedi</w:t>
      </w:r>
      <w:r w:rsidR="0051267F">
        <w:rPr>
          <w:i/>
          <w:iCs/>
          <w:spacing w:val="-3"/>
          <w:sz w:val="22"/>
          <w:szCs w:val="22"/>
        </w:rPr>
        <w:t>ó</w:t>
      </w:r>
      <w:r w:rsidRPr="0051267F">
        <w:rPr>
          <w:i/>
          <w:iCs/>
          <w:spacing w:val="-3"/>
          <w:sz w:val="22"/>
          <w:szCs w:val="22"/>
        </w:rPr>
        <w:t xml:space="preserve"> a la herramienta elaborada por la UTP y publicada por la CREG. Para determinar el valor eficiente del plan de mantenimiento de p</w:t>
      </w:r>
      <w:r w:rsidR="0051267F">
        <w:rPr>
          <w:i/>
          <w:iCs/>
          <w:spacing w:val="-3"/>
          <w:sz w:val="22"/>
          <w:szCs w:val="22"/>
        </w:rPr>
        <w:t>é</w:t>
      </w:r>
      <w:r w:rsidRPr="0051267F">
        <w:rPr>
          <w:i/>
          <w:iCs/>
          <w:spacing w:val="-3"/>
          <w:sz w:val="22"/>
          <w:szCs w:val="22"/>
        </w:rPr>
        <w:t>rdidas se utilizaron todos los par</w:t>
      </w:r>
      <w:r w:rsidR="0051267F">
        <w:rPr>
          <w:i/>
          <w:iCs/>
          <w:spacing w:val="-3"/>
          <w:sz w:val="22"/>
          <w:szCs w:val="22"/>
        </w:rPr>
        <w:t>á</w:t>
      </w:r>
      <w:r w:rsidRPr="0051267F">
        <w:rPr>
          <w:i/>
          <w:iCs/>
          <w:spacing w:val="-3"/>
          <w:sz w:val="22"/>
          <w:szCs w:val="22"/>
        </w:rPr>
        <w:t>metros que exige el modelo, sin conseguir que est</w:t>
      </w:r>
      <w:r w:rsidR="0051267F">
        <w:rPr>
          <w:i/>
          <w:iCs/>
          <w:spacing w:val="-3"/>
          <w:sz w:val="22"/>
          <w:szCs w:val="22"/>
        </w:rPr>
        <w:t>e</w:t>
      </w:r>
      <w:r w:rsidRPr="0051267F">
        <w:rPr>
          <w:i/>
          <w:iCs/>
          <w:spacing w:val="-3"/>
          <w:sz w:val="22"/>
          <w:szCs w:val="22"/>
        </w:rPr>
        <w:t xml:space="preserve"> convergiera, situa</w:t>
      </w:r>
      <w:r w:rsidR="0051267F">
        <w:rPr>
          <w:i/>
          <w:iCs/>
          <w:spacing w:val="-3"/>
          <w:sz w:val="22"/>
          <w:szCs w:val="22"/>
        </w:rPr>
        <w:t>c</w:t>
      </w:r>
      <w:r w:rsidRPr="0051267F">
        <w:rPr>
          <w:i/>
          <w:iCs/>
          <w:spacing w:val="-3"/>
          <w:sz w:val="22"/>
          <w:szCs w:val="22"/>
        </w:rPr>
        <w:t>i</w:t>
      </w:r>
      <w:r w:rsidR="0051267F">
        <w:rPr>
          <w:i/>
          <w:iCs/>
          <w:spacing w:val="-3"/>
          <w:sz w:val="22"/>
          <w:szCs w:val="22"/>
        </w:rPr>
        <w:t>ó</w:t>
      </w:r>
      <w:r w:rsidRPr="0051267F">
        <w:rPr>
          <w:i/>
          <w:iCs/>
          <w:spacing w:val="-3"/>
          <w:sz w:val="22"/>
          <w:szCs w:val="22"/>
        </w:rPr>
        <w:t>n que se inform</w:t>
      </w:r>
      <w:r w:rsidR="0051267F">
        <w:rPr>
          <w:i/>
          <w:iCs/>
          <w:spacing w:val="-3"/>
          <w:sz w:val="22"/>
          <w:szCs w:val="22"/>
        </w:rPr>
        <w:t>ó</w:t>
      </w:r>
      <w:r w:rsidRPr="0051267F">
        <w:rPr>
          <w:i/>
          <w:iCs/>
          <w:spacing w:val="-3"/>
          <w:sz w:val="22"/>
          <w:szCs w:val="22"/>
        </w:rPr>
        <w:t xml:space="preserve"> en </w:t>
      </w:r>
      <w:r w:rsidR="0051267F">
        <w:rPr>
          <w:i/>
          <w:iCs/>
          <w:spacing w:val="-3"/>
          <w:sz w:val="22"/>
          <w:szCs w:val="22"/>
        </w:rPr>
        <w:t>l</w:t>
      </w:r>
      <w:r w:rsidRPr="0051267F">
        <w:rPr>
          <w:i/>
          <w:iCs/>
          <w:spacing w:val="-3"/>
          <w:sz w:val="22"/>
          <w:szCs w:val="22"/>
        </w:rPr>
        <w:t>a solicitud de cargos</w:t>
      </w:r>
      <w:r w:rsidR="0051267F">
        <w:rPr>
          <w:i/>
          <w:iCs/>
          <w:spacing w:val="-3"/>
          <w:sz w:val="22"/>
          <w:szCs w:val="22"/>
        </w:rPr>
        <w:t>.</w:t>
      </w:r>
    </w:p>
    <w:p w14:paraId="2733C117" w14:textId="5BCCF23A" w:rsidR="00776654" w:rsidRDefault="00776654" w:rsidP="000E53CD">
      <w:pPr>
        <w:spacing w:after="0"/>
        <w:ind w:left="567"/>
        <w:rPr>
          <w:i/>
          <w:iCs/>
          <w:spacing w:val="-3"/>
          <w:sz w:val="22"/>
          <w:szCs w:val="22"/>
        </w:rPr>
      </w:pPr>
      <w:r>
        <w:rPr>
          <w:i/>
          <w:iCs/>
          <w:spacing w:val="-3"/>
          <w:sz w:val="22"/>
          <w:szCs w:val="22"/>
        </w:rPr>
        <w:t xml:space="preserve">(…) </w:t>
      </w:r>
      <w:r w:rsidRPr="00776654">
        <w:rPr>
          <w:i/>
          <w:iCs/>
          <w:spacing w:val="-3"/>
          <w:sz w:val="22"/>
          <w:szCs w:val="22"/>
        </w:rPr>
        <w:t>cuando se analizan los valores de las variables utilizadas par</w:t>
      </w:r>
      <w:r>
        <w:rPr>
          <w:i/>
          <w:iCs/>
          <w:spacing w:val="-3"/>
          <w:sz w:val="22"/>
          <w:szCs w:val="22"/>
        </w:rPr>
        <w:t>a</w:t>
      </w:r>
      <w:r w:rsidRPr="00776654">
        <w:rPr>
          <w:i/>
          <w:iCs/>
          <w:spacing w:val="-3"/>
          <w:sz w:val="22"/>
          <w:szCs w:val="22"/>
        </w:rPr>
        <w:t xml:space="preserve"> la </w:t>
      </w:r>
      <w:r>
        <w:rPr>
          <w:i/>
          <w:iCs/>
          <w:spacing w:val="-3"/>
          <w:sz w:val="22"/>
          <w:szCs w:val="22"/>
        </w:rPr>
        <w:t>C</w:t>
      </w:r>
      <w:r w:rsidRPr="00776654">
        <w:rPr>
          <w:i/>
          <w:iCs/>
          <w:spacing w:val="-3"/>
          <w:sz w:val="22"/>
          <w:szCs w:val="22"/>
        </w:rPr>
        <w:t>REG par</w:t>
      </w:r>
      <w:r>
        <w:rPr>
          <w:i/>
          <w:iCs/>
          <w:spacing w:val="-3"/>
          <w:sz w:val="22"/>
          <w:szCs w:val="22"/>
        </w:rPr>
        <w:t>a</w:t>
      </w:r>
      <w:r w:rsidRPr="00776654">
        <w:rPr>
          <w:i/>
          <w:iCs/>
          <w:spacing w:val="-3"/>
          <w:sz w:val="22"/>
          <w:szCs w:val="22"/>
        </w:rPr>
        <w:t xml:space="preserve"> este</w:t>
      </w:r>
      <w:r>
        <w:rPr>
          <w:i/>
          <w:iCs/>
          <w:spacing w:val="-3"/>
          <w:sz w:val="22"/>
          <w:szCs w:val="22"/>
        </w:rPr>
        <w:t xml:space="preserve"> </w:t>
      </w:r>
      <w:r w:rsidRPr="00776654">
        <w:rPr>
          <w:i/>
          <w:iCs/>
          <w:spacing w:val="-3"/>
          <w:sz w:val="22"/>
          <w:szCs w:val="22"/>
        </w:rPr>
        <w:t>c</w:t>
      </w:r>
      <w:r>
        <w:rPr>
          <w:i/>
          <w:iCs/>
          <w:spacing w:val="-3"/>
          <w:sz w:val="22"/>
          <w:szCs w:val="22"/>
        </w:rPr>
        <w:t>á</w:t>
      </w:r>
      <w:r w:rsidRPr="00776654">
        <w:rPr>
          <w:i/>
          <w:iCs/>
          <w:spacing w:val="-3"/>
          <w:sz w:val="22"/>
          <w:szCs w:val="22"/>
        </w:rPr>
        <w:t>lculo y las comparamos con los valores reales de estas variables, se observan grandes diferencias</w:t>
      </w:r>
      <w:r>
        <w:rPr>
          <w:i/>
          <w:iCs/>
          <w:spacing w:val="-3"/>
          <w:sz w:val="22"/>
          <w:szCs w:val="22"/>
        </w:rPr>
        <w:t xml:space="preserve"> (…)</w:t>
      </w:r>
    </w:p>
    <w:p w14:paraId="75B7938A" w14:textId="0978ABBA" w:rsidR="0051267F" w:rsidRPr="0051267F" w:rsidRDefault="0051267F" w:rsidP="000E53CD">
      <w:pPr>
        <w:spacing w:after="0"/>
        <w:ind w:left="567"/>
        <w:rPr>
          <w:i/>
          <w:iCs/>
          <w:spacing w:val="-3"/>
          <w:sz w:val="22"/>
          <w:szCs w:val="22"/>
        </w:rPr>
      </w:pPr>
      <w:r>
        <w:rPr>
          <w:i/>
          <w:iCs/>
          <w:spacing w:val="-3"/>
          <w:sz w:val="22"/>
          <w:szCs w:val="22"/>
        </w:rPr>
        <w:t xml:space="preserve">(…) </w:t>
      </w:r>
      <w:r w:rsidRPr="0051267F">
        <w:rPr>
          <w:i/>
          <w:iCs/>
          <w:spacing w:val="-3"/>
          <w:sz w:val="22"/>
          <w:szCs w:val="22"/>
        </w:rPr>
        <w:t>la infor</w:t>
      </w:r>
      <w:r>
        <w:rPr>
          <w:i/>
          <w:iCs/>
          <w:spacing w:val="-3"/>
          <w:sz w:val="22"/>
          <w:szCs w:val="22"/>
        </w:rPr>
        <w:t>mación</w:t>
      </w:r>
      <w:r w:rsidRPr="0051267F">
        <w:rPr>
          <w:i/>
          <w:iCs/>
          <w:spacing w:val="-3"/>
          <w:sz w:val="22"/>
          <w:szCs w:val="22"/>
        </w:rPr>
        <w:t xml:space="preserve"> empleada por la CREG difiere de la real, la cual fue remitida </w:t>
      </w:r>
      <w:r>
        <w:rPr>
          <w:i/>
          <w:iCs/>
          <w:spacing w:val="-3"/>
          <w:sz w:val="22"/>
          <w:szCs w:val="22"/>
        </w:rPr>
        <w:t xml:space="preserve">en su </w:t>
      </w:r>
      <w:r w:rsidRPr="0051267F">
        <w:rPr>
          <w:i/>
          <w:iCs/>
          <w:spacing w:val="-3"/>
          <w:sz w:val="22"/>
          <w:szCs w:val="22"/>
        </w:rPr>
        <w:t xml:space="preserve">oportunidad a </w:t>
      </w:r>
      <w:r>
        <w:rPr>
          <w:i/>
          <w:iCs/>
          <w:spacing w:val="-3"/>
          <w:sz w:val="22"/>
          <w:szCs w:val="22"/>
        </w:rPr>
        <w:t>la</w:t>
      </w:r>
      <w:r w:rsidRPr="0051267F">
        <w:rPr>
          <w:i/>
          <w:iCs/>
          <w:spacing w:val="-3"/>
          <w:sz w:val="22"/>
          <w:szCs w:val="22"/>
        </w:rPr>
        <w:t xml:space="preserve"> CREG. De otra parte, cuando EBSA model</w:t>
      </w:r>
      <w:r>
        <w:rPr>
          <w:i/>
          <w:iCs/>
          <w:spacing w:val="-3"/>
          <w:sz w:val="22"/>
          <w:szCs w:val="22"/>
        </w:rPr>
        <w:t>ó</w:t>
      </w:r>
      <w:r w:rsidRPr="0051267F">
        <w:rPr>
          <w:i/>
          <w:iCs/>
          <w:spacing w:val="-3"/>
          <w:sz w:val="22"/>
          <w:szCs w:val="22"/>
        </w:rPr>
        <w:t xml:space="preserve"> con la inform</w:t>
      </w:r>
      <w:r>
        <w:rPr>
          <w:i/>
          <w:iCs/>
          <w:spacing w:val="-3"/>
          <w:sz w:val="22"/>
          <w:szCs w:val="22"/>
        </w:rPr>
        <w:t>ación</w:t>
      </w:r>
      <w:r w:rsidRPr="0051267F">
        <w:rPr>
          <w:i/>
          <w:iCs/>
          <w:spacing w:val="-3"/>
          <w:sz w:val="22"/>
          <w:szCs w:val="22"/>
        </w:rPr>
        <w:t xml:space="preserve"> real en ninguna</w:t>
      </w:r>
      <w:r>
        <w:rPr>
          <w:i/>
          <w:iCs/>
          <w:spacing w:val="-3"/>
          <w:sz w:val="22"/>
          <w:szCs w:val="22"/>
        </w:rPr>
        <w:t xml:space="preserve"> </w:t>
      </w:r>
      <w:r w:rsidRPr="0051267F">
        <w:rPr>
          <w:i/>
          <w:iCs/>
          <w:spacing w:val="-3"/>
          <w:sz w:val="22"/>
          <w:szCs w:val="22"/>
        </w:rPr>
        <w:t>oportunidad y realizando diferentes escenarios de inversi</w:t>
      </w:r>
      <w:r>
        <w:rPr>
          <w:i/>
          <w:iCs/>
          <w:spacing w:val="-3"/>
          <w:sz w:val="22"/>
          <w:szCs w:val="22"/>
        </w:rPr>
        <w:t>ó</w:t>
      </w:r>
      <w:r w:rsidRPr="0051267F">
        <w:rPr>
          <w:i/>
          <w:iCs/>
          <w:spacing w:val="-3"/>
          <w:sz w:val="22"/>
          <w:szCs w:val="22"/>
        </w:rPr>
        <w:t>n, el model</w:t>
      </w:r>
      <w:r>
        <w:rPr>
          <w:i/>
          <w:iCs/>
          <w:spacing w:val="-3"/>
          <w:sz w:val="22"/>
          <w:szCs w:val="22"/>
        </w:rPr>
        <w:t>o</w:t>
      </w:r>
      <w:r w:rsidRPr="0051267F">
        <w:rPr>
          <w:i/>
          <w:iCs/>
          <w:spacing w:val="-3"/>
          <w:sz w:val="22"/>
          <w:szCs w:val="22"/>
        </w:rPr>
        <w:t xml:space="preserve"> convergi</w:t>
      </w:r>
      <w:r>
        <w:rPr>
          <w:i/>
          <w:iCs/>
          <w:spacing w:val="-3"/>
          <w:sz w:val="22"/>
          <w:szCs w:val="22"/>
        </w:rPr>
        <w:t>ó</w:t>
      </w:r>
      <w:r w:rsidRPr="0051267F">
        <w:rPr>
          <w:i/>
          <w:iCs/>
          <w:spacing w:val="-3"/>
          <w:sz w:val="22"/>
          <w:szCs w:val="22"/>
        </w:rPr>
        <w:t>.</w:t>
      </w:r>
    </w:p>
    <w:p w14:paraId="1CEF0FDF" w14:textId="0A7367D9" w:rsidR="007200B6" w:rsidRDefault="00776654" w:rsidP="000E53CD">
      <w:pPr>
        <w:spacing w:after="0"/>
        <w:ind w:left="567"/>
        <w:rPr>
          <w:i/>
          <w:iCs/>
          <w:spacing w:val="-3"/>
          <w:sz w:val="22"/>
          <w:szCs w:val="22"/>
        </w:rPr>
      </w:pPr>
      <w:r>
        <w:rPr>
          <w:i/>
          <w:iCs/>
          <w:spacing w:val="-3"/>
          <w:sz w:val="22"/>
          <w:szCs w:val="22"/>
        </w:rPr>
        <w:t>(…)</w:t>
      </w:r>
    </w:p>
    <w:p w14:paraId="0863AE1A" w14:textId="45833F72" w:rsidR="00776654" w:rsidRPr="0051267F" w:rsidRDefault="00776654" w:rsidP="000E53CD">
      <w:pPr>
        <w:spacing w:after="0"/>
        <w:ind w:left="567"/>
        <w:rPr>
          <w:i/>
          <w:iCs/>
          <w:spacing w:val="-3"/>
          <w:sz w:val="22"/>
          <w:szCs w:val="22"/>
        </w:rPr>
      </w:pPr>
      <w:r w:rsidRPr="00776654">
        <w:rPr>
          <w:i/>
          <w:iCs/>
          <w:spacing w:val="-3"/>
          <w:sz w:val="22"/>
          <w:szCs w:val="22"/>
        </w:rPr>
        <w:t>El valor de P</w:t>
      </w:r>
      <w:r>
        <w:rPr>
          <w:i/>
          <w:iCs/>
          <w:spacing w:val="-3"/>
          <w:sz w:val="22"/>
          <w:szCs w:val="22"/>
        </w:rPr>
        <w:t>é</w:t>
      </w:r>
      <w:r w:rsidRPr="00776654">
        <w:rPr>
          <w:i/>
          <w:iCs/>
          <w:spacing w:val="-3"/>
          <w:sz w:val="22"/>
          <w:szCs w:val="22"/>
        </w:rPr>
        <w:t>rdidas empleado por la CREG par</w:t>
      </w:r>
      <w:r>
        <w:rPr>
          <w:i/>
          <w:iCs/>
          <w:spacing w:val="-3"/>
          <w:sz w:val="22"/>
          <w:szCs w:val="22"/>
        </w:rPr>
        <w:t>a</w:t>
      </w:r>
      <w:r w:rsidRPr="00776654">
        <w:rPr>
          <w:i/>
          <w:iCs/>
          <w:spacing w:val="-3"/>
          <w:sz w:val="22"/>
          <w:szCs w:val="22"/>
        </w:rPr>
        <w:t xml:space="preserve"> t y t-1 es 10%, pero las perdidas eficientes totales de EBSA reales del a</w:t>
      </w:r>
      <w:r>
        <w:rPr>
          <w:i/>
          <w:iCs/>
          <w:spacing w:val="-3"/>
          <w:sz w:val="22"/>
          <w:szCs w:val="22"/>
        </w:rPr>
        <w:t>ñ</w:t>
      </w:r>
      <w:r w:rsidRPr="00776654">
        <w:rPr>
          <w:i/>
          <w:iCs/>
          <w:spacing w:val="-3"/>
          <w:sz w:val="22"/>
          <w:szCs w:val="22"/>
        </w:rPr>
        <w:t>o de c</w:t>
      </w:r>
      <w:r>
        <w:rPr>
          <w:i/>
          <w:iCs/>
          <w:spacing w:val="-3"/>
          <w:sz w:val="22"/>
          <w:szCs w:val="22"/>
        </w:rPr>
        <w:t>o</w:t>
      </w:r>
      <w:r w:rsidRPr="00776654">
        <w:rPr>
          <w:i/>
          <w:iCs/>
          <w:spacing w:val="-3"/>
          <w:sz w:val="22"/>
          <w:szCs w:val="22"/>
        </w:rPr>
        <w:t>rte t (2017), son 11.93%. As</w:t>
      </w:r>
      <w:r>
        <w:rPr>
          <w:i/>
          <w:iCs/>
          <w:spacing w:val="-3"/>
          <w:sz w:val="22"/>
          <w:szCs w:val="22"/>
        </w:rPr>
        <w:t>í</w:t>
      </w:r>
      <w:r w:rsidRPr="00776654">
        <w:rPr>
          <w:i/>
          <w:iCs/>
          <w:spacing w:val="-3"/>
          <w:sz w:val="22"/>
          <w:szCs w:val="22"/>
        </w:rPr>
        <w:t>, que el model</w:t>
      </w:r>
      <w:r>
        <w:rPr>
          <w:i/>
          <w:iCs/>
          <w:spacing w:val="-3"/>
          <w:sz w:val="22"/>
          <w:szCs w:val="22"/>
        </w:rPr>
        <w:t>o</w:t>
      </w:r>
      <w:r w:rsidRPr="00776654">
        <w:rPr>
          <w:i/>
          <w:iCs/>
          <w:spacing w:val="-3"/>
          <w:sz w:val="22"/>
          <w:szCs w:val="22"/>
        </w:rPr>
        <w:t xml:space="preserve"> converja en est</w:t>
      </w:r>
      <w:r w:rsidR="008E3637">
        <w:rPr>
          <w:i/>
          <w:iCs/>
          <w:spacing w:val="-3"/>
          <w:sz w:val="22"/>
          <w:szCs w:val="22"/>
        </w:rPr>
        <w:t>a</w:t>
      </w:r>
      <w:r w:rsidRPr="00776654">
        <w:rPr>
          <w:i/>
          <w:iCs/>
          <w:spacing w:val="-3"/>
          <w:sz w:val="22"/>
          <w:szCs w:val="22"/>
        </w:rPr>
        <w:t xml:space="preserve"> situa</w:t>
      </w:r>
      <w:r>
        <w:rPr>
          <w:i/>
          <w:iCs/>
          <w:spacing w:val="-3"/>
          <w:sz w:val="22"/>
          <w:szCs w:val="22"/>
        </w:rPr>
        <w:t>c</w:t>
      </w:r>
      <w:r w:rsidRPr="00776654">
        <w:rPr>
          <w:i/>
          <w:iCs/>
          <w:spacing w:val="-3"/>
          <w:sz w:val="22"/>
          <w:szCs w:val="22"/>
        </w:rPr>
        <w:t>i</w:t>
      </w:r>
      <w:r>
        <w:rPr>
          <w:i/>
          <w:iCs/>
          <w:spacing w:val="-3"/>
          <w:sz w:val="22"/>
          <w:szCs w:val="22"/>
        </w:rPr>
        <w:t>ó</w:t>
      </w:r>
      <w:r w:rsidRPr="00776654">
        <w:rPr>
          <w:i/>
          <w:iCs/>
          <w:spacing w:val="-3"/>
          <w:sz w:val="22"/>
          <w:szCs w:val="22"/>
        </w:rPr>
        <w:t xml:space="preserve">n es un contrasentido, ya que la meta del </w:t>
      </w:r>
      <w:r>
        <w:rPr>
          <w:i/>
          <w:iCs/>
          <w:spacing w:val="-3"/>
          <w:sz w:val="22"/>
          <w:szCs w:val="22"/>
        </w:rPr>
        <w:t>í</w:t>
      </w:r>
      <w:r w:rsidRPr="00776654">
        <w:rPr>
          <w:i/>
          <w:iCs/>
          <w:spacing w:val="-3"/>
          <w:sz w:val="22"/>
          <w:szCs w:val="22"/>
        </w:rPr>
        <w:t xml:space="preserve">ndice de perdidas (10.93%) es mayor que el </w:t>
      </w:r>
      <w:r>
        <w:rPr>
          <w:i/>
          <w:iCs/>
          <w:spacing w:val="-3"/>
          <w:sz w:val="22"/>
          <w:szCs w:val="22"/>
        </w:rPr>
        <w:t>í</w:t>
      </w:r>
      <w:r w:rsidRPr="00776654">
        <w:rPr>
          <w:i/>
          <w:iCs/>
          <w:spacing w:val="-3"/>
          <w:sz w:val="22"/>
          <w:szCs w:val="22"/>
        </w:rPr>
        <w:t>ndice de p</w:t>
      </w:r>
      <w:r>
        <w:rPr>
          <w:i/>
          <w:iCs/>
          <w:spacing w:val="-3"/>
          <w:sz w:val="22"/>
          <w:szCs w:val="22"/>
        </w:rPr>
        <w:t>é</w:t>
      </w:r>
      <w:r w:rsidRPr="00776654">
        <w:rPr>
          <w:i/>
          <w:iCs/>
          <w:spacing w:val="-3"/>
          <w:sz w:val="22"/>
          <w:szCs w:val="22"/>
        </w:rPr>
        <w:t>rdidas del a</w:t>
      </w:r>
      <w:r>
        <w:rPr>
          <w:i/>
          <w:iCs/>
          <w:spacing w:val="-3"/>
          <w:sz w:val="22"/>
          <w:szCs w:val="22"/>
        </w:rPr>
        <w:t>ñ</w:t>
      </w:r>
      <w:r w:rsidRPr="00776654">
        <w:rPr>
          <w:i/>
          <w:iCs/>
          <w:spacing w:val="-3"/>
          <w:sz w:val="22"/>
          <w:szCs w:val="22"/>
        </w:rPr>
        <w:t>o de co</w:t>
      </w:r>
      <w:r>
        <w:rPr>
          <w:i/>
          <w:iCs/>
          <w:spacing w:val="-3"/>
          <w:sz w:val="22"/>
          <w:szCs w:val="22"/>
        </w:rPr>
        <w:t>rt</w:t>
      </w:r>
      <w:r w:rsidRPr="00776654">
        <w:rPr>
          <w:i/>
          <w:iCs/>
          <w:spacing w:val="-3"/>
          <w:sz w:val="22"/>
          <w:szCs w:val="22"/>
        </w:rPr>
        <w:t>e inicial t (2017) utiliz</w:t>
      </w:r>
      <w:r>
        <w:rPr>
          <w:i/>
          <w:iCs/>
          <w:spacing w:val="-3"/>
          <w:sz w:val="22"/>
          <w:szCs w:val="22"/>
        </w:rPr>
        <w:t>a</w:t>
      </w:r>
      <w:r w:rsidRPr="00776654">
        <w:rPr>
          <w:i/>
          <w:iCs/>
          <w:spacing w:val="-3"/>
          <w:sz w:val="22"/>
          <w:szCs w:val="22"/>
        </w:rPr>
        <w:t>d</w:t>
      </w:r>
      <w:r>
        <w:rPr>
          <w:i/>
          <w:iCs/>
          <w:spacing w:val="-3"/>
          <w:sz w:val="22"/>
          <w:szCs w:val="22"/>
        </w:rPr>
        <w:t>o</w:t>
      </w:r>
      <w:r w:rsidRPr="00776654">
        <w:rPr>
          <w:i/>
          <w:iCs/>
          <w:spacing w:val="-3"/>
          <w:sz w:val="22"/>
          <w:szCs w:val="22"/>
        </w:rPr>
        <w:t xml:space="preserve"> en el model</w:t>
      </w:r>
      <w:r>
        <w:rPr>
          <w:i/>
          <w:iCs/>
          <w:spacing w:val="-3"/>
          <w:sz w:val="22"/>
          <w:szCs w:val="22"/>
        </w:rPr>
        <w:t>o</w:t>
      </w:r>
      <w:r w:rsidRPr="00776654">
        <w:rPr>
          <w:i/>
          <w:iCs/>
          <w:spacing w:val="-3"/>
          <w:sz w:val="22"/>
          <w:szCs w:val="22"/>
        </w:rPr>
        <w:t xml:space="preserve"> (10%), de acuerdo con el literal </w:t>
      </w:r>
      <w:r w:rsidR="00015E99">
        <w:rPr>
          <w:i/>
          <w:iCs/>
          <w:spacing w:val="-3"/>
          <w:sz w:val="22"/>
          <w:szCs w:val="22"/>
        </w:rPr>
        <w:t xml:space="preserve">j </w:t>
      </w:r>
      <w:r w:rsidRPr="00776654">
        <w:rPr>
          <w:i/>
          <w:iCs/>
          <w:spacing w:val="-3"/>
          <w:sz w:val="22"/>
          <w:szCs w:val="22"/>
        </w:rPr>
        <w:t>cit</w:t>
      </w:r>
      <w:r>
        <w:rPr>
          <w:i/>
          <w:iCs/>
          <w:spacing w:val="-3"/>
          <w:sz w:val="22"/>
          <w:szCs w:val="22"/>
        </w:rPr>
        <w:t>a</w:t>
      </w:r>
      <w:r w:rsidRPr="00776654">
        <w:rPr>
          <w:i/>
          <w:iCs/>
          <w:spacing w:val="-3"/>
          <w:sz w:val="22"/>
          <w:szCs w:val="22"/>
        </w:rPr>
        <w:t>d</w:t>
      </w:r>
      <w:r>
        <w:rPr>
          <w:i/>
          <w:iCs/>
          <w:spacing w:val="-3"/>
          <w:sz w:val="22"/>
          <w:szCs w:val="22"/>
        </w:rPr>
        <w:t>o</w:t>
      </w:r>
      <w:r w:rsidRPr="00776654">
        <w:rPr>
          <w:i/>
          <w:iCs/>
          <w:spacing w:val="-3"/>
          <w:sz w:val="22"/>
          <w:szCs w:val="22"/>
        </w:rPr>
        <w:t>.</w:t>
      </w:r>
    </w:p>
    <w:p w14:paraId="7160677A" w14:textId="77777777" w:rsidR="0081772D" w:rsidRDefault="0081772D" w:rsidP="0081772D">
      <w:pPr>
        <w:spacing w:before="240" w:after="0"/>
        <w:rPr>
          <w:spacing w:val="-3"/>
          <w:lang w:val="es-CO"/>
        </w:rPr>
      </w:pPr>
      <w:r>
        <w:rPr>
          <w:spacing w:val="-3"/>
          <w:lang w:val="es-CO"/>
        </w:rPr>
        <w:t>En el análisis de los argumentos de la empresa se encuentra lo siguiente:</w:t>
      </w:r>
    </w:p>
    <w:p w14:paraId="1A6E9B2C" w14:textId="1CD8FE13" w:rsidR="0081772D" w:rsidRDefault="0081772D" w:rsidP="0081772D">
      <w:pPr>
        <w:spacing w:before="240" w:after="0"/>
      </w:pPr>
      <w:r w:rsidRPr="004576DD">
        <w:rPr>
          <w:spacing w:val="-3"/>
          <w:lang w:val="es-CO"/>
        </w:rPr>
        <w:t>De acuerdo c</w:t>
      </w:r>
      <w:r w:rsidRPr="00E74174">
        <w:rPr>
          <w:spacing w:val="-3"/>
          <w:lang w:val="es-CO"/>
        </w:rPr>
        <w:t xml:space="preserve">on el </w:t>
      </w:r>
      <w:r w:rsidRPr="006E161F">
        <w:t xml:space="preserve">el literal </w:t>
      </w:r>
      <w:r>
        <w:t>j</w:t>
      </w:r>
      <w:r w:rsidRPr="006E161F">
        <w:t xml:space="preserve"> del numeral 7.3.2.2 de la Resolución </w:t>
      </w:r>
      <w:r>
        <w:t xml:space="preserve">CREG </w:t>
      </w:r>
      <w:r w:rsidRPr="006E161F">
        <w:t>015 de 2018</w:t>
      </w:r>
      <w:r>
        <w:t>, citado por la empresa, “</w:t>
      </w:r>
      <w:r w:rsidRPr="00E74174">
        <w:t xml:space="preserve">el índice de </w:t>
      </w:r>
      <w:r>
        <w:t>pé</w:t>
      </w:r>
      <w:r w:rsidRPr="00E74174">
        <w:t>rdidas inicial es i</w:t>
      </w:r>
      <w:r>
        <w:t>g</w:t>
      </w:r>
      <w:r w:rsidRPr="00E74174">
        <w:t>ual al eficiente</w:t>
      </w:r>
      <w:r>
        <w:t>”</w:t>
      </w:r>
      <w:r w:rsidR="00B97D1D">
        <w:t>. P</w:t>
      </w:r>
      <w:r>
        <w:t xml:space="preserve">or tanto, se requiere calcular el índice de pérdidas totales de la empresa a partir de los índices aprobados para cada nivel de tensión, </w:t>
      </w:r>
      <w:r w:rsidR="00762FD3">
        <w:t>y no tomar el</w:t>
      </w:r>
      <w:r>
        <w:t xml:space="preserve"> valor </w:t>
      </w:r>
      <w:r w:rsidR="00762FD3">
        <w:t>real como lo sugiere la empresa</w:t>
      </w:r>
      <w:r>
        <w:t>.</w:t>
      </w:r>
    </w:p>
    <w:p w14:paraId="2043B789" w14:textId="38835926" w:rsidR="0081772D" w:rsidRDefault="0081772D" w:rsidP="0081772D">
      <w:pPr>
        <w:spacing w:before="240" w:after="0"/>
      </w:pPr>
      <w:r>
        <w:t>Para hacer este cálculo, se tiene en cuenta la información que entregó la empresa, mediante radicado CREG E-2020-005002, con datos revisados de las lecturas de sus fronteras</w:t>
      </w:r>
      <w:r w:rsidR="00B97D1D">
        <w:t>,</w:t>
      </w:r>
      <w:r>
        <w:t xml:space="preserve"> y donde además incluyó los balances de energía, calculados por ellos, para los años 2016 y 2017.</w:t>
      </w:r>
    </w:p>
    <w:p w14:paraId="60E4C05C" w14:textId="269045F7" w:rsidR="0081772D" w:rsidRDefault="0081772D" w:rsidP="0081772D">
      <w:pPr>
        <w:spacing w:before="240" w:after="0"/>
      </w:pPr>
      <w:r>
        <w:t>La diferencia principal entre los cálculos de la empresa y los hechos por la Comisión radica en que la empresa calcula las pérdidas de energía como la resta entre la energía de entrada y la energía de salida, mientras que el cálculo que se hace en la Comisión consiste en determinar el valor de las pérdidas eficientes de energía, tal como se menciona en el citado literal j,</w:t>
      </w:r>
      <w:r w:rsidRPr="0081772D">
        <w:t xml:space="preserve"> </w:t>
      </w:r>
      <w:r>
        <w:t>las cuales se obtienen a partir de los índices de pérdidas reconocidos para cada nivel de tensión.</w:t>
      </w:r>
      <w:r w:rsidR="008D2779">
        <w:t xml:space="preserve"> Así se da cumplimiento a lo </w:t>
      </w:r>
      <w:r w:rsidR="001B25DC">
        <w:t>señalado</w:t>
      </w:r>
      <w:r w:rsidR="008D2779">
        <w:t xml:space="preserve"> en el literal j, que indica que las energías de entrada y de salida “</w:t>
      </w:r>
      <w:r w:rsidR="001B25DC" w:rsidRPr="001B25DC">
        <w:t>deberán estar acorde con estos índices</w:t>
      </w:r>
      <w:r w:rsidR="008D2779">
        <w:t>”</w:t>
      </w:r>
      <w:r w:rsidR="001B25DC">
        <w:t>.</w:t>
      </w:r>
    </w:p>
    <w:p w14:paraId="42B46F1A" w14:textId="71F4F91E" w:rsidR="0081772D" w:rsidRDefault="0081772D" w:rsidP="0081772D">
      <w:pPr>
        <w:spacing w:before="240" w:after="0"/>
      </w:pPr>
      <w:r>
        <w:t>En el balance calculado por la empresa se presenta</w:t>
      </w:r>
      <w:r w:rsidR="00B97D1D">
        <w:t>,</w:t>
      </w:r>
      <w:r>
        <w:t xml:space="preserve"> como pérdidas del año 2017, un valor de 114,0 GWh, mientras que, si de los datos de la empresa solo se tomaran las pérdidas eficientes, calculadas multiplicando las energías de entrada en cada nivel de tensión por el respectivo índice de pérdidas reconocido, el valor sería de 99.028.107 kWh. Este valor es muy similar al obtenido en la Comisión</w:t>
      </w:r>
      <w:r w:rsidR="00B97D1D">
        <w:t>,</w:t>
      </w:r>
      <w:r>
        <w:t xml:space="preserve"> que es de </w:t>
      </w:r>
      <w:r w:rsidRPr="00827742">
        <w:t>99</w:t>
      </w:r>
      <w:r>
        <w:t>.</w:t>
      </w:r>
      <w:r w:rsidRPr="00827742">
        <w:t>0</w:t>
      </w:r>
      <w:r>
        <w:t>34.565 kWh.</w:t>
      </w:r>
    </w:p>
    <w:p w14:paraId="1F16FE95" w14:textId="1B269CA3" w:rsidR="0081772D" w:rsidRDefault="0081772D" w:rsidP="0081772D">
      <w:pPr>
        <w:spacing w:before="240" w:after="0"/>
      </w:pPr>
      <w:r>
        <w:t xml:space="preserve">Ahora bien, dado que el cálculo de </w:t>
      </w:r>
      <w:r w:rsidR="003527C9">
        <w:t>la</w:t>
      </w:r>
      <w:r>
        <w:t xml:space="preserve"> energía de entrada es muy parecido en el balance </w:t>
      </w:r>
      <w:r w:rsidR="00413006">
        <w:t xml:space="preserve">calculado por </w:t>
      </w:r>
      <w:r>
        <w:t xml:space="preserve">la empresa y en el </w:t>
      </w:r>
      <w:r w:rsidR="00413006">
        <w:t xml:space="preserve">calculado por </w:t>
      </w:r>
      <w:r>
        <w:t xml:space="preserve">la CREG (solo hay 9 kWh </w:t>
      </w:r>
      <w:r>
        <w:lastRenderedPageBreak/>
        <w:t>de diferencia), el índice de pérdidas totales eficientes resulta en 10,96% utilizando los datos de la empresa y en 10,95% utilizando los datos de la CREG. Para el año 2016 la situación es análoga: con los datos de la empresa se obtiene 9,50%</w:t>
      </w:r>
      <w:r w:rsidR="00B97D1D">
        <w:t>,</w:t>
      </w:r>
      <w:r>
        <w:t xml:space="preserve"> y con los de la CREG</w:t>
      </w:r>
      <w:r w:rsidR="00B97D1D">
        <w:t xml:space="preserve"> </w:t>
      </w:r>
      <w:r>
        <w:t xml:space="preserve">9,49%. Una vez determinadas las pérdidas eficientes, la energía de salida se </w:t>
      </w:r>
      <w:r w:rsidR="00413006">
        <w:t>obtiene</w:t>
      </w:r>
      <w:r>
        <w:t xml:space="preserve"> restándole este valor de pérdidas a la energía de entrada.</w:t>
      </w:r>
    </w:p>
    <w:p w14:paraId="50314E34" w14:textId="47821DF2" w:rsidR="0081772D" w:rsidRDefault="0081772D" w:rsidP="0081772D">
      <w:pPr>
        <w:spacing w:before="240" w:after="0"/>
      </w:pPr>
      <w:r>
        <w:t>La otra diferencia mencionada por EBSA corresponde a los valores de inversión, donde la empresa solicita que para el modelo se tenga en cuenta un valor de 15 $/kWh como inversión máxima</w:t>
      </w:r>
      <w:r w:rsidR="00B97D1D">
        <w:t>,</w:t>
      </w:r>
      <w:r>
        <w:t xml:space="preserve"> y de 10,5 $/kWh de inversión mínima.</w:t>
      </w:r>
    </w:p>
    <w:p w14:paraId="0E9203F3" w14:textId="7D8C9BFC" w:rsidR="0081772D" w:rsidRPr="00902CD8" w:rsidRDefault="0081772D" w:rsidP="0081772D">
      <w:pPr>
        <w:spacing w:before="240" w:after="0"/>
        <w:rPr>
          <w:lang w:val="es-CO"/>
        </w:rPr>
      </w:pPr>
      <w:r>
        <w:t>Acá es necesario precisar que el</w:t>
      </w:r>
      <w:r w:rsidRPr="00902CD8">
        <w:rPr>
          <w:lang w:val="es-CO"/>
        </w:rPr>
        <w:t xml:space="preserve"> modelo de </w:t>
      </w:r>
      <w:r>
        <w:rPr>
          <w:lang w:val="es-CO"/>
        </w:rPr>
        <w:t xml:space="preserve">estimación del costo eficiente del plan de gestión de pérdidas </w:t>
      </w:r>
      <w:r w:rsidRPr="00902CD8">
        <w:rPr>
          <w:lang w:val="es-CO"/>
        </w:rPr>
        <w:t xml:space="preserve">fue entrenado con datos históricos de todas las empresas, incluyendo energías de entrada, </w:t>
      </w:r>
      <w:r w:rsidR="00883589" w:rsidRPr="00902CD8">
        <w:rPr>
          <w:lang w:val="es-CO"/>
        </w:rPr>
        <w:t xml:space="preserve">energías de </w:t>
      </w:r>
      <w:r w:rsidRPr="00902CD8">
        <w:rPr>
          <w:lang w:val="es-CO"/>
        </w:rPr>
        <w:t>salida, niveles de pérdidas y de inversión, etc</w:t>
      </w:r>
      <w:r>
        <w:rPr>
          <w:lang w:val="es-CO"/>
        </w:rPr>
        <w:t>. D</w:t>
      </w:r>
      <w:r w:rsidRPr="00902CD8">
        <w:rPr>
          <w:lang w:val="es-CO"/>
        </w:rPr>
        <w:t>espués del entrenamiento</w:t>
      </w:r>
      <w:r>
        <w:rPr>
          <w:lang w:val="es-CO"/>
        </w:rPr>
        <w:t>,</w:t>
      </w:r>
      <w:r w:rsidRPr="00902CD8">
        <w:rPr>
          <w:lang w:val="es-CO"/>
        </w:rPr>
        <w:t xml:space="preserve"> el modelo permite obtener una senda eficiente de reducción o mantenimiento de pérdidas con la información inicial que caracteriza una empresa particular</w:t>
      </w:r>
      <w:r>
        <w:rPr>
          <w:lang w:val="es-CO"/>
        </w:rPr>
        <w:t>.</w:t>
      </w:r>
    </w:p>
    <w:p w14:paraId="12AE39B4" w14:textId="77777777" w:rsidR="0081772D" w:rsidRPr="00E12C23" w:rsidRDefault="0081772D" w:rsidP="0081772D">
      <w:pPr>
        <w:spacing w:before="240" w:after="0"/>
        <w:rPr>
          <w:lang w:val="es-CO"/>
        </w:rPr>
      </w:pPr>
      <w:r w:rsidRPr="00902CD8">
        <w:rPr>
          <w:lang w:val="es-CO"/>
        </w:rPr>
        <w:t xml:space="preserve">Para el caso de EBSA, la solución encontrada </w:t>
      </w:r>
      <w:r>
        <w:rPr>
          <w:lang w:val="es-CO"/>
        </w:rPr>
        <w:t>utiliza un</w:t>
      </w:r>
      <w:r w:rsidRPr="00902CD8">
        <w:rPr>
          <w:lang w:val="es-CO"/>
        </w:rPr>
        <w:t xml:space="preserve"> rango</w:t>
      </w:r>
      <w:r>
        <w:rPr>
          <w:lang w:val="es-CO"/>
        </w:rPr>
        <w:t xml:space="preserve"> diferente al </w:t>
      </w:r>
      <w:r w:rsidRPr="00902CD8">
        <w:rPr>
          <w:lang w:val="es-CO"/>
        </w:rPr>
        <w:t>propuesto por la empresa</w:t>
      </w:r>
      <w:r>
        <w:rPr>
          <w:lang w:val="es-CO"/>
        </w:rPr>
        <w:t xml:space="preserve">. </w:t>
      </w:r>
      <w:r>
        <w:t>El modelo converge al considerar inversiones entre 2 y 7 $/kWh.</w:t>
      </w:r>
    </w:p>
    <w:p w14:paraId="40E85940" w14:textId="77777777" w:rsidR="0081772D" w:rsidRDefault="0081772D" w:rsidP="0081772D">
      <w:pPr>
        <w:spacing w:before="240" w:after="0"/>
      </w:pPr>
      <w:r>
        <w:t>En la siguiente tabla se muestran algunas de las variables introducidas al modelo, aclarando que con ellas se logra la convergencia, por lo que el costo del plan de pérdidas se toma del resultado obtenido del modelo:</w:t>
      </w:r>
    </w:p>
    <w:p w14:paraId="2CB4C232" w14:textId="77777777" w:rsidR="0081772D" w:rsidRPr="004A70E6" w:rsidRDefault="0081772D" w:rsidP="0081772D">
      <w:pPr>
        <w:spacing w:before="240" w:after="0"/>
        <w:rPr>
          <w:sz w:val="20"/>
          <w:szCs w:val="20"/>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985"/>
      </w:tblGrid>
      <w:tr w:rsidR="0081772D" w:rsidRPr="004A70E6" w14:paraId="3DDE8D9E" w14:textId="77777777" w:rsidTr="0081772D">
        <w:trPr>
          <w:trHeight w:val="425"/>
          <w:jc w:val="center"/>
        </w:trPr>
        <w:tc>
          <w:tcPr>
            <w:tcW w:w="5524" w:type="dxa"/>
            <w:gridSpan w:val="2"/>
            <w:shd w:val="clear" w:color="auto" w:fill="auto"/>
            <w:noWrap/>
            <w:vAlign w:val="center"/>
          </w:tcPr>
          <w:p w14:paraId="2D8AB8C1" w14:textId="77777777" w:rsidR="0081772D" w:rsidRPr="004A70E6" w:rsidRDefault="0081772D" w:rsidP="0081772D">
            <w:pPr>
              <w:spacing w:before="0" w:after="0"/>
              <w:jc w:val="center"/>
              <w:rPr>
                <w:color w:val="000000"/>
                <w:sz w:val="20"/>
                <w:szCs w:val="20"/>
                <w:lang w:val="es-CO" w:eastAsia="es-CO"/>
              </w:rPr>
            </w:pPr>
            <w:r w:rsidRPr="004A70E6">
              <w:rPr>
                <w:b/>
                <w:bCs/>
                <w:color w:val="000000"/>
                <w:sz w:val="20"/>
                <w:szCs w:val="20"/>
                <w:lang w:val="es-CO" w:eastAsia="es-CO"/>
              </w:rPr>
              <w:t>Parámetros de entrada</w:t>
            </w:r>
          </w:p>
        </w:tc>
      </w:tr>
      <w:tr w:rsidR="0081772D" w:rsidRPr="004A70E6" w14:paraId="480CA52A" w14:textId="77777777" w:rsidTr="0081772D">
        <w:trPr>
          <w:trHeight w:val="300"/>
          <w:jc w:val="center"/>
        </w:trPr>
        <w:tc>
          <w:tcPr>
            <w:tcW w:w="3539" w:type="dxa"/>
            <w:shd w:val="clear" w:color="auto" w:fill="auto"/>
            <w:noWrap/>
            <w:vAlign w:val="center"/>
            <w:hideMark/>
          </w:tcPr>
          <w:p w14:paraId="1DEBC782"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Mínima Inversión [$/kWh]</w:t>
            </w:r>
          </w:p>
        </w:tc>
        <w:tc>
          <w:tcPr>
            <w:tcW w:w="1985" w:type="dxa"/>
            <w:shd w:val="clear" w:color="auto" w:fill="auto"/>
            <w:noWrap/>
            <w:vAlign w:val="center"/>
            <w:hideMark/>
          </w:tcPr>
          <w:p w14:paraId="79518949"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2,0</w:t>
            </w:r>
          </w:p>
        </w:tc>
      </w:tr>
      <w:tr w:rsidR="0081772D" w:rsidRPr="004A70E6" w14:paraId="238BE72F" w14:textId="77777777" w:rsidTr="0081772D">
        <w:trPr>
          <w:trHeight w:val="300"/>
          <w:jc w:val="center"/>
        </w:trPr>
        <w:tc>
          <w:tcPr>
            <w:tcW w:w="3539" w:type="dxa"/>
            <w:shd w:val="clear" w:color="auto" w:fill="auto"/>
            <w:noWrap/>
            <w:vAlign w:val="center"/>
            <w:hideMark/>
          </w:tcPr>
          <w:p w14:paraId="2829089D"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Máxima Inversión [$/kWh]</w:t>
            </w:r>
          </w:p>
        </w:tc>
        <w:tc>
          <w:tcPr>
            <w:tcW w:w="1985" w:type="dxa"/>
            <w:shd w:val="clear" w:color="auto" w:fill="auto"/>
            <w:noWrap/>
            <w:vAlign w:val="center"/>
            <w:hideMark/>
          </w:tcPr>
          <w:p w14:paraId="493C2608"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7,0</w:t>
            </w:r>
          </w:p>
        </w:tc>
      </w:tr>
      <w:tr w:rsidR="0081772D" w:rsidRPr="004A70E6" w14:paraId="2DB6BAFE" w14:textId="77777777" w:rsidTr="0081772D">
        <w:trPr>
          <w:trHeight w:val="300"/>
          <w:jc w:val="center"/>
        </w:trPr>
        <w:tc>
          <w:tcPr>
            <w:tcW w:w="3539" w:type="dxa"/>
            <w:shd w:val="clear" w:color="auto" w:fill="auto"/>
            <w:noWrap/>
            <w:vAlign w:val="center"/>
            <w:hideMark/>
          </w:tcPr>
          <w:p w14:paraId="4930CD97"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Energía de entrada [kWh] (t-1)</w:t>
            </w:r>
          </w:p>
        </w:tc>
        <w:tc>
          <w:tcPr>
            <w:tcW w:w="1985" w:type="dxa"/>
            <w:shd w:val="clear" w:color="auto" w:fill="auto"/>
            <w:noWrap/>
            <w:vAlign w:val="center"/>
            <w:hideMark/>
          </w:tcPr>
          <w:p w14:paraId="704BF9B0"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1</w:t>
            </w:r>
            <w:r>
              <w:rPr>
                <w:color w:val="000000"/>
                <w:sz w:val="20"/>
                <w:szCs w:val="20"/>
                <w:lang w:val="es-CO" w:eastAsia="es-CO"/>
              </w:rPr>
              <w:t>.</w:t>
            </w:r>
            <w:r w:rsidRPr="004A70E6">
              <w:rPr>
                <w:color w:val="000000"/>
                <w:sz w:val="20"/>
                <w:szCs w:val="20"/>
                <w:lang w:val="es-CO" w:eastAsia="es-CO"/>
              </w:rPr>
              <w:t>025</w:t>
            </w:r>
            <w:r>
              <w:rPr>
                <w:color w:val="000000"/>
                <w:sz w:val="20"/>
                <w:szCs w:val="20"/>
                <w:lang w:val="es-CO" w:eastAsia="es-CO"/>
              </w:rPr>
              <w:t>.</w:t>
            </w:r>
            <w:r w:rsidRPr="004A70E6">
              <w:rPr>
                <w:color w:val="000000"/>
                <w:sz w:val="20"/>
                <w:szCs w:val="20"/>
                <w:lang w:val="es-CO" w:eastAsia="es-CO"/>
              </w:rPr>
              <w:t>019</w:t>
            </w:r>
            <w:r>
              <w:rPr>
                <w:color w:val="000000"/>
                <w:sz w:val="20"/>
                <w:szCs w:val="20"/>
                <w:lang w:val="es-CO" w:eastAsia="es-CO"/>
              </w:rPr>
              <w:t>.</w:t>
            </w:r>
            <w:r w:rsidRPr="004A70E6">
              <w:rPr>
                <w:color w:val="000000"/>
                <w:sz w:val="20"/>
                <w:szCs w:val="20"/>
                <w:lang w:val="es-CO" w:eastAsia="es-CO"/>
              </w:rPr>
              <w:t>625</w:t>
            </w:r>
          </w:p>
        </w:tc>
      </w:tr>
      <w:tr w:rsidR="0081772D" w:rsidRPr="004A70E6" w14:paraId="4B730252" w14:textId="77777777" w:rsidTr="0081772D">
        <w:trPr>
          <w:trHeight w:val="300"/>
          <w:jc w:val="center"/>
        </w:trPr>
        <w:tc>
          <w:tcPr>
            <w:tcW w:w="3539" w:type="dxa"/>
            <w:shd w:val="clear" w:color="auto" w:fill="auto"/>
            <w:noWrap/>
            <w:vAlign w:val="center"/>
            <w:hideMark/>
          </w:tcPr>
          <w:p w14:paraId="56306509"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Energía de entrada [kWh] (t)</w:t>
            </w:r>
          </w:p>
        </w:tc>
        <w:tc>
          <w:tcPr>
            <w:tcW w:w="1985" w:type="dxa"/>
            <w:shd w:val="clear" w:color="auto" w:fill="auto"/>
            <w:noWrap/>
            <w:vAlign w:val="center"/>
            <w:hideMark/>
          </w:tcPr>
          <w:p w14:paraId="19A0DE0B"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904</w:t>
            </w:r>
            <w:r>
              <w:rPr>
                <w:color w:val="000000"/>
                <w:sz w:val="20"/>
                <w:szCs w:val="20"/>
                <w:lang w:val="es-CO" w:eastAsia="es-CO"/>
              </w:rPr>
              <w:t>.</w:t>
            </w:r>
            <w:r w:rsidRPr="004A70E6">
              <w:rPr>
                <w:color w:val="000000"/>
                <w:sz w:val="20"/>
                <w:szCs w:val="20"/>
                <w:lang w:val="es-CO" w:eastAsia="es-CO"/>
              </w:rPr>
              <w:t>774</w:t>
            </w:r>
            <w:r>
              <w:rPr>
                <w:color w:val="000000"/>
                <w:sz w:val="20"/>
                <w:szCs w:val="20"/>
                <w:lang w:val="es-CO" w:eastAsia="es-CO"/>
              </w:rPr>
              <w:t>.</w:t>
            </w:r>
            <w:r w:rsidRPr="004A70E6">
              <w:rPr>
                <w:color w:val="000000"/>
                <w:sz w:val="20"/>
                <w:szCs w:val="20"/>
                <w:lang w:val="es-CO" w:eastAsia="es-CO"/>
              </w:rPr>
              <w:t>619</w:t>
            </w:r>
          </w:p>
        </w:tc>
      </w:tr>
      <w:tr w:rsidR="0081772D" w:rsidRPr="004A70E6" w14:paraId="6111A8AB" w14:textId="77777777" w:rsidTr="0081772D">
        <w:trPr>
          <w:trHeight w:val="300"/>
          <w:jc w:val="center"/>
        </w:trPr>
        <w:tc>
          <w:tcPr>
            <w:tcW w:w="3539" w:type="dxa"/>
            <w:shd w:val="clear" w:color="auto" w:fill="auto"/>
            <w:noWrap/>
            <w:vAlign w:val="center"/>
            <w:hideMark/>
          </w:tcPr>
          <w:p w14:paraId="162CD1B8"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Energía de Salida [kWh] (t-1)</w:t>
            </w:r>
          </w:p>
        </w:tc>
        <w:tc>
          <w:tcPr>
            <w:tcW w:w="1985" w:type="dxa"/>
            <w:shd w:val="clear" w:color="auto" w:fill="auto"/>
            <w:noWrap/>
            <w:vAlign w:val="center"/>
            <w:hideMark/>
          </w:tcPr>
          <w:p w14:paraId="50762FB9"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927</w:t>
            </w:r>
            <w:r>
              <w:rPr>
                <w:color w:val="000000"/>
                <w:sz w:val="20"/>
                <w:szCs w:val="20"/>
                <w:lang w:val="es-CO" w:eastAsia="es-CO"/>
              </w:rPr>
              <w:t>.</w:t>
            </w:r>
            <w:r w:rsidRPr="004A70E6">
              <w:rPr>
                <w:color w:val="000000"/>
                <w:sz w:val="20"/>
                <w:szCs w:val="20"/>
                <w:lang w:val="es-CO" w:eastAsia="es-CO"/>
              </w:rPr>
              <w:t>730</w:t>
            </w:r>
            <w:r>
              <w:rPr>
                <w:color w:val="000000"/>
                <w:sz w:val="20"/>
                <w:szCs w:val="20"/>
                <w:lang w:val="es-CO" w:eastAsia="es-CO"/>
              </w:rPr>
              <w:t>.</w:t>
            </w:r>
            <w:r w:rsidRPr="004A70E6">
              <w:rPr>
                <w:color w:val="000000"/>
                <w:sz w:val="20"/>
                <w:szCs w:val="20"/>
                <w:lang w:val="es-CO" w:eastAsia="es-CO"/>
              </w:rPr>
              <w:t>23</w:t>
            </w:r>
            <w:r>
              <w:rPr>
                <w:color w:val="000000"/>
                <w:sz w:val="20"/>
                <w:szCs w:val="20"/>
                <w:lang w:val="es-CO" w:eastAsia="es-CO"/>
              </w:rPr>
              <w:t>8</w:t>
            </w:r>
          </w:p>
        </w:tc>
      </w:tr>
      <w:tr w:rsidR="0081772D" w:rsidRPr="004A70E6" w14:paraId="6491D0EE" w14:textId="77777777" w:rsidTr="0081772D">
        <w:trPr>
          <w:trHeight w:val="300"/>
          <w:jc w:val="center"/>
        </w:trPr>
        <w:tc>
          <w:tcPr>
            <w:tcW w:w="3539" w:type="dxa"/>
            <w:shd w:val="clear" w:color="auto" w:fill="auto"/>
            <w:noWrap/>
            <w:vAlign w:val="center"/>
            <w:hideMark/>
          </w:tcPr>
          <w:p w14:paraId="7D808780"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Energía de Salida [kWh] (t)</w:t>
            </w:r>
          </w:p>
        </w:tc>
        <w:tc>
          <w:tcPr>
            <w:tcW w:w="1985" w:type="dxa"/>
            <w:shd w:val="clear" w:color="auto" w:fill="auto"/>
            <w:noWrap/>
            <w:vAlign w:val="center"/>
            <w:hideMark/>
          </w:tcPr>
          <w:p w14:paraId="46DB4278"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805</w:t>
            </w:r>
            <w:r>
              <w:rPr>
                <w:color w:val="000000"/>
                <w:sz w:val="20"/>
                <w:szCs w:val="20"/>
                <w:lang w:val="es-CO" w:eastAsia="es-CO"/>
              </w:rPr>
              <w:t>.</w:t>
            </w:r>
            <w:r w:rsidRPr="004A70E6">
              <w:rPr>
                <w:color w:val="000000"/>
                <w:sz w:val="20"/>
                <w:szCs w:val="20"/>
                <w:lang w:val="es-CO" w:eastAsia="es-CO"/>
              </w:rPr>
              <w:t>740</w:t>
            </w:r>
            <w:r>
              <w:rPr>
                <w:color w:val="000000"/>
                <w:sz w:val="20"/>
                <w:szCs w:val="20"/>
                <w:lang w:val="es-CO" w:eastAsia="es-CO"/>
              </w:rPr>
              <w:t>.</w:t>
            </w:r>
            <w:r w:rsidRPr="004A70E6">
              <w:rPr>
                <w:color w:val="000000"/>
                <w:sz w:val="20"/>
                <w:szCs w:val="20"/>
                <w:lang w:val="es-CO" w:eastAsia="es-CO"/>
              </w:rPr>
              <w:t>05</w:t>
            </w:r>
            <w:r>
              <w:rPr>
                <w:color w:val="000000"/>
                <w:sz w:val="20"/>
                <w:szCs w:val="20"/>
                <w:lang w:val="es-CO" w:eastAsia="es-CO"/>
              </w:rPr>
              <w:t>4</w:t>
            </w:r>
          </w:p>
        </w:tc>
      </w:tr>
      <w:tr w:rsidR="0081772D" w:rsidRPr="004A70E6" w14:paraId="258844D3" w14:textId="77777777" w:rsidTr="0081772D">
        <w:trPr>
          <w:trHeight w:val="300"/>
          <w:jc w:val="center"/>
        </w:trPr>
        <w:tc>
          <w:tcPr>
            <w:tcW w:w="3539" w:type="dxa"/>
            <w:shd w:val="clear" w:color="auto" w:fill="auto"/>
            <w:noWrap/>
            <w:vAlign w:val="center"/>
            <w:hideMark/>
          </w:tcPr>
          <w:p w14:paraId="49092469"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Nivel de Pérdidas [%] (t-1)</w:t>
            </w:r>
          </w:p>
        </w:tc>
        <w:tc>
          <w:tcPr>
            <w:tcW w:w="1985" w:type="dxa"/>
            <w:shd w:val="clear" w:color="auto" w:fill="auto"/>
            <w:noWrap/>
            <w:vAlign w:val="center"/>
            <w:hideMark/>
          </w:tcPr>
          <w:p w14:paraId="7EC6A3D6"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9,49</w:t>
            </w:r>
          </w:p>
        </w:tc>
      </w:tr>
      <w:tr w:rsidR="0081772D" w:rsidRPr="004A70E6" w14:paraId="4CE47D53" w14:textId="77777777" w:rsidTr="0081772D">
        <w:trPr>
          <w:trHeight w:val="300"/>
          <w:jc w:val="center"/>
        </w:trPr>
        <w:tc>
          <w:tcPr>
            <w:tcW w:w="3539" w:type="dxa"/>
            <w:shd w:val="clear" w:color="auto" w:fill="auto"/>
            <w:noWrap/>
            <w:vAlign w:val="center"/>
            <w:hideMark/>
          </w:tcPr>
          <w:p w14:paraId="77C524B2" w14:textId="77777777" w:rsidR="0081772D" w:rsidRPr="004A70E6" w:rsidRDefault="0081772D" w:rsidP="0081772D">
            <w:pPr>
              <w:spacing w:before="0" w:after="0"/>
              <w:jc w:val="left"/>
              <w:rPr>
                <w:color w:val="000000"/>
                <w:sz w:val="20"/>
                <w:szCs w:val="20"/>
                <w:lang w:val="es-CO" w:eastAsia="es-CO"/>
              </w:rPr>
            </w:pPr>
            <w:r w:rsidRPr="004A70E6">
              <w:rPr>
                <w:color w:val="000000"/>
                <w:sz w:val="20"/>
                <w:szCs w:val="20"/>
                <w:lang w:val="es-CO" w:eastAsia="es-CO"/>
              </w:rPr>
              <w:t>Nivel de Pérdidas</w:t>
            </w:r>
            <w:r>
              <w:rPr>
                <w:color w:val="000000"/>
                <w:sz w:val="20"/>
                <w:szCs w:val="20"/>
                <w:lang w:val="es-CO" w:eastAsia="es-CO"/>
              </w:rPr>
              <w:t xml:space="preserve"> </w:t>
            </w:r>
            <w:r w:rsidRPr="004A70E6">
              <w:rPr>
                <w:color w:val="000000"/>
                <w:sz w:val="20"/>
                <w:szCs w:val="20"/>
                <w:lang w:val="es-CO" w:eastAsia="es-CO"/>
              </w:rPr>
              <w:t>[%] (t)</w:t>
            </w:r>
          </w:p>
        </w:tc>
        <w:tc>
          <w:tcPr>
            <w:tcW w:w="1985" w:type="dxa"/>
            <w:shd w:val="clear" w:color="auto" w:fill="auto"/>
            <w:noWrap/>
            <w:vAlign w:val="center"/>
            <w:hideMark/>
          </w:tcPr>
          <w:p w14:paraId="611DBCE5" w14:textId="77777777" w:rsidR="0081772D" w:rsidRPr="004A70E6" w:rsidRDefault="0081772D" w:rsidP="0081772D">
            <w:pPr>
              <w:spacing w:before="0" w:after="0"/>
              <w:jc w:val="center"/>
              <w:rPr>
                <w:color w:val="000000"/>
                <w:sz w:val="20"/>
                <w:szCs w:val="20"/>
                <w:lang w:val="es-CO" w:eastAsia="es-CO"/>
              </w:rPr>
            </w:pPr>
            <w:r w:rsidRPr="004A70E6">
              <w:rPr>
                <w:color w:val="000000"/>
                <w:sz w:val="20"/>
                <w:szCs w:val="20"/>
                <w:lang w:val="es-CO" w:eastAsia="es-CO"/>
              </w:rPr>
              <w:t>10,95</w:t>
            </w:r>
          </w:p>
        </w:tc>
      </w:tr>
    </w:tbl>
    <w:p w14:paraId="1B91D17C" w14:textId="0A38F3B2" w:rsidR="00413006" w:rsidRDefault="00413006" w:rsidP="00D97194">
      <w:pPr>
        <w:rPr>
          <w:spacing w:val="-3"/>
          <w:lang w:val="es-CO"/>
        </w:rPr>
      </w:pPr>
      <w:r>
        <w:rPr>
          <w:spacing w:val="-3"/>
          <w:lang w:val="es-CO"/>
        </w:rPr>
        <w:t xml:space="preserve">Los datos utilizados como parámetros de entrada se </w:t>
      </w:r>
      <w:r w:rsidRPr="008B64FE">
        <w:rPr>
          <w:spacing w:val="-3"/>
          <w:lang w:val="es-CO"/>
        </w:rPr>
        <w:t>encuentran en el archivo Excel que se entrega con esta resolución, por lo que la empresa podría correr el modelo y verificar la solución encontrada.</w:t>
      </w:r>
    </w:p>
    <w:p w14:paraId="3FEFB346" w14:textId="77777777" w:rsidR="00AB668B" w:rsidRPr="008301BF" w:rsidRDefault="00AB668B" w:rsidP="00D97194">
      <w:pPr>
        <w:rPr>
          <w:spacing w:val="-3"/>
          <w:lang w:val="es-CO"/>
        </w:rPr>
      </w:pPr>
    </w:p>
    <w:p w14:paraId="260D4690" w14:textId="6C2DC5A4" w:rsidR="007455ED" w:rsidRDefault="007455ED" w:rsidP="007455ED">
      <w:pPr>
        <w:rPr>
          <w:spacing w:val="-3"/>
        </w:rPr>
      </w:pPr>
      <w:r>
        <w:rPr>
          <w:b/>
          <w:bCs/>
          <w:spacing w:val="-3"/>
        </w:rPr>
        <w:t>Solicitud 3</w:t>
      </w:r>
      <w:r w:rsidRPr="00221B7B">
        <w:rPr>
          <w:b/>
          <w:bCs/>
          <w:spacing w:val="-3"/>
        </w:rPr>
        <w:t>.</w:t>
      </w:r>
      <w:r>
        <w:rPr>
          <w:b/>
          <w:bCs/>
          <w:spacing w:val="-3"/>
        </w:rPr>
        <w:t xml:space="preserve"> Calidad. </w:t>
      </w:r>
      <w:r w:rsidRPr="00221B7B">
        <w:rPr>
          <w:spacing w:val="-3"/>
        </w:rPr>
        <w:t xml:space="preserve">El OR </w:t>
      </w:r>
      <w:r>
        <w:rPr>
          <w:spacing w:val="-3"/>
        </w:rPr>
        <w:t xml:space="preserve">solicita </w:t>
      </w:r>
      <w:r w:rsidRPr="007455ED">
        <w:rPr>
          <w:spacing w:val="-3"/>
        </w:rPr>
        <w:t xml:space="preserve">que se haga el </w:t>
      </w:r>
      <w:r w:rsidR="0081772D" w:rsidRPr="007455ED">
        <w:rPr>
          <w:spacing w:val="-3"/>
        </w:rPr>
        <w:t>rec</w:t>
      </w:r>
      <w:r w:rsidR="0081772D">
        <w:rPr>
          <w:spacing w:val="-3"/>
        </w:rPr>
        <w:t>á</w:t>
      </w:r>
      <w:r w:rsidR="0081772D" w:rsidRPr="007455ED">
        <w:rPr>
          <w:spacing w:val="-3"/>
        </w:rPr>
        <w:t xml:space="preserve">lculo </w:t>
      </w:r>
      <w:r w:rsidRPr="007455ED">
        <w:rPr>
          <w:spacing w:val="-3"/>
        </w:rPr>
        <w:t>de las metas individua</w:t>
      </w:r>
      <w:r>
        <w:rPr>
          <w:spacing w:val="-3"/>
        </w:rPr>
        <w:t>l</w:t>
      </w:r>
      <w:r w:rsidRPr="007455ED">
        <w:rPr>
          <w:spacing w:val="-3"/>
        </w:rPr>
        <w:t>es con base en la mejor inform</w:t>
      </w:r>
      <w:r>
        <w:rPr>
          <w:spacing w:val="-3"/>
        </w:rPr>
        <w:t>ación</w:t>
      </w:r>
      <w:r w:rsidRPr="007455ED">
        <w:rPr>
          <w:spacing w:val="-3"/>
        </w:rPr>
        <w:t xml:space="preserve"> que ha suministrado EBSA</w:t>
      </w:r>
      <w:r w:rsidRPr="00E75A8D">
        <w:rPr>
          <w:spacing w:val="-3"/>
        </w:rPr>
        <w:t>.</w:t>
      </w:r>
    </w:p>
    <w:p w14:paraId="62F36274" w14:textId="77777777" w:rsidR="007455ED" w:rsidRDefault="007455ED" w:rsidP="007455ED">
      <w:pPr>
        <w:rPr>
          <w:spacing w:val="-3"/>
        </w:rPr>
      </w:pPr>
      <w:r>
        <w:rPr>
          <w:spacing w:val="-3"/>
        </w:rPr>
        <w:t>La solicitud es soportada con base en los siguientes argumentos:</w:t>
      </w:r>
    </w:p>
    <w:p w14:paraId="7CA55A9C" w14:textId="3CAE5053" w:rsidR="008301BF" w:rsidRPr="00010E4C" w:rsidRDefault="00010E4C" w:rsidP="00010E4C">
      <w:pPr>
        <w:ind w:left="567"/>
        <w:rPr>
          <w:i/>
          <w:iCs/>
          <w:spacing w:val="-3"/>
          <w:sz w:val="22"/>
          <w:szCs w:val="22"/>
        </w:rPr>
      </w:pPr>
      <w:r w:rsidRPr="00010E4C">
        <w:rPr>
          <w:i/>
          <w:iCs/>
          <w:spacing w:val="-3"/>
          <w:sz w:val="22"/>
          <w:szCs w:val="22"/>
        </w:rPr>
        <w:t xml:space="preserve">(…) se </w:t>
      </w:r>
      <w:r w:rsidR="00C11D4F" w:rsidRPr="00010E4C">
        <w:rPr>
          <w:i/>
          <w:iCs/>
          <w:spacing w:val="-3"/>
          <w:sz w:val="22"/>
          <w:szCs w:val="22"/>
        </w:rPr>
        <w:t>verific</w:t>
      </w:r>
      <w:r w:rsidR="00C11D4F">
        <w:rPr>
          <w:i/>
          <w:iCs/>
          <w:spacing w:val="-3"/>
          <w:sz w:val="22"/>
          <w:szCs w:val="22"/>
        </w:rPr>
        <w:t>ó</w:t>
      </w:r>
      <w:r w:rsidRPr="00010E4C">
        <w:rPr>
          <w:i/>
          <w:iCs/>
          <w:spacing w:val="-3"/>
          <w:sz w:val="22"/>
          <w:szCs w:val="22"/>
        </w:rPr>
        <w:t xml:space="preserve"> la asignaci</w:t>
      </w:r>
      <w:r>
        <w:rPr>
          <w:i/>
          <w:iCs/>
          <w:spacing w:val="-3"/>
          <w:sz w:val="22"/>
          <w:szCs w:val="22"/>
        </w:rPr>
        <w:t>ó</w:t>
      </w:r>
      <w:r w:rsidRPr="00010E4C">
        <w:rPr>
          <w:i/>
          <w:iCs/>
          <w:spacing w:val="-3"/>
          <w:sz w:val="22"/>
          <w:szCs w:val="22"/>
        </w:rPr>
        <w:t>n de usuarios a grupos de calidad realizada por la EBSA en el marco de la solicitud de ingresos presentada por la EBSA y se co</w:t>
      </w:r>
      <w:r>
        <w:rPr>
          <w:i/>
          <w:iCs/>
          <w:spacing w:val="-3"/>
          <w:sz w:val="22"/>
          <w:szCs w:val="22"/>
        </w:rPr>
        <w:t>m</w:t>
      </w:r>
      <w:r w:rsidRPr="00010E4C">
        <w:rPr>
          <w:i/>
          <w:iCs/>
          <w:spacing w:val="-3"/>
          <w:sz w:val="22"/>
          <w:szCs w:val="22"/>
        </w:rPr>
        <w:t>par</w:t>
      </w:r>
      <w:r>
        <w:rPr>
          <w:i/>
          <w:iCs/>
          <w:spacing w:val="-3"/>
          <w:sz w:val="22"/>
          <w:szCs w:val="22"/>
        </w:rPr>
        <w:t>ó</w:t>
      </w:r>
      <w:r w:rsidRPr="00010E4C">
        <w:rPr>
          <w:i/>
          <w:iCs/>
          <w:spacing w:val="-3"/>
          <w:sz w:val="22"/>
          <w:szCs w:val="22"/>
        </w:rPr>
        <w:t xml:space="preserve"> con la realizada por la CREG, hall</w:t>
      </w:r>
      <w:r>
        <w:rPr>
          <w:i/>
          <w:iCs/>
          <w:spacing w:val="-3"/>
          <w:sz w:val="22"/>
          <w:szCs w:val="22"/>
        </w:rPr>
        <w:t>á</w:t>
      </w:r>
      <w:r w:rsidRPr="00010E4C">
        <w:rPr>
          <w:i/>
          <w:iCs/>
          <w:spacing w:val="-3"/>
          <w:sz w:val="22"/>
          <w:szCs w:val="22"/>
        </w:rPr>
        <w:t>ndose:</w:t>
      </w:r>
    </w:p>
    <w:p w14:paraId="71B4D21B" w14:textId="064C4BFC" w:rsidR="008301BF" w:rsidRPr="00010E4C" w:rsidRDefault="00010E4C" w:rsidP="00010E4C">
      <w:pPr>
        <w:ind w:left="567"/>
        <w:rPr>
          <w:i/>
          <w:iCs/>
          <w:spacing w:val="-3"/>
          <w:sz w:val="22"/>
          <w:szCs w:val="22"/>
        </w:rPr>
      </w:pPr>
      <w:r w:rsidRPr="00010E4C">
        <w:rPr>
          <w:i/>
          <w:iCs/>
          <w:spacing w:val="-3"/>
          <w:sz w:val="22"/>
          <w:szCs w:val="22"/>
        </w:rPr>
        <w:lastRenderedPageBreak/>
        <w:t>Que en los archivos soporte de la Resolu</w:t>
      </w:r>
      <w:r>
        <w:rPr>
          <w:i/>
          <w:iCs/>
          <w:spacing w:val="-3"/>
          <w:sz w:val="22"/>
          <w:szCs w:val="22"/>
        </w:rPr>
        <w:t>c</w:t>
      </w:r>
      <w:r w:rsidRPr="00010E4C">
        <w:rPr>
          <w:i/>
          <w:iCs/>
          <w:spacing w:val="-3"/>
          <w:sz w:val="22"/>
          <w:szCs w:val="22"/>
        </w:rPr>
        <w:t>i</w:t>
      </w:r>
      <w:r>
        <w:rPr>
          <w:i/>
          <w:iCs/>
          <w:spacing w:val="-3"/>
          <w:sz w:val="22"/>
          <w:szCs w:val="22"/>
        </w:rPr>
        <w:t>ó</w:t>
      </w:r>
      <w:r w:rsidRPr="00010E4C">
        <w:rPr>
          <w:i/>
          <w:iCs/>
          <w:spacing w:val="-3"/>
          <w:sz w:val="22"/>
          <w:szCs w:val="22"/>
        </w:rPr>
        <w:t>n 177 de 2019, no se encontraron registros con nivel de ruralidad 3, que corresponde a zon</w:t>
      </w:r>
      <w:r>
        <w:rPr>
          <w:i/>
          <w:iCs/>
          <w:spacing w:val="-3"/>
          <w:sz w:val="22"/>
          <w:szCs w:val="22"/>
        </w:rPr>
        <w:t>a</w:t>
      </w:r>
      <w:r w:rsidRPr="00010E4C">
        <w:rPr>
          <w:i/>
          <w:iCs/>
          <w:spacing w:val="-3"/>
          <w:sz w:val="22"/>
          <w:szCs w:val="22"/>
        </w:rPr>
        <w:t xml:space="preserve"> rural. En este aspecto es necesario aclarar que m</w:t>
      </w:r>
      <w:r>
        <w:rPr>
          <w:i/>
          <w:iCs/>
          <w:spacing w:val="-3"/>
          <w:sz w:val="22"/>
          <w:szCs w:val="22"/>
        </w:rPr>
        <w:t>á</w:t>
      </w:r>
      <w:r w:rsidRPr="00010E4C">
        <w:rPr>
          <w:i/>
          <w:iCs/>
          <w:spacing w:val="-3"/>
          <w:sz w:val="22"/>
          <w:szCs w:val="22"/>
        </w:rPr>
        <w:t>s del 50% del mercado de comercializaci</w:t>
      </w:r>
      <w:r>
        <w:rPr>
          <w:i/>
          <w:iCs/>
          <w:spacing w:val="-3"/>
          <w:sz w:val="22"/>
          <w:szCs w:val="22"/>
        </w:rPr>
        <w:t>ó</w:t>
      </w:r>
      <w:r w:rsidRPr="00010E4C">
        <w:rPr>
          <w:i/>
          <w:iCs/>
          <w:spacing w:val="-3"/>
          <w:sz w:val="22"/>
          <w:szCs w:val="22"/>
        </w:rPr>
        <w:t>n de la EBSA es rural. Al respecto, de una muestra que se tom</w:t>
      </w:r>
      <w:r>
        <w:rPr>
          <w:i/>
          <w:iCs/>
          <w:spacing w:val="-3"/>
          <w:sz w:val="22"/>
          <w:szCs w:val="22"/>
        </w:rPr>
        <w:t>ó</w:t>
      </w:r>
      <w:r w:rsidRPr="00010E4C">
        <w:rPr>
          <w:i/>
          <w:iCs/>
          <w:spacing w:val="-3"/>
          <w:sz w:val="22"/>
          <w:szCs w:val="22"/>
        </w:rPr>
        <w:t xml:space="preserve"> del Formato 5 cargado al SUI en el 2016, se estableci</w:t>
      </w:r>
      <w:r>
        <w:rPr>
          <w:i/>
          <w:iCs/>
          <w:spacing w:val="-3"/>
          <w:sz w:val="22"/>
          <w:szCs w:val="22"/>
        </w:rPr>
        <w:t>ó</w:t>
      </w:r>
      <w:r w:rsidRPr="00010E4C">
        <w:rPr>
          <w:i/>
          <w:iCs/>
          <w:spacing w:val="-3"/>
          <w:sz w:val="22"/>
          <w:szCs w:val="22"/>
        </w:rPr>
        <w:t xml:space="preserve"> que de acuerdo con la geo posi</w:t>
      </w:r>
      <w:r>
        <w:rPr>
          <w:i/>
          <w:iCs/>
          <w:spacing w:val="-3"/>
          <w:sz w:val="22"/>
          <w:szCs w:val="22"/>
        </w:rPr>
        <w:t>c</w:t>
      </w:r>
      <w:r w:rsidRPr="00010E4C">
        <w:rPr>
          <w:i/>
          <w:iCs/>
          <w:spacing w:val="-3"/>
          <w:sz w:val="22"/>
          <w:szCs w:val="22"/>
        </w:rPr>
        <w:t>i</w:t>
      </w:r>
      <w:r>
        <w:rPr>
          <w:i/>
          <w:iCs/>
          <w:spacing w:val="-3"/>
          <w:sz w:val="22"/>
          <w:szCs w:val="22"/>
        </w:rPr>
        <w:t>ó</w:t>
      </w:r>
      <w:r w:rsidRPr="00010E4C">
        <w:rPr>
          <w:i/>
          <w:iCs/>
          <w:spacing w:val="-3"/>
          <w:sz w:val="22"/>
          <w:szCs w:val="22"/>
        </w:rPr>
        <w:t>n reportada en el mismo, existen nodos rurales, que deber</w:t>
      </w:r>
      <w:r>
        <w:rPr>
          <w:i/>
          <w:iCs/>
          <w:spacing w:val="-3"/>
          <w:sz w:val="22"/>
          <w:szCs w:val="22"/>
        </w:rPr>
        <w:t>í</w:t>
      </w:r>
      <w:r w:rsidRPr="00010E4C">
        <w:rPr>
          <w:i/>
          <w:iCs/>
          <w:spacing w:val="-3"/>
          <w:sz w:val="22"/>
          <w:szCs w:val="22"/>
        </w:rPr>
        <w:t>an est</w:t>
      </w:r>
      <w:r>
        <w:rPr>
          <w:i/>
          <w:iCs/>
          <w:spacing w:val="-3"/>
          <w:sz w:val="22"/>
          <w:szCs w:val="22"/>
        </w:rPr>
        <w:t>a</w:t>
      </w:r>
      <w:r w:rsidRPr="00010E4C">
        <w:rPr>
          <w:i/>
          <w:iCs/>
          <w:spacing w:val="-3"/>
          <w:sz w:val="22"/>
          <w:szCs w:val="22"/>
        </w:rPr>
        <w:t xml:space="preserve">r clasificados en el grupo de ruralidad 3 </w:t>
      </w:r>
      <w:r w:rsidR="008A76D7" w:rsidRPr="00010E4C">
        <w:rPr>
          <w:i/>
          <w:iCs/>
          <w:spacing w:val="-3"/>
          <w:sz w:val="22"/>
          <w:szCs w:val="22"/>
        </w:rPr>
        <w:t>com</w:t>
      </w:r>
      <w:r w:rsidR="008A76D7">
        <w:rPr>
          <w:i/>
          <w:iCs/>
          <w:spacing w:val="-3"/>
          <w:sz w:val="22"/>
          <w:szCs w:val="22"/>
        </w:rPr>
        <w:t>o</w:t>
      </w:r>
      <w:r w:rsidR="008A76D7" w:rsidRPr="00010E4C">
        <w:rPr>
          <w:i/>
          <w:iCs/>
          <w:spacing w:val="-3"/>
          <w:sz w:val="22"/>
          <w:szCs w:val="22"/>
        </w:rPr>
        <w:t xml:space="preserve"> </w:t>
      </w:r>
      <w:r w:rsidRPr="00010E4C">
        <w:rPr>
          <w:i/>
          <w:iCs/>
          <w:spacing w:val="-3"/>
          <w:sz w:val="22"/>
          <w:szCs w:val="22"/>
        </w:rPr>
        <w:t>se muestra a continuaci</w:t>
      </w:r>
      <w:r>
        <w:rPr>
          <w:i/>
          <w:iCs/>
          <w:spacing w:val="-3"/>
          <w:sz w:val="22"/>
          <w:szCs w:val="22"/>
        </w:rPr>
        <w:t>ó</w:t>
      </w:r>
      <w:r w:rsidRPr="00010E4C">
        <w:rPr>
          <w:i/>
          <w:iCs/>
          <w:spacing w:val="-3"/>
          <w:sz w:val="22"/>
          <w:szCs w:val="22"/>
        </w:rPr>
        <w:t>n:</w:t>
      </w:r>
    </w:p>
    <w:p w14:paraId="6B6E49D1" w14:textId="380BAF21" w:rsidR="008301BF" w:rsidRPr="00010E4C" w:rsidRDefault="00010E4C" w:rsidP="00010E4C">
      <w:pPr>
        <w:ind w:left="567"/>
        <w:rPr>
          <w:i/>
          <w:iCs/>
          <w:spacing w:val="-3"/>
          <w:sz w:val="22"/>
          <w:szCs w:val="22"/>
        </w:rPr>
      </w:pPr>
      <w:r w:rsidRPr="00010E4C">
        <w:rPr>
          <w:i/>
          <w:iCs/>
          <w:spacing w:val="-3"/>
          <w:sz w:val="22"/>
          <w:szCs w:val="22"/>
        </w:rPr>
        <w:t>Si las metas de calidad individual correspondieran a las presentadas en la Resolu</w:t>
      </w:r>
      <w:r>
        <w:rPr>
          <w:i/>
          <w:iCs/>
          <w:spacing w:val="-3"/>
          <w:sz w:val="22"/>
          <w:szCs w:val="22"/>
        </w:rPr>
        <w:t>c</w:t>
      </w:r>
      <w:r w:rsidRPr="00010E4C">
        <w:rPr>
          <w:i/>
          <w:iCs/>
          <w:spacing w:val="-3"/>
          <w:sz w:val="22"/>
          <w:szCs w:val="22"/>
        </w:rPr>
        <w:t>i</w:t>
      </w:r>
      <w:r>
        <w:rPr>
          <w:i/>
          <w:iCs/>
          <w:spacing w:val="-3"/>
          <w:sz w:val="22"/>
          <w:szCs w:val="22"/>
        </w:rPr>
        <w:t>ó</w:t>
      </w:r>
      <w:r w:rsidRPr="00010E4C">
        <w:rPr>
          <w:i/>
          <w:iCs/>
          <w:spacing w:val="-3"/>
          <w:sz w:val="22"/>
          <w:szCs w:val="22"/>
        </w:rPr>
        <w:t>n CREG 177 de 2018, y en comparaci</w:t>
      </w:r>
      <w:r>
        <w:rPr>
          <w:i/>
          <w:iCs/>
          <w:spacing w:val="-3"/>
          <w:sz w:val="22"/>
          <w:szCs w:val="22"/>
        </w:rPr>
        <w:t>ó</w:t>
      </w:r>
      <w:r w:rsidRPr="00010E4C">
        <w:rPr>
          <w:i/>
          <w:iCs/>
          <w:spacing w:val="-3"/>
          <w:sz w:val="22"/>
          <w:szCs w:val="22"/>
        </w:rPr>
        <w:t xml:space="preserve">n con el </w:t>
      </w:r>
      <w:r>
        <w:rPr>
          <w:i/>
          <w:iCs/>
          <w:spacing w:val="-3"/>
          <w:sz w:val="22"/>
          <w:szCs w:val="22"/>
        </w:rPr>
        <w:t>á</w:t>
      </w:r>
      <w:r w:rsidRPr="00010E4C">
        <w:rPr>
          <w:i/>
          <w:iCs/>
          <w:spacing w:val="-3"/>
          <w:sz w:val="22"/>
          <w:szCs w:val="22"/>
        </w:rPr>
        <w:t>rea de cobertura de la EBSA, se evidencia que se dejar</w:t>
      </w:r>
      <w:r>
        <w:rPr>
          <w:i/>
          <w:iCs/>
          <w:spacing w:val="-3"/>
          <w:sz w:val="22"/>
          <w:szCs w:val="22"/>
        </w:rPr>
        <w:t>í</w:t>
      </w:r>
      <w:r w:rsidRPr="00010E4C">
        <w:rPr>
          <w:i/>
          <w:iCs/>
          <w:spacing w:val="-3"/>
          <w:sz w:val="22"/>
          <w:szCs w:val="22"/>
        </w:rPr>
        <w:t xml:space="preserve">a sin </w:t>
      </w:r>
      <w:r w:rsidR="00D21881" w:rsidRPr="00010E4C">
        <w:rPr>
          <w:i/>
          <w:iCs/>
          <w:spacing w:val="-3"/>
          <w:sz w:val="22"/>
          <w:szCs w:val="22"/>
        </w:rPr>
        <w:t>met</w:t>
      </w:r>
      <w:r w:rsidR="00D21881">
        <w:rPr>
          <w:i/>
          <w:iCs/>
          <w:spacing w:val="-3"/>
          <w:sz w:val="22"/>
          <w:szCs w:val="22"/>
        </w:rPr>
        <w:t>a</w:t>
      </w:r>
      <w:r w:rsidR="00D21881" w:rsidRPr="00010E4C">
        <w:rPr>
          <w:i/>
          <w:iCs/>
          <w:spacing w:val="-3"/>
          <w:sz w:val="22"/>
          <w:szCs w:val="22"/>
        </w:rPr>
        <w:t xml:space="preserve">s </w:t>
      </w:r>
      <w:r w:rsidRPr="00010E4C">
        <w:rPr>
          <w:i/>
          <w:iCs/>
          <w:spacing w:val="-3"/>
          <w:sz w:val="22"/>
          <w:szCs w:val="22"/>
        </w:rPr>
        <w:t>individuales a los clientes de los siguientes municipios:</w:t>
      </w:r>
    </w:p>
    <w:p w14:paraId="5CF71BA4" w14:textId="33937B5E" w:rsidR="00010E4C" w:rsidRPr="00010E4C" w:rsidRDefault="00010E4C" w:rsidP="00010E4C">
      <w:pPr>
        <w:ind w:left="567"/>
        <w:rPr>
          <w:i/>
          <w:iCs/>
          <w:spacing w:val="-3"/>
          <w:sz w:val="22"/>
          <w:szCs w:val="22"/>
        </w:rPr>
      </w:pPr>
      <w:r w:rsidRPr="00010E4C">
        <w:rPr>
          <w:i/>
          <w:iCs/>
          <w:spacing w:val="-3"/>
          <w:sz w:val="22"/>
          <w:szCs w:val="22"/>
        </w:rPr>
        <w:t>(…)</w:t>
      </w:r>
    </w:p>
    <w:p w14:paraId="14510630" w14:textId="500CC4E7" w:rsidR="00010E4C" w:rsidRPr="00010E4C" w:rsidRDefault="00010E4C" w:rsidP="00010E4C">
      <w:pPr>
        <w:ind w:left="567"/>
        <w:rPr>
          <w:i/>
          <w:iCs/>
          <w:spacing w:val="-3"/>
          <w:sz w:val="22"/>
          <w:szCs w:val="22"/>
        </w:rPr>
      </w:pPr>
      <w:r w:rsidRPr="00010E4C">
        <w:rPr>
          <w:i/>
          <w:iCs/>
          <w:spacing w:val="-3"/>
          <w:sz w:val="22"/>
          <w:szCs w:val="22"/>
        </w:rPr>
        <w:t>De los an</w:t>
      </w:r>
      <w:r>
        <w:rPr>
          <w:i/>
          <w:iCs/>
          <w:spacing w:val="-3"/>
          <w:sz w:val="22"/>
          <w:szCs w:val="22"/>
        </w:rPr>
        <w:t>á</w:t>
      </w:r>
      <w:r w:rsidRPr="00010E4C">
        <w:rPr>
          <w:i/>
          <w:iCs/>
          <w:spacing w:val="-3"/>
          <w:sz w:val="22"/>
          <w:szCs w:val="22"/>
        </w:rPr>
        <w:t xml:space="preserve">lisis realizados por </w:t>
      </w:r>
      <w:r>
        <w:rPr>
          <w:i/>
          <w:iCs/>
          <w:spacing w:val="-3"/>
          <w:sz w:val="22"/>
          <w:szCs w:val="22"/>
        </w:rPr>
        <w:t>l</w:t>
      </w:r>
      <w:r w:rsidRPr="00010E4C">
        <w:rPr>
          <w:i/>
          <w:iCs/>
          <w:spacing w:val="-3"/>
          <w:sz w:val="22"/>
          <w:szCs w:val="22"/>
        </w:rPr>
        <w:t>a EBSA se entiende que las inconsistenci</w:t>
      </w:r>
      <w:r>
        <w:rPr>
          <w:i/>
          <w:iCs/>
          <w:spacing w:val="-3"/>
          <w:sz w:val="22"/>
          <w:szCs w:val="22"/>
        </w:rPr>
        <w:t>a</w:t>
      </w:r>
      <w:r w:rsidRPr="00010E4C">
        <w:rPr>
          <w:i/>
          <w:iCs/>
          <w:spacing w:val="-3"/>
          <w:sz w:val="22"/>
          <w:szCs w:val="22"/>
        </w:rPr>
        <w:t xml:space="preserve">s en </w:t>
      </w:r>
      <w:r>
        <w:rPr>
          <w:i/>
          <w:iCs/>
          <w:spacing w:val="-3"/>
          <w:sz w:val="22"/>
          <w:szCs w:val="22"/>
        </w:rPr>
        <w:t>l</w:t>
      </w:r>
      <w:r w:rsidRPr="00010E4C">
        <w:rPr>
          <w:i/>
          <w:iCs/>
          <w:spacing w:val="-3"/>
          <w:sz w:val="22"/>
          <w:szCs w:val="22"/>
        </w:rPr>
        <w:t>a asignaci</w:t>
      </w:r>
      <w:r>
        <w:rPr>
          <w:i/>
          <w:iCs/>
          <w:spacing w:val="-3"/>
          <w:sz w:val="22"/>
          <w:szCs w:val="22"/>
        </w:rPr>
        <w:t>ó</w:t>
      </w:r>
      <w:r w:rsidRPr="00010E4C">
        <w:rPr>
          <w:i/>
          <w:iCs/>
          <w:spacing w:val="-3"/>
          <w:sz w:val="22"/>
          <w:szCs w:val="22"/>
        </w:rPr>
        <w:t>n del</w:t>
      </w:r>
      <w:r>
        <w:rPr>
          <w:i/>
          <w:iCs/>
          <w:spacing w:val="-3"/>
          <w:sz w:val="22"/>
          <w:szCs w:val="22"/>
        </w:rPr>
        <w:t xml:space="preserve"> </w:t>
      </w:r>
      <w:r w:rsidRPr="00010E4C">
        <w:rPr>
          <w:i/>
          <w:iCs/>
          <w:spacing w:val="-3"/>
          <w:sz w:val="22"/>
          <w:szCs w:val="22"/>
        </w:rPr>
        <w:t xml:space="preserve">grupo de calidad se ocasionaron porque </w:t>
      </w:r>
      <w:r>
        <w:rPr>
          <w:i/>
          <w:iCs/>
          <w:spacing w:val="-3"/>
          <w:sz w:val="22"/>
          <w:szCs w:val="22"/>
        </w:rPr>
        <w:t xml:space="preserve">la </w:t>
      </w:r>
      <w:r w:rsidRPr="00010E4C">
        <w:rPr>
          <w:i/>
          <w:iCs/>
          <w:spacing w:val="-3"/>
          <w:sz w:val="22"/>
          <w:szCs w:val="22"/>
        </w:rPr>
        <w:t>inform</w:t>
      </w:r>
      <w:r>
        <w:rPr>
          <w:i/>
          <w:iCs/>
          <w:spacing w:val="-3"/>
          <w:sz w:val="22"/>
          <w:szCs w:val="22"/>
        </w:rPr>
        <w:t>ación</w:t>
      </w:r>
      <w:r w:rsidRPr="00010E4C">
        <w:rPr>
          <w:i/>
          <w:iCs/>
          <w:spacing w:val="-3"/>
          <w:sz w:val="22"/>
          <w:szCs w:val="22"/>
        </w:rPr>
        <w:t xml:space="preserve"> GIS de </w:t>
      </w:r>
      <w:r>
        <w:rPr>
          <w:i/>
          <w:iCs/>
          <w:spacing w:val="-3"/>
          <w:sz w:val="22"/>
          <w:szCs w:val="22"/>
        </w:rPr>
        <w:t>l</w:t>
      </w:r>
      <w:r w:rsidRPr="00010E4C">
        <w:rPr>
          <w:i/>
          <w:iCs/>
          <w:spacing w:val="-3"/>
          <w:sz w:val="22"/>
          <w:szCs w:val="22"/>
        </w:rPr>
        <w:t xml:space="preserve">a EBSA estaba con centro Tunja, lo que </w:t>
      </w:r>
      <w:r>
        <w:rPr>
          <w:i/>
          <w:iCs/>
          <w:spacing w:val="-3"/>
          <w:sz w:val="22"/>
          <w:szCs w:val="22"/>
        </w:rPr>
        <w:t>incidía</w:t>
      </w:r>
      <w:r w:rsidRPr="00010E4C">
        <w:rPr>
          <w:i/>
          <w:iCs/>
          <w:spacing w:val="-3"/>
          <w:sz w:val="22"/>
          <w:szCs w:val="22"/>
        </w:rPr>
        <w:t xml:space="preserve"> en todas las </w:t>
      </w:r>
      <w:proofErr w:type="spellStart"/>
      <w:r w:rsidRPr="00010E4C">
        <w:rPr>
          <w:i/>
          <w:iCs/>
          <w:spacing w:val="-3"/>
          <w:sz w:val="22"/>
          <w:szCs w:val="22"/>
        </w:rPr>
        <w:t>geoposiciones</w:t>
      </w:r>
      <w:proofErr w:type="spellEnd"/>
      <w:r w:rsidRPr="00010E4C">
        <w:rPr>
          <w:i/>
          <w:iCs/>
          <w:spacing w:val="-3"/>
          <w:sz w:val="22"/>
          <w:szCs w:val="22"/>
        </w:rPr>
        <w:t>, generando un desp</w:t>
      </w:r>
      <w:r>
        <w:rPr>
          <w:i/>
          <w:iCs/>
          <w:spacing w:val="-3"/>
          <w:sz w:val="22"/>
          <w:szCs w:val="22"/>
        </w:rPr>
        <w:t>l</w:t>
      </w:r>
      <w:r w:rsidRPr="00010E4C">
        <w:rPr>
          <w:i/>
          <w:iCs/>
          <w:spacing w:val="-3"/>
          <w:sz w:val="22"/>
          <w:szCs w:val="22"/>
        </w:rPr>
        <w:t>azamiento geogr</w:t>
      </w:r>
      <w:r>
        <w:rPr>
          <w:i/>
          <w:iCs/>
          <w:spacing w:val="-3"/>
          <w:sz w:val="22"/>
          <w:szCs w:val="22"/>
        </w:rPr>
        <w:t>á</w:t>
      </w:r>
      <w:r w:rsidRPr="00010E4C">
        <w:rPr>
          <w:i/>
          <w:iCs/>
          <w:spacing w:val="-3"/>
          <w:sz w:val="22"/>
          <w:szCs w:val="22"/>
        </w:rPr>
        <w:t>fico. EBSA hizo la correc</w:t>
      </w:r>
      <w:r>
        <w:rPr>
          <w:i/>
          <w:iCs/>
          <w:spacing w:val="-3"/>
          <w:sz w:val="22"/>
          <w:szCs w:val="22"/>
        </w:rPr>
        <w:t>c</w:t>
      </w:r>
      <w:r w:rsidRPr="00010E4C">
        <w:rPr>
          <w:i/>
          <w:iCs/>
          <w:spacing w:val="-3"/>
          <w:sz w:val="22"/>
          <w:szCs w:val="22"/>
        </w:rPr>
        <w:t>i</w:t>
      </w:r>
      <w:r>
        <w:rPr>
          <w:i/>
          <w:iCs/>
          <w:spacing w:val="-3"/>
          <w:sz w:val="22"/>
          <w:szCs w:val="22"/>
        </w:rPr>
        <w:t>ó</w:t>
      </w:r>
      <w:r w:rsidRPr="00010E4C">
        <w:rPr>
          <w:i/>
          <w:iCs/>
          <w:spacing w:val="-3"/>
          <w:sz w:val="22"/>
          <w:szCs w:val="22"/>
        </w:rPr>
        <w:t>n respectiv</w:t>
      </w:r>
      <w:r>
        <w:rPr>
          <w:i/>
          <w:iCs/>
          <w:spacing w:val="-3"/>
          <w:sz w:val="22"/>
          <w:szCs w:val="22"/>
        </w:rPr>
        <w:t>a</w:t>
      </w:r>
      <w:r w:rsidRPr="00010E4C">
        <w:rPr>
          <w:i/>
          <w:iCs/>
          <w:spacing w:val="-3"/>
          <w:sz w:val="22"/>
          <w:szCs w:val="22"/>
        </w:rPr>
        <w:t xml:space="preserve"> y hoy la referencia del GIS se ajusta al est</w:t>
      </w:r>
      <w:r>
        <w:rPr>
          <w:i/>
          <w:iCs/>
          <w:spacing w:val="-3"/>
          <w:sz w:val="22"/>
          <w:szCs w:val="22"/>
        </w:rPr>
        <w:t>á</w:t>
      </w:r>
      <w:r w:rsidRPr="00010E4C">
        <w:rPr>
          <w:i/>
          <w:iCs/>
          <w:spacing w:val="-3"/>
          <w:sz w:val="22"/>
          <w:szCs w:val="22"/>
        </w:rPr>
        <w:t>ndar con referencia centro Bogot</w:t>
      </w:r>
      <w:r>
        <w:rPr>
          <w:i/>
          <w:iCs/>
          <w:spacing w:val="-3"/>
          <w:sz w:val="22"/>
          <w:szCs w:val="22"/>
        </w:rPr>
        <w:t>á</w:t>
      </w:r>
      <w:r w:rsidRPr="00010E4C">
        <w:rPr>
          <w:i/>
          <w:iCs/>
          <w:spacing w:val="-3"/>
          <w:sz w:val="22"/>
          <w:szCs w:val="22"/>
        </w:rPr>
        <w:t>.</w:t>
      </w:r>
    </w:p>
    <w:p w14:paraId="3BF09240" w14:textId="334A61C0" w:rsidR="00010E4C" w:rsidRPr="00010E4C" w:rsidRDefault="00010E4C" w:rsidP="00010E4C">
      <w:pPr>
        <w:ind w:left="567"/>
        <w:rPr>
          <w:i/>
          <w:iCs/>
          <w:spacing w:val="-3"/>
          <w:sz w:val="22"/>
          <w:szCs w:val="22"/>
        </w:rPr>
      </w:pPr>
      <w:r w:rsidRPr="00010E4C">
        <w:rPr>
          <w:i/>
          <w:iCs/>
          <w:spacing w:val="-3"/>
          <w:sz w:val="22"/>
          <w:szCs w:val="22"/>
        </w:rPr>
        <w:t>Para corregir la diferencia de inform</w:t>
      </w:r>
      <w:r>
        <w:rPr>
          <w:i/>
          <w:iCs/>
          <w:spacing w:val="-3"/>
          <w:sz w:val="22"/>
          <w:szCs w:val="22"/>
        </w:rPr>
        <w:t>ación</w:t>
      </w:r>
      <w:r w:rsidRPr="00010E4C">
        <w:rPr>
          <w:i/>
          <w:iCs/>
          <w:spacing w:val="-3"/>
          <w:sz w:val="22"/>
          <w:szCs w:val="22"/>
        </w:rPr>
        <w:t xml:space="preserve"> de calidad, </w:t>
      </w:r>
      <w:r>
        <w:rPr>
          <w:i/>
          <w:iCs/>
          <w:spacing w:val="-3"/>
          <w:sz w:val="22"/>
          <w:szCs w:val="22"/>
        </w:rPr>
        <w:t>ú</w:t>
      </w:r>
      <w:r w:rsidRPr="00010E4C">
        <w:rPr>
          <w:i/>
          <w:iCs/>
          <w:spacing w:val="-3"/>
          <w:sz w:val="22"/>
          <w:szCs w:val="22"/>
        </w:rPr>
        <w:t xml:space="preserve">nicamente en cuanto a la </w:t>
      </w:r>
      <w:proofErr w:type="spellStart"/>
      <w:r w:rsidRPr="00010E4C">
        <w:rPr>
          <w:i/>
          <w:iCs/>
          <w:spacing w:val="-3"/>
          <w:sz w:val="22"/>
          <w:szCs w:val="22"/>
        </w:rPr>
        <w:t>geoposici</w:t>
      </w:r>
      <w:r>
        <w:rPr>
          <w:i/>
          <w:iCs/>
          <w:spacing w:val="-3"/>
          <w:sz w:val="22"/>
          <w:szCs w:val="22"/>
        </w:rPr>
        <w:t>ón</w:t>
      </w:r>
      <w:proofErr w:type="spellEnd"/>
      <w:r w:rsidRPr="00010E4C">
        <w:rPr>
          <w:i/>
          <w:iCs/>
          <w:spacing w:val="-3"/>
          <w:sz w:val="22"/>
          <w:szCs w:val="22"/>
        </w:rPr>
        <w:t xml:space="preserve"> de</w:t>
      </w:r>
      <w:r>
        <w:rPr>
          <w:i/>
          <w:iCs/>
          <w:spacing w:val="-3"/>
          <w:sz w:val="22"/>
          <w:szCs w:val="22"/>
        </w:rPr>
        <w:t xml:space="preserve"> </w:t>
      </w:r>
      <w:r w:rsidRPr="00010E4C">
        <w:rPr>
          <w:i/>
          <w:iCs/>
          <w:spacing w:val="-3"/>
          <w:sz w:val="22"/>
          <w:szCs w:val="22"/>
        </w:rPr>
        <w:t>los tr</w:t>
      </w:r>
      <w:r>
        <w:rPr>
          <w:i/>
          <w:iCs/>
          <w:spacing w:val="-3"/>
          <w:sz w:val="22"/>
          <w:szCs w:val="22"/>
        </w:rPr>
        <w:t>a</w:t>
      </w:r>
      <w:r w:rsidRPr="00010E4C">
        <w:rPr>
          <w:i/>
          <w:iCs/>
          <w:spacing w:val="-3"/>
          <w:sz w:val="22"/>
          <w:szCs w:val="22"/>
        </w:rPr>
        <w:t xml:space="preserve">nsformadores, la EBSA </w:t>
      </w:r>
      <w:r w:rsidR="00FA11C5" w:rsidRPr="00010E4C">
        <w:rPr>
          <w:i/>
          <w:iCs/>
          <w:spacing w:val="-3"/>
          <w:sz w:val="22"/>
          <w:szCs w:val="22"/>
        </w:rPr>
        <w:t>to</w:t>
      </w:r>
      <w:r w:rsidR="00FA11C5">
        <w:rPr>
          <w:i/>
          <w:iCs/>
          <w:spacing w:val="-3"/>
          <w:sz w:val="22"/>
          <w:szCs w:val="22"/>
        </w:rPr>
        <w:t>mó</w:t>
      </w:r>
      <w:r w:rsidR="00FA11C5" w:rsidRPr="00010E4C">
        <w:rPr>
          <w:i/>
          <w:iCs/>
          <w:spacing w:val="-3"/>
          <w:sz w:val="22"/>
          <w:szCs w:val="22"/>
        </w:rPr>
        <w:t xml:space="preserve"> </w:t>
      </w:r>
      <w:r w:rsidRPr="00010E4C">
        <w:rPr>
          <w:i/>
          <w:iCs/>
          <w:spacing w:val="-3"/>
          <w:sz w:val="22"/>
          <w:szCs w:val="22"/>
        </w:rPr>
        <w:t xml:space="preserve">la </w:t>
      </w:r>
      <w:proofErr w:type="spellStart"/>
      <w:r w:rsidRPr="00010E4C">
        <w:rPr>
          <w:i/>
          <w:iCs/>
          <w:spacing w:val="-3"/>
          <w:sz w:val="22"/>
          <w:szCs w:val="22"/>
        </w:rPr>
        <w:t>geoposicion</w:t>
      </w:r>
      <w:proofErr w:type="spellEnd"/>
      <w:r w:rsidRPr="00010E4C">
        <w:rPr>
          <w:i/>
          <w:iCs/>
          <w:spacing w:val="-3"/>
          <w:sz w:val="22"/>
          <w:szCs w:val="22"/>
        </w:rPr>
        <w:t xml:space="preserve"> real de estos nodos con referencia centro Bogot</w:t>
      </w:r>
      <w:r>
        <w:rPr>
          <w:i/>
          <w:iCs/>
          <w:spacing w:val="-3"/>
          <w:sz w:val="22"/>
          <w:szCs w:val="22"/>
        </w:rPr>
        <w:t>á</w:t>
      </w:r>
      <w:r w:rsidRPr="00010E4C">
        <w:rPr>
          <w:i/>
          <w:iCs/>
          <w:spacing w:val="-3"/>
          <w:sz w:val="22"/>
          <w:szCs w:val="22"/>
        </w:rPr>
        <w:t>, la cual est</w:t>
      </w:r>
      <w:r>
        <w:rPr>
          <w:i/>
          <w:iCs/>
          <w:spacing w:val="-3"/>
          <w:sz w:val="22"/>
          <w:szCs w:val="22"/>
        </w:rPr>
        <w:t>á</w:t>
      </w:r>
      <w:r w:rsidRPr="00010E4C">
        <w:rPr>
          <w:i/>
          <w:iCs/>
          <w:spacing w:val="-3"/>
          <w:sz w:val="22"/>
          <w:szCs w:val="22"/>
        </w:rPr>
        <w:t xml:space="preserve"> incluida en el </w:t>
      </w:r>
      <w:proofErr w:type="spellStart"/>
      <w:r w:rsidRPr="00010E4C">
        <w:rPr>
          <w:i/>
          <w:iCs/>
          <w:spacing w:val="-3"/>
          <w:sz w:val="22"/>
          <w:szCs w:val="22"/>
        </w:rPr>
        <w:t>shape</w:t>
      </w:r>
      <w:proofErr w:type="spellEnd"/>
      <w:r w:rsidRPr="00010E4C">
        <w:rPr>
          <w:i/>
          <w:iCs/>
          <w:spacing w:val="-3"/>
          <w:sz w:val="22"/>
          <w:szCs w:val="22"/>
        </w:rPr>
        <w:t xml:space="preserve"> de nivel 1 y que coincide con </w:t>
      </w:r>
      <w:r>
        <w:rPr>
          <w:i/>
          <w:iCs/>
          <w:spacing w:val="-3"/>
          <w:sz w:val="22"/>
          <w:szCs w:val="22"/>
        </w:rPr>
        <w:t>la</w:t>
      </w:r>
      <w:r w:rsidRPr="00010E4C">
        <w:rPr>
          <w:i/>
          <w:iCs/>
          <w:spacing w:val="-3"/>
          <w:sz w:val="22"/>
          <w:szCs w:val="22"/>
        </w:rPr>
        <w:t xml:space="preserve"> asignaci</w:t>
      </w:r>
      <w:r>
        <w:rPr>
          <w:i/>
          <w:iCs/>
          <w:spacing w:val="-3"/>
          <w:sz w:val="22"/>
          <w:szCs w:val="22"/>
        </w:rPr>
        <w:t>ó</w:t>
      </w:r>
      <w:r w:rsidRPr="00010E4C">
        <w:rPr>
          <w:i/>
          <w:iCs/>
          <w:spacing w:val="-3"/>
          <w:sz w:val="22"/>
          <w:szCs w:val="22"/>
        </w:rPr>
        <w:t>n de c</w:t>
      </w:r>
      <w:r>
        <w:rPr>
          <w:i/>
          <w:iCs/>
          <w:spacing w:val="-3"/>
          <w:sz w:val="22"/>
          <w:szCs w:val="22"/>
        </w:rPr>
        <w:t>ó</w:t>
      </w:r>
      <w:r w:rsidRPr="00010E4C">
        <w:rPr>
          <w:i/>
          <w:iCs/>
          <w:spacing w:val="-3"/>
          <w:sz w:val="22"/>
          <w:szCs w:val="22"/>
        </w:rPr>
        <w:t xml:space="preserve">digos DANE del </w:t>
      </w:r>
      <w:proofErr w:type="spellStart"/>
      <w:r w:rsidRPr="00010E4C">
        <w:rPr>
          <w:i/>
          <w:iCs/>
          <w:spacing w:val="-3"/>
          <w:sz w:val="22"/>
          <w:szCs w:val="22"/>
        </w:rPr>
        <w:t>shape</w:t>
      </w:r>
      <w:proofErr w:type="spellEnd"/>
      <w:r w:rsidRPr="00010E4C">
        <w:rPr>
          <w:i/>
          <w:iCs/>
          <w:spacing w:val="-3"/>
          <w:sz w:val="22"/>
          <w:szCs w:val="22"/>
        </w:rPr>
        <w:t xml:space="preserve"> y del Anexo 7 incluido en nuestra solicitud de cargos.</w:t>
      </w:r>
    </w:p>
    <w:p w14:paraId="3E578FAB" w14:textId="3353D10A" w:rsidR="008301BF" w:rsidRPr="008301BF" w:rsidRDefault="001271FF" w:rsidP="00831065">
      <w:pPr>
        <w:spacing w:before="240"/>
        <w:rPr>
          <w:spacing w:val="-3"/>
          <w:lang w:val="es-CO"/>
        </w:rPr>
      </w:pPr>
      <w:r>
        <w:rPr>
          <w:spacing w:val="-3"/>
          <w:lang w:val="es-CO"/>
        </w:rPr>
        <w:t xml:space="preserve">Frente a esta solicitud, en primer </w:t>
      </w:r>
      <w:proofErr w:type="gramStart"/>
      <w:r>
        <w:rPr>
          <w:spacing w:val="-3"/>
          <w:lang w:val="es-CO"/>
        </w:rPr>
        <w:t>lugar</w:t>
      </w:r>
      <w:proofErr w:type="gramEnd"/>
      <w:r>
        <w:rPr>
          <w:spacing w:val="-3"/>
          <w:lang w:val="es-CO"/>
        </w:rPr>
        <w:t xml:space="preserve"> se aclara que</w:t>
      </w:r>
      <w:r w:rsidR="00D816AC">
        <w:rPr>
          <w:spacing w:val="-3"/>
          <w:lang w:val="es-CO"/>
        </w:rPr>
        <w:t>,</w:t>
      </w:r>
      <w:r>
        <w:rPr>
          <w:spacing w:val="-3"/>
          <w:lang w:val="es-CO"/>
        </w:rPr>
        <w:t xml:space="preserve"> para el cálculo de los indicadores</w:t>
      </w:r>
      <w:r w:rsidR="00D816AC">
        <w:rPr>
          <w:spacing w:val="-3"/>
          <w:lang w:val="es-CO"/>
        </w:rPr>
        <w:t>,</w:t>
      </w:r>
      <w:r>
        <w:rPr>
          <w:spacing w:val="-3"/>
          <w:lang w:val="es-CO"/>
        </w:rPr>
        <w:t xml:space="preserve"> se consideró que toda el área de un municipio que se encontrara por fuera de la cabecera era rural. No obstante, en la información entregada por la CREG a EBSA junto con la Resolución CREG 177 de 2019</w:t>
      </w:r>
      <w:r w:rsidR="00D816AC">
        <w:rPr>
          <w:spacing w:val="-3"/>
          <w:lang w:val="es-CO"/>
        </w:rPr>
        <w:t>,</w:t>
      </w:r>
      <w:r>
        <w:rPr>
          <w:spacing w:val="-3"/>
          <w:lang w:val="es-CO"/>
        </w:rPr>
        <w:t xml:space="preserve"> no </w:t>
      </w:r>
      <w:r w:rsidR="007C6F12">
        <w:rPr>
          <w:spacing w:val="-3"/>
          <w:lang w:val="es-CO"/>
        </w:rPr>
        <w:t xml:space="preserve">se </w:t>
      </w:r>
      <w:r>
        <w:rPr>
          <w:spacing w:val="-3"/>
          <w:lang w:val="es-CO"/>
        </w:rPr>
        <w:t>identific</w:t>
      </w:r>
      <w:r w:rsidR="007C6F12">
        <w:rPr>
          <w:spacing w:val="-3"/>
          <w:lang w:val="es-CO"/>
        </w:rPr>
        <w:t>aron</w:t>
      </w:r>
      <w:r>
        <w:rPr>
          <w:spacing w:val="-3"/>
          <w:lang w:val="es-CO"/>
        </w:rPr>
        <w:t xml:space="preserve"> correctamente los tran</w:t>
      </w:r>
      <w:r w:rsidR="007C6F12">
        <w:rPr>
          <w:spacing w:val="-3"/>
          <w:lang w:val="es-CO"/>
        </w:rPr>
        <w:t>s</w:t>
      </w:r>
      <w:r>
        <w:rPr>
          <w:spacing w:val="-3"/>
          <w:lang w:val="es-CO"/>
        </w:rPr>
        <w:t>formadores pertenecientes al área rural, si bien estos sí fueron considerados como rurales durante el cálculo</w:t>
      </w:r>
      <w:r w:rsidR="007C6F12">
        <w:rPr>
          <w:spacing w:val="-3"/>
          <w:lang w:val="es-CO"/>
        </w:rPr>
        <w:t>, tal como pu</w:t>
      </w:r>
      <w:r w:rsidR="00FA0E1E">
        <w:rPr>
          <w:spacing w:val="-3"/>
          <w:lang w:val="es-CO"/>
        </w:rPr>
        <w:t>e</w:t>
      </w:r>
      <w:r w:rsidR="007C6F12">
        <w:rPr>
          <w:spacing w:val="-3"/>
          <w:lang w:val="es-CO"/>
        </w:rPr>
        <w:t xml:space="preserve">de deducirse de los indicadores de calidad mínima garantizada que corresponden a grupos rurales. </w:t>
      </w:r>
    </w:p>
    <w:p w14:paraId="754EB83A" w14:textId="759DCD58" w:rsidR="008301BF" w:rsidRDefault="007C6F12" w:rsidP="00D97194">
      <w:pPr>
        <w:rPr>
          <w:spacing w:val="-3"/>
          <w:lang w:val="es-CO"/>
        </w:rPr>
      </w:pPr>
      <w:r>
        <w:rPr>
          <w:spacing w:val="-3"/>
          <w:lang w:val="es-CO"/>
        </w:rPr>
        <w:t>Por lo anterior, al respecto no se requiere que la CREG ajuste la información para el cálculo y</w:t>
      </w:r>
      <w:r w:rsidR="00D816AC">
        <w:rPr>
          <w:spacing w:val="-3"/>
          <w:lang w:val="es-CO"/>
        </w:rPr>
        <w:t>,</w:t>
      </w:r>
      <w:r>
        <w:rPr>
          <w:spacing w:val="-3"/>
          <w:lang w:val="es-CO"/>
        </w:rPr>
        <w:t xml:space="preserve"> en consecuencia</w:t>
      </w:r>
      <w:r w:rsidR="00D816AC">
        <w:rPr>
          <w:spacing w:val="-3"/>
          <w:lang w:val="es-CO"/>
        </w:rPr>
        <w:t>,</w:t>
      </w:r>
      <w:r>
        <w:rPr>
          <w:spacing w:val="-3"/>
          <w:lang w:val="es-CO"/>
        </w:rPr>
        <w:t xml:space="preserve"> se entregará al OR la información con la asignación correcta de transformadores, identificando los clasificados como rurales.</w:t>
      </w:r>
    </w:p>
    <w:p w14:paraId="368BEA2D" w14:textId="0A12EDA7" w:rsidR="007C6F12" w:rsidRDefault="007C6F12" w:rsidP="00D97194">
      <w:pPr>
        <w:rPr>
          <w:spacing w:val="-3"/>
          <w:lang w:val="es-CO"/>
        </w:rPr>
      </w:pPr>
      <w:r>
        <w:rPr>
          <w:spacing w:val="-3"/>
          <w:lang w:val="es-CO"/>
        </w:rPr>
        <w:t xml:space="preserve">De otra parte, al revisar </w:t>
      </w:r>
      <w:r w:rsidR="00931479">
        <w:rPr>
          <w:spacing w:val="-3"/>
          <w:lang w:val="es-CO"/>
        </w:rPr>
        <w:t xml:space="preserve">la solicitud </w:t>
      </w:r>
      <w:r>
        <w:rPr>
          <w:spacing w:val="-3"/>
          <w:lang w:val="es-CO"/>
        </w:rPr>
        <w:t>de</w:t>
      </w:r>
      <w:r w:rsidR="00931479">
        <w:rPr>
          <w:spacing w:val="-3"/>
          <w:lang w:val="es-CO"/>
        </w:rPr>
        <w:t xml:space="preserve"> </w:t>
      </w:r>
      <w:r>
        <w:rPr>
          <w:spacing w:val="-3"/>
          <w:lang w:val="es-CO"/>
        </w:rPr>
        <w:t xml:space="preserve">la EBSA con respecto </w:t>
      </w:r>
      <w:r w:rsidR="00931479">
        <w:rPr>
          <w:spacing w:val="-3"/>
          <w:lang w:val="es-CO"/>
        </w:rPr>
        <w:t>a considerar e</w:t>
      </w:r>
      <w:r>
        <w:rPr>
          <w:spacing w:val="-3"/>
          <w:lang w:val="es-CO"/>
        </w:rPr>
        <w:t xml:space="preserve">l error de georreferenciación que existe en las bases de datos del SUI, en donde el OR no </w:t>
      </w:r>
      <w:r w:rsidR="001B7C07">
        <w:rPr>
          <w:spacing w:val="-3"/>
          <w:lang w:val="es-CO"/>
        </w:rPr>
        <w:t xml:space="preserve">reportó </w:t>
      </w:r>
      <w:r>
        <w:rPr>
          <w:spacing w:val="-3"/>
          <w:lang w:val="es-CO"/>
        </w:rPr>
        <w:t xml:space="preserve">las coordenadas de los activos con centro en Bogotá sino con centro en Tunja, </w:t>
      </w:r>
      <w:r w:rsidR="00D22066">
        <w:rPr>
          <w:spacing w:val="-3"/>
          <w:lang w:val="es-CO"/>
        </w:rPr>
        <w:t xml:space="preserve">según </w:t>
      </w:r>
      <w:r w:rsidR="006E3595">
        <w:rPr>
          <w:spacing w:val="-3"/>
          <w:lang w:val="es-CO"/>
        </w:rPr>
        <w:t xml:space="preserve">lo </w:t>
      </w:r>
      <w:r w:rsidR="00D22066">
        <w:rPr>
          <w:spacing w:val="-3"/>
          <w:lang w:val="es-CO"/>
        </w:rPr>
        <w:t xml:space="preserve">informa en el recurso, </w:t>
      </w:r>
      <w:r>
        <w:rPr>
          <w:spacing w:val="-3"/>
          <w:lang w:val="es-CO"/>
        </w:rPr>
        <w:t xml:space="preserve">y al analizar la información de georreferenciación corregida por el OR, se acepta modificar el cálculo de los indicadores de calidad individual con la </w:t>
      </w:r>
      <w:r w:rsidR="00DC0DE6">
        <w:rPr>
          <w:spacing w:val="-3"/>
          <w:lang w:val="es-CO"/>
        </w:rPr>
        <w:t xml:space="preserve">nueva </w:t>
      </w:r>
      <w:r>
        <w:rPr>
          <w:spacing w:val="-3"/>
          <w:lang w:val="es-CO"/>
        </w:rPr>
        <w:t>información de georreferenciación suministrada por la empresa.</w:t>
      </w:r>
    </w:p>
    <w:p w14:paraId="19535C6E" w14:textId="7D788E88" w:rsidR="00505381" w:rsidRDefault="007C6F12" w:rsidP="00931479">
      <w:pPr>
        <w:rPr>
          <w:spacing w:val="-3"/>
          <w:lang w:val="es-CO"/>
        </w:rPr>
      </w:pPr>
      <w:r>
        <w:rPr>
          <w:spacing w:val="-3"/>
          <w:lang w:val="es-CO"/>
        </w:rPr>
        <w:t>Debe tenerse en cuenta que esta modificación únicamente genera cambios en los indicadores de calidad individual, pues para el cálculo de los indicadores de calidad media no se utiliza esta información.</w:t>
      </w:r>
    </w:p>
    <w:p w14:paraId="6052CC6F" w14:textId="41DBAB6B" w:rsidR="000D3656" w:rsidRDefault="000D3656" w:rsidP="000D3656">
      <w:r>
        <w:t>Adjunto a esta resolución se entregan a la Empresa de Energía de Boyacá</w:t>
      </w:r>
      <w:r w:rsidRPr="006C7F6B">
        <w:t xml:space="preserve"> S.A. E.S.P.</w:t>
      </w:r>
      <w:r>
        <w:t xml:space="preserve"> los archivos con las bases de datos y cálculos utilizados para establecer las variables necesarias para calcular los ingresos y cargos asociados con la actividad de distribución de energía eléctrica para su mercado de comercialización.</w:t>
      </w:r>
    </w:p>
    <w:p w14:paraId="1D09B26F" w14:textId="77777777" w:rsidR="00E01476" w:rsidRPr="00E12C23" w:rsidRDefault="00E01476" w:rsidP="00F85672">
      <w:pPr>
        <w:keepNext/>
        <w:rPr>
          <w:b/>
          <w:bCs/>
        </w:rPr>
      </w:pPr>
      <w:r w:rsidRPr="00E12C23">
        <w:rPr>
          <w:b/>
          <w:bCs/>
        </w:rPr>
        <w:lastRenderedPageBreak/>
        <w:t>B. Recurso de Diaco</w:t>
      </w:r>
    </w:p>
    <w:p w14:paraId="43524DAE" w14:textId="77777777" w:rsidR="00FA0E60" w:rsidRPr="008B00F0" w:rsidRDefault="00FA0E60" w:rsidP="00F85672">
      <w:pPr>
        <w:keepNext/>
        <w:rPr>
          <w:b/>
          <w:bCs/>
        </w:rPr>
      </w:pPr>
      <w:r w:rsidRPr="008B00F0">
        <w:rPr>
          <w:b/>
          <w:bCs/>
        </w:rPr>
        <w:t>Solicitud de Diaco</w:t>
      </w:r>
    </w:p>
    <w:p w14:paraId="477AE932" w14:textId="37492503" w:rsidR="00FA0E60" w:rsidRPr="008B00F0" w:rsidRDefault="00FA0E60" w:rsidP="00FA0E60">
      <w:pPr>
        <w:spacing w:before="240" w:after="0"/>
      </w:pPr>
      <w:r w:rsidRPr="008B00F0">
        <w:t>En el recurso</w:t>
      </w:r>
      <w:r w:rsidR="00D816AC">
        <w:t>,</w:t>
      </w:r>
      <w:r w:rsidRPr="008B00F0">
        <w:t xml:space="preserve"> Diaco presenta las siguientes peticiones:</w:t>
      </w:r>
    </w:p>
    <w:p w14:paraId="51510CF6" w14:textId="77777777" w:rsidR="00FA0E60" w:rsidRPr="008B00F0" w:rsidRDefault="00FA0E60" w:rsidP="00FA0E60">
      <w:pPr>
        <w:spacing w:after="0"/>
        <w:ind w:left="567" w:right="335" w:hanging="284"/>
        <w:rPr>
          <w:i/>
          <w:iCs/>
        </w:rPr>
      </w:pPr>
      <w:r w:rsidRPr="008B00F0">
        <w:rPr>
          <w:i/>
          <w:iCs/>
        </w:rPr>
        <w:t>1. Aclare la Resolución de Cargos en su totalidad o solamente los apartes en los que se haya decidido teniendo en cuenta los activos de conexión de DIACO al STN, especialmente, pero sin limitarse a, su artículo 19 para así determinar si se incluyeron para efectos del cálculo de los ingresos y cargos de distribución de EBSA.</w:t>
      </w:r>
    </w:p>
    <w:p w14:paraId="2D6B257D" w14:textId="77777777" w:rsidR="00FA0E60" w:rsidRPr="008B00F0" w:rsidRDefault="00FA0E60" w:rsidP="00FA0E60">
      <w:pPr>
        <w:spacing w:after="0"/>
        <w:ind w:left="567" w:right="335" w:hanging="284"/>
        <w:rPr>
          <w:i/>
          <w:iCs/>
        </w:rPr>
      </w:pPr>
      <w:r w:rsidRPr="008B00F0">
        <w:rPr>
          <w:i/>
          <w:iCs/>
        </w:rPr>
        <w:t xml:space="preserve">2. En caso de haberlos incluido, se sirva a: </w:t>
      </w:r>
    </w:p>
    <w:p w14:paraId="028A0A60" w14:textId="77777777" w:rsidR="00FA0E60" w:rsidRPr="008B00F0" w:rsidRDefault="00FA0E60" w:rsidP="00FA0E60">
      <w:pPr>
        <w:spacing w:after="0"/>
        <w:ind w:left="851" w:right="335" w:hanging="284"/>
        <w:rPr>
          <w:i/>
          <w:iCs/>
        </w:rPr>
      </w:pPr>
      <w:r w:rsidRPr="008B00F0">
        <w:rPr>
          <w:i/>
          <w:iCs/>
        </w:rPr>
        <w:t xml:space="preserve">a. Modificar y/o revocar los apartes pertinentes excluyendo los activos de conexión por los motivos expresados en la sección anterior y </w:t>
      </w:r>
    </w:p>
    <w:p w14:paraId="04BCAFD0" w14:textId="77777777" w:rsidR="00FA0E60" w:rsidRPr="008B00F0" w:rsidRDefault="00FA0E60" w:rsidP="00FA0E60">
      <w:pPr>
        <w:spacing w:after="0"/>
        <w:ind w:left="851" w:right="335" w:hanging="284"/>
        <w:rPr>
          <w:i/>
          <w:iCs/>
        </w:rPr>
      </w:pPr>
      <w:r w:rsidRPr="008B00F0">
        <w:rPr>
          <w:i/>
          <w:iCs/>
        </w:rPr>
        <w:t xml:space="preserve">b. Modificar las variables para calcular los ingresos y cargos asociados con la actividad de distribución de energía eléctrica para el mercado de comercialización atendido por EBSA. </w:t>
      </w:r>
    </w:p>
    <w:p w14:paraId="55B1751D" w14:textId="77777777" w:rsidR="00FA0E60" w:rsidRPr="008B00F0" w:rsidRDefault="00FA0E60" w:rsidP="00FA0E60">
      <w:pPr>
        <w:spacing w:after="0"/>
        <w:ind w:left="567" w:right="335" w:hanging="284"/>
        <w:rPr>
          <w:i/>
          <w:iCs/>
        </w:rPr>
      </w:pPr>
      <w:r w:rsidRPr="008B00F0">
        <w:rPr>
          <w:i/>
          <w:iCs/>
        </w:rPr>
        <w:t xml:space="preserve">3. De conformidad con las anteriores peticiones, que se sirva de incluir a los activos de conexión de DIACO dentro de aquellos activos listados en el numeral 2.6.2. del Documento CREG-114 del 5 de diciembre de 2019 como activos excluidos de la Resolución de Cargos. </w:t>
      </w:r>
    </w:p>
    <w:p w14:paraId="13E6AD00" w14:textId="77777777" w:rsidR="00FA0E60" w:rsidRPr="008B00F0" w:rsidRDefault="00FA0E60" w:rsidP="00FA0E60">
      <w:pPr>
        <w:spacing w:after="0"/>
        <w:ind w:left="567" w:right="335" w:hanging="284"/>
        <w:rPr>
          <w:i/>
          <w:iCs/>
        </w:rPr>
      </w:pPr>
      <w:r w:rsidRPr="008B00F0">
        <w:rPr>
          <w:i/>
          <w:iCs/>
        </w:rPr>
        <w:t>4. Decrete y analice las pruebas solicitadas en la petición de intervención del 1 de marzo de 2019 y en las manifestaciones adicionales del 30 de abril de 2019 que se reproducen nuevamente en la sección V de cara a decidir de fondo a las peticiones de DIACO dentro de la Actuación Administrativa.</w:t>
      </w:r>
    </w:p>
    <w:p w14:paraId="13878A88" w14:textId="0C1DB970" w:rsidR="00FA0E60" w:rsidRPr="008B00F0" w:rsidRDefault="00FA0E60" w:rsidP="00FA0E60">
      <w:pPr>
        <w:spacing w:before="240" w:after="0"/>
      </w:pPr>
      <w:r w:rsidRPr="008B00F0">
        <w:t>Además, solicita pruebas documentales y testimoniales, y a su vez aporta otras pruebas documentales</w:t>
      </w:r>
      <w:r w:rsidR="00D816AC">
        <w:t>,</w:t>
      </w:r>
      <w:r w:rsidRPr="008B00F0">
        <w:t xml:space="preserve"> para que sean tenidas en cuenta dentro del análisis de su recurso.</w:t>
      </w:r>
    </w:p>
    <w:p w14:paraId="51DA395B" w14:textId="5078914D" w:rsidR="00FA0E60" w:rsidRPr="008B00F0" w:rsidRDefault="00FA0E60" w:rsidP="00FA0E60">
      <w:pPr>
        <w:spacing w:before="240" w:after="0"/>
      </w:pPr>
      <w:r w:rsidRPr="008B00F0">
        <w:t>Para sustentar lo anterior</w:t>
      </w:r>
      <w:r w:rsidR="00D816AC">
        <w:t>,</w:t>
      </w:r>
      <w:r w:rsidRPr="008B00F0">
        <w:t xml:space="preserve"> en el recurso se presenta una relación de hechos, principalmente referidos a comunicaciones que hacen parte del expediente, y luego presenta varios argumentos</w:t>
      </w:r>
      <w:r w:rsidR="00D816AC">
        <w:t>,</w:t>
      </w:r>
      <w:r w:rsidRPr="008B00F0">
        <w:t xml:space="preserve"> los cuales se resumen a continuación:</w:t>
      </w:r>
    </w:p>
    <w:p w14:paraId="69795C24" w14:textId="77777777" w:rsidR="00FA0E60" w:rsidRPr="008B00F0" w:rsidRDefault="00FA0E60" w:rsidP="00FA0E60">
      <w:pPr>
        <w:spacing w:after="0"/>
        <w:ind w:left="284"/>
        <w:rPr>
          <w:i/>
          <w:iCs/>
        </w:rPr>
      </w:pPr>
      <w:r w:rsidRPr="008B00F0">
        <w:rPr>
          <w:i/>
          <w:iCs/>
        </w:rPr>
        <w:t xml:space="preserve">… tras agotar todas las fases del procedimiento administrativo, la Administración deberá tomar una decisión de fondo, debidamente motivada, lo que marca el final del procedimiento administrativo, siendo este un reflejo del derecho de DIACO al debido proceso dentro de la presente Actuación Administrativa. </w:t>
      </w:r>
    </w:p>
    <w:p w14:paraId="6FD0C969" w14:textId="77777777" w:rsidR="00FA0E60" w:rsidRPr="008B00F0" w:rsidRDefault="00FA0E60" w:rsidP="00FA0E60">
      <w:pPr>
        <w:spacing w:after="0"/>
        <w:ind w:left="284"/>
        <w:rPr>
          <w:i/>
          <w:iCs/>
        </w:rPr>
      </w:pPr>
      <w:r w:rsidRPr="008B00F0">
        <w:rPr>
          <w:i/>
          <w:iCs/>
        </w:rPr>
        <w:t xml:space="preserve">(…) DIACO no es un agente dentro del Mercado de Energía Mayorista sino un usuario, sujeto de especial protección y condicionante de la finalidad del servicio público domiciliario de energía eléctrica …, al cual se le están viendo vulnerados tanto los mencionados derechos, como su situación económica producto de la incertidumbre de su conexión al Sistema Interconectado Nacional, </w:t>
      </w:r>
    </w:p>
    <w:p w14:paraId="37CBB668" w14:textId="77777777" w:rsidR="00FA0E60" w:rsidRPr="008B00F0" w:rsidRDefault="00FA0E60" w:rsidP="00FA0E60">
      <w:pPr>
        <w:spacing w:after="0"/>
        <w:ind w:left="284"/>
        <w:rPr>
          <w:i/>
          <w:iCs/>
        </w:rPr>
      </w:pPr>
      <w:r w:rsidRPr="008B00F0">
        <w:rPr>
          <w:i/>
          <w:iCs/>
        </w:rPr>
        <w:t>(…) cuando la CREG restringió el acceso a la información y solicitó información que ya estaba en su poder, decidiendo basada en tal solicitud, ignorando las peticiones iniciales de DIACO, sin basarse en los argumentos y en las pruebas aportadas y solicitadas por este, violó los derechos de DIACO dentro de la Actuación Administrativa al debido proceso, (…)</w:t>
      </w:r>
    </w:p>
    <w:p w14:paraId="1D2197F6" w14:textId="77777777" w:rsidR="00FA0E60" w:rsidRPr="008B00F0" w:rsidRDefault="00FA0E60" w:rsidP="00FA0E60">
      <w:pPr>
        <w:spacing w:after="0"/>
        <w:ind w:left="284"/>
        <w:rPr>
          <w:i/>
          <w:iCs/>
        </w:rPr>
      </w:pPr>
      <w:r w:rsidRPr="008B00F0">
        <w:rPr>
          <w:i/>
          <w:iCs/>
        </w:rPr>
        <w:lastRenderedPageBreak/>
        <w:t>(…) la CREG no tomó en consideración que: (i) DIACO no tenía manera de identificar claramente, y con la facilidad que podría EBSA, o la misma CREG, los activos de conexión en aras de cumplir con el mencionado requerimiento y (</w:t>
      </w:r>
      <w:proofErr w:type="spellStart"/>
      <w:r w:rsidRPr="008B00F0">
        <w:rPr>
          <w:i/>
          <w:iCs/>
        </w:rPr>
        <w:t>ii</w:t>
      </w:r>
      <w:proofErr w:type="spellEnd"/>
      <w:r w:rsidRPr="008B00F0">
        <w:rPr>
          <w:i/>
          <w:iCs/>
        </w:rPr>
        <w:t xml:space="preserve">) EBSA ya había enviado a la CREG un documento conteniendo una relación de los activos de DIACO para que, en primera instancia, los excluyera o incluyera del cálculo de sus ingresos y cargos de distribución, dependiendo de si la CREG llegaba a la conclusión que DIACO era o no un usuario conectado al STN en los términos de la Resolución CREG 097 de 2008. </w:t>
      </w:r>
    </w:p>
    <w:p w14:paraId="2CCF8C97" w14:textId="77777777" w:rsidR="00FA0E60" w:rsidRPr="008B00F0" w:rsidRDefault="00FA0E60" w:rsidP="00FA0E60">
      <w:pPr>
        <w:spacing w:after="0"/>
        <w:ind w:left="284"/>
        <w:rPr>
          <w:i/>
          <w:iCs/>
        </w:rPr>
      </w:pPr>
      <w:r w:rsidRPr="008B00F0">
        <w:rPr>
          <w:i/>
          <w:iCs/>
        </w:rPr>
        <w:t>(…)</w:t>
      </w:r>
    </w:p>
    <w:p w14:paraId="315136A0" w14:textId="77777777" w:rsidR="00FA0E60" w:rsidRPr="008B00F0" w:rsidRDefault="00FA0E60" w:rsidP="00FA0E60">
      <w:pPr>
        <w:spacing w:after="0"/>
        <w:ind w:left="284"/>
        <w:rPr>
          <w:i/>
          <w:iCs/>
        </w:rPr>
      </w:pPr>
      <w:r w:rsidRPr="008B00F0">
        <w:rPr>
          <w:i/>
          <w:iCs/>
        </w:rPr>
        <w:t>La CREG, entonces, no cumplió con su obligación de dar una decisión de fondo puesto que la Resolución de Cargos no incorpora una decisión completa y de fondo a las peticiones de DIACO, dentro de la Actuación Administrativa, de acuerdo con el CPACA y los pronunciamientos del Consejo de Estado y la Corte Constitucional.</w:t>
      </w:r>
    </w:p>
    <w:p w14:paraId="13A973B1" w14:textId="77777777" w:rsidR="00FA0E60" w:rsidRPr="008B00F0" w:rsidRDefault="00FA0E60" w:rsidP="00FA0E60">
      <w:pPr>
        <w:spacing w:after="0"/>
        <w:ind w:left="284"/>
        <w:rPr>
          <w:i/>
          <w:iCs/>
        </w:rPr>
      </w:pPr>
      <w:r w:rsidRPr="008B00F0">
        <w:rPr>
          <w:i/>
          <w:iCs/>
        </w:rPr>
        <w:t>(…)</w:t>
      </w:r>
    </w:p>
    <w:p w14:paraId="66C7FF6D" w14:textId="77777777" w:rsidR="00FA0E60" w:rsidRPr="008B00F0" w:rsidRDefault="00FA0E60" w:rsidP="00FA0E60">
      <w:pPr>
        <w:spacing w:after="0"/>
        <w:ind w:left="284"/>
        <w:rPr>
          <w:i/>
          <w:iCs/>
        </w:rPr>
      </w:pPr>
      <w:r w:rsidRPr="008B00F0">
        <w:rPr>
          <w:i/>
          <w:iCs/>
        </w:rPr>
        <w:t xml:space="preserve">Lo anterior cobra especial importancia pues los motivos expresados por la CREG en la Resolución de Cargos, además de incumplir con los requisitos de la decisión de fondo en los procedimientos administrativos, no permiten el derecho de defensa de DIACO, </w:t>
      </w:r>
    </w:p>
    <w:p w14:paraId="219EE64B" w14:textId="03177032" w:rsidR="00FA0E60" w:rsidRPr="008B00F0" w:rsidRDefault="00FA0E60" w:rsidP="00FA0E60">
      <w:pPr>
        <w:spacing w:after="0"/>
        <w:ind w:left="284"/>
        <w:rPr>
          <w:i/>
          <w:iCs/>
        </w:rPr>
      </w:pPr>
      <w:r w:rsidRPr="008B00F0">
        <w:rPr>
          <w:i/>
          <w:iCs/>
        </w:rPr>
        <w:t>(…) el Documento CREG-114 del 5 de diciembre de 2019 que, en su numeral 5.2,</w:t>
      </w:r>
      <w:r w:rsidRPr="008B00F0">
        <w:t xml:space="preserve"> </w:t>
      </w:r>
      <w:r w:rsidRPr="008B00F0">
        <w:rPr>
          <w:i/>
          <w:iCs/>
        </w:rPr>
        <w:t>hace referencia a la lista de activos tomados en cuenta para la expedición de la Resolución de Cargos, donde no se hace referencia, o no es posible identificar los archivos Formato solicitud de ingresos DIACO CONECTADO AL STN.xls y Formato solicitud de ingresos DIACO</w:t>
      </w:r>
      <w:r w:rsidR="00562EE7">
        <w:rPr>
          <w:i/>
          <w:iCs/>
        </w:rPr>
        <w:t xml:space="preserve"> </w:t>
      </w:r>
      <w:r w:rsidRPr="008B00F0">
        <w:rPr>
          <w:i/>
          <w:iCs/>
        </w:rPr>
        <w:t xml:space="preserve">NO CONECTADO AL STN.xls, aportado por EBSA en su comunicación del 28 de enero de 2019, referida en el hecho 34, dejando concluir que no tomó en consideración una de las pruebas aportadas por EBSA y además no permitió el derecho de defensa y contradicción de DIACO respecto del Informe. </w:t>
      </w:r>
    </w:p>
    <w:p w14:paraId="67F5A216" w14:textId="77777777" w:rsidR="00FA0E60" w:rsidRPr="008B00F0" w:rsidRDefault="00FA0E60" w:rsidP="00FA0E60">
      <w:pPr>
        <w:spacing w:after="0"/>
        <w:ind w:left="284"/>
        <w:rPr>
          <w:i/>
          <w:iCs/>
        </w:rPr>
      </w:pPr>
      <w:r w:rsidRPr="008B00F0">
        <w:rPr>
          <w:i/>
          <w:iCs/>
        </w:rPr>
        <w:t xml:space="preserve">Asimismo, el Documento CREG-114, en su numeral 2.6.1. hace referencia a los activos que fueron excluidos del cálculo por parte de la CREG, donde no se puede determinar si fueron o no incluidos los activos de DIACO. </w:t>
      </w:r>
    </w:p>
    <w:p w14:paraId="555813D6" w14:textId="77777777" w:rsidR="00FA0E60" w:rsidRPr="008B00F0" w:rsidRDefault="00FA0E60" w:rsidP="00FA0E60">
      <w:pPr>
        <w:spacing w:after="0"/>
        <w:ind w:left="284"/>
        <w:rPr>
          <w:i/>
          <w:iCs/>
        </w:rPr>
      </w:pPr>
      <w:r w:rsidRPr="008B00F0">
        <w:rPr>
          <w:i/>
          <w:iCs/>
        </w:rPr>
        <w:t>(…) la Resolución de Cargos no tuvo en consideración las pruebas solicitadas por DIACO en sus comunicaciones del 1 de marzo y del 30 de abril de 2019, referidas en los hechos 37 y 39, que reiteramos en la sección V, situación que agrava la violación de los derechos de DIACO dentro de la Actuación Administrativa, y hace aún más evidente la falta de motivación dentro de la Resolución de Cargos acerca de la intervención de DIACO.</w:t>
      </w:r>
    </w:p>
    <w:p w14:paraId="2EFDDD86" w14:textId="77777777" w:rsidR="00FA0E60" w:rsidRPr="008B00F0" w:rsidRDefault="00FA0E60" w:rsidP="00FA0E60">
      <w:pPr>
        <w:spacing w:after="0"/>
        <w:ind w:left="284"/>
        <w:rPr>
          <w:i/>
          <w:iCs/>
        </w:rPr>
      </w:pPr>
      <w:r w:rsidRPr="008B00F0">
        <w:rPr>
          <w:i/>
          <w:iCs/>
        </w:rPr>
        <w:t>(…) la CREG privó a DIACO de ser oído en el proceso tanto a partir de las pruebas documentales, como de las pruebas testimoniales que solicitó y que la CREG no decretó, que además podrían ayudar a aclarar la naturaleza de los activos de conexión de DIACO al STN y así poder brindar una decisión de fondo respondiendo a sus peticiones.</w:t>
      </w:r>
    </w:p>
    <w:p w14:paraId="5C281CEB" w14:textId="77777777" w:rsidR="00FA0E60" w:rsidRPr="008B00F0" w:rsidRDefault="00FA0E60" w:rsidP="00FA0E60">
      <w:pPr>
        <w:spacing w:after="0"/>
        <w:ind w:left="284"/>
        <w:rPr>
          <w:i/>
          <w:iCs/>
        </w:rPr>
      </w:pPr>
      <w:r w:rsidRPr="008B00F0">
        <w:rPr>
          <w:i/>
          <w:iCs/>
        </w:rPr>
        <w:t>(…) DIACO considera que la CREG cometió un defecto procedimental, situación que transgrede el derecho fundamental de DIACO al debido proceso al no basar su decisión de la Resolución de Cargos en las pruebas aportadas ni tampoco decretando las solicitadas.</w:t>
      </w:r>
    </w:p>
    <w:p w14:paraId="09EA48E7" w14:textId="6B9B3A42" w:rsidR="00FA0E60" w:rsidRPr="008B00F0" w:rsidRDefault="00FA0E60" w:rsidP="00FA0E60">
      <w:pPr>
        <w:spacing w:after="0"/>
        <w:ind w:left="284"/>
        <w:rPr>
          <w:i/>
          <w:iCs/>
        </w:rPr>
      </w:pPr>
      <w:r w:rsidRPr="008B00F0">
        <w:rPr>
          <w:i/>
          <w:iCs/>
        </w:rPr>
        <w:lastRenderedPageBreak/>
        <w:t>(…) podemos ver que la afección al debido proceso se manifiesta en: (i) la confusión de la CREG entre la solicitud de DIACO respecto del Informe y sus peticiones dentro de la Actuación Administrativa, evitando su respuesta, (</w:t>
      </w:r>
      <w:proofErr w:type="spellStart"/>
      <w:r w:rsidRPr="008B00F0">
        <w:rPr>
          <w:i/>
          <w:iCs/>
        </w:rPr>
        <w:t>ii</w:t>
      </w:r>
      <w:proofErr w:type="spellEnd"/>
      <w:r w:rsidRPr="008B00F0">
        <w:rPr>
          <w:i/>
          <w:iCs/>
        </w:rPr>
        <w:t>) la consecuente falta de una decisión de fondo por parte de la CREG, adicionalmente con el vicio de la falsa motivación y (</w:t>
      </w:r>
      <w:proofErr w:type="spellStart"/>
      <w:r w:rsidR="00CB59D1">
        <w:rPr>
          <w:i/>
          <w:iCs/>
        </w:rPr>
        <w:t>iii</w:t>
      </w:r>
      <w:proofErr w:type="spellEnd"/>
      <w:r w:rsidRPr="008B00F0">
        <w:rPr>
          <w:i/>
          <w:iCs/>
        </w:rPr>
        <w:t>) dicha decisión viciada se hizo sin tomar en consideración las pruebas aportadas ni las solicitadas por DIACO.</w:t>
      </w:r>
    </w:p>
    <w:p w14:paraId="7A220136" w14:textId="77777777" w:rsidR="00FA0E60" w:rsidRPr="008B00F0" w:rsidRDefault="00FA0E60" w:rsidP="00FA0E60">
      <w:pPr>
        <w:spacing w:after="0"/>
        <w:ind w:left="284"/>
        <w:rPr>
          <w:i/>
          <w:iCs/>
        </w:rPr>
      </w:pPr>
      <w:r w:rsidRPr="008B00F0">
        <w:rPr>
          <w:i/>
          <w:iCs/>
        </w:rPr>
        <w:t xml:space="preserve">(…) DIACO es un usuario directamente conectado al STN. De hecho, hoy en día continúa utilizando los mismos activos de conexión que ha usado desde 1997 para conectarse al STN, por lo que a través del tiempo no ha existido ningún cambio en las condiciones técnicas físicas de la conexión de DIACO que le hayan impedido su conexión al STN o le impidan hoy tener una situación consolidada. Al respecto es importante considerar los siguientes puntos: </w:t>
      </w:r>
    </w:p>
    <w:p w14:paraId="05957D5D" w14:textId="77777777" w:rsidR="00FA0E60" w:rsidRPr="008B00F0" w:rsidRDefault="00FA0E60" w:rsidP="00FA0E60">
      <w:pPr>
        <w:spacing w:after="0"/>
        <w:ind w:left="284"/>
        <w:rPr>
          <w:i/>
          <w:iCs/>
        </w:rPr>
      </w:pPr>
      <w:r w:rsidRPr="008B00F0">
        <w:rPr>
          <w:i/>
          <w:iCs/>
        </w:rPr>
        <w:t xml:space="preserve">(…) DIACO, desde la vigencia de la Resolución CREG 042 de 2001 (i.e. antes de la expedición de la Resolución CREG 082 de 2002), ya se entendía como un usuario conectado al STN. Por lo mismo, aun cuando su frontera comercial requería ser medida en el lado de baja tensión, no hacía en todo caso uso de las redes del STR o del SDL y, por el contrario, se conectaba directamente al STN, lo que demuestra que DIACO cumplía desde ese entonces con los requisitos establecidos en la regulación para ser considerado como un usuario conectado al STN. </w:t>
      </w:r>
    </w:p>
    <w:p w14:paraId="52F71F4B" w14:textId="77777777" w:rsidR="00FA0E60" w:rsidRPr="008B00F0" w:rsidRDefault="00FA0E60" w:rsidP="00FA0E60">
      <w:pPr>
        <w:spacing w:after="0"/>
        <w:ind w:left="284"/>
        <w:rPr>
          <w:i/>
          <w:iCs/>
        </w:rPr>
      </w:pPr>
      <w:r w:rsidRPr="008B00F0">
        <w:rPr>
          <w:i/>
          <w:iCs/>
        </w:rPr>
        <w:t xml:space="preserve">(…) a la luz de la Resolución CREG 082 de 2002 bastaba con que entre la conexión de DIACO y el STN existiera un «activo de transformación con tensión primaria al STN o uno de sus módulos asociados», como lo era el «barraje del lado de baja de tensión», para que DIACO se «entendiera›› como un usuario que estaba conectado al STN. </w:t>
      </w:r>
    </w:p>
    <w:p w14:paraId="6D785729" w14:textId="77777777" w:rsidR="00FA0E60" w:rsidRPr="008B00F0" w:rsidRDefault="00FA0E60" w:rsidP="00FA0E60">
      <w:pPr>
        <w:spacing w:after="0"/>
        <w:ind w:left="284"/>
        <w:rPr>
          <w:i/>
          <w:iCs/>
        </w:rPr>
      </w:pPr>
      <w:r w:rsidRPr="008B00F0">
        <w:rPr>
          <w:i/>
          <w:iCs/>
        </w:rPr>
        <w:t xml:space="preserve">(…) debemos señalar también que en ningún caso la regulación exigía que para entender que un usuario estaba conectado al STN debía registrar la frontera comercial o tenerla registrada con anterioridad a su entrada en vigencia. </w:t>
      </w:r>
    </w:p>
    <w:p w14:paraId="3CB4B4B5" w14:textId="77777777" w:rsidR="00FA0E60" w:rsidRPr="008B00F0" w:rsidRDefault="00FA0E60" w:rsidP="00FA0E60">
      <w:pPr>
        <w:spacing w:after="0"/>
        <w:ind w:left="284"/>
        <w:rPr>
          <w:i/>
          <w:iCs/>
        </w:rPr>
      </w:pPr>
      <w:r w:rsidRPr="008B00F0">
        <w:rPr>
          <w:i/>
          <w:iCs/>
        </w:rPr>
        <w:t>(…)</w:t>
      </w:r>
    </w:p>
    <w:p w14:paraId="7B85647C" w14:textId="77777777" w:rsidR="00FA0E60" w:rsidRPr="008B00F0" w:rsidRDefault="00FA0E60" w:rsidP="00FA0E60">
      <w:pPr>
        <w:spacing w:after="0"/>
        <w:ind w:left="284"/>
        <w:rPr>
          <w:i/>
          <w:iCs/>
        </w:rPr>
      </w:pPr>
      <w:r w:rsidRPr="008B00F0">
        <w:rPr>
          <w:i/>
          <w:iCs/>
        </w:rPr>
        <w:t>La CREG a través del concepto S-2018-003508 del 27 de julio de 2018 dijo lo siguiente en relación con el alcance del parágrafo del artículo 7 de la Resolución CREG 097 de 2008:</w:t>
      </w:r>
    </w:p>
    <w:p w14:paraId="476CD5FE" w14:textId="77777777" w:rsidR="00FA0E60" w:rsidRPr="008B00F0" w:rsidRDefault="00FA0E60" w:rsidP="00FA0E60">
      <w:pPr>
        <w:spacing w:after="0"/>
        <w:ind w:left="284"/>
        <w:rPr>
          <w:i/>
          <w:iCs/>
        </w:rPr>
      </w:pPr>
      <w:r w:rsidRPr="008B00F0">
        <w:rPr>
          <w:i/>
          <w:iCs/>
        </w:rPr>
        <w:t>(…)</w:t>
      </w:r>
    </w:p>
    <w:p w14:paraId="355A4F4F" w14:textId="22E6A4C4" w:rsidR="00FA0E60" w:rsidRPr="008B00F0" w:rsidRDefault="00FA0E60" w:rsidP="00FA0E60">
      <w:pPr>
        <w:spacing w:after="0"/>
        <w:ind w:left="284"/>
        <w:rPr>
          <w:i/>
          <w:iCs/>
        </w:rPr>
      </w:pPr>
      <w:r w:rsidRPr="008B00F0">
        <w:rPr>
          <w:i/>
          <w:iCs/>
        </w:rPr>
        <w:t>Aunque este «concepto›› u «opinión›› no es vinculante a DIACO ni tampoco se refiere a su conexión en forma puntual, por lo que no puede ser utilizado para resolver la petición de DIACO en este caso, nos parece en todo caso importante llamar</w:t>
      </w:r>
      <w:r w:rsidR="00AE00F7">
        <w:rPr>
          <w:i/>
          <w:iCs/>
        </w:rPr>
        <w:t xml:space="preserve"> </w:t>
      </w:r>
      <w:r w:rsidRPr="008B00F0">
        <w:rPr>
          <w:i/>
          <w:iCs/>
        </w:rPr>
        <w:t xml:space="preserve">la atención de su existencia ya que no existe en la Resolución CREG 097 de 2008 referencia alguna de que la frontera comercial era un requisito adicional para considerar una conexión como del STN. </w:t>
      </w:r>
    </w:p>
    <w:p w14:paraId="64A161F6" w14:textId="77777777" w:rsidR="00FA0E60" w:rsidRPr="008B00F0" w:rsidRDefault="00FA0E60" w:rsidP="00FA0E60">
      <w:pPr>
        <w:spacing w:after="0"/>
        <w:ind w:left="284"/>
        <w:rPr>
          <w:i/>
          <w:iCs/>
        </w:rPr>
      </w:pPr>
      <w:r w:rsidRPr="008B00F0">
        <w:rPr>
          <w:i/>
          <w:iCs/>
        </w:rPr>
        <w:t>De esta forma, o (i) la conexión al STN a la luz de las Resoluciones CREG 082 de 2002 y CREG 097 de 2008 debía (o debe) ser evaluado caso-por-caso, o (</w:t>
      </w:r>
      <w:proofErr w:type="spellStart"/>
      <w:r w:rsidRPr="008B00F0">
        <w:rPr>
          <w:i/>
          <w:iCs/>
        </w:rPr>
        <w:t>ii</w:t>
      </w:r>
      <w:proofErr w:type="spellEnd"/>
      <w:r w:rsidRPr="008B00F0">
        <w:rPr>
          <w:i/>
          <w:iCs/>
        </w:rPr>
        <w:t>) la CREG creó con esta «opinión›› suya un requisito que no existía en la Resolución CREG 097 de 2008 o (</w:t>
      </w:r>
      <w:proofErr w:type="spellStart"/>
      <w:r w:rsidRPr="008B00F0">
        <w:rPr>
          <w:i/>
          <w:iCs/>
        </w:rPr>
        <w:t>iii</w:t>
      </w:r>
      <w:proofErr w:type="spellEnd"/>
      <w:r w:rsidRPr="008B00F0">
        <w:rPr>
          <w:i/>
          <w:iCs/>
        </w:rPr>
        <w:t xml:space="preserve">) la CREG, en el anterior concepto, está intentando aplicar retroactivamente la única disposición donde sí existe la frontera </w:t>
      </w:r>
      <w:r w:rsidRPr="008B00F0">
        <w:rPr>
          <w:i/>
          <w:iCs/>
        </w:rPr>
        <w:lastRenderedPageBreak/>
        <w:t>comercial como requisito para la conexión al STN como lo es la actual Resolución CREG 015 de 2018.</w:t>
      </w:r>
    </w:p>
    <w:p w14:paraId="1E381986" w14:textId="77777777" w:rsidR="00FA0E60" w:rsidRPr="008B00F0" w:rsidRDefault="00FA0E60" w:rsidP="00FA0E60">
      <w:pPr>
        <w:spacing w:after="0"/>
        <w:ind w:left="284"/>
        <w:rPr>
          <w:i/>
          <w:iCs/>
        </w:rPr>
      </w:pPr>
      <w:r w:rsidRPr="008B00F0">
        <w:rPr>
          <w:i/>
          <w:iCs/>
        </w:rPr>
        <w:t>(…) DIACO adquirió la calidad para ser considerado como usuario conectado al STN en vigencia de las mencionadas resoluciones, lo cual constituye una situación jurídica consolidada que no puede ser desconocida ni por las autoridades ni por la regulación en virtud de los artículos 29 y 58 de la Constitución Política</w:t>
      </w:r>
    </w:p>
    <w:p w14:paraId="6937E685" w14:textId="77777777" w:rsidR="00FA0E60" w:rsidRPr="008B00F0" w:rsidRDefault="00FA0E60" w:rsidP="00FA0E60">
      <w:pPr>
        <w:spacing w:after="0"/>
        <w:ind w:left="284"/>
        <w:rPr>
          <w:i/>
          <w:iCs/>
        </w:rPr>
      </w:pPr>
      <w:r w:rsidRPr="008B00F0">
        <w:rPr>
          <w:i/>
          <w:iCs/>
        </w:rPr>
        <w:t>(…) no puede perderse de vista que: (i) la «conexión física» de DIACO no ha tenido variación alguna a través del tiempo y (</w:t>
      </w:r>
      <w:proofErr w:type="spellStart"/>
      <w:r w:rsidRPr="008B00F0">
        <w:rPr>
          <w:i/>
          <w:iCs/>
        </w:rPr>
        <w:t>ii</w:t>
      </w:r>
      <w:proofErr w:type="spellEnd"/>
      <w:r w:rsidRPr="008B00F0">
        <w:rPr>
          <w:i/>
          <w:iCs/>
        </w:rPr>
        <w:t xml:space="preserve">) que está demostrado que antes del 6 de octubre de 2008 DIACO comenzó a hacer uso del «activo de transformación con tensión primaria al STN o uno de sus módulos asociados», puntualmente «del barraje del lado de baja tensión» de propiedad de EBSA. </w:t>
      </w:r>
    </w:p>
    <w:p w14:paraId="2093690A" w14:textId="77777777" w:rsidR="00FA0E60" w:rsidRPr="008B00F0" w:rsidRDefault="00FA0E60" w:rsidP="00FA0E60">
      <w:pPr>
        <w:spacing w:after="0"/>
        <w:ind w:left="284"/>
        <w:rPr>
          <w:i/>
          <w:iCs/>
        </w:rPr>
      </w:pPr>
      <w:r w:rsidRPr="008B00F0">
        <w:rPr>
          <w:i/>
          <w:iCs/>
        </w:rPr>
        <w:t>En efecto, el Contrato de Conexión fue firmado por las partes el 15 de agosto de 2008 o, lo que es lo mismo, 52 días antes de la entrada en vigencia de la Resolución CREG 097 de 2008 (i.e. el 6 de octubre de 2008), periodo en el cual DIACO continúo desarrollando sus actividades y utilizando para los activos de EBSA para conectarse al STN, por lo que, en los términos de la Resolución CREG 082 de 2002 (vigente para ese momento), DIACO debía «entenderse›› durante todo ese periodo (i.e. durante los 52 días entre la firma del Contrato y la entrada en vigencia de la Resolución CREG 097 de 2008) como un «usuario que está[</w:t>
      </w:r>
      <w:proofErr w:type="spellStart"/>
      <w:r w:rsidRPr="008B00F0">
        <w:rPr>
          <w:i/>
          <w:iCs/>
        </w:rPr>
        <w:t>ba</w:t>
      </w:r>
      <w:proofErr w:type="spellEnd"/>
      <w:r w:rsidRPr="008B00F0">
        <w:rPr>
          <w:i/>
          <w:iCs/>
        </w:rPr>
        <w:t>] conectado directamente al STN» dado que utilizaba un «activo de</w:t>
      </w:r>
      <w:r w:rsidRPr="008B00F0">
        <w:t xml:space="preserve"> </w:t>
      </w:r>
      <w:r w:rsidRPr="008B00F0">
        <w:rPr>
          <w:i/>
          <w:iCs/>
        </w:rPr>
        <w:t xml:space="preserve">transformación con tensión primaria al STN o uno de sus módulos asociados» de propiedad de EBSA y registrado por esta (i.e. el barraje del lado de baja tensión). </w:t>
      </w:r>
    </w:p>
    <w:p w14:paraId="52316D9D" w14:textId="77777777" w:rsidR="00FA0E60" w:rsidRPr="008B00F0" w:rsidRDefault="00FA0E60" w:rsidP="00FA0E60">
      <w:pPr>
        <w:spacing w:after="0"/>
        <w:ind w:left="284"/>
        <w:rPr>
          <w:i/>
          <w:iCs/>
        </w:rPr>
      </w:pPr>
      <w:r w:rsidRPr="008B00F0">
        <w:rPr>
          <w:i/>
          <w:iCs/>
        </w:rPr>
        <w:t>(…)</w:t>
      </w:r>
    </w:p>
    <w:p w14:paraId="4D46F6BA" w14:textId="77777777" w:rsidR="00FA0E60" w:rsidRPr="008B00F0" w:rsidRDefault="00FA0E60" w:rsidP="00FA0E60">
      <w:pPr>
        <w:spacing w:after="0"/>
        <w:ind w:left="284"/>
        <w:rPr>
          <w:i/>
          <w:iCs/>
        </w:rPr>
      </w:pPr>
      <w:r w:rsidRPr="008B00F0">
        <w:rPr>
          <w:i/>
          <w:iCs/>
        </w:rPr>
        <w:t xml:space="preserve">La Resolución CREG 015 de 2018 introduce un elemento que no existía en las dos anteriores, i.e. el registro de la frontera. Pero la razón de ser de este nuevo elemento y su alcance no puede analizarse sin lo que el propio regulador había instruido previamente en el mercado con las Resoluciones CREG 082 de 2002 y CREG 097 de 2008 en las que, como veíamos, se decía que para la demostración de la existencia de una conexión al STN bastaba con que el usuario estuviera efectivamente conectado a través de un «activo de conexión» (uno de ellos el «barraje del lado de baja tensión»), </w:t>
      </w:r>
    </w:p>
    <w:p w14:paraId="36741D7B" w14:textId="77777777" w:rsidR="00FA0E60" w:rsidRPr="008B00F0" w:rsidRDefault="00FA0E60" w:rsidP="00FA0E60">
      <w:pPr>
        <w:spacing w:after="0"/>
        <w:ind w:left="284"/>
        <w:rPr>
          <w:i/>
          <w:iCs/>
        </w:rPr>
      </w:pPr>
      <w:r w:rsidRPr="008B00F0">
        <w:rPr>
          <w:i/>
          <w:iCs/>
        </w:rPr>
        <w:t xml:space="preserve">Así las cosas, cuando el parágrafo del artículo 13 de la Resolución CREG 015 de 2018 dice que “(...) [p]ara este efecto, el LAC publicará y usará el listado de fronteras de usuarios conectados directamente al STN registrados en la oportunidad citada ( . . . ) ” debe entenderse que la publicación del LAC tenía que tomar la información de los usuarios que estaban efectivamente conectados al STN antes de la Resolución CREG 097 de 2008 para, a partir de ahí, publicar el listado de las conexiones al STN y sus titulares. </w:t>
      </w:r>
    </w:p>
    <w:p w14:paraId="1F9BBE58" w14:textId="4685A09F" w:rsidR="00FA0E60" w:rsidRPr="008B00F0" w:rsidRDefault="00FA0E60" w:rsidP="00FA0E60">
      <w:pPr>
        <w:spacing w:after="0"/>
        <w:ind w:left="284"/>
        <w:rPr>
          <w:i/>
          <w:iCs/>
        </w:rPr>
      </w:pPr>
      <w:r w:rsidRPr="008B00F0">
        <w:rPr>
          <w:i/>
          <w:iCs/>
        </w:rPr>
        <w:t xml:space="preserve">(…) el requisito fundamental tanto en la CREG 097 de 2008 como en la CREG </w:t>
      </w:r>
      <w:r w:rsidR="00E46FD6">
        <w:rPr>
          <w:i/>
          <w:iCs/>
        </w:rPr>
        <w:t>0</w:t>
      </w:r>
      <w:r w:rsidRPr="008B00F0">
        <w:rPr>
          <w:i/>
          <w:iCs/>
        </w:rPr>
        <w:t xml:space="preserve">15 de 2018 no era (ni es) que el registro se hubiera producido durante la Resolución CREG 082 de 2002 sino que la conexión se hubiera establecido en su vigencia, ya que justamente ese era el requisito (i.e. el de la conexión física al STN a través de alguno de los activos de conexión) que previó desde el inicio la regulación con el artículo 2(g) de la Resolución CREG 082 de 2002. </w:t>
      </w:r>
    </w:p>
    <w:p w14:paraId="34E1F476" w14:textId="77777777" w:rsidR="00FA0E60" w:rsidRPr="008B00F0" w:rsidRDefault="00FA0E60" w:rsidP="00FA0E60">
      <w:pPr>
        <w:spacing w:after="0"/>
        <w:ind w:left="284"/>
        <w:rPr>
          <w:i/>
          <w:iCs/>
        </w:rPr>
      </w:pPr>
      <w:r w:rsidRPr="008B00F0">
        <w:rPr>
          <w:i/>
          <w:iCs/>
        </w:rPr>
        <w:lastRenderedPageBreak/>
        <w:t xml:space="preserve">Lo contrario sería tener que suponer la introducción retroactiva de un requisito que no existió en los últimos 20 años en el mercado y que por tanto era imposible para los usuarios conocer antes del 2018 (i.e. cuando entró en vigencia la Resolución CREG 015). Tal tesis de la «retroactividad›› de un requisito inexistente antes, además de ser ilegal y desconocer derechos, garantías y principios fundamentales como el debido proceso, la buena fe y la confianza legítima, llevaría a crear una tarifa legal que tampoco existía antes para demostrar un hecho que desde siempre la regulación permitió probar con la verificación de un hecho (i.e. la conexión física al STN) y no de un simple registro (i.e. la frontera). </w:t>
      </w:r>
    </w:p>
    <w:p w14:paraId="5B6C1913" w14:textId="77777777" w:rsidR="00FA0E60" w:rsidRPr="008B00F0" w:rsidRDefault="00FA0E60" w:rsidP="00FA0E60">
      <w:pPr>
        <w:spacing w:after="0"/>
        <w:ind w:left="284"/>
        <w:rPr>
          <w:i/>
          <w:iCs/>
        </w:rPr>
      </w:pPr>
      <w:r w:rsidRPr="008B00F0">
        <w:rPr>
          <w:i/>
          <w:iCs/>
        </w:rPr>
        <w:t>La conexión al STN de DIACO está dentro del escenario (</w:t>
      </w:r>
      <w:proofErr w:type="spellStart"/>
      <w:r w:rsidRPr="008B00F0">
        <w:rPr>
          <w:i/>
          <w:iCs/>
        </w:rPr>
        <w:t>ii</w:t>
      </w:r>
      <w:proofErr w:type="spellEnd"/>
      <w:r w:rsidRPr="008B00F0">
        <w:rPr>
          <w:i/>
          <w:iCs/>
        </w:rPr>
        <w:t xml:space="preserve">) ya que, aunque la conexión de DIACO existía en vigencia de la Resolución CREG 082 de 2002, XM S.A. E.S.P. solo accedió al registro de la frontera en vigencia de la Resolución CREG 097 de 2008 (i.e. después del 6 de octubre de 2008). </w:t>
      </w:r>
    </w:p>
    <w:p w14:paraId="5D0ACF4F" w14:textId="77777777" w:rsidR="00FA0E60" w:rsidRPr="008B00F0" w:rsidRDefault="00FA0E60" w:rsidP="00FA0E60">
      <w:pPr>
        <w:spacing w:after="0"/>
        <w:ind w:left="284"/>
        <w:rPr>
          <w:i/>
          <w:iCs/>
        </w:rPr>
      </w:pPr>
      <w:r w:rsidRPr="008B00F0">
        <w:rPr>
          <w:i/>
          <w:iCs/>
        </w:rPr>
        <w:t xml:space="preserve">Pese a que DIACO venía conectado al STN desde 1997, fue solo hasta el 15 de agosto de 2008 (i.e. 52 días antes de entrar en vigor la Resolución CREG 097 de 2008) que EBSA y DIACO formalizaron la conexión al STN mediante el Contrato de Conexión. </w:t>
      </w:r>
    </w:p>
    <w:p w14:paraId="02BFE8A3" w14:textId="77777777" w:rsidR="00FA0E60" w:rsidRPr="008B00F0" w:rsidRDefault="00FA0E60" w:rsidP="00FA0E60">
      <w:pPr>
        <w:spacing w:after="0"/>
        <w:ind w:left="284"/>
        <w:rPr>
          <w:i/>
          <w:iCs/>
        </w:rPr>
      </w:pPr>
      <w:r w:rsidRPr="008B00F0">
        <w:rPr>
          <w:i/>
          <w:iCs/>
        </w:rPr>
        <w:t xml:space="preserve">Lo anterior fue reconocido por la misma CREG en el trámite de aprobación de cargos de entonces al expedir la Resolución CREG 120 de 2009 en la que reconoció que la conexión de DIACO era del STN. </w:t>
      </w:r>
    </w:p>
    <w:p w14:paraId="174C6E03" w14:textId="77777777" w:rsidR="00FA0E60" w:rsidRPr="008B00F0" w:rsidRDefault="00FA0E60" w:rsidP="00FA0E60">
      <w:pPr>
        <w:spacing w:after="0"/>
        <w:ind w:left="284"/>
        <w:rPr>
          <w:i/>
          <w:iCs/>
        </w:rPr>
      </w:pPr>
      <w:r w:rsidRPr="008B00F0">
        <w:rPr>
          <w:i/>
          <w:iCs/>
        </w:rPr>
        <w:t xml:space="preserve">A pesar de la existencia de la conexión desde 1997, de la celebración del contrato de conexión entre EBSA y DIACO antes del 6 de octubre de 2008 y del reconocimiento de la CREG de que la conexión de DIACO en efecto era del STN, XM se negó al registro de la frontera comercial inicialmente, lo que hizo necesaria la intervención de EBSA e incluso un pronunciamiento de la CREG, luego de lo cual XM procedió con el correspondiente registro de la frontera comercial. </w:t>
      </w:r>
    </w:p>
    <w:p w14:paraId="6A2536CA" w14:textId="77777777" w:rsidR="00FA0E60" w:rsidRPr="008B00F0" w:rsidRDefault="00FA0E60" w:rsidP="00FA0E60">
      <w:pPr>
        <w:spacing w:after="0"/>
        <w:ind w:left="284"/>
        <w:rPr>
          <w:i/>
          <w:iCs/>
        </w:rPr>
      </w:pPr>
      <w:r w:rsidRPr="008B00F0">
        <w:rPr>
          <w:i/>
          <w:iCs/>
        </w:rPr>
        <w:t>(…)</w:t>
      </w:r>
    </w:p>
    <w:p w14:paraId="30B3E216" w14:textId="77777777" w:rsidR="00FA0E60" w:rsidRPr="008B00F0" w:rsidRDefault="00FA0E60" w:rsidP="00FA0E60">
      <w:pPr>
        <w:spacing w:after="0"/>
        <w:ind w:left="284"/>
        <w:rPr>
          <w:i/>
          <w:iCs/>
        </w:rPr>
      </w:pPr>
      <w:r w:rsidRPr="008B00F0">
        <w:rPr>
          <w:i/>
          <w:iCs/>
        </w:rPr>
        <w:t xml:space="preserve">Como venimos de indicarlo, la SSPD inició una averiguación preliminar para cuestionar la conexión de DIACO al STN. Dicha averiguación, sin embargo, terminó siendo archivada porque la SSPD encontró que había operado la caducidad lo que, de acuerdo con la ley, conduce a la pérdida de su competencia para pronunciarse sobre el asunto. </w:t>
      </w:r>
    </w:p>
    <w:p w14:paraId="7FF545BF" w14:textId="77777777" w:rsidR="00FA0E60" w:rsidRPr="008B00F0" w:rsidRDefault="00FA0E60" w:rsidP="00FA0E60">
      <w:pPr>
        <w:spacing w:after="0"/>
        <w:ind w:left="284"/>
        <w:rPr>
          <w:i/>
          <w:iCs/>
        </w:rPr>
      </w:pPr>
      <w:r w:rsidRPr="008B00F0">
        <w:rPr>
          <w:i/>
          <w:iCs/>
        </w:rPr>
        <w:t>(…)</w:t>
      </w:r>
    </w:p>
    <w:p w14:paraId="7F81B5D5" w14:textId="77777777" w:rsidR="00FA0E60" w:rsidRPr="008B00F0" w:rsidRDefault="00FA0E60" w:rsidP="00FA0E60">
      <w:pPr>
        <w:spacing w:after="0"/>
        <w:ind w:left="284"/>
        <w:rPr>
          <w:i/>
          <w:iCs/>
        </w:rPr>
      </w:pPr>
      <w:r w:rsidRPr="008B00F0">
        <w:rPr>
          <w:i/>
          <w:iCs/>
        </w:rPr>
        <w:t xml:space="preserve">A pesar de lo anterior, y en absoluto desconocimiento de los efectos de un auto que ordena el cierre de una averiguación preliminar y la consecuente pérdida de competencia para tomar una decisión o referirse al caso específico, funcionarios de la SSPD remitieron una comunicación a XM (ver comunicación del 19 de noviembre de 2018 con radicado 20182201512421) en la que habrían reproducido algunas de las manifestaciones que hizo esa entidad en la averiguación preliminar y con las que desestimaba que la conexión de DIACO fuera del STN. </w:t>
      </w:r>
    </w:p>
    <w:p w14:paraId="2E29998D" w14:textId="77777777" w:rsidR="00FA0E60" w:rsidRPr="008B00F0" w:rsidRDefault="00FA0E60" w:rsidP="00FA0E60">
      <w:pPr>
        <w:spacing w:after="0"/>
        <w:ind w:left="284"/>
        <w:rPr>
          <w:i/>
          <w:iCs/>
        </w:rPr>
      </w:pPr>
      <w:r w:rsidRPr="008B00F0">
        <w:rPr>
          <w:i/>
          <w:iCs/>
        </w:rPr>
        <w:t xml:space="preserve">No obstante, en la medida en que la SSPD perdió competencia, ninguna de tales manifestaciones es ni puede resultar vinculante al haber sido realizadas por funcionarios públicos sin competencia para ello, la misma no existe jurídicamente. Lo contrario desconocería el debido proceso de DIACO y </w:t>
      </w:r>
      <w:r w:rsidRPr="008B00F0">
        <w:rPr>
          <w:i/>
          <w:iCs/>
        </w:rPr>
        <w:lastRenderedPageBreak/>
        <w:t xml:space="preserve">representaría una clara contravención al mismo derecho. Por ello, dichos argumentos no pueden ser tomados, ni siquiera accidental o accesoriamente por la CREG. </w:t>
      </w:r>
    </w:p>
    <w:p w14:paraId="0CF482BA" w14:textId="77777777" w:rsidR="00FA0E60" w:rsidRPr="008B00F0" w:rsidRDefault="00FA0E60" w:rsidP="00FA0E60">
      <w:pPr>
        <w:spacing w:after="0"/>
        <w:ind w:left="284"/>
        <w:rPr>
          <w:i/>
          <w:iCs/>
        </w:rPr>
      </w:pPr>
      <w:r w:rsidRPr="008B00F0">
        <w:rPr>
          <w:i/>
          <w:iCs/>
        </w:rPr>
        <w:t>(…)</w:t>
      </w:r>
    </w:p>
    <w:p w14:paraId="1B47DE82" w14:textId="77777777" w:rsidR="00FA0E60" w:rsidRPr="008B00F0" w:rsidRDefault="00FA0E60" w:rsidP="00FA0E60">
      <w:pPr>
        <w:spacing w:after="0"/>
        <w:ind w:left="284"/>
        <w:rPr>
          <w:i/>
          <w:iCs/>
        </w:rPr>
      </w:pPr>
      <w:r w:rsidRPr="008B00F0">
        <w:rPr>
          <w:i/>
          <w:iCs/>
        </w:rPr>
        <w:t xml:space="preserve">La Resolución CREG 120 de 2009 (…) aprobó los cargos uso del STR y del SDL de EBSA, y para su cálculo la CREG no tuvo en cuenta los activos de conexión de DIACO, pues los mismos fueron tenidos en cuenta para aprobar los cargos por conexión, como referimos en el hecho 9, debido a que DIACO tenía una situación jurídica consolidada en los términos de la Resolución CREG 097 de 2008. </w:t>
      </w:r>
    </w:p>
    <w:p w14:paraId="2F2FD8E6" w14:textId="77777777" w:rsidR="00FA0E60" w:rsidRPr="008B00F0" w:rsidRDefault="00FA0E60" w:rsidP="00FA0E60">
      <w:pPr>
        <w:spacing w:after="0"/>
        <w:ind w:left="284"/>
        <w:rPr>
          <w:i/>
          <w:iCs/>
        </w:rPr>
      </w:pPr>
      <w:r w:rsidRPr="008B00F0">
        <w:rPr>
          <w:i/>
          <w:iCs/>
        </w:rPr>
        <w:t xml:space="preserve">De acuerdo con la solicitud de aprobación de cargos presentada por EBSA, y que dio como resultado la Resolución CREG 120 de 2009, el 29.45% los trasformadores de conexión al STN correspondían a la conexión de DIACO, lo que significa de forma clara que su no inclusión dentro del inventario de activos de la Resolución 120 de 2009, significa que DIACO se encontraba conectado al STN. </w:t>
      </w:r>
    </w:p>
    <w:p w14:paraId="59A0C7D2" w14:textId="77777777" w:rsidR="00FA0E60" w:rsidRPr="008B00F0" w:rsidRDefault="00FA0E60" w:rsidP="00FA0E60">
      <w:pPr>
        <w:spacing w:after="0"/>
        <w:ind w:left="284"/>
        <w:rPr>
          <w:i/>
          <w:iCs/>
        </w:rPr>
      </w:pPr>
      <w:r w:rsidRPr="008B00F0">
        <w:rPr>
          <w:i/>
          <w:iCs/>
        </w:rPr>
        <w:t xml:space="preserve">(…) estos supuestos hacen que se configure en cabeza de DIACO un derecho adquirido en los términos del artículo 58 de la Constitución Política. </w:t>
      </w:r>
    </w:p>
    <w:p w14:paraId="081E9C15" w14:textId="77777777" w:rsidR="00FA0E60" w:rsidRPr="008B00F0" w:rsidRDefault="00FA0E60" w:rsidP="00FA0E60">
      <w:pPr>
        <w:spacing w:after="0"/>
        <w:ind w:left="284"/>
        <w:rPr>
          <w:i/>
          <w:iCs/>
        </w:rPr>
      </w:pPr>
      <w:r w:rsidRPr="008B00F0">
        <w:rPr>
          <w:i/>
          <w:iCs/>
        </w:rPr>
        <w:t xml:space="preserve">(…) la CREG no puede cambiar de forma súbita la situación de DIACO de forma súbita, al considerar incluidos los activos de conexión de DIACO para la expedición de la Resolución de Cargos. </w:t>
      </w:r>
    </w:p>
    <w:p w14:paraId="19568E79" w14:textId="77777777" w:rsidR="00FA0E60" w:rsidRPr="008B00F0" w:rsidRDefault="00FA0E60" w:rsidP="00FA0E60">
      <w:pPr>
        <w:spacing w:after="0"/>
        <w:ind w:left="284"/>
        <w:rPr>
          <w:i/>
          <w:iCs/>
        </w:rPr>
      </w:pPr>
      <w:r w:rsidRPr="008B00F0">
        <w:rPr>
          <w:i/>
          <w:iCs/>
        </w:rPr>
        <w:t xml:space="preserve">Sobre este particular, la Corte Constitucional ha sido clara en afirmar que las expectativas creadas por la regulación expedida por la Administración Pública no pueden ser afectadas por un cambio “súbito”, puesto que dicha regulación crea parámetros confiables a favor de los administrados, quienes en últimas se obligan a cumplirlos en atención a la buena fe de la autoridad que los profiere: </w:t>
      </w:r>
    </w:p>
    <w:p w14:paraId="498EB268" w14:textId="77777777" w:rsidR="00FA0E60" w:rsidRPr="008B00F0" w:rsidRDefault="00FA0E60" w:rsidP="00FA0E60">
      <w:pPr>
        <w:spacing w:after="0"/>
        <w:ind w:left="284"/>
        <w:rPr>
          <w:i/>
          <w:iCs/>
        </w:rPr>
      </w:pPr>
      <w:r w:rsidRPr="008B00F0">
        <w:rPr>
          <w:i/>
          <w:iCs/>
        </w:rPr>
        <w:t>(…) En conclusión, DIACO tiene una situación jurídica consolidada de conformidad con la Resolución 097 de 2008, tal como se ha expuesto en este documento. y a lo largo del procedimiento administrativo. No obstante, como mínimo, el principio de confianza legitima debería proteger la conexión de DIACO al STN.</w:t>
      </w:r>
    </w:p>
    <w:p w14:paraId="025F167A" w14:textId="77777777" w:rsidR="00FA0E60" w:rsidRPr="008B00F0" w:rsidRDefault="00FA0E60" w:rsidP="00FA0E60">
      <w:pPr>
        <w:spacing w:before="240" w:after="0"/>
        <w:rPr>
          <w:b/>
          <w:bCs/>
        </w:rPr>
      </w:pPr>
      <w:r w:rsidRPr="008B00F0">
        <w:rPr>
          <w:b/>
          <w:bCs/>
        </w:rPr>
        <w:t>Argumentos de la CREG</w:t>
      </w:r>
    </w:p>
    <w:p w14:paraId="14EDFFDE" w14:textId="77777777" w:rsidR="00FA0E60" w:rsidRPr="008B00F0" w:rsidRDefault="00FA0E60" w:rsidP="00FA0E60">
      <w:pPr>
        <w:pStyle w:val="Prrafodelista"/>
        <w:numPr>
          <w:ilvl w:val="0"/>
          <w:numId w:val="28"/>
        </w:numPr>
        <w:spacing w:after="0"/>
        <w:contextualSpacing/>
        <w:rPr>
          <w:szCs w:val="24"/>
        </w:rPr>
      </w:pPr>
      <w:r w:rsidRPr="008B00F0">
        <w:rPr>
          <w:szCs w:val="24"/>
        </w:rPr>
        <w:t>Sobre los argumentos planteados por el recurrente</w:t>
      </w:r>
    </w:p>
    <w:p w14:paraId="097DAE50"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La instalación cumple con lo exigido en la regulación</w:t>
      </w:r>
    </w:p>
    <w:p w14:paraId="3594E232" w14:textId="731785BB" w:rsidR="00FA0E60" w:rsidRPr="008B00F0" w:rsidRDefault="00FA0E60" w:rsidP="00FA0E60">
      <w:pPr>
        <w:spacing w:before="240" w:after="0"/>
      </w:pPr>
      <w:r w:rsidRPr="008B00F0">
        <w:t>En el recurso se afirma en varias ocasiones que la forma como está conectado físicamente el usuario cumple con los requerimientos para ser considerado como un usuario conectado directamente al STN, situación que</w:t>
      </w:r>
      <w:r w:rsidR="00D816AC">
        <w:t>,</w:t>
      </w:r>
      <w:r w:rsidRPr="008B00F0">
        <w:t xml:space="preserve"> según Diaco</w:t>
      </w:r>
      <w:r w:rsidR="00D816AC">
        <w:t>,</w:t>
      </w:r>
      <w:r w:rsidRPr="008B00F0">
        <w:t xml:space="preserve"> no ha cambiado desde su conexión al sistema. </w:t>
      </w:r>
    </w:p>
    <w:p w14:paraId="2BB6554F" w14:textId="31872C79" w:rsidR="00FA0E60" w:rsidRPr="008B00F0" w:rsidRDefault="00FA0E60" w:rsidP="00FA0E60">
      <w:pPr>
        <w:spacing w:before="240" w:after="0"/>
      </w:pPr>
      <w:r w:rsidRPr="008B00F0">
        <w:t>Al respecto, se precisa que la conexión física es apenas uno de los requisitos</w:t>
      </w:r>
      <w:r w:rsidR="00D816AC">
        <w:t>,</w:t>
      </w:r>
      <w:r w:rsidRPr="008B00F0">
        <w:t xml:space="preserve"> y el cumplimiento de las condiciones técnicas de la conexión y de las exigencias de los respectivos reglamentos no le corresponde verificarlo a la CREG, sino que es un deber del transportador que da su concepto y aprobación a la conexión.</w:t>
      </w:r>
    </w:p>
    <w:p w14:paraId="0CF37392"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lastRenderedPageBreak/>
        <w:t>Suscripción del contrato de conexión</w:t>
      </w:r>
    </w:p>
    <w:p w14:paraId="72A56088" w14:textId="256312E4" w:rsidR="00FA0E60" w:rsidRPr="008B00F0" w:rsidRDefault="00FA0E60" w:rsidP="00FA0E60">
      <w:pPr>
        <w:spacing w:before="240" w:after="0"/>
      </w:pPr>
      <w:r w:rsidRPr="0015510A">
        <w:t xml:space="preserve">De acuerdo con la regulación vigente, para la conexión al </w:t>
      </w:r>
      <w:r w:rsidR="009214AC" w:rsidRPr="0015510A">
        <w:t>Sistema Interconectado Nacional, SIN, del cual hace parte el Sistema de Transmisión Nacion</w:t>
      </w:r>
      <w:r w:rsidRPr="0015510A">
        <w:t>al</w:t>
      </w:r>
      <w:r w:rsidR="009214AC" w:rsidRPr="0015510A">
        <w:t>,</w:t>
      </w:r>
      <w:r w:rsidRPr="0015510A">
        <w:t xml:space="preserve"> STN</w:t>
      </w:r>
      <w:r w:rsidR="009214AC" w:rsidRPr="0015510A">
        <w:t>,</w:t>
      </w:r>
      <w:r w:rsidRPr="0015510A">
        <w:t xml:space="preserve"> se requiere la suscripción de un contrato de conexión con las características establecidas, algunas de las cuales se mencionan más adelante.</w:t>
      </w:r>
    </w:p>
    <w:p w14:paraId="4D753FF6" w14:textId="29C1EE82" w:rsidR="00FA0E60" w:rsidRPr="008B00F0" w:rsidRDefault="00FA0E60" w:rsidP="00FA0E60">
      <w:pPr>
        <w:spacing w:before="240" w:after="0"/>
      </w:pPr>
      <w:r w:rsidRPr="008B00F0">
        <w:t>De acuerdo con los hechos descritos en el recurso, solo hasta agosto de 2008 “EBSA y DIACO formalizaron la conexión al STN mediante el Contrato de Conexión”. En el mismo escrito</w:t>
      </w:r>
      <w:r w:rsidR="00D816AC">
        <w:t>,</w:t>
      </w:r>
      <w:r w:rsidRPr="008B00F0">
        <w:t xml:space="preserve"> Diaco considera que a partir de ese momento quedó conectado directamente al STN</w:t>
      </w:r>
      <w:r w:rsidR="00D816AC">
        <w:t>,</w:t>
      </w:r>
      <w:r w:rsidRPr="008B00F0">
        <w:t xml:space="preserve"> dado que “debía «entenderse›› durante todo ese </w:t>
      </w:r>
      <w:r w:rsidR="00D816AC" w:rsidRPr="008B00F0">
        <w:t>per</w:t>
      </w:r>
      <w:r w:rsidR="00D816AC">
        <w:t>í</w:t>
      </w:r>
      <w:r w:rsidR="00D816AC" w:rsidRPr="008B00F0">
        <w:t xml:space="preserve">odo </w:t>
      </w:r>
      <w:r w:rsidRPr="008B00F0">
        <w:t>(i.e. durante los 52 días entre la firma del Contrato y la entrada en vigencia de la Resolución CREG 097 de 2008) como un «usuario que está[</w:t>
      </w:r>
      <w:proofErr w:type="spellStart"/>
      <w:r w:rsidRPr="008B00F0">
        <w:t>ba</w:t>
      </w:r>
      <w:proofErr w:type="spellEnd"/>
      <w:r w:rsidRPr="008B00F0">
        <w:t>] conectado directamente al STN”.</w:t>
      </w:r>
    </w:p>
    <w:p w14:paraId="26239244" w14:textId="78A32318" w:rsidR="00FA0E60" w:rsidRPr="008B00F0" w:rsidRDefault="00FA0E60" w:rsidP="00FA0E60">
      <w:pPr>
        <w:spacing w:before="240" w:after="0"/>
      </w:pPr>
      <w:r w:rsidRPr="008B00F0">
        <w:t>Sin embargo, como se precisará más adelante, el contrato estaba en condición suspensiva hasta que la CREG expidiera la resolución de la nueva metodología de distribución, que fue identificada con el número 097 de 2008. Así se ratifica en el documento 62100.29.01</w:t>
      </w:r>
      <w:r w:rsidR="00D816AC">
        <w:t>,</w:t>
      </w:r>
      <w:r w:rsidRPr="008B00F0">
        <w:t xml:space="preserve"> que EBSA radicó en la SSPD el 12 de diciembre de 2017, con ocasión de la averiguación preliminar abierta por la Superintendencia, donde</w:t>
      </w:r>
      <w:r w:rsidR="00D816AC">
        <w:t>,</w:t>
      </w:r>
      <w:r w:rsidRPr="008B00F0">
        <w:t xml:space="preserve"> en el numeral 15 del literal D de este escrito</w:t>
      </w:r>
      <w:r w:rsidR="00D816AC">
        <w:t>,</w:t>
      </w:r>
      <w:r w:rsidRPr="008B00F0">
        <w:t xml:space="preserve"> se afirma lo siguiente:</w:t>
      </w:r>
    </w:p>
    <w:p w14:paraId="3DAF02A2" w14:textId="77777777" w:rsidR="00FA0E60" w:rsidRPr="008B00F0" w:rsidRDefault="00FA0E60" w:rsidP="00FA0E60">
      <w:pPr>
        <w:spacing w:after="0"/>
        <w:ind w:left="284"/>
        <w:rPr>
          <w:i/>
          <w:iCs/>
        </w:rPr>
      </w:pPr>
      <w:r w:rsidRPr="008B00F0">
        <w:rPr>
          <w:i/>
          <w:iCs/>
        </w:rPr>
        <w:t xml:space="preserve">Resulta evidente, entonces, que el objeto del contrato entre EBSA y DIACO nació a la vida jurídica, y se convirtió exigible solo a partir del momento en que la CREG expidió la Resolución CREG 097 de 2008. </w:t>
      </w:r>
    </w:p>
    <w:p w14:paraId="7E04E913"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Sobre la participación de Diaco en la actuación administrativa de aprobación de ingresos para EBSA</w:t>
      </w:r>
    </w:p>
    <w:p w14:paraId="1D6E7125" w14:textId="77777777" w:rsidR="00FA0E60" w:rsidRPr="008B00F0" w:rsidRDefault="00FA0E60" w:rsidP="00FA0E60">
      <w:pPr>
        <w:spacing w:before="240" w:after="0"/>
      </w:pPr>
      <w:r w:rsidRPr="008B00F0">
        <w:t xml:space="preserve">En efecto, como se menciona en el recurso, Diaco solicitó, y la CREG aceptó, que esta empresa fuera parte de la actuación administrativa abierta para atender la solicitud de aprobación de ingresos de EBSA con base en la metodología de la </w:t>
      </w:r>
      <w:r w:rsidRPr="008B00F0">
        <w:rPr>
          <w:rFonts w:cs="Arial"/>
        </w:rPr>
        <w:t>Resolución CREG 015 de 2018</w:t>
      </w:r>
      <w:r w:rsidRPr="008B00F0">
        <w:t>.</w:t>
      </w:r>
    </w:p>
    <w:p w14:paraId="30F75A01" w14:textId="77777777" w:rsidR="00FA0E60" w:rsidRPr="008B00F0" w:rsidRDefault="00FA0E60" w:rsidP="00FA0E60">
      <w:pPr>
        <w:spacing w:before="240" w:after="0"/>
      </w:pPr>
      <w:r w:rsidRPr="008B00F0">
        <w:t>En desarrollo de lo anterior, Diaco tuvo acceso al expediente público y se reunió en más de una ocasión con funcionarios de la CREG para conocer e indagar sobre el estado del proceso.</w:t>
      </w:r>
    </w:p>
    <w:p w14:paraId="1C44AFBB" w14:textId="3869990D" w:rsidR="00FA0E60" w:rsidRPr="008B00F0" w:rsidRDefault="00FA0E60" w:rsidP="00FA0E60">
      <w:pPr>
        <w:spacing w:before="240" w:after="0"/>
      </w:pPr>
      <w:r w:rsidRPr="008B00F0">
        <w:t xml:space="preserve">Una de las actividades de la actuación administrativa fue la elaboración de un informe sobre el inventario de los activos de EBSA, el cual fue trasladado a este operador de red, OR, para sus comentarios. De este traslado se informó a Diaco. </w:t>
      </w:r>
    </w:p>
    <w:p w14:paraId="12166AD5" w14:textId="25863DF1" w:rsidR="00FA0E60" w:rsidRPr="008B00F0" w:rsidRDefault="00FA0E60" w:rsidP="00FA0E60">
      <w:pPr>
        <w:spacing w:before="240" w:after="0"/>
      </w:pPr>
      <w:r w:rsidRPr="008B00F0">
        <w:t>En esta ocasión</w:t>
      </w:r>
      <w:r w:rsidR="002F1B65">
        <w:t>,</w:t>
      </w:r>
      <w:r w:rsidRPr="008B00F0">
        <w:t xml:space="preserve"> Diaco solicitó tener acceso al citado informe, para lo cual la Comisión dirigió una comunicación a EBSA con el fin de obtener su aprobación para que Diaco tuviera acceso al informe sobre el inventario de activos. El OR manifestó que “se debe suministrar únicamente la información referente a si los activos de DIACO se encuentran o no en el inventario de activos presentados por EBSA.”  Por esta razón, mediante la comunicación S-2019-004364 se requirió a Diaco para que identificara los activos relacionados con su solicitud</w:t>
      </w:r>
      <w:r w:rsidR="00D816AC">
        <w:t>,</w:t>
      </w:r>
      <w:r w:rsidRPr="008B00F0">
        <w:t xml:space="preserve"> con el fin de proceder a comunicarle el contenido del informe sobre tales activos.</w:t>
      </w:r>
    </w:p>
    <w:p w14:paraId="010D3550" w14:textId="2A030185" w:rsidR="00FA0E60" w:rsidRPr="008B00F0" w:rsidRDefault="00FA0E60" w:rsidP="00FA0E60">
      <w:pPr>
        <w:spacing w:before="240" w:after="0"/>
      </w:pPr>
      <w:r w:rsidRPr="008B00F0">
        <w:lastRenderedPageBreak/>
        <w:t xml:space="preserve">En esa comunicación y en las varias consultas telefónicas que hacían los apoderados de DIACO, se les informaba que se requería la respuesta a la solicitud </w:t>
      </w:r>
      <w:r w:rsidR="0027649A">
        <w:t>elevada</w:t>
      </w:r>
      <w:r w:rsidR="0027649A" w:rsidRPr="008B00F0">
        <w:t xml:space="preserve"> </w:t>
      </w:r>
      <w:r w:rsidRPr="008B00F0">
        <w:t>por la CREG el 1 de agosto de 2019. Pasaron más de cuatro meses y no se obtuvo respuesta de Diaco, por lo que, en la Resolución CREG 177 de 2019</w:t>
      </w:r>
      <w:r w:rsidR="00D816AC">
        <w:t>,</w:t>
      </w:r>
      <w:r w:rsidRPr="008B00F0">
        <w:t xml:space="preserve"> se decidió no atender la solicitud presentada por esta empresa. </w:t>
      </w:r>
    </w:p>
    <w:p w14:paraId="72C2FFEC" w14:textId="0FE7AED2" w:rsidR="00FA0E60" w:rsidRPr="008B00F0" w:rsidRDefault="00FA0E60" w:rsidP="00FA0E60">
      <w:pPr>
        <w:spacing w:before="240" w:after="0"/>
      </w:pPr>
      <w:r w:rsidRPr="008B00F0">
        <w:t>Si bien Diaco, ahora en el recurso, afirma que la CREG podría indagar en la información recibida cuáles eran los activos relacionados con su solicitud, o que debería preguntársele a otra instancia que tuviera más conocimiento sobre el tema, es claro que la empresa debió haber informado de ello a la Comisión</w:t>
      </w:r>
      <w:r w:rsidR="00D816AC">
        <w:t>,</w:t>
      </w:r>
      <w:r w:rsidRPr="008B00F0">
        <w:t xml:space="preserve"> y se hubiera procedido en concordancia. En este caso, llama la atención que Diaco no tuviera conocimiento de los activos relacionados, cuando una de las condiciones exigidas en la regulación para los contratos de conexión es que </w:t>
      </w:r>
      <w:r w:rsidR="00FA5808">
        <w:t>en estos</w:t>
      </w:r>
      <w:r w:rsidRPr="008B00F0">
        <w:t xml:space="preserve"> se identifiquen los activos que hacen parte de</w:t>
      </w:r>
      <w:r w:rsidR="00D62143">
        <w:t>l</w:t>
      </w:r>
      <w:r w:rsidRPr="008B00F0">
        <w:t xml:space="preserve"> contrato</w:t>
      </w:r>
      <w:r w:rsidR="00D816AC">
        <w:t>,</w:t>
      </w:r>
      <w:r w:rsidRPr="008B00F0">
        <w:t xml:space="preserve"> y las responsabilidades que sobre ellos tiene cada una de las partes.</w:t>
      </w:r>
    </w:p>
    <w:p w14:paraId="3DE0F3FA"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La retroactividad de un concepto de la CREG</w:t>
      </w:r>
    </w:p>
    <w:p w14:paraId="79FC8AC5" w14:textId="326669BC" w:rsidR="00FA0E60" w:rsidRPr="008B00F0" w:rsidRDefault="00FA0E60" w:rsidP="00FA0E60">
      <w:pPr>
        <w:spacing w:before="240" w:after="0"/>
      </w:pPr>
      <w:r w:rsidRPr="008B00F0">
        <w:t xml:space="preserve">En el concepto S-2018-003508 se </w:t>
      </w:r>
      <w:r w:rsidR="0019255A" w:rsidRPr="008B00F0">
        <w:t>menci</w:t>
      </w:r>
      <w:r w:rsidR="00E5201F">
        <w:t>onaron</w:t>
      </w:r>
      <w:r w:rsidR="0019255A" w:rsidRPr="008B00F0">
        <w:t xml:space="preserve"> los </w:t>
      </w:r>
      <w:r w:rsidRPr="008B00F0">
        <w:t xml:space="preserve">requisitos para que un usuario se </w:t>
      </w:r>
      <w:r w:rsidR="0019255A" w:rsidRPr="008B00F0">
        <w:t>consider</w:t>
      </w:r>
      <w:r w:rsidR="0019255A">
        <w:t>ara</w:t>
      </w:r>
      <w:r w:rsidRPr="008B00F0">
        <w:t xml:space="preserve"> conectado a un nivel de tensión </w:t>
      </w:r>
      <w:r w:rsidR="0019255A">
        <w:t>particular, de los varios</w:t>
      </w:r>
      <w:r w:rsidRPr="008B00F0">
        <w:t xml:space="preserve"> que </w:t>
      </w:r>
      <w:r w:rsidR="0019255A">
        <w:t>existen en el sistema,</w:t>
      </w:r>
      <w:r w:rsidR="0019255A" w:rsidRPr="008B00F0">
        <w:t xml:space="preserve"> y se reiter</w:t>
      </w:r>
      <w:r w:rsidR="0019255A">
        <w:t>ó</w:t>
      </w:r>
      <w:r w:rsidR="0019255A" w:rsidRPr="008B00F0">
        <w:t xml:space="preserve"> lo que e</w:t>
      </w:r>
      <w:r w:rsidR="0019255A">
        <w:t>ra</w:t>
      </w:r>
      <w:r w:rsidRPr="008B00F0">
        <w:t xml:space="preserve"> conocido desde las primeras resoluciones expedidas por la CREG a partir de 1994, </w:t>
      </w:r>
      <w:r w:rsidR="0019255A">
        <w:t xml:space="preserve">esto es, la necesidad de </w:t>
      </w:r>
      <w:r w:rsidR="0041670C">
        <w:t xml:space="preserve">cumplir con las </w:t>
      </w:r>
      <w:r w:rsidR="0019255A">
        <w:t>reglas para</w:t>
      </w:r>
      <w:r w:rsidRPr="008B00F0">
        <w:t xml:space="preserve"> la liquidación de </w:t>
      </w:r>
      <w:r w:rsidR="0019255A" w:rsidRPr="008B00F0">
        <w:t>l</w:t>
      </w:r>
      <w:r w:rsidR="0019255A">
        <w:t>a</w:t>
      </w:r>
      <w:r w:rsidR="0019255A" w:rsidRPr="008B00F0">
        <w:t>s</w:t>
      </w:r>
      <w:r w:rsidRPr="008B00F0">
        <w:t xml:space="preserve"> diferentes </w:t>
      </w:r>
      <w:r w:rsidR="0019255A">
        <w:t>transacciones</w:t>
      </w:r>
      <w:r w:rsidRPr="008B00F0">
        <w:t xml:space="preserve"> del </w:t>
      </w:r>
      <w:r w:rsidR="0019255A">
        <w:t>mercado</w:t>
      </w:r>
      <w:r w:rsidRPr="008B00F0">
        <w:t xml:space="preserve"> de energía </w:t>
      </w:r>
      <w:r w:rsidR="0019255A">
        <w:t>y su transporte</w:t>
      </w:r>
      <w:r w:rsidRPr="008B00F0">
        <w:t>.</w:t>
      </w:r>
    </w:p>
    <w:p w14:paraId="4066C2E1" w14:textId="716EB420" w:rsidR="00731449" w:rsidRDefault="00E451E6" w:rsidP="00FA0E60">
      <w:pPr>
        <w:spacing w:before="240" w:after="0"/>
      </w:pPr>
      <w:r w:rsidRPr="008B00F0">
        <w:t>La regulación económica de la prestación del servicio de energía eléctrica debe ser coherente en todos los sectores, en particular en aquellos relacionados con la liquidación, facturación de cargos, recaudo y distribución de los ingresos</w:t>
      </w:r>
      <w:r>
        <w:t>. Por esta razón, en el concepto</w:t>
      </w:r>
      <w:r w:rsidR="00FA0E60" w:rsidRPr="008B00F0">
        <w:t xml:space="preserve"> se volvía a explicar que la forma como se factura a un usuario depende del punto de su conexión y, para ello, es indispensable el registro de las respectivas fronteras</w:t>
      </w:r>
      <w:r w:rsidR="00D816AC">
        <w:t>,</w:t>
      </w:r>
      <w:r w:rsidR="00FA0E60" w:rsidRPr="008B00F0">
        <w:t xml:space="preserve"> para que todos, agentes, usuarios y el mercado en general</w:t>
      </w:r>
      <w:r w:rsidR="00D816AC">
        <w:t>,</w:t>
      </w:r>
      <w:r w:rsidR="00FA0E60" w:rsidRPr="008B00F0">
        <w:t xml:space="preserve"> </w:t>
      </w:r>
      <w:r w:rsidRPr="008B00F0">
        <w:t>tenga</w:t>
      </w:r>
      <w:r>
        <w:t>n</w:t>
      </w:r>
      <w:r w:rsidR="00FA0E60" w:rsidRPr="008B00F0">
        <w:t xml:space="preserve"> claro </w:t>
      </w:r>
      <w:r>
        <w:t xml:space="preserve">quiénes son </w:t>
      </w:r>
      <w:r w:rsidR="00FA0E60" w:rsidRPr="008B00F0">
        <w:t xml:space="preserve">los responsables </w:t>
      </w:r>
      <w:r w:rsidR="0027649A" w:rsidRPr="008B00F0">
        <w:t>d</w:t>
      </w:r>
      <w:r w:rsidR="0027649A">
        <w:t>e</w:t>
      </w:r>
      <w:r w:rsidR="0027649A" w:rsidRPr="008B00F0">
        <w:t xml:space="preserve"> </w:t>
      </w:r>
      <w:r w:rsidR="00FA0E60" w:rsidRPr="008B00F0">
        <w:t xml:space="preserve">cada frontera y la forma como se </w:t>
      </w:r>
      <w:r>
        <w:t xml:space="preserve">les </w:t>
      </w:r>
      <w:r w:rsidR="00FA0E60" w:rsidRPr="008B00F0">
        <w:t xml:space="preserve">hace la liquidación. </w:t>
      </w:r>
    </w:p>
    <w:p w14:paraId="6864964F" w14:textId="462A6D9A" w:rsidR="00FA0E60" w:rsidRPr="008B00F0" w:rsidRDefault="00FA0E60" w:rsidP="00FA0E60">
      <w:pPr>
        <w:spacing w:before="240" w:after="0"/>
      </w:pPr>
      <w:r w:rsidRPr="008B00F0">
        <w:t>No se trata de un “simple registro” como lo afirma el recurrente; esta es la base del funcionamiento de la correcta asignación de responsabilidades y, por tanto, de los cargos e ingresos a que haya lugar. Esto obliga a que, cuando se quiere modificar alguna medición en el sistema, en particular las de conexión al STN, debe cumplirse con el respectivo registro de las fronteras.</w:t>
      </w:r>
    </w:p>
    <w:p w14:paraId="610C3DDD" w14:textId="77777777" w:rsidR="009D312E" w:rsidRPr="008B00F0" w:rsidRDefault="009D312E" w:rsidP="009D312E">
      <w:pPr>
        <w:spacing w:before="240" w:after="0"/>
      </w:pPr>
      <w:r w:rsidRPr="008B00F0">
        <w:t xml:space="preserve">Dado que </w:t>
      </w:r>
      <w:r>
        <w:t>todas las transacciones</w:t>
      </w:r>
      <w:r w:rsidRPr="008B00F0">
        <w:t xml:space="preserve"> está</w:t>
      </w:r>
      <w:r>
        <w:t>n</w:t>
      </w:r>
      <w:r w:rsidRPr="008B00F0">
        <w:t xml:space="preserve"> basad</w:t>
      </w:r>
      <w:r>
        <w:t>as</w:t>
      </w:r>
      <w:r w:rsidRPr="008B00F0">
        <w:t xml:space="preserve"> en el correcto registro de las fronteras, todos los comercializadores, transportadores y generadores saben y conocen de la importancia de este procedimiento que rige el mercado desde sus inicios. Por eso la regulación ha tenido especial cuidado en señalar claramente los procedimientos para el registro de fronteras, permi</w:t>
      </w:r>
      <w:r w:rsidRPr="008B00F0">
        <w:softHyphen/>
        <w:t>tiendo incluso que cualquier interesado manifieste su posible desacuerdo con el registro o modificación de una nueva frontera.</w:t>
      </w:r>
    </w:p>
    <w:p w14:paraId="43A316C4" w14:textId="38B5DB87" w:rsidR="00FA0E60" w:rsidRPr="008B00F0" w:rsidRDefault="00FA0E60" w:rsidP="00FA0E60">
      <w:pPr>
        <w:spacing w:before="240" w:after="0"/>
      </w:pPr>
      <w:r w:rsidRPr="008B00F0">
        <w:t xml:space="preserve">Entonces, el concepto en mención emitido por la CREG, si bien </w:t>
      </w:r>
      <w:r w:rsidR="009D312E">
        <w:t xml:space="preserve">puede argumentarse que </w:t>
      </w:r>
      <w:r w:rsidRPr="008B00F0">
        <w:t xml:space="preserve">no es vinculante, reitera lo ya previsto en la regulación desde antes de la conexión de Diaco al sistema, por lo que no se trata de una nueva </w:t>
      </w:r>
      <w:r w:rsidRPr="008B00F0">
        <w:lastRenderedPageBreak/>
        <w:t>medida establecida con una “opinión” y, mucho menos, de tratar de hacerla retroactiva</w:t>
      </w:r>
      <w:r w:rsidR="00D816AC">
        <w:t>,</w:t>
      </w:r>
      <w:r w:rsidRPr="008B00F0">
        <w:t xml:space="preserve"> como lo sugiere el recurrente.</w:t>
      </w:r>
    </w:p>
    <w:p w14:paraId="62AD3F22"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La situación consolidada ratificada por la CREG</w:t>
      </w:r>
    </w:p>
    <w:p w14:paraId="2B5BE4B4" w14:textId="77777777" w:rsidR="00FA0E60" w:rsidRPr="008B00F0" w:rsidRDefault="00FA0E60" w:rsidP="00FA0E60">
      <w:pPr>
        <w:spacing w:before="240" w:after="0"/>
      </w:pPr>
      <w:r w:rsidRPr="008B00F0">
        <w:t>Diaco manifiesta que con la expedición de la Resolución CREG 120 de 2009, y el concepto emitido mediante el radicado CREG S-2010-000120, la CREG ratifica la conexión de Diaco al STN, porque dentro del inventario reconocido hay algunos activos que no se reconocen al 100% como activos de uso, dentro de los cuales están algunos de los utilizados por el recurrente.</w:t>
      </w:r>
    </w:p>
    <w:p w14:paraId="7F618FB3" w14:textId="64BB9971" w:rsidR="00FA0E60" w:rsidRPr="008B00F0" w:rsidRDefault="00FA0E60" w:rsidP="00FA0E60">
      <w:pPr>
        <w:spacing w:before="240" w:after="0"/>
      </w:pPr>
      <w:r w:rsidRPr="008B00F0">
        <w:t>Al respecto, se debe precisar que la Comisión</w:t>
      </w:r>
      <w:r w:rsidR="00D816AC">
        <w:t>,</w:t>
      </w:r>
      <w:r w:rsidRPr="008B00F0">
        <w:t xml:space="preserve"> con la aprobación de porcentajes de uso de activos inferiores al 100%</w:t>
      </w:r>
      <w:r w:rsidR="00D816AC">
        <w:t>,</w:t>
      </w:r>
      <w:r w:rsidRPr="008B00F0">
        <w:t xml:space="preserve"> no está reconociendo la conexión de ningún usuario. De acuerdo con las metodologías de remuneración de la actividad de distribución se permitía que los activos de conexión de un OR al STN fueran compartidos con otros OR o con usuarios</w:t>
      </w:r>
      <w:r w:rsidR="00D816AC">
        <w:t>. C</w:t>
      </w:r>
      <w:r w:rsidRPr="008B00F0">
        <w:t>on este propósito</w:t>
      </w:r>
      <w:r w:rsidR="00D816AC">
        <w:t>,</w:t>
      </w:r>
      <w:r w:rsidRPr="008B00F0">
        <w:t xml:space="preserve"> corresponde a cada OR informar a la CREG el porcentaje del activo dedicado a la prestación del servicio a los usuarios de su mercado de comercialización. </w:t>
      </w:r>
    </w:p>
    <w:p w14:paraId="5CD2BCB6" w14:textId="0BFA5E7E" w:rsidR="00FA0E60" w:rsidRPr="008B00F0" w:rsidRDefault="00FA0E60" w:rsidP="00FA0E60">
      <w:pPr>
        <w:spacing w:before="240" w:after="0"/>
      </w:pPr>
      <w:r w:rsidRPr="008B00F0">
        <w:t>La revisión de la CREG no llega a determinar con quién y en qué proporción se comparten estos activos</w:t>
      </w:r>
      <w:r w:rsidR="00D816AC">
        <w:t>. L</w:t>
      </w:r>
      <w:r w:rsidRPr="008B00F0">
        <w:t>o que se revisa es que los diferentes porcentajes reportados por los OR, para un mismo activo, no superen el 100%. Con lo que, si se reconoce un porcentaje inferior al 100%, es por la solicitud del OR</w:t>
      </w:r>
      <w:r w:rsidR="00D816AC">
        <w:t>,</w:t>
      </w:r>
      <w:r w:rsidRPr="008B00F0">
        <w:t xml:space="preserve"> y no porque la CREG está definiendo el porcentaje destinado a conexión de usuarios</w:t>
      </w:r>
      <w:r w:rsidR="00D816AC">
        <w:t>,</w:t>
      </w:r>
      <w:r w:rsidRPr="008B00F0">
        <w:t xml:space="preserve"> y menos a identificar de qué usuario se trata.</w:t>
      </w:r>
    </w:p>
    <w:p w14:paraId="1B9E8788" w14:textId="1E72A4FF" w:rsidR="00FA0E60" w:rsidRPr="008B00F0" w:rsidRDefault="00FA0E60" w:rsidP="00FA0E60">
      <w:pPr>
        <w:spacing w:before="240" w:after="0"/>
      </w:pPr>
      <w:r w:rsidRPr="008B00F0">
        <w:t>Por tanto, no es cierto que la CREG, con la expedición de la Resolución 120 de 2009</w:t>
      </w:r>
      <w:r w:rsidR="0087157A">
        <w:t xml:space="preserve"> </w:t>
      </w:r>
      <w:r w:rsidR="0087157A" w:rsidRPr="008B00F0">
        <w:t xml:space="preserve">y </w:t>
      </w:r>
      <w:r w:rsidR="0087157A">
        <w:t>d</w:t>
      </w:r>
      <w:r w:rsidR="0087157A" w:rsidRPr="008B00F0">
        <w:t>el concepto S-2010-000120</w:t>
      </w:r>
      <w:r w:rsidRPr="008B00F0">
        <w:t xml:space="preserve">, estuviera ratificando la conexión de un usuario al STN. Menos cuando la actuación administrativa de la intervención de la SSPD se inicia a partir de una solicitud de la CREG. </w:t>
      </w:r>
    </w:p>
    <w:p w14:paraId="2BC23816" w14:textId="723256C0" w:rsidR="00FA0E60" w:rsidRPr="008B00F0" w:rsidRDefault="00FA0E60" w:rsidP="00FA0E60">
      <w:pPr>
        <w:spacing w:before="240" w:after="0"/>
      </w:pPr>
      <w:r w:rsidRPr="008B00F0">
        <w:t>Por el contrario, en lugar de ratificar, la CREG ya ha manifestado que la conexión de Diaco al STN no se ajusta a la situación jurídica consolidada de que trata el artículo 7 de la Resolución CREG 097 de 2008</w:t>
      </w:r>
      <w:r w:rsidR="00D816AC">
        <w:t>,</w:t>
      </w:r>
      <w:r w:rsidRPr="008B00F0">
        <w:t xml:space="preserve"> y así lo mencionó en la parte motiva de la Resolución CREG 106 de 2012:</w:t>
      </w:r>
    </w:p>
    <w:p w14:paraId="54EE6900" w14:textId="77777777" w:rsidR="00FA0E60" w:rsidRPr="008B00F0" w:rsidRDefault="00FA0E60" w:rsidP="00FA0E60">
      <w:pPr>
        <w:spacing w:after="0"/>
        <w:ind w:left="284"/>
        <w:rPr>
          <w:i/>
          <w:iCs/>
        </w:rPr>
      </w:pPr>
      <w:r w:rsidRPr="008B00F0">
        <w:rPr>
          <w:i/>
          <w:iCs/>
        </w:rPr>
        <w:t>Del anterior parágrafo se entiende que los usuarios cuya frontera estuviese registrada en el STN antes de la entrada en vigencia de la Resolución CREG 097 de 2008, conservarían la condición de usuarios conectados al STN, toda vez que se entendían como “situaciones jurídicas consolidadas”, la cuales habrán de respetarse en virtud de lo establecido en el artículo 58 constitucional.</w:t>
      </w:r>
    </w:p>
    <w:p w14:paraId="593F0A01" w14:textId="77777777" w:rsidR="00FA0E60" w:rsidRPr="008B00F0" w:rsidRDefault="00FA0E60" w:rsidP="00FA0E60">
      <w:pPr>
        <w:spacing w:after="0"/>
        <w:ind w:left="284"/>
        <w:rPr>
          <w:i/>
          <w:iCs/>
        </w:rPr>
      </w:pPr>
      <w:r w:rsidRPr="008B00F0">
        <w:rPr>
          <w:i/>
          <w:iCs/>
        </w:rPr>
        <w:t>(…)</w:t>
      </w:r>
    </w:p>
    <w:p w14:paraId="626F9C82" w14:textId="77777777" w:rsidR="00FA0E60" w:rsidRPr="008B00F0" w:rsidRDefault="00FA0E60" w:rsidP="00FA0E60">
      <w:pPr>
        <w:spacing w:after="0"/>
        <w:ind w:left="284"/>
        <w:rPr>
          <w:i/>
          <w:iCs/>
        </w:rPr>
      </w:pPr>
      <w:r w:rsidRPr="008B00F0">
        <w:rPr>
          <w:i/>
          <w:iCs/>
        </w:rPr>
        <w:t>No obstante, la CREG establece que el caso del usuario Diaco no se ajusta a la situación descrita en el parágrafo del artículo 7 de la Resolución CREG 097 de 2008, debido a que este usuario tenía registrada su frontera en el nivel de tensión 4 y no en el STN. El registro de la frontera de este usuario en el STN se dio a partir del día 1 de noviembre del año 2009, de acuerdo con la información suministrada al CREG por XM mediante comunicación radicada en la CREG con el número E-2010-002534.</w:t>
      </w:r>
    </w:p>
    <w:p w14:paraId="6ED40064" w14:textId="77777777" w:rsidR="00FA0E60" w:rsidRPr="008B00F0" w:rsidRDefault="00FA0E60" w:rsidP="00FA0E60">
      <w:pPr>
        <w:spacing w:after="0"/>
        <w:ind w:left="284"/>
        <w:rPr>
          <w:i/>
          <w:iCs/>
        </w:rPr>
      </w:pPr>
      <w:r w:rsidRPr="008B00F0">
        <w:rPr>
          <w:i/>
          <w:iCs/>
        </w:rPr>
        <w:lastRenderedPageBreak/>
        <w:t>Lo anterior muestra que no existe una razón justificada para que la CREG hubiese tomado la proporción de la demanda máxima de la conexión de DIACO en los nuevos activos de la subestación Paipa, tal como lo solicita en su recurso de reposición la Empresa de Energía de Boyacá S.A. E.S.P., en virtud de lo dispuesto en la Resolución CREG 097 de 2008.</w:t>
      </w:r>
    </w:p>
    <w:p w14:paraId="561FDC03"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Actuación de la Superintendencia de Servicios Públicos Domiciliarios</w:t>
      </w:r>
    </w:p>
    <w:p w14:paraId="1F483748" w14:textId="25B166A7" w:rsidR="00FA0E60" w:rsidRPr="008B00F0" w:rsidRDefault="00FA0E60" w:rsidP="00FA0E60">
      <w:pPr>
        <w:spacing w:before="240" w:after="0"/>
      </w:pPr>
      <w:r w:rsidRPr="008B00F0">
        <w:t>Diaco hace referencia al cierre de la actuación administrativa iniciada como indagación preliminar en contra de XM Compañía de Expertos en Mercados S.A. E.S.P.  y la Empresa de Energía de Boyacá S.A. E.S.P., afirmando que</w:t>
      </w:r>
      <w:r w:rsidR="00D816AC">
        <w:t>,</w:t>
      </w:r>
      <w:r w:rsidRPr="008B00F0">
        <w:t xml:space="preserve"> como para esta actuación operó la caducidad</w:t>
      </w:r>
      <w:r w:rsidR="00D816AC">
        <w:t>,</w:t>
      </w:r>
      <w:r w:rsidRPr="008B00F0">
        <w:t xml:space="preserve"> no puede tenerse en cuenta ninguno de los argumentos planteados en ese acto administrativo.  </w:t>
      </w:r>
    </w:p>
    <w:p w14:paraId="307D96FB" w14:textId="77777777" w:rsidR="00FA0E60" w:rsidRPr="008B00F0" w:rsidRDefault="00FA0E60" w:rsidP="00FA0E60">
      <w:pPr>
        <w:spacing w:before="240" w:after="0"/>
      </w:pPr>
      <w:r w:rsidRPr="008B00F0">
        <w:t>En la citada actuación, la Superintendencia consideró conveniente “pronunciarse de la situación fáctica y jurídica”, aun habiendo analizado que tenía que declarar la caducidad a la investigación iniciada, y llegó a la siguiente conclusión:</w:t>
      </w:r>
    </w:p>
    <w:p w14:paraId="5D15DC25" w14:textId="77777777" w:rsidR="00FA0E60" w:rsidRPr="008B00F0" w:rsidRDefault="00FA0E60" w:rsidP="00FA0E60">
      <w:pPr>
        <w:spacing w:after="0"/>
        <w:ind w:left="284"/>
        <w:rPr>
          <w:i/>
          <w:iCs/>
        </w:rPr>
      </w:pPr>
      <w:r w:rsidRPr="008B00F0">
        <w:rPr>
          <w:i/>
          <w:iCs/>
        </w:rPr>
        <w:t>Para el caso en concreto, XM en su calidad de ASIC registró la frontera comercial de DIACO al STN en la Subestación Paipa de EBSA, el 1 de noviembre de 2009, siendo este el hecho, para determinar el mérito de una eventual investigación administrativa sancionatoria.</w:t>
      </w:r>
    </w:p>
    <w:p w14:paraId="2AAB63CA" w14:textId="77777777" w:rsidR="00FA0E60" w:rsidRPr="008B00F0" w:rsidRDefault="00FA0E60" w:rsidP="00FA0E60">
      <w:pPr>
        <w:spacing w:after="0"/>
        <w:ind w:left="284"/>
        <w:rPr>
          <w:i/>
          <w:iCs/>
        </w:rPr>
      </w:pPr>
      <w:r w:rsidRPr="008B00F0">
        <w:rPr>
          <w:i/>
          <w:iCs/>
        </w:rPr>
        <w:t xml:space="preserve">Tal registro se dio, como se dijo anteriormente, después de la entrada en vigencia de la </w:t>
      </w:r>
      <w:r w:rsidRPr="008B00F0">
        <w:rPr>
          <w:rFonts w:cs="Arial"/>
          <w:i/>
          <w:iCs/>
        </w:rPr>
        <w:t xml:space="preserve">Resolución CREG 097 de 2008 </w:t>
      </w:r>
      <w:r w:rsidRPr="008B00F0">
        <w:rPr>
          <w:i/>
          <w:iCs/>
        </w:rPr>
        <w:t xml:space="preserve">y al ser el acto de registro ante XM, el único mecanismo válido y permitido por la regulación para formalizar las fronteras comerciales dentro del mercado de energía mayorista, el registro de la frontera de DIACO, no puede ser considerada como una situación jurídica consolidada bajo el artículo 7 de la </w:t>
      </w:r>
      <w:r w:rsidRPr="008B00F0">
        <w:rPr>
          <w:rFonts w:cs="Arial"/>
          <w:i/>
          <w:iCs/>
        </w:rPr>
        <w:t>Resolución CREG 097 de 2008.</w:t>
      </w:r>
    </w:p>
    <w:p w14:paraId="0C2008E3" w14:textId="77777777" w:rsidR="00FA0E60" w:rsidRPr="008B00F0" w:rsidRDefault="00FA0E60" w:rsidP="00FA0E60">
      <w:pPr>
        <w:pStyle w:val="Prrafodelista"/>
        <w:keepNext/>
        <w:numPr>
          <w:ilvl w:val="0"/>
          <w:numId w:val="27"/>
        </w:numPr>
        <w:spacing w:after="0"/>
        <w:ind w:left="714" w:hanging="357"/>
        <w:rPr>
          <w:szCs w:val="24"/>
        </w:rPr>
      </w:pPr>
      <w:r w:rsidRPr="008B00F0">
        <w:rPr>
          <w:szCs w:val="24"/>
        </w:rPr>
        <w:t>Las pruebas solicitadas</w:t>
      </w:r>
    </w:p>
    <w:p w14:paraId="4401B166" w14:textId="6E04EB50" w:rsidR="00FA0E60" w:rsidRPr="008B00F0" w:rsidRDefault="00FA0E60" w:rsidP="00FA0E60">
      <w:pPr>
        <w:spacing w:before="240" w:after="0"/>
      </w:pPr>
      <w:r w:rsidRPr="008B00F0">
        <w:t>Antes de la expedición de la Resolución CREG 177 de 2019, se tuvieron en cuenta todos los documentos mencionados en la solicitud de Diaco. Si bien, dada la no respuesta de Diaco a la solicitud de información sobre los activos usados en la conexión, no se realizaron las pruebas testimoniales solicitadas, con posterioridad a la presentación del recurso y</w:t>
      </w:r>
      <w:r w:rsidR="00071482">
        <w:t>,</w:t>
      </w:r>
      <w:r w:rsidRPr="008B00F0">
        <w:t xml:space="preserve"> para garantizar el debido proceso, se realizó una audiencia con la participación del representante legal de Diaco y el representante legal de EBSA, entre otros asistentes.</w:t>
      </w:r>
    </w:p>
    <w:p w14:paraId="0FFF7418" w14:textId="1F07C478" w:rsidR="00FA0E60" w:rsidRPr="008B00F0" w:rsidRDefault="00FA0E60" w:rsidP="00FA0E60">
      <w:pPr>
        <w:spacing w:before="240" w:after="0"/>
      </w:pPr>
      <w:r w:rsidRPr="008B00F0">
        <w:t xml:space="preserve">Es decir, durante esta etapa de respuesta al recurso de reposición se </w:t>
      </w:r>
      <w:r w:rsidR="006F4C73">
        <w:t>decretaron</w:t>
      </w:r>
      <w:r w:rsidRPr="008B00F0">
        <w:t xml:space="preserve"> todas las pruebas solicitadas por Diaco</w:t>
      </w:r>
      <w:r w:rsidR="009C27B4">
        <w:t>,</w:t>
      </w:r>
      <w:r w:rsidRPr="008B00F0">
        <w:t xml:space="preserve"> y se le dio traslado de los documentos que ellos querían conocer y de otros que hacen parte del expediente </w:t>
      </w:r>
      <w:r w:rsidR="00B63B15">
        <w:t xml:space="preserve">público </w:t>
      </w:r>
      <w:r w:rsidRPr="008B00F0">
        <w:t xml:space="preserve">2018-0150. </w:t>
      </w:r>
    </w:p>
    <w:p w14:paraId="56156E9F" w14:textId="77777777" w:rsidR="00FA0E60" w:rsidRPr="008B00F0" w:rsidRDefault="00FA0E60" w:rsidP="00FA0E60">
      <w:pPr>
        <w:pStyle w:val="Prrafodelista"/>
        <w:numPr>
          <w:ilvl w:val="0"/>
          <w:numId w:val="28"/>
        </w:numPr>
        <w:spacing w:after="0"/>
        <w:contextualSpacing/>
        <w:rPr>
          <w:szCs w:val="24"/>
        </w:rPr>
      </w:pPr>
      <w:r w:rsidRPr="008B00F0">
        <w:rPr>
          <w:szCs w:val="24"/>
        </w:rPr>
        <w:t>Análisis sobre la conexión de un usuario al Sistema Interconectado</w:t>
      </w:r>
    </w:p>
    <w:p w14:paraId="0F41A28E" w14:textId="77EBA772" w:rsidR="00FA0E60" w:rsidRPr="008B00F0" w:rsidRDefault="004634FC" w:rsidP="00FA0E60">
      <w:pPr>
        <w:spacing w:before="240" w:after="0"/>
      </w:pPr>
      <w:r>
        <w:t xml:space="preserve">La pretensión de </w:t>
      </w:r>
      <w:r w:rsidR="00FA0E60" w:rsidRPr="008B00F0">
        <w:t xml:space="preserve">Diaco </w:t>
      </w:r>
      <w:r>
        <w:t>va encaminada a</w:t>
      </w:r>
      <w:r w:rsidR="00FA0E60" w:rsidRPr="008B00F0">
        <w:t xml:space="preserve"> que se le considere como un usuario conectado directamente al STN, ubicado en la subestación Paipa de la Empresa de Energía de Boyacá</w:t>
      </w:r>
      <w:r w:rsidR="009C27B4">
        <w:t xml:space="preserve"> S.A. E.S.P.</w:t>
      </w:r>
      <w:r w:rsidR="00FA0E60" w:rsidRPr="008B00F0">
        <w:t xml:space="preserve">, y, por esta razón, que se excluyan del </w:t>
      </w:r>
      <w:r w:rsidR="00FA0E60" w:rsidRPr="008B00F0">
        <w:lastRenderedPageBreak/>
        <w:t>inventario reconocido a esta última empresa los activos que Diaco utiliza en esta subestación.</w:t>
      </w:r>
    </w:p>
    <w:p w14:paraId="6405DE6D" w14:textId="77777777" w:rsidR="00FA0E60" w:rsidRPr="008B00F0" w:rsidRDefault="00FA0E60" w:rsidP="00FA0E60">
      <w:pPr>
        <w:spacing w:before="240" w:after="0"/>
      </w:pPr>
      <w:r w:rsidRPr="008B00F0">
        <w:t>El análisis de esta solicitud requiere precisar, en primera instancia, cuál es el efecto para un usuario conectado directamente al STN, en los cargos que paga por la prestación del servicio de energía eléctrica.</w:t>
      </w:r>
    </w:p>
    <w:p w14:paraId="5032E851" w14:textId="58B9B2AD" w:rsidR="00FA0E60" w:rsidRPr="008B00F0" w:rsidRDefault="00FA0E60" w:rsidP="00FA0E60">
      <w:pPr>
        <w:spacing w:before="240" w:after="0"/>
      </w:pPr>
      <w:r w:rsidRPr="008B00F0">
        <w:t>Un usuario conectado directamente al STN no paga cargos por uso del sistema de distribución</w:t>
      </w:r>
      <w:r w:rsidR="009C27B4">
        <w:t>,</w:t>
      </w:r>
      <w:r w:rsidRPr="008B00F0">
        <w:t xml:space="preserve"> sino solamente paga los cargos por uso del sistema de transmisión</w:t>
      </w:r>
      <w:r w:rsidR="009C27B4">
        <w:t>. E</w:t>
      </w:r>
      <w:r w:rsidRPr="008B00F0">
        <w:t xml:space="preserve">sto significa </w:t>
      </w:r>
      <w:r w:rsidR="009C27B4">
        <w:t xml:space="preserve">que, </w:t>
      </w:r>
      <w:r w:rsidR="00DE3B5A">
        <w:t>como queda excluido de pagar</w:t>
      </w:r>
      <w:r w:rsidRPr="008B00F0">
        <w:t xml:space="preserve"> los cargos correspondientes a la remuneración del sistema de distribución</w:t>
      </w:r>
      <w:r w:rsidR="00DE3B5A">
        <w:t xml:space="preserve">, esta última se factura a los </w:t>
      </w:r>
      <w:r w:rsidR="00DE3B5A" w:rsidRPr="008B00F0">
        <w:t>demás usuarios</w:t>
      </w:r>
      <w:r w:rsidR="00DE3B5A">
        <w:t xml:space="preserve"> </w:t>
      </w:r>
      <w:r w:rsidRPr="008B00F0">
        <w:t xml:space="preserve">de </w:t>
      </w:r>
      <w:r w:rsidR="00DE3B5A">
        <w:t>este sistema</w:t>
      </w:r>
      <w:r w:rsidR="00DE3B5A" w:rsidRPr="008B00F0">
        <w:t>.</w:t>
      </w:r>
      <w:r w:rsidR="00DE3B5A">
        <w:t xml:space="preserve"> Si el registro de las fronteras comerciales no se hace correctamente resultan </w:t>
      </w:r>
      <w:r w:rsidR="003A7C3E">
        <w:t xml:space="preserve">traslados </w:t>
      </w:r>
      <w:r w:rsidR="00DE3B5A">
        <w:t>de costos, que no corresponde trasladar, de unos usuarios a otros</w:t>
      </w:r>
      <w:r w:rsidRPr="008B00F0">
        <w:t>.</w:t>
      </w:r>
    </w:p>
    <w:p w14:paraId="32D6EECD" w14:textId="08A45BD6" w:rsidR="00827062" w:rsidRPr="008B00F0" w:rsidRDefault="00827062" w:rsidP="00827062">
      <w:pPr>
        <w:spacing w:before="240" w:after="0"/>
      </w:pPr>
      <w:r>
        <w:t>La exclusión del cobro de cargos del STR o SDL</w:t>
      </w:r>
      <w:r w:rsidRPr="008B00F0">
        <w:t xml:space="preserve"> ha </w:t>
      </w:r>
      <w:r>
        <w:t xml:space="preserve">sido </w:t>
      </w:r>
      <w:r w:rsidRPr="008B00F0">
        <w:t>definid</w:t>
      </w:r>
      <w:r w:rsidR="00D378FF">
        <w:t>a</w:t>
      </w:r>
      <w:r w:rsidRPr="008B00F0">
        <w:t xml:space="preserve"> en las diferentes metodologías de remuneración de la actividad de distribución.</w:t>
      </w:r>
    </w:p>
    <w:p w14:paraId="4C075AC5" w14:textId="5769746A" w:rsidR="00FA0E60" w:rsidRPr="008B00F0" w:rsidRDefault="00FA0E60" w:rsidP="00FA0E60">
      <w:pPr>
        <w:spacing w:before="240" w:after="0"/>
      </w:pPr>
      <w:r w:rsidRPr="008B00F0">
        <w:t xml:space="preserve">El </w:t>
      </w:r>
      <w:r w:rsidR="00744832">
        <w:t xml:space="preserve">parágrafo del </w:t>
      </w:r>
      <w:r w:rsidRPr="008B00F0">
        <w:t>artículo 13 de la Resolución CREG 015 de 2018 señala:</w:t>
      </w:r>
    </w:p>
    <w:p w14:paraId="51320E42" w14:textId="3B2769A0" w:rsidR="00FA0E60" w:rsidRPr="008B00F0" w:rsidRDefault="00FA0E60" w:rsidP="00FA0E60">
      <w:pPr>
        <w:spacing w:after="0"/>
        <w:ind w:left="284"/>
        <w:rPr>
          <w:i/>
          <w:iCs/>
        </w:rPr>
      </w:pPr>
      <w:r w:rsidRPr="008B00F0">
        <w:rPr>
          <w:b/>
          <w:bCs/>
          <w:i/>
          <w:iCs/>
        </w:rPr>
        <w:t>Parágrafo.</w:t>
      </w:r>
      <w:r w:rsidRPr="008B00F0">
        <w:rPr>
          <w:i/>
          <w:iCs/>
        </w:rPr>
        <w:t xml:space="preserve"> Para las situaciones particulares y concretas consolidadas con anterioridad a la entrada en vigencia de la Resolución CREG 097 de 2008 en las que se tengan usuarios finales considerados como conectados directamente al STN no habrá lugar al cobro de cargos por uso de STR o SDL.</w:t>
      </w:r>
      <w:r w:rsidR="002D49C4">
        <w:rPr>
          <w:i/>
          <w:iCs/>
        </w:rPr>
        <w:t xml:space="preserve"> (…)</w:t>
      </w:r>
    </w:p>
    <w:p w14:paraId="0859D9E3" w14:textId="77777777" w:rsidR="00FA0E60" w:rsidRPr="008B00F0" w:rsidRDefault="00FA0E60" w:rsidP="00FA0E60">
      <w:pPr>
        <w:spacing w:before="240" w:after="0"/>
      </w:pPr>
      <w:r w:rsidRPr="008B00F0">
        <w:t>De igual manera se señalaba en el parágrafo del artículo 7 de la Resolución CREG 097 de 2008:</w:t>
      </w:r>
    </w:p>
    <w:p w14:paraId="7A08A01E" w14:textId="6ABD5042" w:rsidR="00FA0E60" w:rsidRPr="008B00F0" w:rsidRDefault="00FA0E60" w:rsidP="00FA0E60">
      <w:pPr>
        <w:spacing w:after="0"/>
        <w:ind w:left="284"/>
        <w:rPr>
          <w:i/>
          <w:iCs/>
        </w:rPr>
      </w:pPr>
      <w:r w:rsidRPr="008B00F0">
        <w:rPr>
          <w:b/>
          <w:bCs/>
          <w:i/>
          <w:iCs/>
        </w:rPr>
        <w:t>Parágrafo.</w:t>
      </w:r>
      <w:r w:rsidRPr="008B00F0">
        <w:rPr>
          <w:i/>
          <w:iCs/>
        </w:rPr>
        <w:t xml:space="preserve"> Para las situaciones particulares y concretas consolidadas con anterioridad a la entrada en vigencia de la presente resolución, en las que se tengan usuarios finales considerados como conectados directamente al STN, no habrá lugar al cobro de cargos por uso de STR o SDL.</w:t>
      </w:r>
      <w:r w:rsidR="00CF1235">
        <w:rPr>
          <w:i/>
          <w:iCs/>
        </w:rPr>
        <w:t xml:space="preserve"> (…)</w:t>
      </w:r>
    </w:p>
    <w:p w14:paraId="37F3AA1E" w14:textId="77777777" w:rsidR="00FA0E60" w:rsidRPr="008B00F0" w:rsidRDefault="00FA0E60" w:rsidP="00FA0E60">
      <w:pPr>
        <w:spacing w:before="240" w:after="0"/>
      </w:pPr>
      <w:r w:rsidRPr="008B00F0">
        <w:t>En el literal g) del artículo 2 de la Resolución CREG 082 de 2002, se indicaba:</w:t>
      </w:r>
    </w:p>
    <w:p w14:paraId="19D20742" w14:textId="77777777" w:rsidR="00FA0E60" w:rsidRPr="008B00F0" w:rsidRDefault="00FA0E60" w:rsidP="00FA0E60">
      <w:pPr>
        <w:spacing w:after="0"/>
        <w:ind w:left="284"/>
        <w:rPr>
          <w:i/>
          <w:iCs/>
        </w:rPr>
      </w:pPr>
      <w:r w:rsidRPr="008B00F0">
        <w:rPr>
          <w:i/>
          <w:iCs/>
        </w:rPr>
        <w:t>…  No hay lugar a cobro de cargos por uso de STR o SDL a los usuarios que se encuentren conectados directamente al STN …</w:t>
      </w:r>
    </w:p>
    <w:p w14:paraId="296D37F5" w14:textId="64F22E19" w:rsidR="00FA0E60" w:rsidRPr="008B00F0" w:rsidRDefault="00FA0E60" w:rsidP="00FA0E60">
      <w:pPr>
        <w:spacing w:before="240" w:after="0"/>
      </w:pPr>
      <w:r w:rsidRPr="008B00F0">
        <w:t>Tanto en la definición de las metodologías de remuneración, como posteriormente en su aplicación, debe ser claro a quiénes les aplica cada uno de los cargos aprobados, para que el encargado de su liquidación y facturación incluya las energías consumidas en cada nivel de tensión</w:t>
      </w:r>
      <w:r w:rsidR="009C27B4">
        <w:t>,</w:t>
      </w:r>
      <w:r w:rsidRPr="008B00F0">
        <w:t xml:space="preserve"> y se proceda a recaudar los ingresos requeridos para los respectivos niveles. Cualquier cambio, con excepción de los previstos en cada metodología, haría que no se cumpliera la condición general de estas metodologías: facturar cargos eficientes a los usuarios para que, con esos recursos, se puedan remunerar los costos eficientes a los prestadores que desarrollan la actividad.</w:t>
      </w:r>
    </w:p>
    <w:p w14:paraId="5E0888B2" w14:textId="77777777" w:rsidR="00FA0E60" w:rsidRPr="008B00F0" w:rsidRDefault="00FA0E60" w:rsidP="00FA0E60">
      <w:pPr>
        <w:spacing w:before="240" w:after="0"/>
      </w:pPr>
      <w:r w:rsidRPr="008B00F0">
        <w:t>De otra parte, en el Código de Planeamiento, que hace parte del Código de Redes acogido mediante la Resolución CREG 025 de 1995, se establecen varias obligaciones para los usuarios que se conectan al STN, tanto para los existentes como para los nuevos:</w:t>
      </w:r>
    </w:p>
    <w:p w14:paraId="0870F493" w14:textId="67086CCA" w:rsidR="00FA0E60" w:rsidRPr="008B00F0" w:rsidRDefault="00FA0E60" w:rsidP="00FA0E60">
      <w:pPr>
        <w:spacing w:before="240" w:after="0"/>
      </w:pPr>
      <w:r w:rsidRPr="008B00F0">
        <w:lastRenderedPageBreak/>
        <w:t>En el numeral 3</w:t>
      </w:r>
      <w:r w:rsidR="009C27B4">
        <w:t xml:space="preserve"> de dicho Código,</w:t>
      </w:r>
      <w:r w:rsidRPr="008B00F0">
        <w:t xml:space="preserve"> con relación a los usuarios conectados al STN</w:t>
      </w:r>
      <w:r w:rsidR="009C27B4">
        <w:t>,</w:t>
      </w:r>
      <w:r w:rsidRPr="008B00F0">
        <w:t xml:space="preserve"> se establece:</w:t>
      </w:r>
    </w:p>
    <w:p w14:paraId="7063720F" w14:textId="77777777" w:rsidR="00FA0E60" w:rsidRPr="008B00F0" w:rsidRDefault="00FA0E60" w:rsidP="00FA0E60">
      <w:pPr>
        <w:spacing w:after="0"/>
        <w:ind w:left="284"/>
        <w:rPr>
          <w:i/>
          <w:iCs/>
        </w:rPr>
      </w:pPr>
      <w:r w:rsidRPr="008B00F0">
        <w:rPr>
          <w:i/>
          <w:iCs/>
        </w:rPr>
        <w:t>Para tener derecho de acceso a la red, todos los Usuarios deben firmar Contratos de Conexión con los transportadores, en los cuales se especifiquen los aspectos contractuales de conexión y uso de la red, así como otros aspectos de orden administrativo, técnico y económico, incluidos la operación y mantenimiento de la conexión.</w:t>
      </w:r>
    </w:p>
    <w:p w14:paraId="321B8E4E" w14:textId="77777777" w:rsidR="00FA0E60" w:rsidRPr="008B00F0" w:rsidRDefault="00FA0E60" w:rsidP="00FA0E60">
      <w:pPr>
        <w:spacing w:before="240" w:after="0"/>
      </w:pPr>
      <w:r w:rsidRPr="008B00F0">
        <w:t>En el numeral 4 del mismo código se señala:</w:t>
      </w:r>
    </w:p>
    <w:p w14:paraId="662F0CB1" w14:textId="77777777" w:rsidR="00FA0E60" w:rsidRPr="008B00F0" w:rsidRDefault="00FA0E60" w:rsidP="00FA0E60">
      <w:pPr>
        <w:spacing w:after="0"/>
        <w:ind w:left="284"/>
        <w:rPr>
          <w:i/>
          <w:iCs/>
        </w:rPr>
      </w:pPr>
      <w:r w:rsidRPr="008B00F0">
        <w:rPr>
          <w:i/>
          <w:iCs/>
        </w:rPr>
        <w:t xml:space="preserve">Tanto los nuevos Usuarios como los existentes que vayan a ampliar sus instalaciones o deseen conectarse a un nuevo punto de la red, deberán informar a la UPME de dicha ampliación o conexión.  Dependiendo del proyecto, el (los) Transportador(es) involucrado(s) definirá(n) la fecha más temprana de entrada en operación.  </w:t>
      </w:r>
    </w:p>
    <w:p w14:paraId="3606D1A5" w14:textId="77777777" w:rsidR="00FA0E60" w:rsidRPr="008B00F0" w:rsidRDefault="00FA0E60" w:rsidP="00FA0E60">
      <w:pPr>
        <w:spacing w:before="240" w:after="0"/>
      </w:pPr>
      <w:r w:rsidRPr="008B00F0">
        <w:t>En el numeral 8 se indica:</w:t>
      </w:r>
    </w:p>
    <w:p w14:paraId="3EA57DA2" w14:textId="77777777" w:rsidR="00FA0E60" w:rsidRPr="008B00F0" w:rsidRDefault="00FA0E60" w:rsidP="00FA0E60">
      <w:pPr>
        <w:spacing w:after="0"/>
        <w:ind w:left="567" w:hanging="283"/>
        <w:rPr>
          <w:i/>
          <w:iCs/>
        </w:rPr>
      </w:pPr>
      <w:r w:rsidRPr="008B00F0">
        <w:rPr>
          <w:i/>
          <w:iCs/>
        </w:rPr>
        <w:t>b)</w:t>
      </w:r>
      <w:r w:rsidRPr="008B00F0">
        <w:rPr>
          <w:i/>
          <w:iCs/>
        </w:rPr>
        <w:tab/>
        <w:t>El usuario deberá informar a la UPME su intención de conectarse o modificar su conexión al sistema.</w:t>
      </w:r>
    </w:p>
    <w:p w14:paraId="6DD18FC2" w14:textId="5AD482D0" w:rsidR="00FA0E60" w:rsidRPr="008B00F0" w:rsidRDefault="00DC2477" w:rsidP="00FA0E60">
      <w:pPr>
        <w:spacing w:before="240" w:after="0"/>
      </w:pPr>
      <w:r>
        <w:t xml:space="preserve">En cuanto a </w:t>
      </w:r>
      <w:r w:rsidR="000A15B2">
        <w:t>l</w:t>
      </w:r>
      <w:r w:rsidR="00FA0E60" w:rsidRPr="008B00F0">
        <w:t>o que debe contener el contrato de conexión</w:t>
      </w:r>
      <w:r w:rsidR="000D5A4E">
        <w:t>,</w:t>
      </w:r>
      <w:r w:rsidR="00FA0E60" w:rsidRPr="008B00F0">
        <w:t xml:space="preserve"> </w:t>
      </w:r>
      <w:r w:rsidR="000D5A4E">
        <w:t>esto</w:t>
      </w:r>
      <w:r w:rsidR="00FA0E60" w:rsidRPr="008B00F0">
        <w:t xml:space="preserve"> se establece en el numeral 6 del Código de Conexión</w:t>
      </w:r>
      <w:r w:rsidR="009C27B4">
        <w:t>,</w:t>
      </w:r>
      <w:r w:rsidR="00FA0E60" w:rsidRPr="008B00F0">
        <w:t xml:space="preserve"> que también hace parte del citado Código de Redes.</w:t>
      </w:r>
    </w:p>
    <w:p w14:paraId="1B84F280" w14:textId="5E0C6687" w:rsidR="00FA0E60" w:rsidRPr="008B00F0" w:rsidRDefault="00FA0E60" w:rsidP="00FA0E60">
      <w:pPr>
        <w:spacing w:before="240" w:after="0"/>
      </w:pPr>
      <w:r w:rsidRPr="008B00F0">
        <w:t xml:space="preserve">Por otra parte, </w:t>
      </w:r>
      <w:r w:rsidR="00914388">
        <w:t>sobre</w:t>
      </w:r>
      <w:r w:rsidRPr="008B00F0">
        <w:t xml:space="preserve"> la liquidación del mercado mayorista de energía, donde son partícipes los comercializadores que venden la energía a los usuarios finales, regulados y no regulados, varias resoluciones hacen referencia a la necesidad de tener </w:t>
      </w:r>
      <w:r>
        <w:t>definidos</w:t>
      </w:r>
      <w:r w:rsidRPr="008B00F0">
        <w:t xml:space="preserve"> los puntos de intercambio de la energía y la forma de medirla.</w:t>
      </w:r>
    </w:p>
    <w:p w14:paraId="5657D710" w14:textId="38E35F33" w:rsidR="00FA0E60" w:rsidRPr="008B00F0" w:rsidRDefault="00B52529" w:rsidP="00FA0E60">
      <w:pPr>
        <w:spacing w:before="240" w:after="0"/>
      </w:pPr>
      <w:r>
        <w:t xml:space="preserve">Desde el inicio de la operación de la Bolsa de Energía, cuyo reglamento se estableció por parte de la CREG mediante la </w:t>
      </w:r>
      <w:r w:rsidR="00FA0E60" w:rsidRPr="008B00F0">
        <w:t>Resolución CREG 024 de 1995</w:t>
      </w:r>
      <w:r>
        <w:t>,</w:t>
      </w:r>
      <w:r w:rsidR="00FA0E60" w:rsidRPr="008B00F0">
        <w:t xml:space="preserve"> </w:t>
      </w:r>
      <w:r>
        <w:t xml:space="preserve">la cual señala las </w:t>
      </w:r>
      <w:r w:rsidR="00FA0E60" w:rsidRPr="008B00F0">
        <w:t>“reglas que regulen el funcionamiento del mercado mayorista en los aspectos relacionados con las transacciones comerciales realizadas entre los agentes que participan en ese mercado”</w:t>
      </w:r>
      <w:r>
        <w:t>, e</w:t>
      </w:r>
      <w:r w:rsidR="00FA0E60" w:rsidRPr="008B00F0">
        <w:t>n su artículo 5</w:t>
      </w:r>
      <w:r>
        <w:t xml:space="preserve">, </w:t>
      </w:r>
      <w:r w:rsidR="00FA0E60" w:rsidRPr="008B00F0">
        <w:t>indica que los agentes del mercado son los generadores, los comercializadores y los transportadores. Los puntos donde se realizan los intercambios de energía se definen en los siguientes términos en el artículo 9 de la citada resolución:</w:t>
      </w:r>
    </w:p>
    <w:p w14:paraId="02E2745B" w14:textId="77777777" w:rsidR="00FA0E60" w:rsidRPr="008B00F0" w:rsidRDefault="00FA0E60" w:rsidP="00FA0E60">
      <w:pPr>
        <w:spacing w:after="0"/>
        <w:ind w:left="284"/>
        <w:rPr>
          <w:i/>
          <w:iCs/>
        </w:rPr>
      </w:pPr>
      <w:r w:rsidRPr="008B00F0">
        <w:rPr>
          <w:i/>
          <w:iCs/>
        </w:rPr>
        <w:t>ARTICULO 9o.</w:t>
      </w:r>
      <w:r w:rsidRPr="008B00F0">
        <w:rPr>
          <w:i/>
          <w:iCs/>
        </w:rPr>
        <w:tab/>
        <w:t xml:space="preserve">FRONTERAS COMERCIALES. Son fronteras comerciales en el mercado mayorista el punto de conexión de generadores y comercializadores a las redes del Sistema de Transmisión Nacional, a los Sistemas de Transmisión Regional o a los Sistemas de Distribución local. Esta frontera solo define el punto de </w:t>
      </w:r>
      <w:proofErr w:type="gramStart"/>
      <w:r w:rsidRPr="008B00F0">
        <w:rPr>
          <w:i/>
          <w:iCs/>
        </w:rPr>
        <w:t>medición</w:t>
      </w:r>
      <w:proofErr w:type="gramEnd"/>
      <w:r w:rsidRPr="008B00F0">
        <w:rPr>
          <w:i/>
          <w:iCs/>
        </w:rPr>
        <w:t xml:space="preserve"> pero no la responsabilidad por las pérdidas en los sistemas de transmisión y distribución.  Por lo tanto, cada agente participante del mercado mayorista puede tener uno o más puntos de frontera comercial.</w:t>
      </w:r>
    </w:p>
    <w:p w14:paraId="44967DFB" w14:textId="09510F7C" w:rsidR="00FA0E60" w:rsidRPr="00B52529" w:rsidRDefault="00FA0E60" w:rsidP="00FA0E60">
      <w:pPr>
        <w:spacing w:before="240" w:after="0"/>
      </w:pPr>
      <w:r w:rsidRPr="00B52529">
        <w:t xml:space="preserve">Dada la importancia de las fronteras comerciales para la liquidación </w:t>
      </w:r>
      <w:r w:rsidR="00A22BFB" w:rsidRPr="00B52529">
        <w:t>de las transacciones</w:t>
      </w:r>
      <w:r w:rsidRPr="00B52529">
        <w:t xml:space="preserve"> del mercado de energía, </w:t>
      </w:r>
      <w:r w:rsidR="00B52529" w:rsidRPr="006C6950">
        <w:t xml:space="preserve">desde el año 1995 se implementó un procedimiento por parte del Administrador del Sistema de Intercambios Comerciales, ASIC, para cumplir con este mandato regulatorio. Posteriormente, </w:t>
      </w:r>
      <w:r w:rsidRPr="00B52529">
        <w:t>en la Resolución CREG 047 de 2000</w:t>
      </w:r>
      <w:r w:rsidR="00B52529" w:rsidRPr="006C6950">
        <w:t>,</w:t>
      </w:r>
      <w:r w:rsidRPr="00B52529">
        <w:t xml:space="preserve"> y luego en la Resolución CREG 006 de </w:t>
      </w:r>
      <w:r w:rsidRPr="00B52529">
        <w:lastRenderedPageBreak/>
        <w:t xml:space="preserve">2003, que derogó la anterior, se establece un procedimiento </w:t>
      </w:r>
      <w:r w:rsidR="00B52529" w:rsidRPr="006C6950">
        <w:t xml:space="preserve">detallado </w:t>
      </w:r>
      <w:r w:rsidRPr="00B52529">
        <w:t>para el registro de estas fronteras</w:t>
      </w:r>
      <w:r w:rsidR="009C27B4" w:rsidRPr="00B52529">
        <w:t>,</w:t>
      </w:r>
      <w:r w:rsidRPr="00B52529">
        <w:t xml:space="preserve"> y se señala que </w:t>
      </w:r>
      <w:r w:rsidR="005C65DF" w:rsidRPr="00B52529">
        <w:t xml:space="preserve">este registro </w:t>
      </w:r>
      <w:r w:rsidRPr="00B52529">
        <w:t>solo tiene implicaciones en la liquidación del mercado una vez se haya cumplido con dicho procedimiento, para lo cual se definió la Fecha de Registro en los siguientes términos:</w:t>
      </w:r>
    </w:p>
    <w:p w14:paraId="5C6BE57E" w14:textId="77777777" w:rsidR="00FA0E60" w:rsidRPr="008B00F0" w:rsidRDefault="00FA0E60" w:rsidP="00FA0E60">
      <w:pPr>
        <w:spacing w:after="0"/>
        <w:ind w:left="284"/>
        <w:rPr>
          <w:i/>
          <w:iCs/>
        </w:rPr>
      </w:pPr>
      <w:r w:rsidRPr="00B52529">
        <w:rPr>
          <w:i/>
          <w:iCs/>
        </w:rPr>
        <w:t>Fecha de Registro: Fecha en la cual se finaliza el Procedimiento de Registro de la frontera comercial o del contrato, definido en la presente Resolución, para que un agente participe en las liquidaciones de las transacciones comerciales del mercado mayorista.  Ésta se considera como la fecha de entrada en Operación Comercial de la frontera o contrato y se considera la fecha a partir de la cual el ASIC incluye éstos en la liquidación de las transacciones del Mercado Mayorista.</w:t>
      </w:r>
    </w:p>
    <w:p w14:paraId="3250056A" w14:textId="05C7F0D0" w:rsidR="00FA0E60" w:rsidRPr="008B00F0" w:rsidRDefault="00B52529" w:rsidP="00FA0E60">
      <w:pPr>
        <w:spacing w:before="240" w:after="0"/>
      </w:pPr>
      <w:r>
        <w:t xml:space="preserve">Finalmente, </w:t>
      </w:r>
      <w:r w:rsidR="00FB5157">
        <w:t xml:space="preserve">en la resolución </w:t>
      </w:r>
      <w:r>
        <w:t>CREG 15</w:t>
      </w:r>
      <w:r w:rsidR="00FB5157">
        <w:t>7</w:t>
      </w:r>
      <w:r>
        <w:t xml:space="preserve"> de 2011, se ajustan los procedimientos para realizar los registros de fronteras comerciales, como elemento esencial, no solo de la liquidación de las transacciones comerciales en el mercado mayorista de energía, sino también como aquel procedimiento que materializa el cambio de comercializador por parte de un usuario. </w:t>
      </w:r>
      <w:r w:rsidR="00FA0E60" w:rsidRPr="008B00F0">
        <w:t>Por tanto, no corresponde, en las resoluciones donde se establece la remuneración de la actividad de distribución, fijar los parámetros sobre la exigencia del registro de las fronteras comerciales, materia ya definida en resoluciones como las mencionadas arriba</w:t>
      </w:r>
      <w:r w:rsidR="009C27B4">
        <w:t>,</w:t>
      </w:r>
      <w:r w:rsidR="00FA0E60" w:rsidRPr="008B00F0">
        <w:t xml:space="preserve"> y que le son exigibles a todos los agentes del mercado, incluyendo a los comercializadores. Entonces, la obligación del registro de la frontera comercial no aparece, como se quiere hacer ver en el recurso, a partir de la expedición de la Resolución CREG 015 de 2018, sino que es un requisito exigido desde mucho antes</w:t>
      </w:r>
      <w:r>
        <w:t>, y se constituye en un elemento fundamental para la operación comercial del mercado</w:t>
      </w:r>
      <w:r w:rsidR="00FA0E60" w:rsidRPr="008B00F0">
        <w:t>.</w:t>
      </w:r>
    </w:p>
    <w:p w14:paraId="42EC89E6" w14:textId="16AF6217" w:rsidR="00FA0E60" w:rsidRPr="008B00F0" w:rsidRDefault="00FA0E60" w:rsidP="00FA0E60">
      <w:pPr>
        <w:spacing w:before="240" w:after="0"/>
      </w:pPr>
      <w:r w:rsidRPr="008B00F0">
        <w:t>De las normas citadas, se entiende que</w:t>
      </w:r>
      <w:r w:rsidR="009C27B4">
        <w:t>,</w:t>
      </w:r>
      <w:r w:rsidRPr="008B00F0">
        <w:t xml:space="preserve"> además de la instalación de equipos o líneas, en la regulación se exigen diferentes requisitos que deben cumplirse para que un usuario modifique su punto de conexión, particularmente cuando va a conectarse al STN. Y solo cuando se cumpla con estos procedimientos, el registro de la frontera comercial tiene efectos en las transacciones del mercado mayorista de energía, no antes.</w:t>
      </w:r>
    </w:p>
    <w:p w14:paraId="077326F5" w14:textId="6152C8D2" w:rsidR="00FA0E60" w:rsidRPr="008B00F0" w:rsidRDefault="00FA0E60" w:rsidP="00FA0E60">
      <w:pPr>
        <w:spacing w:before="240" w:after="0"/>
      </w:pPr>
      <w:r w:rsidRPr="008B00F0">
        <w:t>Con lo anterior se ratifica que, si un usuario pretende cambiarse de un nivel de tensión a otro, debe cumplir con los requisitos técnicos para ello, cumplir la regulación vigente, obtener el concepto técnico favorable de conexión al nuevo punto, suscribir los contratos correspondientes, si se requieren, y cumplir con el registro o modificación de su frontera comercial, para que los cambios puedan tenerse en cuenta en las actividades de liquidación y facturación, tanto del mercado de la energía</w:t>
      </w:r>
      <w:r w:rsidR="009C27B4">
        <w:t>,</w:t>
      </w:r>
      <w:r w:rsidRPr="008B00F0">
        <w:t xml:space="preserve"> como de los sistemas usados para el transporte de esta. No es suficiente cumplir con una o algunas de las anteriores actividades, tienen que cumplirse todas.</w:t>
      </w:r>
    </w:p>
    <w:p w14:paraId="67AA35C8" w14:textId="77777777" w:rsidR="00FA0E60" w:rsidRPr="008B00F0" w:rsidRDefault="00FA0E60" w:rsidP="00FA0E60">
      <w:pPr>
        <w:spacing w:before="240" w:after="0"/>
      </w:pPr>
      <w:r w:rsidRPr="008B00F0">
        <w:t>De las diferentes pruebas conocidas dentro de la actuación administrativa, los documentos allegados y las audiencias llevadas a cabo, se pueden evidenciar las siguientes situaciones:</w:t>
      </w:r>
    </w:p>
    <w:p w14:paraId="07DE1D04"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Desde el inicio de su conexión al sistema interconectado y hasta octubre de 2009, a Diaco se le facturaron cargos por uso del STR.</w:t>
      </w:r>
    </w:p>
    <w:p w14:paraId="6F0BD062"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lastRenderedPageBreak/>
        <w:t>En agosto de 2008, se suscribió un contrato mediante el cual EBSA y DIACO iban a formalizar la conexión al STN, según lo expresa Diaco en su recurso.</w:t>
      </w:r>
    </w:p>
    <w:p w14:paraId="334626B4"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En la primera cláusula del referido contrato se lee: “El objeto del presente contrato se encuentra sometido a una condición suspensiva relativa a la ocurrencia de uno de los siguientes dos supuestos: …”. Los supuestos están relacionados con el posible texto de la resolución que, una vez expedida, se denominó Resolución CREG 097 de 2008.</w:t>
      </w:r>
    </w:p>
    <w:p w14:paraId="25479ED5"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 xml:space="preserve">En la segunda cláusula del contrato se estipula: “El presente Contrato tiene por objeto regular las relaciones jurídicas, técnicas, económicas, administrativas, y comerciales entre las partes, que se derivan del ofrecimiento y ratificación que hace EBSA a DIACO de un punto de conexión a la subestación Paipa a 115 kV, de propiedad de EBSA; </w:t>
      </w:r>
      <w:r w:rsidRPr="008B00F0">
        <w:rPr>
          <w:szCs w:val="24"/>
          <w:u w:val="single"/>
        </w:rPr>
        <w:t>de un punto de conexión al STN</w:t>
      </w:r>
      <w:r w:rsidRPr="008B00F0">
        <w:rPr>
          <w:szCs w:val="24"/>
        </w:rPr>
        <w:t xml:space="preserve"> …”</w:t>
      </w:r>
    </w:p>
    <w:p w14:paraId="47A52A3E"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En octubre de 2008 quedó en firme la Resolución CREG 097 de 2008, mediante la cual se estableció la metodología de remuneración de la actividad de distribución.</w:t>
      </w:r>
    </w:p>
    <w:p w14:paraId="265276B3"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En noviembre de 2009 se registró la frontera de Diaco en el STN, es decir, solo a partir de esta fecha se empezó a tener en cuenta en la liquidación del mercado como un usuario del STN.</w:t>
      </w:r>
    </w:p>
    <w:p w14:paraId="44A07344" w14:textId="3FEF1088" w:rsidR="00FA0E60" w:rsidRPr="008B00F0" w:rsidRDefault="00FA0E60" w:rsidP="00FA0E60">
      <w:pPr>
        <w:spacing w:after="0"/>
      </w:pPr>
      <w:r w:rsidRPr="008B00F0">
        <w:t>Con los hechos mencionados y la regulación vigente, se obtienen las siguientes conclusiones acerca de la situación del usuario Diaco a la fecha de entrada en vigencia de la Resolución CREG 097 de 2008, es decir</w:t>
      </w:r>
      <w:r w:rsidR="009C27B4">
        <w:t>,</w:t>
      </w:r>
      <w:r w:rsidRPr="008B00F0">
        <w:t xml:space="preserve"> a octubre de 2008:</w:t>
      </w:r>
    </w:p>
    <w:p w14:paraId="5A72C10E" w14:textId="626E0166" w:rsidR="00FA0E60" w:rsidRPr="008B00F0" w:rsidRDefault="00FA0E60" w:rsidP="00FA0E60">
      <w:pPr>
        <w:pStyle w:val="Prrafodelista"/>
        <w:numPr>
          <w:ilvl w:val="0"/>
          <w:numId w:val="26"/>
        </w:numPr>
        <w:spacing w:before="120" w:after="0"/>
        <w:ind w:left="714" w:hanging="357"/>
        <w:rPr>
          <w:szCs w:val="24"/>
        </w:rPr>
      </w:pPr>
      <w:r w:rsidRPr="008B00F0">
        <w:rPr>
          <w:szCs w:val="24"/>
        </w:rPr>
        <w:t>Al usuario Diaco se le estaban facturando cargos por uso del STR, su frontera estaba registrada en este nivel de tensión y, por tanto, era usuario de este sistema;</w:t>
      </w:r>
    </w:p>
    <w:p w14:paraId="7F652F9E" w14:textId="77777777" w:rsidR="00FA0E60" w:rsidRPr="008B00F0" w:rsidRDefault="00FA0E60" w:rsidP="00FA0E60">
      <w:pPr>
        <w:pStyle w:val="Prrafodelista"/>
        <w:numPr>
          <w:ilvl w:val="0"/>
          <w:numId w:val="26"/>
        </w:numPr>
        <w:spacing w:before="120" w:after="0"/>
        <w:ind w:left="714" w:hanging="357"/>
        <w:rPr>
          <w:szCs w:val="24"/>
        </w:rPr>
      </w:pPr>
      <w:r w:rsidRPr="008B00F0">
        <w:rPr>
          <w:szCs w:val="24"/>
        </w:rPr>
        <w:t>El contrato de conexión al STN estaba en condición suspensiva, su aplicación dependía del texto definitivo de la Resolución CREG 097 de 2008.</w:t>
      </w:r>
    </w:p>
    <w:p w14:paraId="67E0B210" w14:textId="238D55F9" w:rsidR="00FA0E60" w:rsidRPr="008B00F0" w:rsidRDefault="00FA0E60" w:rsidP="00FA0E60">
      <w:pPr>
        <w:tabs>
          <w:tab w:val="left" w:pos="2599"/>
        </w:tabs>
        <w:spacing w:after="0"/>
      </w:pPr>
      <w:r w:rsidRPr="008B00F0">
        <w:t xml:space="preserve">Con </w:t>
      </w:r>
      <w:r w:rsidR="00B10C12">
        <w:t xml:space="preserve">base en </w:t>
      </w:r>
      <w:r w:rsidR="00B10C12" w:rsidRPr="008B00F0">
        <w:t xml:space="preserve">lo anterior, </w:t>
      </w:r>
      <w:r w:rsidR="00B10C12">
        <w:t>se ratifica lo expresado en los considerandos de la Resolución CREG 106 de 2012</w:t>
      </w:r>
      <w:r w:rsidR="009C27B4">
        <w:t>,</w:t>
      </w:r>
      <w:r w:rsidR="00B10C12">
        <w:t xml:space="preserve"> donde se concluyó que “</w:t>
      </w:r>
      <w:r w:rsidR="00B10C12" w:rsidRPr="008B00F0">
        <w:rPr>
          <w:i/>
          <w:iCs/>
        </w:rPr>
        <w:t>el caso del usuario Diaco no se ajusta a la situación descrita en el parágrafo del artículo 7 de la Resolución CREG 097 de 2008, debido a que este usuario tenía registrada su frontera en el nivel de tensión 4 y no en el STN</w:t>
      </w:r>
      <w:r w:rsidR="00B10C12">
        <w:t>”</w:t>
      </w:r>
      <w:r w:rsidRPr="008B00F0">
        <w:t>.</w:t>
      </w:r>
    </w:p>
    <w:p w14:paraId="321BFEC8" w14:textId="77777777" w:rsidR="00FA0E60" w:rsidRPr="00773E71" w:rsidRDefault="00FA0E60" w:rsidP="00FA0E60">
      <w:pPr>
        <w:tabs>
          <w:tab w:val="left" w:pos="2599"/>
        </w:tabs>
        <w:spacing w:after="0"/>
      </w:pPr>
      <w:r w:rsidRPr="008B00F0">
        <w:t>Por lo expuesto, y con base en la información aportada durante la actuación administrativa, incluyendo la etapa del recurso de reposición, se concluye que los activos que están siendo usados por Diaco, y son compartidos con los demás usuarios del Sistema de Transmisión Regional, STR, de EBSA, deben ser incluidos en el inventario reconocido a esta última empresa con un porcentaje de uso del 100%.</w:t>
      </w:r>
      <w:r>
        <w:t xml:space="preserve">  </w:t>
      </w:r>
    </w:p>
    <w:p w14:paraId="141EBA23" w14:textId="77777777" w:rsidR="00E01476" w:rsidRDefault="00E01476" w:rsidP="00E01476"/>
    <w:p w14:paraId="79D78BC1" w14:textId="77777777" w:rsidR="00E01476" w:rsidRPr="00E12C23" w:rsidRDefault="00E01476" w:rsidP="00E01476">
      <w:pPr>
        <w:rPr>
          <w:b/>
          <w:bCs/>
        </w:rPr>
      </w:pPr>
      <w:r>
        <w:rPr>
          <w:b/>
          <w:bCs/>
        </w:rPr>
        <w:t>C</w:t>
      </w:r>
      <w:r w:rsidRPr="00E12C23">
        <w:rPr>
          <w:b/>
          <w:bCs/>
        </w:rPr>
        <w:t xml:space="preserve">. </w:t>
      </w:r>
      <w:r>
        <w:rPr>
          <w:b/>
          <w:bCs/>
        </w:rPr>
        <w:t>Otros</w:t>
      </w:r>
    </w:p>
    <w:p w14:paraId="3FEFBB6C" w14:textId="2CA76A80" w:rsidR="008C3F40" w:rsidRDefault="00B669C3" w:rsidP="000D3656">
      <w:r>
        <w:t>El numeral 5.2.3.2.2 del anexo general de la Resolución CREG 015 de 2018 establece que se aplicarán incentivos a la calidad media a los OR, con base en el desempeño que tenga en los indicadores de duración y frecuencia de eventos.</w:t>
      </w:r>
    </w:p>
    <w:p w14:paraId="2DAD6C25" w14:textId="11CD7278" w:rsidR="00B669C3" w:rsidRDefault="00B669C3" w:rsidP="008B64FE">
      <w:pPr>
        <w:spacing w:after="0"/>
      </w:pPr>
      <w:r>
        <w:lastRenderedPageBreak/>
        <w:t xml:space="preserve">En el 5.2.16 del anexo general de la Resolución CREG 015 de 2018 se establece que los eventos sucedidos en los SDL a partir del 1 de enero de 2019 deben ser considerados en la aplicación de la regulación de calidad del servicio establecida en esa resolución. </w:t>
      </w:r>
    </w:p>
    <w:p w14:paraId="11AD1CE5" w14:textId="77777777" w:rsidR="008B64FE" w:rsidRDefault="008B64FE" w:rsidP="008B64FE">
      <w:pPr>
        <w:spacing w:after="0"/>
      </w:pPr>
    </w:p>
    <w:p w14:paraId="47644FEE" w14:textId="07308B3C" w:rsidR="002A7D62" w:rsidRPr="00BF69C9" w:rsidRDefault="002A7D62" w:rsidP="008B64FE">
      <w:pPr>
        <w:spacing w:before="0"/>
        <w:rPr>
          <w:spacing w:val="-3"/>
        </w:rPr>
      </w:pPr>
      <w:r w:rsidRPr="00BF69C9">
        <w:rPr>
          <w:spacing w:val="-3"/>
        </w:rPr>
        <w:t xml:space="preserve">Con base en lo anterior, la Comisión de Regulación de Energía y Gas, en su sesión </w:t>
      </w:r>
      <w:r w:rsidR="008B64FE" w:rsidRPr="008B64FE">
        <w:rPr>
          <w:spacing w:val="-3"/>
        </w:rPr>
        <w:t>1017</w:t>
      </w:r>
      <w:r w:rsidR="00366AC7" w:rsidRPr="008B64FE">
        <w:rPr>
          <w:spacing w:val="-3"/>
        </w:rPr>
        <w:t xml:space="preserve"> del </w:t>
      </w:r>
      <w:r w:rsidR="00A22A04" w:rsidRPr="008B64FE">
        <w:rPr>
          <w:spacing w:val="-3"/>
        </w:rPr>
        <w:t xml:space="preserve">12 </w:t>
      </w:r>
      <w:r w:rsidRPr="008B64FE">
        <w:rPr>
          <w:spacing w:val="-3"/>
        </w:rPr>
        <w:t xml:space="preserve">de </w:t>
      </w:r>
      <w:r w:rsidR="00A22A04" w:rsidRPr="008B64FE">
        <w:rPr>
          <w:spacing w:val="-3"/>
        </w:rPr>
        <w:t>junio</w:t>
      </w:r>
      <w:r w:rsidR="002F7B19" w:rsidRPr="008B64FE">
        <w:rPr>
          <w:spacing w:val="-3"/>
        </w:rPr>
        <w:t xml:space="preserve"> </w:t>
      </w:r>
      <w:r w:rsidRPr="008B64FE">
        <w:rPr>
          <w:spacing w:val="-3"/>
        </w:rPr>
        <w:t>de 20</w:t>
      </w:r>
      <w:r w:rsidR="00AB668B" w:rsidRPr="008B64FE">
        <w:rPr>
          <w:spacing w:val="-3"/>
        </w:rPr>
        <w:t>20</w:t>
      </w:r>
      <w:r w:rsidRPr="00BF69C9">
        <w:rPr>
          <w:spacing w:val="-3"/>
        </w:rPr>
        <w:t xml:space="preserve">, acordó expedir esta resolución. </w:t>
      </w:r>
    </w:p>
    <w:p w14:paraId="6E5B4B14" w14:textId="77777777" w:rsidR="00595129" w:rsidRPr="00BF69C9" w:rsidRDefault="00595129" w:rsidP="00CF0103">
      <w:pPr>
        <w:spacing w:before="480" w:after="480"/>
        <w:ind w:right="51"/>
        <w:jc w:val="center"/>
        <w:rPr>
          <w:b/>
        </w:rPr>
      </w:pPr>
      <w:r w:rsidRPr="00BF69C9">
        <w:rPr>
          <w:b/>
        </w:rPr>
        <w:t>RESUELVE:</w:t>
      </w:r>
    </w:p>
    <w:p w14:paraId="6611A3E9" w14:textId="1E13138E" w:rsidR="0074482F" w:rsidRPr="001B07BA" w:rsidRDefault="001006E8" w:rsidP="0074482F">
      <w:pPr>
        <w:pStyle w:val="Artculo"/>
        <w:spacing w:before="200" w:after="200"/>
        <w:ind w:left="0"/>
        <w:outlineLvl w:val="2"/>
        <w:rPr>
          <w:b w:val="0"/>
          <w:bCs/>
        </w:rPr>
      </w:pPr>
      <w:r w:rsidRPr="001006E8">
        <w:t xml:space="preserve">Modificar el artículo 2 de la Resolución CREG 177 de 2019. </w:t>
      </w:r>
      <w:r w:rsidRPr="001B07BA">
        <w:rPr>
          <w:b w:val="0"/>
          <w:bCs/>
        </w:rPr>
        <w:t>El artículo 2 de la Resolución CREG 177 de 2019 quedará así</w:t>
      </w:r>
      <w:r w:rsidR="0074482F" w:rsidRPr="001B07BA">
        <w:rPr>
          <w:b w:val="0"/>
          <w:bCs/>
          <w:sz w:val="22"/>
          <w:szCs w:val="22"/>
        </w:rPr>
        <w:t>.</w:t>
      </w:r>
    </w:p>
    <w:p w14:paraId="3F5C3481" w14:textId="31389BD8" w:rsidR="00B554FE" w:rsidRPr="001006E8" w:rsidRDefault="001006E8" w:rsidP="001006E8">
      <w:pPr>
        <w:ind w:left="426"/>
        <w:rPr>
          <w:b/>
          <w:sz w:val="22"/>
          <w:szCs w:val="22"/>
        </w:rPr>
      </w:pPr>
      <w:r w:rsidRPr="001006E8">
        <w:rPr>
          <w:b/>
          <w:bCs/>
          <w:sz w:val="22"/>
          <w:szCs w:val="22"/>
        </w:rPr>
        <w:t xml:space="preserve">Artículo 2. </w:t>
      </w:r>
      <w:r w:rsidR="00690CEF" w:rsidRPr="001006E8">
        <w:rPr>
          <w:b/>
          <w:bCs/>
          <w:sz w:val="22"/>
          <w:szCs w:val="22"/>
        </w:rPr>
        <w:t>Base regulatoria de activos eléctricos al inicio del periodo tarifario.</w:t>
      </w:r>
      <w:r w:rsidR="00690CEF" w:rsidRPr="001006E8">
        <w:rPr>
          <w:sz w:val="22"/>
          <w:szCs w:val="22"/>
        </w:rPr>
        <w:t xml:space="preserve"> La base regulatoria de activos eléctricos al inicio del </w:t>
      </w:r>
      <w:r w:rsidR="00985954" w:rsidRPr="001006E8">
        <w:rPr>
          <w:sz w:val="22"/>
          <w:szCs w:val="22"/>
        </w:rPr>
        <w:t>per</w:t>
      </w:r>
      <w:r w:rsidR="00985954">
        <w:rPr>
          <w:sz w:val="22"/>
          <w:szCs w:val="22"/>
        </w:rPr>
        <w:t>í</w:t>
      </w:r>
      <w:r w:rsidR="00985954" w:rsidRPr="001006E8">
        <w:rPr>
          <w:sz w:val="22"/>
          <w:szCs w:val="22"/>
        </w:rPr>
        <w:t xml:space="preserve">odo </w:t>
      </w:r>
      <w:r w:rsidR="00690CEF" w:rsidRPr="001006E8">
        <w:rPr>
          <w:sz w:val="22"/>
          <w:szCs w:val="22"/>
        </w:rPr>
        <w:t>tarifario</w:t>
      </w:r>
      <w:r w:rsidR="00585CF8" w:rsidRPr="001006E8">
        <w:rPr>
          <w:sz w:val="22"/>
          <w:szCs w:val="22"/>
        </w:rPr>
        <w:t xml:space="preserve">, </w:t>
      </w:r>
      <w:proofErr w:type="gramStart"/>
      <w:r w:rsidR="00585CF8" w:rsidRPr="001006E8">
        <w:rPr>
          <w:i/>
          <w:sz w:val="22"/>
          <w:szCs w:val="22"/>
        </w:rPr>
        <w:t>BRAE</w:t>
      </w:r>
      <w:r w:rsidR="00585CF8" w:rsidRPr="001006E8">
        <w:rPr>
          <w:i/>
          <w:sz w:val="22"/>
          <w:szCs w:val="22"/>
          <w:vertAlign w:val="subscript"/>
        </w:rPr>
        <w:t>j,n</w:t>
      </w:r>
      <w:proofErr w:type="gramEnd"/>
      <w:r w:rsidR="00585CF8" w:rsidRPr="001006E8">
        <w:rPr>
          <w:i/>
          <w:sz w:val="22"/>
          <w:szCs w:val="22"/>
          <w:vertAlign w:val="subscript"/>
        </w:rPr>
        <w:t>,0</w:t>
      </w:r>
      <w:r w:rsidR="00585CF8" w:rsidRPr="006F0DAD">
        <w:rPr>
          <w:i/>
          <w:sz w:val="22"/>
          <w:szCs w:val="22"/>
        </w:rPr>
        <w:t>,</w:t>
      </w:r>
      <w:r w:rsidR="00690CEF" w:rsidRPr="001006E8">
        <w:rPr>
          <w:sz w:val="22"/>
          <w:szCs w:val="22"/>
        </w:rPr>
        <w:t xml:space="preserve"> es el siguiente:</w:t>
      </w:r>
    </w:p>
    <w:p w14:paraId="4F57049D" w14:textId="63BF759F" w:rsidR="00FA5BD7" w:rsidRDefault="00FA5BD7" w:rsidP="001006E8">
      <w:pPr>
        <w:pStyle w:val="Descripcin"/>
        <w:ind w:left="426"/>
      </w:pPr>
      <w:r>
        <w:t xml:space="preserve">Tabla </w:t>
      </w:r>
      <w:r w:rsidR="0088389F">
        <w:rPr>
          <w:noProof/>
        </w:rPr>
        <w:t>1</w:t>
      </w:r>
      <w:r>
        <w:t xml:space="preserve"> </w:t>
      </w:r>
      <w:r w:rsidR="00452577">
        <w:t>B</w:t>
      </w:r>
      <w:r>
        <w:t xml:space="preserve">ase regulatoria de activos eléctricos al inicio del </w:t>
      </w:r>
      <w:r w:rsidR="00985954">
        <w:t xml:space="preserve">período </w:t>
      </w:r>
      <w:r>
        <w:t xml:space="preserve">tarifario. </w:t>
      </w:r>
    </w:p>
    <w:tbl>
      <w:tblPr>
        <w:tblW w:w="3580" w:type="dxa"/>
        <w:jc w:val="center"/>
        <w:tblCellMar>
          <w:left w:w="70" w:type="dxa"/>
          <w:right w:w="70" w:type="dxa"/>
        </w:tblCellMar>
        <w:tblLook w:val="04A0" w:firstRow="1" w:lastRow="0" w:firstColumn="1" w:lastColumn="0" w:noHBand="0" w:noVBand="1"/>
      </w:tblPr>
      <w:tblGrid>
        <w:gridCol w:w="1600"/>
        <w:gridCol w:w="1980"/>
      </w:tblGrid>
      <w:tr w:rsidR="001006E8" w:rsidRPr="001006E8" w14:paraId="0D3894B7" w14:textId="77777777" w:rsidTr="001006E8">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00E6F" w14:textId="77777777" w:rsidR="001006E8" w:rsidRPr="001006E8" w:rsidRDefault="001006E8" w:rsidP="001006E8">
            <w:pPr>
              <w:spacing w:before="0" w:after="0"/>
              <w:jc w:val="left"/>
              <w:rPr>
                <w:rFonts w:cs="Arial"/>
                <w:b/>
                <w:bCs/>
                <w:sz w:val="18"/>
                <w:szCs w:val="18"/>
                <w:lang w:val="es-CO" w:eastAsia="es-CO"/>
              </w:rPr>
            </w:pPr>
            <w:r w:rsidRPr="001006E8">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15677A4" w14:textId="77777777" w:rsidR="001006E8" w:rsidRPr="001006E8" w:rsidRDefault="001006E8" w:rsidP="001006E8">
            <w:pPr>
              <w:spacing w:before="0" w:after="0"/>
              <w:jc w:val="center"/>
              <w:rPr>
                <w:rFonts w:cs="Arial"/>
                <w:b/>
                <w:bCs/>
                <w:sz w:val="18"/>
                <w:szCs w:val="18"/>
                <w:lang w:val="es-CO" w:eastAsia="es-CO"/>
              </w:rPr>
            </w:pPr>
            <w:r w:rsidRPr="001006E8">
              <w:rPr>
                <w:rFonts w:cs="Arial"/>
                <w:b/>
                <w:bCs/>
                <w:sz w:val="18"/>
                <w:szCs w:val="18"/>
                <w:lang w:val="es-CO" w:eastAsia="es-CO"/>
              </w:rPr>
              <w:t>Pesos de diciembre de 2017</w:t>
            </w:r>
          </w:p>
        </w:tc>
      </w:tr>
      <w:tr w:rsidR="001006E8" w:rsidRPr="001006E8" w14:paraId="4CA6B85D" w14:textId="77777777" w:rsidTr="001006E8">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EADE48E" w14:textId="77777777" w:rsidR="001006E8" w:rsidRPr="001006E8" w:rsidRDefault="001006E8" w:rsidP="001006E8">
            <w:pPr>
              <w:spacing w:before="0" w:after="0"/>
              <w:jc w:val="center"/>
              <w:rPr>
                <w:rFonts w:cs="Arial"/>
                <w:i/>
                <w:iCs/>
                <w:sz w:val="18"/>
                <w:szCs w:val="18"/>
                <w:lang w:val="es-CO" w:eastAsia="es-CO"/>
              </w:rPr>
            </w:pPr>
            <w:r w:rsidRPr="001006E8">
              <w:rPr>
                <w:rFonts w:cs="Arial"/>
                <w:i/>
                <w:iCs/>
                <w:sz w:val="18"/>
                <w:szCs w:val="18"/>
                <w:lang w:val="es-CO" w:eastAsia="es-CO"/>
              </w:rPr>
              <w:t>BRAE</w:t>
            </w:r>
            <w:r w:rsidRPr="001006E8">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0025FEA5" w14:textId="77777777" w:rsidR="001006E8" w:rsidRPr="001006E8" w:rsidRDefault="001006E8" w:rsidP="001006E8">
            <w:pPr>
              <w:spacing w:before="0" w:after="0"/>
              <w:jc w:val="right"/>
              <w:rPr>
                <w:rFonts w:cs="Arial"/>
                <w:sz w:val="18"/>
                <w:szCs w:val="18"/>
                <w:lang w:val="es-CO" w:eastAsia="es-CO"/>
              </w:rPr>
            </w:pPr>
            <w:r w:rsidRPr="001006E8">
              <w:rPr>
                <w:rFonts w:cs="Arial"/>
                <w:sz w:val="18"/>
                <w:szCs w:val="18"/>
                <w:lang w:val="es-CO" w:eastAsia="es-CO"/>
              </w:rPr>
              <w:t>263.027.036.171</w:t>
            </w:r>
          </w:p>
        </w:tc>
      </w:tr>
      <w:tr w:rsidR="001006E8" w:rsidRPr="001006E8" w14:paraId="529FE93E" w14:textId="77777777" w:rsidTr="001006E8">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2FB9903" w14:textId="77777777" w:rsidR="001006E8" w:rsidRPr="001006E8" w:rsidRDefault="001006E8" w:rsidP="001006E8">
            <w:pPr>
              <w:spacing w:before="0" w:after="0"/>
              <w:jc w:val="center"/>
              <w:rPr>
                <w:rFonts w:cs="Arial"/>
                <w:i/>
                <w:iCs/>
                <w:sz w:val="18"/>
                <w:szCs w:val="18"/>
                <w:lang w:val="es-CO" w:eastAsia="es-CO"/>
              </w:rPr>
            </w:pPr>
            <w:r w:rsidRPr="001006E8">
              <w:rPr>
                <w:rFonts w:cs="Arial"/>
                <w:i/>
                <w:iCs/>
                <w:sz w:val="18"/>
                <w:szCs w:val="18"/>
                <w:lang w:val="es-CO" w:eastAsia="es-CO"/>
              </w:rPr>
              <w:t>BRAE</w:t>
            </w:r>
            <w:r w:rsidRPr="001006E8">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7929C60D" w14:textId="77777777" w:rsidR="001006E8" w:rsidRPr="001006E8" w:rsidRDefault="001006E8" w:rsidP="001006E8">
            <w:pPr>
              <w:spacing w:before="0" w:after="0"/>
              <w:jc w:val="right"/>
              <w:rPr>
                <w:rFonts w:cs="Arial"/>
                <w:sz w:val="18"/>
                <w:szCs w:val="18"/>
                <w:lang w:val="es-CO" w:eastAsia="es-CO"/>
              </w:rPr>
            </w:pPr>
            <w:r w:rsidRPr="001006E8">
              <w:rPr>
                <w:rFonts w:cs="Arial"/>
                <w:sz w:val="18"/>
                <w:szCs w:val="18"/>
                <w:lang w:val="es-CO" w:eastAsia="es-CO"/>
              </w:rPr>
              <w:t>215.411.381.903</w:t>
            </w:r>
          </w:p>
        </w:tc>
      </w:tr>
      <w:tr w:rsidR="001006E8" w:rsidRPr="001006E8" w14:paraId="25006285" w14:textId="77777777" w:rsidTr="001006E8">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BC3C790" w14:textId="77777777" w:rsidR="001006E8" w:rsidRPr="001006E8" w:rsidRDefault="001006E8" w:rsidP="001006E8">
            <w:pPr>
              <w:spacing w:before="0" w:after="0"/>
              <w:jc w:val="center"/>
              <w:rPr>
                <w:rFonts w:cs="Arial"/>
                <w:i/>
                <w:iCs/>
                <w:sz w:val="18"/>
                <w:szCs w:val="18"/>
                <w:lang w:val="es-CO" w:eastAsia="es-CO"/>
              </w:rPr>
            </w:pPr>
            <w:r w:rsidRPr="001006E8">
              <w:rPr>
                <w:rFonts w:cs="Arial"/>
                <w:i/>
                <w:iCs/>
                <w:sz w:val="18"/>
                <w:szCs w:val="18"/>
                <w:lang w:val="es-CO" w:eastAsia="es-CO"/>
              </w:rPr>
              <w:t>BRAE</w:t>
            </w:r>
            <w:r w:rsidRPr="001006E8">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00CBC991" w14:textId="77777777" w:rsidR="001006E8" w:rsidRPr="001006E8" w:rsidRDefault="001006E8" w:rsidP="001006E8">
            <w:pPr>
              <w:spacing w:before="0" w:after="0"/>
              <w:jc w:val="right"/>
              <w:rPr>
                <w:rFonts w:cs="Arial"/>
                <w:sz w:val="18"/>
                <w:szCs w:val="18"/>
                <w:lang w:val="es-CO" w:eastAsia="es-CO"/>
              </w:rPr>
            </w:pPr>
            <w:r w:rsidRPr="001006E8">
              <w:rPr>
                <w:rFonts w:cs="Arial"/>
                <w:sz w:val="18"/>
                <w:szCs w:val="18"/>
                <w:lang w:val="es-CO" w:eastAsia="es-CO"/>
              </w:rPr>
              <w:t>583.700.222.922</w:t>
            </w:r>
          </w:p>
        </w:tc>
      </w:tr>
      <w:tr w:rsidR="001006E8" w:rsidRPr="001006E8" w14:paraId="4BD6A27F" w14:textId="77777777" w:rsidTr="001006E8">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AD04D8E" w14:textId="77777777" w:rsidR="001006E8" w:rsidRPr="001006E8" w:rsidRDefault="001006E8" w:rsidP="001006E8">
            <w:pPr>
              <w:spacing w:before="0" w:after="0"/>
              <w:jc w:val="center"/>
              <w:rPr>
                <w:rFonts w:cs="Arial"/>
                <w:i/>
                <w:iCs/>
                <w:sz w:val="18"/>
                <w:szCs w:val="18"/>
                <w:lang w:val="es-CO" w:eastAsia="es-CO"/>
              </w:rPr>
            </w:pPr>
            <w:r w:rsidRPr="001006E8">
              <w:rPr>
                <w:rFonts w:cs="Arial"/>
                <w:i/>
                <w:iCs/>
                <w:sz w:val="18"/>
                <w:szCs w:val="18"/>
                <w:lang w:val="es-CO" w:eastAsia="es-CO"/>
              </w:rPr>
              <w:t>BRAE</w:t>
            </w:r>
            <w:r w:rsidRPr="001006E8">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443BF945" w14:textId="77777777" w:rsidR="001006E8" w:rsidRPr="001006E8" w:rsidRDefault="001006E8" w:rsidP="001006E8">
            <w:pPr>
              <w:spacing w:before="0" w:after="0"/>
              <w:jc w:val="right"/>
              <w:rPr>
                <w:rFonts w:cs="Arial"/>
                <w:sz w:val="18"/>
                <w:szCs w:val="18"/>
                <w:lang w:val="es-CO" w:eastAsia="es-CO"/>
              </w:rPr>
            </w:pPr>
            <w:r w:rsidRPr="001006E8">
              <w:rPr>
                <w:rFonts w:cs="Arial"/>
                <w:sz w:val="18"/>
                <w:szCs w:val="18"/>
                <w:lang w:val="es-CO" w:eastAsia="es-CO"/>
              </w:rPr>
              <w:t>242.882.754.122</w:t>
            </w:r>
          </w:p>
        </w:tc>
      </w:tr>
    </w:tbl>
    <w:p w14:paraId="03B95680" w14:textId="44C67583" w:rsidR="001B07BA" w:rsidRPr="001B07BA" w:rsidRDefault="001B07BA" w:rsidP="001B07BA">
      <w:pPr>
        <w:pStyle w:val="Artculo"/>
        <w:spacing w:before="200" w:after="200"/>
        <w:ind w:left="0"/>
        <w:outlineLvl w:val="2"/>
        <w:rPr>
          <w:b w:val="0"/>
          <w:bCs/>
        </w:rPr>
      </w:pPr>
      <w:r w:rsidRPr="001006E8">
        <w:t xml:space="preserve">Modificar el artículo </w:t>
      </w:r>
      <w:r>
        <w:t>3</w:t>
      </w:r>
      <w:r w:rsidRPr="001006E8">
        <w:t xml:space="preserve"> de la Resolución CREG 177 de 2019. </w:t>
      </w:r>
      <w:r w:rsidRPr="001B07BA">
        <w:rPr>
          <w:b w:val="0"/>
          <w:bCs/>
        </w:rPr>
        <w:t xml:space="preserve">El artículo </w:t>
      </w:r>
      <w:r>
        <w:rPr>
          <w:b w:val="0"/>
          <w:bCs/>
        </w:rPr>
        <w:t>3</w:t>
      </w:r>
      <w:r w:rsidRPr="001B07BA">
        <w:rPr>
          <w:b w:val="0"/>
          <w:bCs/>
        </w:rPr>
        <w:t xml:space="preserve"> de la Resolución CREG 177 de 2019 quedará así</w:t>
      </w:r>
      <w:r w:rsidRPr="001B07BA">
        <w:rPr>
          <w:b w:val="0"/>
          <w:bCs/>
          <w:sz w:val="22"/>
          <w:szCs w:val="22"/>
        </w:rPr>
        <w:t>.</w:t>
      </w:r>
    </w:p>
    <w:p w14:paraId="3BABF0A4" w14:textId="6443C67C" w:rsidR="00690CEF" w:rsidRPr="006B55F1" w:rsidRDefault="001B07BA" w:rsidP="006B55F1">
      <w:pPr>
        <w:ind w:left="426"/>
        <w:rPr>
          <w:sz w:val="22"/>
          <w:szCs w:val="22"/>
        </w:rPr>
      </w:pPr>
      <w:r w:rsidRPr="006B55F1">
        <w:rPr>
          <w:b/>
          <w:bCs/>
          <w:sz w:val="22"/>
          <w:szCs w:val="22"/>
        </w:rPr>
        <w:t xml:space="preserve">Artículo 3. </w:t>
      </w:r>
      <w:r w:rsidR="00690CEF" w:rsidRPr="006B55F1">
        <w:rPr>
          <w:b/>
          <w:bCs/>
          <w:sz w:val="22"/>
          <w:szCs w:val="22"/>
        </w:rPr>
        <w:t>Inversión aprobada en el plan de inversiones.</w:t>
      </w:r>
      <w:r w:rsidR="00690CEF" w:rsidRPr="006B55F1">
        <w:rPr>
          <w:sz w:val="22"/>
          <w:szCs w:val="22"/>
        </w:rPr>
        <w:t xml:space="preserve"> </w:t>
      </w:r>
      <w:r w:rsidR="008944D2" w:rsidRPr="006B55F1">
        <w:rPr>
          <w:sz w:val="22"/>
          <w:szCs w:val="22"/>
        </w:rPr>
        <w:t>El valor de las i</w:t>
      </w:r>
      <w:r w:rsidR="00690CEF" w:rsidRPr="006B55F1">
        <w:rPr>
          <w:sz w:val="22"/>
          <w:szCs w:val="22"/>
        </w:rPr>
        <w:t>nversi</w:t>
      </w:r>
      <w:r w:rsidR="008944D2" w:rsidRPr="006B55F1">
        <w:rPr>
          <w:sz w:val="22"/>
          <w:szCs w:val="22"/>
        </w:rPr>
        <w:t xml:space="preserve">ones </w:t>
      </w:r>
      <w:r w:rsidR="00690CEF" w:rsidRPr="006B55F1">
        <w:rPr>
          <w:sz w:val="22"/>
          <w:szCs w:val="22"/>
        </w:rPr>
        <w:t>aprobada</w:t>
      </w:r>
      <w:r w:rsidR="008944D2" w:rsidRPr="006B55F1">
        <w:rPr>
          <w:sz w:val="22"/>
          <w:szCs w:val="22"/>
        </w:rPr>
        <w:t>s</w:t>
      </w:r>
      <w:r w:rsidR="00690CEF" w:rsidRPr="006B55F1">
        <w:rPr>
          <w:sz w:val="22"/>
          <w:szCs w:val="22"/>
        </w:rPr>
        <w:t xml:space="preserve"> en el plan de inversiones</w:t>
      </w:r>
      <w:r w:rsidR="00C44B9B" w:rsidRPr="006B55F1">
        <w:rPr>
          <w:sz w:val="22"/>
          <w:szCs w:val="22"/>
        </w:rPr>
        <w:t xml:space="preserve">, </w:t>
      </w:r>
      <w:proofErr w:type="spellStart"/>
      <w:proofErr w:type="gramStart"/>
      <w:r w:rsidR="00C44B9B" w:rsidRPr="006B55F1">
        <w:rPr>
          <w:sz w:val="22"/>
          <w:szCs w:val="22"/>
        </w:rPr>
        <w:t>INVA</w:t>
      </w:r>
      <w:r w:rsidR="00C44B9B" w:rsidRPr="006B55F1">
        <w:rPr>
          <w:sz w:val="22"/>
          <w:szCs w:val="22"/>
          <w:vertAlign w:val="subscript"/>
        </w:rPr>
        <w:t>j,n</w:t>
      </w:r>
      <w:proofErr w:type="gramEnd"/>
      <w:r w:rsidR="00C44B9B" w:rsidRPr="006B55F1">
        <w:rPr>
          <w:sz w:val="22"/>
          <w:szCs w:val="22"/>
          <w:vertAlign w:val="subscript"/>
        </w:rPr>
        <w:t>,l,t</w:t>
      </w:r>
      <w:proofErr w:type="spellEnd"/>
      <w:r w:rsidR="00C44B9B" w:rsidRPr="006B55F1">
        <w:rPr>
          <w:sz w:val="22"/>
          <w:szCs w:val="22"/>
        </w:rPr>
        <w:t xml:space="preserve">, </w:t>
      </w:r>
      <w:r w:rsidR="008944D2" w:rsidRPr="006B55F1">
        <w:rPr>
          <w:sz w:val="22"/>
          <w:szCs w:val="22"/>
        </w:rPr>
        <w:t>para cada nivel de tensión, es el siguiente:</w:t>
      </w:r>
    </w:p>
    <w:p w14:paraId="4E3B8657" w14:textId="687C5505" w:rsidR="007E09A4" w:rsidRDefault="007E09A4" w:rsidP="007E09A4">
      <w:pPr>
        <w:pStyle w:val="Descripcin"/>
      </w:pPr>
      <w:r>
        <w:t xml:space="preserve">Tabla </w:t>
      </w:r>
      <w:r w:rsidR="0088389F">
        <w:rPr>
          <w:noProof/>
        </w:rPr>
        <w:t>2</w:t>
      </w:r>
      <w:r>
        <w:t xml:space="preserve"> Plan de inversiones del nivel de tensión 4, pesos de diciembre de 2017 </w:t>
      </w:r>
    </w:p>
    <w:tbl>
      <w:tblPr>
        <w:tblW w:w="9209" w:type="dxa"/>
        <w:jc w:val="center"/>
        <w:tblCellMar>
          <w:left w:w="70" w:type="dxa"/>
          <w:right w:w="70" w:type="dxa"/>
        </w:tblCellMar>
        <w:tblLook w:val="04A0" w:firstRow="1" w:lastRow="0" w:firstColumn="1" w:lastColumn="0" w:noHBand="0" w:noVBand="1"/>
      </w:tblPr>
      <w:tblGrid>
        <w:gridCol w:w="1413"/>
        <w:gridCol w:w="1559"/>
        <w:gridCol w:w="1559"/>
        <w:gridCol w:w="1560"/>
        <w:gridCol w:w="1559"/>
        <w:gridCol w:w="1559"/>
      </w:tblGrid>
      <w:tr w:rsidR="009E5378" w:rsidRPr="009E5378" w14:paraId="412825D5" w14:textId="77777777" w:rsidTr="009E5378">
        <w:trPr>
          <w:trHeight w:val="72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9E51C" w14:textId="77777777" w:rsidR="009E5378" w:rsidRPr="009E5378" w:rsidRDefault="009E5378" w:rsidP="009E5378">
            <w:pPr>
              <w:spacing w:before="0" w:after="0"/>
              <w:jc w:val="center"/>
              <w:rPr>
                <w:rFonts w:cs="Arial"/>
                <w:b/>
                <w:bCs/>
                <w:color w:val="000000"/>
                <w:sz w:val="18"/>
                <w:szCs w:val="18"/>
                <w:lang w:val="es-CO" w:eastAsia="es-CO"/>
              </w:rPr>
            </w:pPr>
            <w:r w:rsidRPr="009E5378">
              <w:rPr>
                <w:rFonts w:cs="Arial"/>
                <w:b/>
                <w:bCs/>
                <w:color w:val="000000"/>
                <w:sz w:val="18"/>
                <w:szCs w:val="18"/>
                <w:lang w:val="es-CO" w:eastAsia="es-CO"/>
              </w:rPr>
              <w:t xml:space="preserve">Categoría de activos </w:t>
            </w:r>
            <w:r w:rsidRPr="009E5378">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F371F58"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4,l</w:t>
            </w:r>
            <w:proofErr w:type="gramEnd"/>
            <w:r w:rsidRPr="009E5378">
              <w:rPr>
                <w:rFonts w:cs="Arial"/>
                <w:b/>
                <w:bCs/>
                <w:i/>
                <w:iCs/>
                <w:sz w:val="18"/>
                <w:szCs w:val="18"/>
                <w:vertAlign w:val="subscript"/>
                <w:lang w:val="es-CO" w:eastAsia="es-CO"/>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50BA20F9"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4,l</w:t>
            </w:r>
            <w:proofErr w:type="gramEnd"/>
            <w:r w:rsidRPr="009E5378">
              <w:rPr>
                <w:rFonts w:cs="Arial"/>
                <w:b/>
                <w:bCs/>
                <w:i/>
                <w:iCs/>
                <w:sz w:val="18"/>
                <w:szCs w:val="18"/>
                <w:vertAlign w:val="subscript"/>
                <w:lang w:val="es-CO" w:eastAsia="es-CO"/>
              </w:rPr>
              <w:t>,2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F8FDE88"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4,l</w:t>
            </w:r>
            <w:proofErr w:type="gramEnd"/>
            <w:r w:rsidRPr="009E5378">
              <w:rPr>
                <w:rFonts w:cs="Arial"/>
                <w:b/>
                <w:bCs/>
                <w:i/>
                <w:iCs/>
                <w:sz w:val="18"/>
                <w:szCs w:val="18"/>
                <w:vertAlign w:val="subscript"/>
                <w:lang w:val="es-CO" w:eastAsia="es-CO"/>
              </w:rPr>
              <w:t>,3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D58B45E"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4,l</w:t>
            </w:r>
            <w:proofErr w:type="gramEnd"/>
            <w:r w:rsidRPr="009E5378">
              <w:rPr>
                <w:rFonts w:cs="Arial"/>
                <w:b/>
                <w:bCs/>
                <w:i/>
                <w:iCs/>
                <w:sz w:val="18"/>
                <w:szCs w:val="18"/>
                <w:vertAlign w:val="subscript"/>
                <w:lang w:val="es-CO" w:eastAsia="es-CO"/>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6F0C2D06"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4,l</w:t>
            </w:r>
            <w:proofErr w:type="gramEnd"/>
            <w:r w:rsidRPr="009E5378">
              <w:rPr>
                <w:rFonts w:cs="Arial"/>
                <w:b/>
                <w:bCs/>
                <w:i/>
                <w:iCs/>
                <w:sz w:val="18"/>
                <w:szCs w:val="18"/>
                <w:vertAlign w:val="subscript"/>
                <w:lang w:val="es-CO" w:eastAsia="es-CO"/>
              </w:rPr>
              <w:t>,5</w:t>
            </w:r>
          </w:p>
        </w:tc>
      </w:tr>
      <w:tr w:rsidR="009E5378" w:rsidRPr="009E5378" w14:paraId="7B14DEFA"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C403086"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5925DD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15.901.766.402</w:t>
            </w:r>
          </w:p>
        </w:tc>
        <w:tc>
          <w:tcPr>
            <w:tcW w:w="1559" w:type="dxa"/>
            <w:tcBorders>
              <w:top w:val="nil"/>
              <w:left w:val="nil"/>
              <w:bottom w:val="single" w:sz="4" w:space="0" w:color="auto"/>
              <w:right w:val="single" w:sz="4" w:space="0" w:color="auto"/>
            </w:tcBorders>
            <w:shd w:val="clear" w:color="auto" w:fill="auto"/>
            <w:noWrap/>
            <w:vAlign w:val="center"/>
            <w:hideMark/>
          </w:tcPr>
          <w:p w14:paraId="5B27072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034A3B4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51D12A5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605369F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0A0E2394"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6ABB0A23"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80E18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7F586801"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7D9AF38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3C7CB9E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17F4167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16306BFE"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5B77AA86"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D5B4A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22.462.398.644</w:t>
            </w:r>
          </w:p>
        </w:tc>
        <w:tc>
          <w:tcPr>
            <w:tcW w:w="1559" w:type="dxa"/>
            <w:tcBorders>
              <w:top w:val="nil"/>
              <w:left w:val="nil"/>
              <w:bottom w:val="single" w:sz="4" w:space="0" w:color="auto"/>
              <w:right w:val="single" w:sz="4" w:space="0" w:color="auto"/>
            </w:tcBorders>
            <w:shd w:val="clear" w:color="auto" w:fill="auto"/>
            <w:noWrap/>
            <w:vAlign w:val="center"/>
            <w:hideMark/>
          </w:tcPr>
          <w:p w14:paraId="597FC8E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2.865.328.000</w:t>
            </w:r>
          </w:p>
        </w:tc>
        <w:tc>
          <w:tcPr>
            <w:tcW w:w="1560" w:type="dxa"/>
            <w:tcBorders>
              <w:top w:val="nil"/>
              <w:left w:val="nil"/>
              <w:bottom w:val="single" w:sz="4" w:space="0" w:color="auto"/>
              <w:right w:val="single" w:sz="4" w:space="0" w:color="auto"/>
            </w:tcBorders>
            <w:shd w:val="clear" w:color="auto" w:fill="auto"/>
            <w:noWrap/>
            <w:vAlign w:val="center"/>
            <w:hideMark/>
          </w:tcPr>
          <w:p w14:paraId="164A164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5.502.956.000</w:t>
            </w:r>
          </w:p>
        </w:tc>
        <w:tc>
          <w:tcPr>
            <w:tcW w:w="1559" w:type="dxa"/>
            <w:tcBorders>
              <w:top w:val="nil"/>
              <w:left w:val="nil"/>
              <w:bottom w:val="single" w:sz="4" w:space="0" w:color="auto"/>
              <w:right w:val="single" w:sz="4" w:space="0" w:color="auto"/>
            </w:tcBorders>
            <w:shd w:val="clear" w:color="auto" w:fill="auto"/>
            <w:noWrap/>
            <w:vAlign w:val="center"/>
            <w:hideMark/>
          </w:tcPr>
          <w:p w14:paraId="3345D15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3.432.509.000</w:t>
            </w:r>
          </w:p>
        </w:tc>
        <w:tc>
          <w:tcPr>
            <w:tcW w:w="1559" w:type="dxa"/>
            <w:tcBorders>
              <w:top w:val="nil"/>
              <w:left w:val="nil"/>
              <w:bottom w:val="single" w:sz="4" w:space="0" w:color="auto"/>
              <w:right w:val="single" w:sz="4" w:space="0" w:color="auto"/>
            </w:tcBorders>
            <w:shd w:val="clear" w:color="auto" w:fill="auto"/>
            <w:noWrap/>
            <w:vAlign w:val="center"/>
            <w:hideMark/>
          </w:tcPr>
          <w:p w14:paraId="187D339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2.711.276.000</w:t>
            </w:r>
          </w:p>
        </w:tc>
      </w:tr>
      <w:tr w:rsidR="009E5378" w:rsidRPr="009E5378" w14:paraId="5223A2A5"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5AAB9DB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4CEDA1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2.995.842.362</w:t>
            </w:r>
          </w:p>
        </w:tc>
        <w:tc>
          <w:tcPr>
            <w:tcW w:w="1559" w:type="dxa"/>
            <w:tcBorders>
              <w:top w:val="nil"/>
              <w:left w:val="nil"/>
              <w:bottom w:val="single" w:sz="4" w:space="0" w:color="auto"/>
              <w:right w:val="single" w:sz="4" w:space="0" w:color="auto"/>
            </w:tcBorders>
            <w:shd w:val="clear" w:color="auto" w:fill="auto"/>
            <w:noWrap/>
            <w:vAlign w:val="center"/>
            <w:hideMark/>
          </w:tcPr>
          <w:p w14:paraId="0E915EF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982.453.000</w:t>
            </w:r>
          </w:p>
        </w:tc>
        <w:tc>
          <w:tcPr>
            <w:tcW w:w="1560" w:type="dxa"/>
            <w:tcBorders>
              <w:top w:val="nil"/>
              <w:left w:val="nil"/>
              <w:bottom w:val="single" w:sz="4" w:space="0" w:color="auto"/>
              <w:right w:val="single" w:sz="4" w:space="0" w:color="auto"/>
            </w:tcBorders>
            <w:shd w:val="clear" w:color="auto" w:fill="auto"/>
            <w:noWrap/>
            <w:vAlign w:val="center"/>
            <w:hideMark/>
          </w:tcPr>
          <w:p w14:paraId="79F46BC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2.034.216.000</w:t>
            </w:r>
          </w:p>
        </w:tc>
        <w:tc>
          <w:tcPr>
            <w:tcW w:w="1559" w:type="dxa"/>
            <w:tcBorders>
              <w:top w:val="nil"/>
              <w:left w:val="nil"/>
              <w:bottom w:val="single" w:sz="4" w:space="0" w:color="auto"/>
              <w:right w:val="single" w:sz="4" w:space="0" w:color="auto"/>
            </w:tcBorders>
            <w:shd w:val="clear" w:color="auto" w:fill="auto"/>
            <w:noWrap/>
            <w:vAlign w:val="center"/>
            <w:hideMark/>
          </w:tcPr>
          <w:p w14:paraId="30D70FB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1.030.235.000</w:t>
            </w:r>
          </w:p>
        </w:tc>
        <w:tc>
          <w:tcPr>
            <w:tcW w:w="1559" w:type="dxa"/>
            <w:tcBorders>
              <w:top w:val="nil"/>
              <w:left w:val="nil"/>
              <w:bottom w:val="single" w:sz="4" w:space="0" w:color="auto"/>
              <w:right w:val="single" w:sz="4" w:space="0" w:color="auto"/>
            </w:tcBorders>
            <w:shd w:val="clear" w:color="auto" w:fill="auto"/>
            <w:noWrap/>
            <w:vAlign w:val="center"/>
            <w:hideMark/>
          </w:tcPr>
          <w:p w14:paraId="45831E0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873.043.000</w:t>
            </w:r>
          </w:p>
        </w:tc>
      </w:tr>
      <w:tr w:rsidR="009E5378" w:rsidRPr="009E5378" w14:paraId="34D6F147"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C23854F"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9BDFAB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2.619.353.719</w:t>
            </w:r>
          </w:p>
        </w:tc>
        <w:tc>
          <w:tcPr>
            <w:tcW w:w="1559" w:type="dxa"/>
            <w:tcBorders>
              <w:top w:val="nil"/>
              <w:left w:val="nil"/>
              <w:bottom w:val="single" w:sz="4" w:space="0" w:color="auto"/>
              <w:right w:val="single" w:sz="4" w:space="0" w:color="auto"/>
            </w:tcBorders>
            <w:shd w:val="clear" w:color="auto" w:fill="auto"/>
            <w:noWrap/>
            <w:vAlign w:val="center"/>
            <w:hideMark/>
          </w:tcPr>
          <w:p w14:paraId="4848489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542.112.000</w:t>
            </w:r>
          </w:p>
        </w:tc>
        <w:tc>
          <w:tcPr>
            <w:tcW w:w="1560" w:type="dxa"/>
            <w:tcBorders>
              <w:top w:val="nil"/>
              <w:left w:val="nil"/>
              <w:bottom w:val="single" w:sz="4" w:space="0" w:color="auto"/>
              <w:right w:val="single" w:sz="4" w:space="0" w:color="auto"/>
            </w:tcBorders>
            <w:shd w:val="clear" w:color="auto" w:fill="auto"/>
            <w:noWrap/>
            <w:vAlign w:val="center"/>
            <w:hideMark/>
          </w:tcPr>
          <w:p w14:paraId="1815002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914.814.000</w:t>
            </w:r>
          </w:p>
        </w:tc>
        <w:tc>
          <w:tcPr>
            <w:tcW w:w="1559" w:type="dxa"/>
            <w:tcBorders>
              <w:top w:val="nil"/>
              <w:left w:val="nil"/>
              <w:bottom w:val="single" w:sz="4" w:space="0" w:color="auto"/>
              <w:right w:val="single" w:sz="4" w:space="0" w:color="auto"/>
            </w:tcBorders>
            <w:shd w:val="clear" w:color="auto" w:fill="auto"/>
            <w:noWrap/>
            <w:vAlign w:val="center"/>
            <w:hideMark/>
          </w:tcPr>
          <w:p w14:paraId="78B490D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304.938.000</w:t>
            </w:r>
          </w:p>
        </w:tc>
        <w:tc>
          <w:tcPr>
            <w:tcW w:w="1559" w:type="dxa"/>
            <w:tcBorders>
              <w:top w:val="nil"/>
              <w:left w:val="nil"/>
              <w:bottom w:val="single" w:sz="4" w:space="0" w:color="auto"/>
              <w:right w:val="single" w:sz="4" w:space="0" w:color="auto"/>
            </w:tcBorders>
            <w:shd w:val="clear" w:color="auto" w:fill="auto"/>
            <w:noWrap/>
            <w:vAlign w:val="center"/>
            <w:hideMark/>
          </w:tcPr>
          <w:p w14:paraId="422587C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406.584.000</w:t>
            </w:r>
          </w:p>
        </w:tc>
      </w:tr>
      <w:tr w:rsidR="009E5378" w:rsidRPr="009E5378" w14:paraId="7C94DD85"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4F300AB"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96D6BB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6.042.207.215</w:t>
            </w:r>
          </w:p>
        </w:tc>
        <w:tc>
          <w:tcPr>
            <w:tcW w:w="1559" w:type="dxa"/>
            <w:tcBorders>
              <w:top w:val="nil"/>
              <w:left w:val="nil"/>
              <w:bottom w:val="single" w:sz="4" w:space="0" w:color="auto"/>
              <w:right w:val="single" w:sz="4" w:space="0" w:color="auto"/>
            </w:tcBorders>
            <w:shd w:val="clear" w:color="auto" w:fill="auto"/>
            <w:noWrap/>
            <w:vAlign w:val="center"/>
            <w:hideMark/>
          </w:tcPr>
          <w:p w14:paraId="25CA7C9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1.896.377.000</w:t>
            </w:r>
          </w:p>
        </w:tc>
        <w:tc>
          <w:tcPr>
            <w:tcW w:w="1560" w:type="dxa"/>
            <w:tcBorders>
              <w:top w:val="nil"/>
              <w:left w:val="nil"/>
              <w:bottom w:val="single" w:sz="4" w:space="0" w:color="auto"/>
              <w:right w:val="single" w:sz="4" w:space="0" w:color="auto"/>
            </w:tcBorders>
            <w:shd w:val="clear" w:color="auto" w:fill="auto"/>
            <w:noWrap/>
            <w:vAlign w:val="center"/>
            <w:hideMark/>
          </w:tcPr>
          <w:p w14:paraId="641B55C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2.403.587.000</w:t>
            </w:r>
          </w:p>
        </w:tc>
        <w:tc>
          <w:tcPr>
            <w:tcW w:w="1559" w:type="dxa"/>
            <w:tcBorders>
              <w:top w:val="nil"/>
              <w:left w:val="nil"/>
              <w:bottom w:val="single" w:sz="4" w:space="0" w:color="auto"/>
              <w:right w:val="single" w:sz="4" w:space="0" w:color="auto"/>
            </w:tcBorders>
            <w:shd w:val="clear" w:color="auto" w:fill="auto"/>
            <w:noWrap/>
            <w:vAlign w:val="center"/>
            <w:hideMark/>
          </w:tcPr>
          <w:p w14:paraId="07B746E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2.199.247.000</w:t>
            </w:r>
          </w:p>
        </w:tc>
        <w:tc>
          <w:tcPr>
            <w:tcW w:w="1559" w:type="dxa"/>
            <w:tcBorders>
              <w:top w:val="nil"/>
              <w:left w:val="nil"/>
              <w:bottom w:val="single" w:sz="4" w:space="0" w:color="auto"/>
              <w:right w:val="single" w:sz="4" w:space="0" w:color="auto"/>
            </w:tcBorders>
            <w:shd w:val="clear" w:color="auto" w:fill="auto"/>
            <w:noWrap/>
            <w:vAlign w:val="center"/>
            <w:hideMark/>
          </w:tcPr>
          <w:p w14:paraId="1D27026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3.005.545.000</w:t>
            </w:r>
          </w:p>
        </w:tc>
      </w:tr>
      <w:tr w:rsidR="009E5378" w:rsidRPr="009E5378" w14:paraId="61CDA70A"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760333EB"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3EBC14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50.504.148.939</w:t>
            </w:r>
          </w:p>
        </w:tc>
        <w:tc>
          <w:tcPr>
            <w:tcW w:w="1559" w:type="dxa"/>
            <w:tcBorders>
              <w:top w:val="nil"/>
              <w:left w:val="nil"/>
              <w:bottom w:val="single" w:sz="4" w:space="0" w:color="auto"/>
              <w:right w:val="single" w:sz="4" w:space="0" w:color="auto"/>
            </w:tcBorders>
            <w:shd w:val="clear" w:color="auto" w:fill="auto"/>
            <w:noWrap/>
            <w:vAlign w:val="center"/>
            <w:hideMark/>
          </w:tcPr>
          <w:p w14:paraId="36625A7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20.245.506.000</w:t>
            </w:r>
          </w:p>
        </w:tc>
        <w:tc>
          <w:tcPr>
            <w:tcW w:w="1560" w:type="dxa"/>
            <w:tcBorders>
              <w:top w:val="nil"/>
              <w:left w:val="nil"/>
              <w:bottom w:val="single" w:sz="4" w:space="0" w:color="auto"/>
              <w:right w:val="single" w:sz="4" w:space="0" w:color="auto"/>
            </w:tcBorders>
            <w:shd w:val="clear" w:color="auto" w:fill="auto"/>
            <w:noWrap/>
            <w:vAlign w:val="center"/>
            <w:hideMark/>
          </w:tcPr>
          <w:p w14:paraId="7636794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15.111.942.340</w:t>
            </w:r>
          </w:p>
        </w:tc>
        <w:tc>
          <w:tcPr>
            <w:tcW w:w="1559" w:type="dxa"/>
            <w:tcBorders>
              <w:top w:val="nil"/>
              <w:left w:val="nil"/>
              <w:bottom w:val="single" w:sz="4" w:space="0" w:color="auto"/>
              <w:right w:val="single" w:sz="4" w:space="0" w:color="auto"/>
            </w:tcBorders>
            <w:shd w:val="clear" w:color="auto" w:fill="auto"/>
            <w:noWrap/>
            <w:vAlign w:val="center"/>
            <w:hideMark/>
          </w:tcPr>
          <w:p w14:paraId="22D85D8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38.462.153.880</w:t>
            </w:r>
          </w:p>
        </w:tc>
        <w:tc>
          <w:tcPr>
            <w:tcW w:w="1559" w:type="dxa"/>
            <w:tcBorders>
              <w:top w:val="nil"/>
              <w:left w:val="nil"/>
              <w:bottom w:val="single" w:sz="4" w:space="0" w:color="auto"/>
              <w:right w:val="single" w:sz="4" w:space="0" w:color="auto"/>
            </w:tcBorders>
            <w:shd w:val="clear" w:color="auto" w:fill="auto"/>
            <w:noWrap/>
            <w:vAlign w:val="center"/>
            <w:hideMark/>
          </w:tcPr>
          <w:p w14:paraId="61890D3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9.495.679.907</w:t>
            </w:r>
          </w:p>
        </w:tc>
      </w:tr>
      <w:tr w:rsidR="009E5378" w:rsidRPr="009E5378" w14:paraId="673E4FC8"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298E0838"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8DE212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0CAB136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1A14841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201CB4E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0856065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675BC9C7"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5C87A87C"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B578E6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48FF4B8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05015DC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207745B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1AB9DCE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3F783459"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4758C4E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38714E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5.983.923.000</w:t>
            </w:r>
          </w:p>
        </w:tc>
        <w:tc>
          <w:tcPr>
            <w:tcW w:w="1559" w:type="dxa"/>
            <w:tcBorders>
              <w:top w:val="nil"/>
              <w:left w:val="nil"/>
              <w:bottom w:val="single" w:sz="4" w:space="0" w:color="auto"/>
              <w:right w:val="single" w:sz="4" w:space="0" w:color="auto"/>
            </w:tcBorders>
            <w:shd w:val="clear" w:color="auto" w:fill="auto"/>
            <w:noWrap/>
            <w:vAlign w:val="center"/>
            <w:hideMark/>
          </w:tcPr>
          <w:p w14:paraId="6038EDB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3.203.848.000</w:t>
            </w:r>
          </w:p>
        </w:tc>
        <w:tc>
          <w:tcPr>
            <w:tcW w:w="1560" w:type="dxa"/>
            <w:tcBorders>
              <w:top w:val="nil"/>
              <w:left w:val="nil"/>
              <w:bottom w:val="single" w:sz="4" w:space="0" w:color="auto"/>
              <w:right w:val="single" w:sz="4" w:space="0" w:color="auto"/>
            </w:tcBorders>
            <w:shd w:val="clear" w:color="auto" w:fill="auto"/>
            <w:noWrap/>
            <w:vAlign w:val="center"/>
            <w:hideMark/>
          </w:tcPr>
          <w:p w14:paraId="0303F6C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2.601.439.333</w:t>
            </w:r>
          </w:p>
        </w:tc>
        <w:tc>
          <w:tcPr>
            <w:tcW w:w="1559" w:type="dxa"/>
            <w:tcBorders>
              <w:top w:val="nil"/>
              <w:left w:val="nil"/>
              <w:bottom w:val="single" w:sz="4" w:space="0" w:color="auto"/>
              <w:right w:val="single" w:sz="4" w:space="0" w:color="auto"/>
            </w:tcBorders>
            <w:shd w:val="clear" w:color="auto" w:fill="auto"/>
            <w:noWrap/>
            <w:vAlign w:val="center"/>
            <w:hideMark/>
          </w:tcPr>
          <w:p w14:paraId="4A1FB2D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1.234.418.667</w:t>
            </w:r>
          </w:p>
        </w:tc>
        <w:tc>
          <w:tcPr>
            <w:tcW w:w="1559" w:type="dxa"/>
            <w:tcBorders>
              <w:top w:val="nil"/>
              <w:left w:val="nil"/>
              <w:bottom w:val="single" w:sz="4" w:space="0" w:color="auto"/>
              <w:right w:val="single" w:sz="4" w:space="0" w:color="auto"/>
            </w:tcBorders>
            <w:shd w:val="clear" w:color="auto" w:fill="auto"/>
            <w:noWrap/>
            <w:vAlign w:val="center"/>
            <w:hideMark/>
          </w:tcPr>
          <w:p w14:paraId="3D1DE8C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1.191.681.333</w:t>
            </w:r>
          </w:p>
        </w:tc>
      </w:tr>
    </w:tbl>
    <w:p w14:paraId="2D8C3769" w14:textId="238BB61C" w:rsidR="007E09A4" w:rsidRDefault="007E09A4" w:rsidP="009511AB">
      <w:pPr>
        <w:pStyle w:val="Descripcin"/>
        <w:spacing w:before="240" w:line="240" w:lineRule="auto"/>
      </w:pPr>
      <w:r>
        <w:t xml:space="preserve">Tabla </w:t>
      </w:r>
      <w:r w:rsidR="0088389F">
        <w:rPr>
          <w:noProof/>
        </w:rPr>
        <w:t>3</w:t>
      </w:r>
      <w:r>
        <w:t xml:space="preserve"> Plan de inversiones del nivel de tensión 3, pesos de diciembre de 2017 </w:t>
      </w:r>
    </w:p>
    <w:tbl>
      <w:tblPr>
        <w:tblW w:w="9067" w:type="dxa"/>
        <w:jc w:val="center"/>
        <w:tblCellMar>
          <w:left w:w="70" w:type="dxa"/>
          <w:right w:w="70" w:type="dxa"/>
        </w:tblCellMar>
        <w:tblLook w:val="04A0" w:firstRow="1" w:lastRow="0" w:firstColumn="1" w:lastColumn="0" w:noHBand="0" w:noVBand="1"/>
      </w:tblPr>
      <w:tblGrid>
        <w:gridCol w:w="1413"/>
        <w:gridCol w:w="1559"/>
        <w:gridCol w:w="1559"/>
        <w:gridCol w:w="1560"/>
        <w:gridCol w:w="1429"/>
        <w:gridCol w:w="1547"/>
      </w:tblGrid>
      <w:tr w:rsidR="009E5378" w:rsidRPr="009E5378" w14:paraId="1F3EB072" w14:textId="77777777" w:rsidTr="009E5378">
        <w:trPr>
          <w:trHeight w:val="48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87C37" w14:textId="77777777" w:rsidR="009E5378" w:rsidRPr="009E5378" w:rsidRDefault="009E5378" w:rsidP="009E5378">
            <w:pPr>
              <w:spacing w:before="0" w:after="0"/>
              <w:jc w:val="center"/>
              <w:rPr>
                <w:rFonts w:cs="Arial"/>
                <w:b/>
                <w:bCs/>
                <w:color w:val="000000"/>
                <w:sz w:val="18"/>
                <w:szCs w:val="18"/>
                <w:lang w:val="es-CO" w:eastAsia="es-CO"/>
              </w:rPr>
            </w:pPr>
            <w:r w:rsidRPr="009E5378">
              <w:rPr>
                <w:rFonts w:cs="Arial"/>
                <w:b/>
                <w:bCs/>
                <w:color w:val="000000"/>
                <w:sz w:val="18"/>
                <w:szCs w:val="18"/>
                <w:lang w:val="es-CO" w:eastAsia="es-CO"/>
              </w:rPr>
              <w:t xml:space="preserve">Categoría de activos </w:t>
            </w:r>
            <w:r w:rsidRPr="009E5378">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2B21A4F"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3,l</w:t>
            </w:r>
            <w:proofErr w:type="gramEnd"/>
            <w:r w:rsidRPr="009E5378">
              <w:rPr>
                <w:rFonts w:cs="Arial"/>
                <w:b/>
                <w:bCs/>
                <w:i/>
                <w:iCs/>
                <w:sz w:val="18"/>
                <w:szCs w:val="18"/>
                <w:vertAlign w:val="subscript"/>
                <w:lang w:val="es-CO" w:eastAsia="es-CO"/>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5A7F164"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3,l</w:t>
            </w:r>
            <w:proofErr w:type="gramEnd"/>
            <w:r w:rsidRPr="009E5378">
              <w:rPr>
                <w:rFonts w:cs="Arial"/>
                <w:b/>
                <w:bCs/>
                <w:i/>
                <w:iCs/>
                <w:sz w:val="18"/>
                <w:szCs w:val="18"/>
                <w:vertAlign w:val="subscript"/>
                <w:lang w:val="es-CO" w:eastAsia="es-CO"/>
              </w:rPr>
              <w:t>,2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6E42EA6"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3,l</w:t>
            </w:r>
            <w:proofErr w:type="gramEnd"/>
            <w:r w:rsidRPr="009E5378">
              <w:rPr>
                <w:rFonts w:cs="Arial"/>
                <w:b/>
                <w:bCs/>
                <w:i/>
                <w:iCs/>
                <w:sz w:val="18"/>
                <w:szCs w:val="18"/>
                <w:vertAlign w:val="subscript"/>
                <w:lang w:val="es-CO" w:eastAsia="es-CO"/>
              </w:rPr>
              <w:t>,3</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4ADE4BF2"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3,l</w:t>
            </w:r>
            <w:proofErr w:type="gramEnd"/>
            <w:r w:rsidRPr="009E5378">
              <w:rPr>
                <w:rFonts w:cs="Arial"/>
                <w:b/>
                <w:bCs/>
                <w:i/>
                <w:iCs/>
                <w:sz w:val="18"/>
                <w:szCs w:val="18"/>
                <w:vertAlign w:val="subscript"/>
                <w:lang w:val="es-CO" w:eastAsia="es-CO"/>
              </w:rPr>
              <w:t>,4</w:t>
            </w:r>
          </w:p>
        </w:tc>
        <w:tc>
          <w:tcPr>
            <w:tcW w:w="1547" w:type="dxa"/>
            <w:tcBorders>
              <w:top w:val="single" w:sz="4" w:space="0" w:color="auto"/>
              <w:left w:val="nil"/>
              <w:bottom w:val="single" w:sz="4" w:space="0" w:color="auto"/>
              <w:right w:val="single" w:sz="4" w:space="0" w:color="auto"/>
            </w:tcBorders>
            <w:shd w:val="clear" w:color="000000" w:fill="FFFFFF"/>
            <w:noWrap/>
            <w:vAlign w:val="center"/>
            <w:hideMark/>
          </w:tcPr>
          <w:p w14:paraId="4D144F9A"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3,l</w:t>
            </w:r>
            <w:proofErr w:type="gramEnd"/>
            <w:r w:rsidRPr="009E5378">
              <w:rPr>
                <w:rFonts w:cs="Arial"/>
                <w:b/>
                <w:bCs/>
                <w:i/>
                <w:iCs/>
                <w:sz w:val="18"/>
                <w:szCs w:val="18"/>
                <w:vertAlign w:val="subscript"/>
                <w:lang w:val="es-CO" w:eastAsia="es-CO"/>
              </w:rPr>
              <w:t>,5</w:t>
            </w:r>
          </w:p>
        </w:tc>
      </w:tr>
      <w:tr w:rsidR="009E5378" w:rsidRPr="009E5378" w14:paraId="1E700A1F"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4303D5A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528A2D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7.811.561.844</w:t>
            </w:r>
          </w:p>
        </w:tc>
        <w:tc>
          <w:tcPr>
            <w:tcW w:w="1559" w:type="dxa"/>
            <w:tcBorders>
              <w:top w:val="nil"/>
              <w:left w:val="nil"/>
              <w:bottom w:val="single" w:sz="4" w:space="0" w:color="auto"/>
              <w:right w:val="single" w:sz="4" w:space="0" w:color="auto"/>
            </w:tcBorders>
            <w:shd w:val="clear" w:color="auto" w:fill="auto"/>
            <w:noWrap/>
            <w:vAlign w:val="center"/>
            <w:hideMark/>
          </w:tcPr>
          <w:p w14:paraId="02FBE1E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1.857.250.000</w:t>
            </w:r>
          </w:p>
        </w:tc>
        <w:tc>
          <w:tcPr>
            <w:tcW w:w="1560" w:type="dxa"/>
            <w:tcBorders>
              <w:top w:val="nil"/>
              <w:left w:val="nil"/>
              <w:bottom w:val="single" w:sz="4" w:space="0" w:color="auto"/>
              <w:right w:val="single" w:sz="4" w:space="0" w:color="auto"/>
            </w:tcBorders>
            <w:shd w:val="clear" w:color="auto" w:fill="auto"/>
            <w:noWrap/>
            <w:vAlign w:val="center"/>
            <w:hideMark/>
          </w:tcPr>
          <w:p w14:paraId="141645E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3.561.710.000</w:t>
            </w:r>
          </w:p>
        </w:tc>
        <w:tc>
          <w:tcPr>
            <w:tcW w:w="1429" w:type="dxa"/>
            <w:tcBorders>
              <w:top w:val="nil"/>
              <w:left w:val="nil"/>
              <w:bottom w:val="single" w:sz="4" w:space="0" w:color="auto"/>
              <w:right w:val="single" w:sz="4" w:space="0" w:color="auto"/>
            </w:tcBorders>
            <w:shd w:val="clear" w:color="auto" w:fill="auto"/>
            <w:noWrap/>
            <w:vAlign w:val="center"/>
            <w:hideMark/>
          </w:tcPr>
          <w:p w14:paraId="35850A8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1.365.705.625</w:t>
            </w:r>
          </w:p>
        </w:tc>
        <w:tc>
          <w:tcPr>
            <w:tcW w:w="1547" w:type="dxa"/>
            <w:tcBorders>
              <w:top w:val="nil"/>
              <w:left w:val="nil"/>
              <w:bottom w:val="single" w:sz="4" w:space="0" w:color="auto"/>
              <w:right w:val="single" w:sz="4" w:space="0" w:color="auto"/>
            </w:tcBorders>
            <w:shd w:val="clear" w:color="auto" w:fill="auto"/>
            <w:noWrap/>
            <w:vAlign w:val="center"/>
            <w:hideMark/>
          </w:tcPr>
          <w:p w14:paraId="4BF2032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1.365.705.625</w:t>
            </w:r>
          </w:p>
        </w:tc>
      </w:tr>
      <w:tr w:rsidR="009E5378" w:rsidRPr="009E5378" w14:paraId="775946BE"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4B411304"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A834C6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3A17F8D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44B24AF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429" w:type="dxa"/>
            <w:tcBorders>
              <w:top w:val="nil"/>
              <w:left w:val="nil"/>
              <w:bottom w:val="single" w:sz="4" w:space="0" w:color="auto"/>
              <w:right w:val="single" w:sz="4" w:space="0" w:color="auto"/>
            </w:tcBorders>
            <w:shd w:val="clear" w:color="auto" w:fill="auto"/>
            <w:noWrap/>
            <w:vAlign w:val="center"/>
            <w:hideMark/>
          </w:tcPr>
          <w:p w14:paraId="06F3A18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47" w:type="dxa"/>
            <w:tcBorders>
              <w:top w:val="nil"/>
              <w:left w:val="nil"/>
              <w:bottom w:val="single" w:sz="4" w:space="0" w:color="auto"/>
              <w:right w:val="single" w:sz="4" w:space="0" w:color="auto"/>
            </w:tcBorders>
            <w:shd w:val="clear" w:color="auto" w:fill="auto"/>
            <w:noWrap/>
            <w:vAlign w:val="center"/>
            <w:hideMark/>
          </w:tcPr>
          <w:p w14:paraId="4B898FA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1B4434AD"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6FBECFF"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9BFC3C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2.870.109.000</w:t>
            </w:r>
          </w:p>
        </w:tc>
        <w:tc>
          <w:tcPr>
            <w:tcW w:w="1559" w:type="dxa"/>
            <w:tcBorders>
              <w:top w:val="nil"/>
              <w:left w:val="nil"/>
              <w:bottom w:val="single" w:sz="4" w:space="0" w:color="auto"/>
              <w:right w:val="single" w:sz="4" w:space="0" w:color="auto"/>
            </w:tcBorders>
            <w:shd w:val="clear" w:color="auto" w:fill="auto"/>
            <w:noWrap/>
            <w:vAlign w:val="center"/>
            <w:hideMark/>
          </w:tcPr>
          <w:p w14:paraId="4CC6C4F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5.617.074.000</w:t>
            </w:r>
          </w:p>
        </w:tc>
        <w:tc>
          <w:tcPr>
            <w:tcW w:w="1560" w:type="dxa"/>
            <w:tcBorders>
              <w:top w:val="nil"/>
              <w:left w:val="nil"/>
              <w:bottom w:val="single" w:sz="4" w:space="0" w:color="auto"/>
              <w:right w:val="single" w:sz="4" w:space="0" w:color="auto"/>
            </w:tcBorders>
            <w:shd w:val="clear" w:color="auto" w:fill="auto"/>
            <w:noWrap/>
            <w:vAlign w:val="center"/>
            <w:hideMark/>
          </w:tcPr>
          <w:p w14:paraId="00802F8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4.304.079.000</w:t>
            </w:r>
          </w:p>
        </w:tc>
        <w:tc>
          <w:tcPr>
            <w:tcW w:w="1429" w:type="dxa"/>
            <w:tcBorders>
              <w:top w:val="nil"/>
              <w:left w:val="nil"/>
              <w:bottom w:val="single" w:sz="4" w:space="0" w:color="auto"/>
              <w:right w:val="single" w:sz="4" w:space="0" w:color="auto"/>
            </w:tcBorders>
            <w:shd w:val="clear" w:color="auto" w:fill="auto"/>
            <w:noWrap/>
            <w:vAlign w:val="center"/>
            <w:hideMark/>
          </w:tcPr>
          <w:p w14:paraId="50AAF23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881.628.000</w:t>
            </w:r>
          </w:p>
        </w:tc>
        <w:tc>
          <w:tcPr>
            <w:tcW w:w="1547" w:type="dxa"/>
            <w:tcBorders>
              <w:top w:val="nil"/>
              <w:left w:val="nil"/>
              <w:bottom w:val="single" w:sz="4" w:space="0" w:color="auto"/>
              <w:right w:val="single" w:sz="4" w:space="0" w:color="auto"/>
            </w:tcBorders>
            <w:shd w:val="clear" w:color="auto" w:fill="auto"/>
            <w:noWrap/>
            <w:vAlign w:val="center"/>
            <w:hideMark/>
          </w:tcPr>
          <w:p w14:paraId="491A914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699.193.000</w:t>
            </w:r>
          </w:p>
        </w:tc>
      </w:tr>
      <w:tr w:rsidR="009E5378" w:rsidRPr="009E5378" w14:paraId="2CE42E64"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22A58932"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38D0D6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429.459.000</w:t>
            </w:r>
          </w:p>
        </w:tc>
        <w:tc>
          <w:tcPr>
            <w:tcW w:w="1559" w:type="dxa"/>
            <w:tcBorders>
              <w:top w:val="nil"/>
              <w:left w:val="nil"/>
              <w:bottom w:val="single" w:sz="4" w:space="0" w:color="auto"/>
              <w:right w:val="single" w:sz="4" w:space="0" w:color="auto"/>
            </w:tcBorders>
            <w:shd w:val="clear" w:color="auto" w:fill="auto"/>
            <w:noWrap/>
            <w:vAlign w:val="center"/>
            <w:hideMark/>
          </w:tcPr>
          <w:p w14:paraId="15489BF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2.746.776.000</w:t>
            </w:r>
          </w:p>
        </w:tc>
        <w:tc>
          <w:tcPr>
            <w:tcW w:w="1560" w:type="dxa"/>
            <w:tcBorders>
              <w:top w:val="nil"/>
              <w:left w:val="nil"/>
              <w:bottom w:val="single" w:sz="4" w:space="0" w:color="auto"/>
              <w:right w:val="single" w:sz="4" w:space="0" w:color="auto"/>
            </w:tcBorders>
            <w:shd w:val="clear" w:color="auto" w:fill="auto"/>
            <w:noWrap/>
            <w:vAlign w:val="center"/>
            <w:hideMark/>
          </w:tcPr>
          <w:p w14:paraId="1D93066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1.920.603.000</w:t>
            </w:r>
          </w:p>
        </w:tc>
        <w:tc>
          <w:tcPr>
            <w:tcW w:w="1429" w:type="dxa"/>
            <w:tcBorders>
              <w:top w:val="nil"/>
              <w:left w:val="nil"/>
              <w:bottom w:val="single" w:sz="4" w:space="0" w:color="auto"/>
              <w:right w:val="single" w:sz="4" w:space="0" w:color="auto"/>
            </w:tcBorders>
            <w:shd w:val="clear" w:color="auto" w:fill="auto"/>
            <w:noWrap/>
            <w:vAlign w:val="center"/>
            <w:hideMark/>
          </w:tcPr>
          <w:p w14:paraId="2C696A7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339.429.000</w:t>
            </w:r>
          </w:p>
        </w:tc>
        <w:tc>
          <w:tcPr>
            <w:tcW w:w="1547" w:type="dxa"/>
            <w:tcBorders>
              <w:top w:val="nil"/>
              <w:left w:val="nil"/>
              <w:bottom w:val="single" w:sz="4" w:space="0" w:color="auto"/>
              <w:right w:val="single" w:sz="4" w:space="0" w:color="auto"/>
            </w:tcBorders>
            <w:shd w:val="clear" w:color="auto" w:fill="auto"/>
            <w:noWrap/>
            <w:vAlign w:val="center"/>
            <w:hideMark/>
          </w:tcPr>
          <w:p w14:paraId="632566C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582.192.000</w:t>
            </w:r>
          </w:p>
        </w:tc>
      </w:tr>
      <w:tr w:rsidR="009E5378" w:rsidRPr="009E5378" w14:paraId="4BF12A9B"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48D48D37"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D3A5D7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413.560.000</w:t>
            </w:r>
          </w:p>
        </w:tc>
        <w:tc>
          <w:tcPr>
            <w:tcW w:w="1559" w:type="dxa"/>
            <w:tcBorders>
              <w:top w:val="nil"/>
              <w:left w:val="nil"/>
              <w:bottom w:val="single" w:sz="4" w:space="0" w:color="auto"/>
              <w:right w:val="single" w:sz="4" w:space="0" w:color="auto"/>
            </w:tcBorders>
            <w:shd w:val="clear" w:color="auto" w:fill="auto"/>
            <w:noWrap/>
            <w:vAlign w:val="center"/>
            <w:hideMark/>
          </w:tcPr>
          <w:p w14:paraId="6321241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100.436.000</w:t>
            </w:r>
          </w:p>
        </w:tc>
        <w:tc>
          <w:tcPr>
            <w:tcW w:w="1560" w:type="dxa"/>
            <w:tcBorders>
              <w:top w:val="nil"/>
              <w:left w:val="nil"/>
              <w:bottom w:val="single" w:sz="4" w:space="0" w:color="auto"/>
              <w:right w:val="single" w:sz="4" w:space="0" w:color="auto"/>
            </w:tcBorders>
            <w:shd w:val="clear" w:color="auto" w:fill="auto"/>
            <w:noWrap/>
            <w:vAlign w:val="center"/>
            <w:hideMark/>
          </w:tcPr>
          <w:p w14:paraId="0972F34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82.712.000</w:t>
            </w:r>
          </w:p>
        </w:tc>
        <w:tc>
          <w:tcPr>
            <w:tcW w:w="1429" w:type="dxa"/>
            <w:tcBorders>
              <w:top w:val="nil"/>
              <w:left w:val="nil"/>
              <w:bottom w:val="single" w:sz="4" w:space="0" w:color="auto"/>
              <w:right w:val="single" w:sz="4" w:space="0" w:color="auto"/>
            </w:tcBorders>
            <w:shd w:val="clear" w:color="auto" w:fill="auto"/>
            <w:noWrap/>
            <w:vAlign w:val="center"/>
            <w:hideMark/>
          </w:tcPr>
          <w:p w14:paraId="19EBD1F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35.448.000</w:t>
            </w:r>
          </w:p>
        </w:tc>
        <w:tc>
          <w:tcPr>
            <w:tcW w:w="1547" w:type="dxa"/>
            <w:tcBorders>
              <w:top w:val="nil"/>
              <w:left w:val="nil"/>
              <w:bottom w:val="single" w:sz="4" w:space="0" w:color="auto"/>
              <w:right w:val="single" w:sz="4" w:space="0" w:color="auto"/>
            </w:tcBorders>
            <w:shd w:val="clear" w:color="auto" w:fill="auto"/>
            <w:noWrap/>
            <w:vAlign w:val="center"/>
            <w:hideMark/>
          </w:tcPr>
          <w:p w14:paraId="06E2F58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29.540.000</w:t>
            </w:r>
          </w:p>
        </w:tc>
      </w:tr>
      <w:tr w:rsidR="009E5378" w:rsidRPr="009E5378" w14:paraId="46E88BC5"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7DFC66D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702C4A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39.037.000</w:t>
            </w:r>
          </w:p>
        </w:tc>
        <w:tc>
          <w:tcPr>
            <w:tcW w:w="1559" w:type="dxa"/>
            <w:tcBorders>
              <w:top w:val="nil"/>
              <w:left w:val="nil"/>
              <w:bottom w:val="single" w:sz="4" w:space="0" w:color="auto"/>
              <w:right w:val="single" w:sz="4" w:space="0" w:color="auto"/>
            </w:tcBorders>
            <w:shd w:val="clear" w:color="auto" w:fill="auto"/>
            <w:noWrap/>
            <w:vAlign w:val="center"/>
            <w:hideMark/>
          </w:tcPr>
          <w:p w14:paraId="203E7C6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1.662.609.000</w:t>
            </w:r>
          </w:p>
        </w:tc>
        <w:tc>
          <w:tcPr>
            <w:tcW w:w="1560" w:type="dxa"/>
            <w:tcBorders>
              <w:top w:val="nil"/>
              <w:left w:val="nil"/>
              <w:bottom w:val="single" w:sz="4" w:space="0" w:color="auto"/>
              <w:right w:val="single" w:sz="4" w:space="0" w:color="auto"/>
            </w:tcBorders>
            <w:shd w:val="clear" w:color="auto" w:fill="auto"/>
            <w:noWrap/>
            <w:vAlign w:val="center"/>
            <w:hideMark/>
          </w:tcPr>
          <w:p w14:paraId="1837576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1.295.571.000</w:t>
            </w:r>
          </w:p>
        </w:tc>
        <w:tc>
          <w:tcPr>
            <w:tcW w:w="1429" w:type="dxa"/>
            <w:tcBorders>
              <w:top w:val="nil"/>
              <w:left w:val="nil"/>
              <w:bottom w:val="single" w:sz="4" w:space="0" w:color="auto"/>
              <w:right w:val="single" w:sz="4" w:space="0" w:color="auto"/>
            </w:tcBorders>
            <w:shd w:val="clear" w:color="auto" w:fill="auto"/>
            <w:noWrap/>
            <w:vAlign w:val="center"/>
            <w:hideMark/>
          </w:tcPr>
          <w:p w14:paraId="1E21F2E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78.074.000</w:t>
            </w:r>
          </w:p>
        </w:tc>
        <w:tc>
          <w:tcPr>
            <w:tcW w:w="1547" w:type="dxa"/>
            <w:tcBorders>
              <w:top w:val="nil"/>
              <w:left w:val="nil"/>
              <w:bottom w:val="single" w:sz="4" w:space="0" w:color="auto"/>
              <w:right w:val="single" w:sz="4" w:space="0" w:color="auto"/>
            </w:tcBorders>
            <w:shd w:val="clear" w:color="auto" w:fill="auto"/>
            <w:noWrap/>
            <w:vAlign w:val="center"/>
            <w:hideMark/>
          </w:tcPr>
          <w:p w14:paraId="1770368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39.037.000</w:t>
            </w:r>
          </w:p>
        </w:tc>
      </w:tr>
      <w:tr w:rsidR="009E5378" w:rsidRPr="009E5378" w14:paraId="0F43FE17"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6246DD48"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3A3EF6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4.718.815.556</w:t>
            </w:r>
          </w:p>
        </w:tc>
        <w:tc>
          <w:tcPr>
            <w:tcW w:w="1559" w:type="dxa"/>
            <w:tcBorders>
              <w:top w:val="nil"/>
              <w:left w:val="nil"/>
              <w:bottom w:val="single" w:sz="4" w:space="0" w:color="auto"/>
              <w:right w:val="single" w:sz="4" w:space="0" w:color="auto"/>
            </w:tcBorders>
            <w:shd w:val="clear" w:color="auto" w:fill="auto"/>
            <w:noWrap/>
            <w:vAlign w:val="center"/>
            <w:hideMark/>
          </w:tcPr>
          <w:p w14:paraId="5323C02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3.842.143.264</w:t>
            </w:r>
          </w:p>
        </w:tc>
        <w:tc>
          <w:tcPr>
            <w:tcW w:w="1560" w:type="dxa"/>
            <w:tcBorders>
              <w:top w:val="nil"/>
              <w:left w:val="nil"/>
              <w:bottom w:val="single" w:sz="4" w:space="0" w:color="auto"/>
              <w:right w:val="single" w:sz="4" w:space="0" w:color="auto"/>
            </w:tcBorders>
            <w:shd w:val="clear" w:color="auto" w:fill="auto"/>
            <w:noWrap/>
            <w:vAlign w:val="center"/>
            <w:hideMark/>
          </w:tcPr>
          <w:p w14:paraId="1D90209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8.492.523.274</w:t>
            </w:r>
          </w:p>
        </w:tc>
        <w:tc>
          <w:tcPr>
            <w:tcW w:w="1429" w:type="dxa"/>
            <w:tcBorders>
              <w:top w:val="nil"/>
              <w:left w:val="nil"/>
              <w:bottom w:val="single" w:sz="4" w:space="0" w:color="auto"/>
              <w:right w:val="single" w:sz="4" w:space="0" w:color="auto"/>
            </w:tcBorders>
            <w:shd w:val="clear" w:color="auto" w:fill="auto"/>
            <w:noWrap/>
            <w:vAlign w:val="center"/>
            <w:hideMark/>
          </w:tcPr>
          <w:p w14:paraId="3D3F1B1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4.149.471.674</w:t>
            </w:r>
          </w:p>
        </w:tc>
        <w:tc>
          <w:tcPr>
            <w:tcW w:w="1547" w:type="dxa"/>
            <w:tcBorders>
              <w:top w:val="nil"/>
              <w:left w:val="nil"/>
              <w:bottom w:val="single" w:sz="4" w:space="0" w:color="auto"/>
              <w:right w:val="single" w:sz="4" w:space="0" w:color="auto"/>
            </w:tcBorders>
            <w:shd w:val="clear" w:color="auto" w:fill="auto"/>
            <w:noWrap/>
            <w:vAlign w:val="center"/>
            <w:hideMark/>
          </w:tcPr>
          <w:p w14:paraId="38FE4FB1"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1.211.806.916</w:t>
            </w:r>
          </w:p>
        </w:tc>
      </w:tr>
      <w:tr w:rsidR="009E5378" w:rsidRPr="009E5378" w14:paraId="0E390BF8"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E776217"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4FAECD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295DB25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0A8F046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429" w:type="dxa"/>
            <w:tcBorders>
              <w:top w:val="nil"/>
              <w:left w:val="nil"/>
              <w:bottom w:val="single" w:sz="4" w:space="0" w:color="auto"/>
              <w:right w:val="single" w:sz="4" w:space="0" w:color="auto"/>
            </w:tcBorders>
            <w:shd w:val="clear" w:color="auto" w:fill="auto"/>
            <w:noWrap/>
            <w:vAlign w:val="center"/>
            <w:hideMark/>
          </w:tcPr>
          <w:p w14:paraId="2BA8ACA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47" w:type="dxa"/>
            <w:tcBorders>
              <w:top w:val="nil"/>
              <w:left w:val="nil"/>
              <w:bottom w:val="single" w:sz="4" w:space="0" w:color="auto"/>
              <w:right w:val="single" w:sz="4" w:space="0" w:color="auto"/>
            </w:tcBorders>
            <w:shd w:val="clear" w:color="auto" w:fill="auto"/>
            <w:noWrap/>
            <w:vAlign w:val="center"/>
            <w:hideMark/>
          </w:tcPr>
          <w:p w14:paraId="00F33B5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493E262F"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3D8CF0E0"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301A72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2.941.119.000</w:t>
            </w:r>
          </w:p>
        </w:tc>
        <w:tc>
          <w:tcPr>
            <w:tcW w:w="1559" w:type="dxa"/>
            <w:tcBorders>
              <w:top w:val="nil"/>
              <w:left w:val="nil"/>
              <w:bottom w:val="single" w:sz="4" w:space="0" w:color="auto"/>
              <w:right w:val="single" w:sz="4" w:space="0" w:color="auto"/>
            </w:tcBorders>
            <w:shd w:val="clear" w:color="auto" w:fill="auto"/>
            <w:noWrap/>
            <w:vAlign w:val="center"/>
            <w:hideMark/>
          </w:tcPr>
          <w:p w14:paraId="5176DA1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518.797.000</w:t>
            </w:r>
          </w:p>
        </w:tc>
        <w:tc>
          <w:tcPr>
            <w:tcW w:w="1560" w:type="dxa"/>
            <w:tcBorders>
              <w:top w:val="nil"/>
              <w:left w:val="nil"/>
              <w:bottom w:val="single" w:sz="4" w:space="0" w:color="auto"/>
              <w:right w:val="single" w:sz="4" w:space="0" w:color="auto"/>
            </w:tcBorders>
            <w:shd w:val="clear" w:color="auto" w:fill="auto"/>
            <w:noWrap/>
            <w:vAlign w:val="center"/>
            <w:hideMark/>
          </w:tcPr>
          <w:p w14:paraId="57986F8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355.310.140</w:t>
            </w:r>
          </w:p>
        </w:tc>
        <w:tc>
          <w:tcPr>
            <w:tcW w:w="1429" w:type="dxa"/>
            <w:tcBorders>
              <w:top w:val="nil"/>
              <w:left w:val="nil"/>
              <w:bottom w:val="single" w:sz="4" w:space="0" w:color="auto"/>
              <w:right w:val="single" w:sz="4" w:space="0" w:color="auto"/>
            </w:tcBorders>
            <w:shd w:val="clear" w:color="auto" w:fill="auto"/>
            <w:noWrap/>
            <w:vAlign w:val="center"/>
            <w:hideMark/>
          </w:tcPr>
          <w:p w14:paraId="0DFC68F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300.382.000</w:t>
            </w:r>
          </w:p>
        </w:tc>
        <w:tc>
          <w:tcPr>
            <w:tcW w:w="1547" w:type="dxa"/>
            <w:tcBorders>
              <w:top w:val="nil"/>
              <w:left w:val="nil"/>
              <w:bottom w:val="single" w:sz="4" w:space="0" w:color="auto"/>
              <w:right w:val="single" w:sz="4" w:space="0" w:color="auto"/>
            </w:tcBorders>
            <w:shd w:val="clear" w:color="auto" w:fill="auto"/>
            <w:noWrap/>
            <w:vAlign w:val="center"/>
            <w:hideMark/>
          </w:tcPr>
          <w:p w14:paraId="27537F0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242.681.000</w:t>
            </w:r>
          </w:p>
        </w:tc>
      </w:tr>
      <w:tr w:rsidR="009E5378" w:rsidRPr="009E5378" w14:paraId="1DDA3FC6" w14:textId="77777777" w:rsidTr="009E5378">
        <w:trPr>
          <w:trHeight w:val="255"/>
          <w:jc w:val="center"/>
        </w:trPr>
        <w:tc>
          <w:tcPr>
            <w:tcW w:w="1413" w:type="dxa"/>
            <w:tcBorders>
              <w:top w:val="nil"/>
              <w:left w:val="single" w:sz="4" w:space="0" w:color="auto"/>
              <w:bottom w:val="single" w:sz="4" w:space="0" w:color="auto"/>
              <w:right w:val="nil"/>
            </w:tcBorders>
            <w:shd w:val="clear" w:color="000000" w:fill="FFFFFF"/>
            <w:noWrap/>
            <w:vAlign w:val="center"/>
            <w:hideMark/>
          </w:tcPr>
          <w:p w14:paraId="704BBAB4"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467F3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5.983.923.000</w:t>
            </w:r>
          </w:p>
        </w:tc>
        <w:tc>
          <w:tcPr>
            <w:tcW w:w="1559" w:type="dxa"/>
            <w:tcBorders>
              <w:top w:val="nil"/>
              <w:left w:val="nil"/>
              <w:bottom w:val="single" w:sz="4" w:space="0" w:color="auto"/>
              <w:right w:val="single" w:sz="4" w:space="0" w:color="auto"/>
            </w:tcBorders>
            <w:shd w:val="clear" w:color="auto" w:fill="auto"/>
            <w:noWrap/>
            <w:vAlign w:val="center"/>
            <w:hideMark/>
          </w:tcPr>
          <w:p w14:paraId="3F8BCD61"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3.203.848.000</w:t>
            </w:r>
          </w:p>
        </w:tc>
        <w:tc>
          <w:tcPr>
            <w:tcW w:w="1560" w:type="dxa"/>
            <w:tcBorders>
              <w:top w:val="nil"/>
              <w:left w:val="nil"/>
              <w:bottom w:val="single" w:sz="4" w:space="0" w:color="auto"/>
              <w:right w:val="single" w:sz="4" w:space="0" w:color="auto"/>
            </w:tcBorders>
            <w:shd w:val="clear" w:color="auto" w:fill="auto"/>
            <w:noWrap/>
            <w:vAlign w:val="center"/>
            <w:hideMark/>
          </w:tcPr>
          <w:p w14:paraId="7152DEF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2.601.439.333</w:t>
            </w:r>
          </w:p>
        </w:tc>
        <w:tc>
          <w:tcPr>
            <w:tcW w:w="1429" w:type="dxa"/>
            <w:tcBorders>
              <w:top w:val="nil"/>
              <w:left w:val="nil"/>
              <w:bottom w:val="single" w:sz="4" w:space="0" w:color="auto"/>
              <w:right w:val="single" w:sz="4" w:space="0" w:color="auto"/>
            </w:tcBorders>
            <w:shd w:val="clear" w:color="auto" w:fill="auto"/>
            <w:noWrap/>
            <w:vAlign w:val="center"/>
            <w:hideMark/>
          </w:tcPr>
          <w:p w14:paraId="1341D7E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1.234.418.667</w:t>
            </w:r>
          </w:p>
        </w:tc>
        <w:tc>
          <w:tcPr>
            <w:tcW w:w="1547" w:type="dxa"/>
            <w:tcBorders>
              <w:top w:val="nil"/>
              <w:left w:val="nil"/>
              <w:bottom w:val="single" w:sz="4" w:space="0" w:color="auto"/>
              <w:right w:val="single" w:sz="4" w:space="0" w:color="auto"/>
            </w:tcBorders>
            <w:shd w:val="clear" w:color="auto" w:fill="auto"/>
            <w:noWrap/>
            <w:vAlign w:val="center"/>
            <w:hideMark/>
          </w:tcPr>
          <w:p w14:paraId="60043E6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1.191.681.333</w:t>
            </w:r>
          </w:p>
        </w:tc>
      </w:tr>
    </w:tbl>
    <w:p w14:paraId="06E6FF40" w14:textId="15F0B51B" w:rsidR="007E09A4" w:rsidRDefault="007E09A4" w:rsidP="009511AB">
      <w:pPr>
        <w:pStyle w:val="Descripcin"/>
        <w:spacing w:before="240" w:line="240" w:lineRule="auto"/>
      </w:pPr>
      <w:r>
        <w:t xml:space="preserve">Tabla </w:t>
      </w:r>
      <w:r w:rsidR="0088389F">
        <w:rPr>
          <w:noProof/>
        </w:rPr>
        <w:t>4</w:t>
      </w:r>
      <w:r>
        <w:t xml:space="preserve"> Plan de inversiones del nivel de tensión 2, pesos de diciembre de 2017 </w:t>
      </w:r>
    </w:p>
    <w:tbl>
      <w:tblPr>
        <w:tblW w:w="9209" w:type="dxa"/>
        <w:tblCellMar>
          <w:left w:w="70" w:type="dxa"/>
          <w:right w:w="70" w:type="dxa"/>
        </w:tblCellMar>
        <w:tblLook w:val="04A0" w:firstRow="1" w:lastRow="0" w:firstColumn="1" w:lastColumn="0" w:noHBand="0" w:noVBand="1"/>
      </w:tblPr>
      <w:tblGrid>
        <w:gridCol w:w="1413"/>
        <w:gridCol w:w="1559"/>
        <w:gridCol w:w="1559"/>
        <w:gridCol w:w="1560"/>
        <w:gridCol w:w="1559"/>
        <w:gridCol w:w="1559"/>
      </w:tblGrid>
      <w:tr w:rsidR="009E5378" w:rsidRPr="009E5378" w14:paraId="7B17F23F" w14:textId="77777777" w:rsidTr="00AF4052">
        <w:trPr>
          <w:trHeight w:val="480"/>
          <w:tblHead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E3184" w14:textId="77777777" w:rsidR="009E5378" w:rsidRPr="009E5378" w:rsidRDefault="009E5378" w:rsidP="009E5378">
            <w:pPr>
              <w:spacing w:before="0" w:after="0"/>
              <w:jc w:val="center"/>
              <w:rPr>
                <w:rFonts w:cs="Arial"/>
                <w:b/>
                <w:bCs/>
                <w:color w:val="000000"/>
                <w:sz w:val="18"/>
                <w:szCs w:val="18"/>
                <w:lang w:val="es-CO" w:eastAsia="es-CO"/>
              </w:rPr>
            </w:pPr>
            <w:r w:rsidRPr="009E5378">
              <w:rPr>
                <w:rFonts w:cs="Arial"/>
                <w:b/>
                <w:bCs/>
                <w:color w:val="000000"/>
                <w:sz w:val="18"/>
                <w:szCs w:val="18"/>
                <w:lang w:val="es-CO" w:eastAsia="es-CO"/>
              </w:rPr>
              <w:t xml:space="preserve">Categoría de activos </w:t>
            </w:r>
            <w:r w:rsidRPr="009E5378">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E2E6DBF"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2,l</w:t>
            </w:r>
            <w:proofErr w:type="gramEnd"/>
            <w:r w:rsidRPr="009E5378">
              <w:rPr>
                <w:rFonts w:cs="Arial"/>
                <w:b/>
                <w:bCs/>
                <w:i/>
                <w:iCs/>
                <w:sz w:val="18"/>
                <w:szCs w:val="18"/>
                <w:vertAlign w:val="subscript"/>
                <w:lang w:val="es-CO" w:eastAsia="es-CO"/>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2634F53B"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2,l</w:t>
            </w:r>
            <w:proofErr w:type="gramEnd"/>
            <w:r w:rsidRPr="009E5378">
              <w:rPr>
                <w:rFonts w:cs="Arial"/>
                <w:b/>
                <w:bCs/>
                <w:i/>
                <w:iCs/>
                <w:sz w:val="18"/>
                <w:szCs w:val="18"/>
                <w:vertAlign w:val="subscript"/>
                <w:lang w:val="es-CO" w:eastAsia="es-CO"/>
              </w:rPr>
              <w:t>,2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58B09ECA"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2,l</w:t>
            </w:r>
            <w:proofErr w:type="gramEnd"/>
            <w:r w:rsidRPr="009E5378">
              <w:rPr>
                <w:rFonts w:cs="Arial"/>
                <w:b/>
                <w:bCs/>
                <w:i/>
                <w:iCs/>
                <w:sz w:val="18"/>
                <w:szCs w:val="18"/>
                <w:vertAlign w:val="subscript"/>
                <w:lang w:val="es-CO" w:eastAsia="es-CO"/>
              </w:rPr>
              <w:t>,3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AC89ABB"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2,l</w:t>
            </w:r>
            <w:proofErr w:type="gramEnd"/>
            <w:r w:rsidRPr="009E5378">
              <w:rPr>
                <w:rFonts w:cs="Arial"/>
                <w:b/>
                <w:bCs/>
                <w:i/>
                <w:iCs/>
                <w:sz w:val="18"/>
                <w:szCs w:val="18"/>
                <w:vertAlign w:val="subscript"/>
                <w:lang w:val="es-CO" w:eastAsia="es-CO"/>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4CE4A843"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2,l</w:t>
            </w:r>
            <w:proofErr w:type="gramEnd"/>
            <w:r w:rsidRPr="009E5378">
              <w:rPr>
                <w:rFonts w:cs="Arial"/>
                <w:b/>
                <w:bCs/>
                <w:i/>
                <w:iCs/>
                <w:sz w:val="18"/>
                <w:szCs w:val="18"/>
                <w:vertAlign w:val="subscript"/>
                <w:lang w:val="es-CO" w:eastAsia="es-CO"/>
              </w:rPr>
              <w:t>,5</w:t>
            </w:r>
          </w:p>
        </w:tc>
      </w:tr>
      <w:tr w:rsidR="009E5378" w:rsidRPr="009E5378" w14:paraId="5224B8DB"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60B547E8"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594743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4B3B08C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2.911.840.000</w:t>
            </w:r>
          </w:p>
        </w:tc>
        <w:tc>
          <w:tcPr>
            <w:tcW w:w="1560" w:type="dxa"/>
            <w:tcBorders>
              <w:top w:val="nil"/>
              <w:left w:val="nil"/>
              <w:bottom w:val="single" w:sz="4" w:space="0" w:color="auto"/>
              <w:right w:val="single" w:sz="4" w:space="0" w:color="auto"/>
            </w:tcBorders>
            <w:shd w:val="clear" w:color="auto" w:fill="auto"/>
            <w:noWrap/>
            <w:vAlign w:val="center"/>
            <w:hideMark/>
          </w:tcPr>
          <w:p w14:paraId="32CD310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964.123.034</w:t>
            </w:r>
          </w:p>
        </w:tc>
        <w:tc>
          <w:tcPr>
            <w:tcW w:w="1559" w:type="dxa"/>
            <w:tcBorders>
              <w:top w:val="nil"/>
              <w:left w:val="nil"/>
              <w:bottom w:val="single" w:sz="4" w:space="0" w:color="auto"/>
              <w:right w:val="single" w:sz="4" w:space="0" w:color="auto"/>
            </w:tcBorders>
            <w:shd w:val="clear" w:color="auto" w:fill="auto"/>
            <w:noWrap/>
            <w:vAlign w:val="center"/>
            <w:hideMark/>
          </w:tcPr>
          <w:p w14:paraId="04DEDF3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956.244.375</w:t>
            </w:r>
          </w:p>
        </w:tc>
        <w:tc>
          <w:tcPr>
            <w:tcW w:w="1559" w:type="dxa"/>
            <w:tcBorders>
              <w:top w:val="nil"/>
              <w:left w:val="nil"/>
              <w:bottom w:val="single" w:sz="4" w:space="0" w:color="auto"/>
              <w:right w:val="single" w:sz="4" w:space="0" w:color="auto"/>
            </w:tcBorders>
            <w:shd w:val="clear" w:color="auto" w:fill="auto"/>
            <w:noWrap/>
            <w:vAlign w:val="center"/>
            <w:hideMark/>
          </w:tcPr>
          <w:p w14:paraId="75261C9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989.521.353</w:t>
            </w:r>
          </w:p>
        </w:tc>
      </w:tr>
      <w:tr w:rsidR="009E5378" w:rsidRPr="009E5378" w14:paraId="4183DE1A"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65D49348"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723165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081BB6C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14:paraId="2A3FE79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70A3F93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5D9BEA9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r>
      <w:tr w:rsidR="009E5378" w:rsidRPr="009E5378" w14:paraId="5A6F4D69"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7AEC6236"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980987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356702C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3.417.664.000</w:t>
            </w:r>
          </w:p>
        </w:tc>
        <w:tc>
          <w:tcPr>
            <w:tcW w:w="1560" w:type="dxa"/>
            <w:tcBorders>
              <w:top w:val="nil"/>
              <w:left w:val="nil"/>
              <w:bottom w:val="single" w:sz="4" w:space="0" w:color="auto"/>
              <w:right w:val="single" w:sz="4" w:space="0" w:color="auto"/>
            </w:tcBorders>
            <w:shd w:val="clear" w:color="auto" w:fill="auto"/>
            <w:noWrap/>
            <w:vAlign w:val="center"/>
            <w:hideMark/>
          </w:tcPr>
          <w:p w14:paraId="4BE1459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1.809.431.000</w:t>
            </w:r>
          </w:p>
        </w:tc>
        <w:tc>
          <w:tcPr>
            <w:tcW w:w="1559" w:type="dxa"/>
            <w:tcBorders>
              <w:top w:val="nil"/>
              <w:left w:val="nil"/>
              <w:bottom w:val="single" w:sz="4" w:space="0" w:color="auto"/>
              <w:right w:val="single" w:sz="4" w:space="0" w:color="auto"/>
            </w:tcBorders>
            <w:shd w:val="clear" w:color="auto" w:fill="auto"/>
            <w:noWrap/>
            <w:vAlign w:val="center"/>
            <w:hideMark/>
          </w:tcPr>
          <w:p w14:paraId="1C374A0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854.416.000</w:t>
            </w:r>
          </w:p>
        </w:tc>
        <w:tc>
          <w:tcPr>
            <w:tcW w:w="1559" w:type="dxa"/>
            <w:tcBorders>
              <w:top w:val="nil"/>
              <w:left w:val="nil"/>
              <w:bottom w:val="single" w:sz="4" w:space="0" w:color="auto"/>
              <w:right w:val="single" w:sz="4" w:space="0" w:color="auto"/>
            </w:tcBorders>
            <w:shd w:val="clear" w:color="auto" w:fill="auto"/>
            <w:noWrap/>
            <w:vAlign w:val="center"/>
            <w:hideMark/>
          </w:tcPr>
          <w:p w14:paraId="1020EEA1"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1.776.439.000</w:t>
            </w:r>
          </w:p>
        </w:tc>
      </w:tr>
      <w:tr w:rsidR="009E5378" w:rsidRPr="009E5378" w14:paraId="2AD66180"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7AF99473"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3C101C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359.145.000</w:t>
            </w:r>
          </w:p>
        </w:tc>
        <w:tc>
          <w:tcPr>
            <w:tcW w:w="1559" w:type="dxa"/>
            <w:tcBorders>
              <w:top w:val="nil"/>
              <w:left w:val="nil"/>
              <w:bottom w:val="single" w:sz="4" w:space="0" w:color="auto"/>
              <w:right w:val="single" w:sz="4" w:space="0" w:color="auto"/>
            </w:tcBorders>
            <w:shd w:val="clear" w:color="auto" w:fill="auto"/>
            <w:noWrap/>
            <w:vAlign w:val="center"/>
            <w:hideMark/>
          </w:tcPr>
          <w:p w14:paraId="2E6E0ED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2.271.235.000</w:t>
            </w:r>
          </w:p>
        </w:tc>
        <w:tc>
          <w:tcPr>
            <w:tcW w:w="1560" w:type="dxa"/>
            <w:tcBorders>
              <w:top w:val="nil"/>
              <w:left w:val="nil"/>
              <w:bottom w:val="single" w:sz="4" w:space="0" w:color="auto"/>
              <w:right w:val="single" w:sz="4" w:space="0" w:color="auto"/>
            </w:tcBorders>
            <w:shd w:val="clear" w:color="auto" w:fill="auto"/>
            <w:noWrap/>
            <w:vAlign w:val="center"/>
            <w:hideMark/>
          </w:tcPr>
          <w:p w14:paraId="4F3BA53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524.206.000</w:t>
            </w:r>
          </w:p>
        </w:tc>
        <w:tc>
          <w:tcPr>
            <w:tcW w:w="1559" w:type="dxa"/>
            <w:tcBorders>
              <w:top w:val="nil"/>
              <w:left w:val="nil"/>
              <w:bottom w:val="single" w:sz="4" w:space="0" w:color="auto"/>
              <w:right w:val="single" w:sz="4" w:space="0" w:color="auto"/>
            </w:tcBorders>
            <w:shd w:val="clear" w:color="auto" w:fill="auto"/>
            <w:noWrap/>
            <w:vAlign w:val="center"/>
            <w:hideMark/>
          </w:tcPr>
          <w:p w14:paraId="3E3D424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300.128.000</w:t>
            </w:r>
          </w:p>
        </w:tc>
        <w:tc>
          <w:tcPr>
            <w:tcW w:w="1559" w:type="dxa"/>
            <w:tcBorders>
              <w:top w:val="nil"/>
              <w:left w:val="nil"/>
              <w:bottom w:val="single" w:sz="4" w:space="0" w:color="auto"/>
              <w:right w:val="single" w:sz="4" w:space="0" w:color="auto"/>
            </w:tcBorders>
            <w:shd w:val="clear" w:color="auto" w:fill="auto"/>
            <w:noWrap/>
            <w:vAlign w:val="center"/>
            <w:hideMark/>
          </w:tcPr>
          <w:p w14:paraId="4F23C8A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871.733.000</w:t>
            </w:r>
          </w:p>
        </w:tc>
      </w:tr>
      <w:tr w:rsidR="009E5378" w:rsidRPr="009E5378" w14:paraId="00D5D6F4"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7D673E5E"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CD0984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1.782.720.000</w:t>
            </w:r>
          </w:p>
        </w:tc>
        <w:tc>
          <w:tcPr>
            <w:tcW w:w="1559" w:type="dxa"/>
            <w:tcBorders>
              <w:top w:val="nil"/>
              <w:left w:val="nil"/>
              <w:bottom w:val="single" w:sz="4" w:space="0" w:color="auto"/>
              <w:right w:val="single" w:sz="4" w:space="0" w:color="auto"/>
            </w:tcBorders>
            <w:shd w:val="clear" w:color="auto" w:fill="auto"/>
            <w:noWrap/>
            <w:vAlign w:val="center"/>
            <w:hideMark/>
          </w:tcPr>
          <w:p w14:paraId="696FC16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206.127.000</w:t>
            </w:r>
          </w:p>
        </w:tc>
        <w:tc>
          <w:tcPr>
            <w:tcW w:w="1560" w:type="dxa"/>
            <w:tcBorders>
              <w:top w:val="nil"/>
              <w:left w:val="nil"/>
              <w:bottom w:val="single" w:sz="4" w:space="0" w:color="auto"/>
              <w:right w:val="single" w:sz="4" w:space="0" w:color="auto"/>
            </w:tcBorders>
            <w:shd w:val="clear" w:color="auto" w:fill="auto"/>
            <w:noWrap/>
            <w:vAlign w:val="center"/>
            <w:hideMark/>
          </w:tcPr>
          <w:p w14:paraId="7F5C4B6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33.426.000</w:t>
            </w:r>
          </w:p>
        </w:tc>
        <w:tc>
          <w:tcPr>
            <w:tcW w:w="1559" w:type="dxa"/>
            <w:tcBorders>
              <w:top w:val="nil"/>
              <w:left w:val="nil"/>
              <w:bottom w:val="single" w:sz="4" w:space="0" w:color="auto"/>
              <w:right w:val="single" w:sz="4" w:space="0" w:color="auto"/>
            </w:tcBorders>
            <w:shd w:val="clear" w:color="auto" w:fill="auto"/>
            <w:noWrap/>
            <w:vAlign w:val="center"/>
            <w:hideMark/>
          </w:tcPr>
          <w:p w14:paraId="12C4F82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16.713.000</w:t>
            </w:r>
          </w:p>
        </w:tc>
        <w:tc>
          <w:tcPr>
            <w:tcW w:w="1559" w:type="dxa"/>
            <w:tcBorders>
              <w:top w:val="nil"/>
              <w:left w:val="nil"/>
              <w:bottom w:val="single" w:sz="4" w:space="0" w:color="auto"/>
              <w:right w:val="single" w:sz="4" w:space="0" w:color="auto"/>
            </w:tcBorders>
            <w:shd w:val="clear" w:color="auto" w:fill="auto"/>
            <w:noWrap/>
            <w:vAlign w:val="center"/>
            <w:hideMark/>
          </w:tcPr>
          <w:p w14:paraId="2971765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33.426.000</w:t>
            </w:r>
          </w:p>
        </w:tc>
      </w:tr>
      <w:tr w:rsidR="009E5378" w:rsidRPr="009E5378" w14:paraId="4221B222"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26A3FEF9"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C795000"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0</w:t>
            </w:r>
          </w:p>
        </w:tc>
        <w:tc>
          <w:tcPr>
            <w:tcW w:w="1559" w:type="dxa"/>
            <w:tcBorders>
              <w:top w:val="nil"/>
              <w:left w:val="nil"/>
              <w:bottom w:val="single" w:sz="4" w:space="0" w:color="auto"/>
              <w:right w:val="single" w:sz="4" w:space="0" w:color="auto"/>
            </w:tcBorders>
            <w:shd w:val="clear" w:color="auto" w:fill="auto"/>
            <w:noWrap/>
            <w:vAlign w:val="center"/>
            <w:hideMark/>
          </w:tcPr>
          <w:p w14:paraId="54FF088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504.492.000</w:t>
            </w:r>
          </w:p>
        </w:tc>
        <w:tc>
          <w:tcPr>
            <w:tcW w:w="1560" w:type="dxa"/>
            <w:tcBorders>
              <w:top w:val="nil"/>
              <w:left w:val="nil"/>
              <w:bottom w:val="single" w:sz="4" w:space="0" w:color="auto"/>
              <w:right w:val="single" w:sz="4" w:space="0" w:color="auto"/>
            </w:tcBorders>
            <w:shd w:val="clear" w:color="auto" w:fill="auto"/>
            <w:noWrap/>
            <w:vAlign w:val="center"/>
            <w:hideMark/>
          </w:tcPr>
          <w:p w14:paraId="56F6C9E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211.733.000</w:t>
            </w:r>
          </w:p>
        </w:tc>
        <w:tc>
          <w:tcPr>
            <w:tcW w:w="1559" w:type="dxa"/>
            <w:tcBorders>
              <w:top w:val="nil"/>
              <w:left w:val="nil"/>
              <w:bottom w:val="single" w:sz="4" w:space="0" w:color="auto"/>
              <w:right w:val="single" w:sz="4" w:space="0" w:color="auto"/>
            </w:tcBorders>
            <w:shd w:val="clear" w:color="auto" w:fill="auto"/>
            <w:noWrap/>
            <w:vAlign w:val="center"/>
            <w:hideMark/>
          </w:tcPr>
          <w:p w14:paraId="54AD93B7"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126.123.000</w:t>
            </w:r>
          </w:p>
        </w:tc>
        <w:tc>
          <w:tcPr>
            <w:tcW w:w="1559" w:type="dxa"/>
            <w:tcBorders>
              <w:top w:val="nil"/>
              <w:left w:val="nil"/>
              <w:bottom w:val="single" w:sz="4" w:space="0" w:color="auto"/>
              <w:right w:val="single" w:sz="4" w:space="0" w:color="auto"/>
            </w:tcBorders>
            <w:shd w:val="clear" w:color="auto" w:fill="auto"/>
            <w:noWrap/>
            <w:vAlign w:val="center"/>
            <w:hideMark/>
          </w:tcPr>
          <w:p w14:paraId="2208AEA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126.123.000</w:t>
            </w:r>
          </w:p>
        </w:tc>
      </w:tr>
      <w:tr w:rsidR="009E5378" w:rsidRPr="009E5378" w14:paraId="0DC9FD3B"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21BB9E4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5B451D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3.979.296.278</w:t>
            </w:r>
          </w:p>
        </w:tc>
        <w:tc>
          <w:tcPr>
            <w:tcW w:w="1559" w:type="dxa"/>
            <w:tcBorders>
              <w:top w:val="nil"/>
              <w:left w:val="nil"/>
              <w:bottom w:val="single" w:sz="4" w:space="0" w:color="auto"/>
              <w:right w:val="single" w:sz="4" w:space="0" w:color="auto"/>
            </w:tcBorders>
            <w:shd w:val="clear" w:color="auto" w:fill="auto"/>
            <w:noWrap/>
            <w:vAlign w:val="center"/>
            <w:hideMark/>
          </w:tcPr>
          <w:p w14:paraId="61B4F14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8.023.230.090</w:t>
            </w:r>
          </w:p>
        </w:tc>
        <w:tc>
          <w:tcPr>
            <w:tcW w:w="1560" w:type="dxa"/>
            <w:tcBorders>
              <w:top w:val="nil"/>
              <w:left w:val="nil"/>
              <w:bottom w:val="single" w:sz="4" w:space="0" w:color="auto"/>
              <w:right w:val="single" w:sz="4" w:space="0" w:color="auto"/>
            </w:tcBorders>
            <w:shd w:val="clear" w:color="auto" w:fill="auto"/>
            <w:noWrap/>
            <w:vAlign w:val="center"/>
            <w:hideMark/>
          </w:tcPr>
          <w:p w14:paraId="7599563B"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5.018.226.670</w:t>
            </w:r>
          </w:p>
        </w:tc>
        <w:tc>
          <w:tcPr>
            <w:tcW w:w="1559" w:type="dxa"/>
            <w:tcBorders>
              <w:top w:val="nil"/>
              <w:left w:val="nil"/>
              <w:bottom w:val="single" w:sz="4" w:space="0" w:color="auto"/>
              <w:right w:val="single" w:sz="4" w:space="0" w:color="auto"/>
            </w:tcBorders>
            <w:shd w:val="clear" w:color="auto" w:fill="auto"/>
            <w:noWrap/>
            <w:vAlign w:val="center"/>
            <w:hideMark/>
          </w:tcPr>
          <w:p w14:paraId="168E180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8.303.025.098</w:t>
            </w:r>
          </w:p>
        </w:tc>
        <w:tc>
          <w:tcPr>
            <w:tcW w:w="1559" w:type="dxa"/>
            <w:tcBorders>
              <w:top w:val="nil"/>
              <w:left w:val="nil"/>
              <w:bottom w:val="single" w:sz="4" w:space="0" w:color="auto"/>
              <w:right w:val="single" w:sz="4" w:space="0" w:color="auto"/>
            </w:tcBorders>
            <w:shd w:val="clear" w:color="auto" w:fill="auto"/>
            <w:noWrap/>
            <w:vAlign w:val="center"/>
            <w:hideMark/>
          </w:tcPr>
          <w:p w14:paraId="643CDBD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5.750.955.221</w:t>
            </w:r>
          </w:p>
        </w:tc>
      </w:tr>
      <w:tr w:rsidR="009E5378" w:rsidRPr="009E5378" w14:paraId="156F2248"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1904702A"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A4FC9C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2.024.446.700</w:t>
            </w:r>
          </w:p>
        </w:tc>
        <w:tc>
          <w:tcPr>
            <w:tcW w:w="1559" w:type="dxa"/>
            <w:tcBorders>
              <w:top w:val="nil"/>
              <w:left w:val="nil"/>
              <w:bottom w:val="single" w:sz="4" w:space="0" w:color="auto"/>
              <w:right w:val="single" w:sz="4" w:space="0" w:color="auto"/>
            </w:tcBorders>
            <w:shd w:val="clear" w:color="auto" w:fill="auto"/>
            <w:noWrap/>
            <w:vAlign w:val="center"/>
            <w:hideMark/>
          </w:tcPr>
          <w:p w14:paraId="41FCE54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524.288.700</w:t>
            </w:r>
          </w:p>
        </w:tc>
        <w:tc>
          <w:tcPr>
            <w:tcW w:w="1560" w:type="dxa"/>
            <w:tcBorders>
              <w:top w:val="nil"/>
              <w:left w:val="nil"/>
              <w:bottom w:val="single" w:sz="4" w:space="0" w:color="auto"/>
              <w:right w:val="single" w:sz="4" w:space="0" w:color="auto"/>
            </w:tcBorders>
            <w:shd w:val="clear" w:color="auto" w:fill="auto"/>
            <w:noWrap/>
            <w:vAlign w:val="center"/>
            <w:hideMark/>
          </w:tcPr>
          <w:p w14:paraId="1DF4DD0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524.288.700</w:t>
            </w:r>
          </w:p>
        </w:tc>
        <w:tc>
          <w:tcPr>
            <w:tcW w:w="1559" w:type="dxa"/>
            <w:tcBorders>
              <w:top w:val="nil"/>
              <w:left w:val="nil"/>
              <w:bottom w:val="single" w:sz="4" w:space="0" w:color="auto"/>
              <w:right w:val="single" w:sz="4" w:space="0" w:color="auto"/>
            </w:tcBorders>
            <w:shd w:val="clear" w:color="auto" w:fill="auto"/>
            <w:noWrap/>
            <w:vAlign w:val="center"/>
            <w:hideMark/>
          </w:tcPr>
          <w:p w14:paraId="55CF9E7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524.288.700</w:t>
            </w:r>
          </w:p>
        </w:tc>
        <w:tc>
          <w:tcPr>
            <w:tcW w:w="1559" w:type="dxa"/>
            <w:tcBorders>
              <w:top w:val="nil"/>
              <w:left w:val="nil"/>
              <w:bottom w:val="single" w:sz="4" w:space="0" w:color="auto"/>
              <w:right w:val="single" w:sz="4" w:space="0" w:color="auto"/>
            </w:tcBorders>
            <w:shd w:val="clear" w:color="auto" w:fill="auto"/>
            <w:noWrap/>
            <w:vAlign w:val="center"/>
            <w:hideMark/>
          </w:tcPr>
          <w:p w14:paraId="18FF4E64"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1.049.344.000</w:t>
            </w:r>
          </w:p>
        </w:tc>
      </w:tr>
      <w:tr w:rsidR="009E5378" w:rsidRPr="009E5378" w14:paraId="2F1AE829"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6382D05D"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C806012"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17.585.402.000</w:t>
            </w:r>
          </w:p>
        </w:tc>
        <w:tc>
          <w:tcPr>
            <w:tcW w:w="1559" w:type="dxa"/>
            <w:tcBorders>
              <w:top w:val="nil"/>
              <w:left w:val="nil"/>
              <w:bottom w:val="single" w:sz="4" w:space="0" w:color="auto"/>
              <w:right w:val="single" w:sz="4" w:space="0" w:color="auto"/>
            </w:tcBorders>
            <w:shd w:val="clear" w:color="auto" w:fill="auto"/>
            <w:noWrap/>
            <w:vAlign w:val="center"/>
            <w:hideMark/>
          </w:tcPr>
          <w:p w14:paraId="53F255A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5.084.062.000</w:t>
            </w:r>
          </w:p>
        </w:tc>
        <w:tc>
          <w:tcPr>
            <w:tcW w:w="1560" w:type="dxa"/>
            <w:tcBorders>
              <w:top w:val="nil"/>
              <w:left w:val="nil"/>
              <w:bottom w:val="single" w:sz="4" w:space="0" w:color="auto"/>
              <w:right w:val="single" w:sz="4" w:space="0" w:color="auto"/>
            </w:tcBorders>
            <w:shd w:val="clear" w:color="auto" w:fill="auto"/>
            <w:noWrap/>
            <w:vAlign w:val="center"/>
            <w:hideMark/>
          </w:tcPr>
          <w:p w14:paraId="12CD9E1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2.594.975.000</w:t>
            </w:r>
          </w:p>
        </w:tc>
        <w:tc>
          <w:tcPr>
            <w:tcW w:w="1559" w:type="dxa"/>
            <w:tcBorders>
              <w:top w:val="nil"/>
              <w:left w:val="nil"/>
              <w:bottom w:val="single" w:sz="4" w:space="0" w:color="auto"/>
              <w:right w:val="single" w:sz="4" w:space="0" w:color="auto"/>
            </w:tcBorders>
            <w:shd w:val="clear" w:color="auto" w:fill="auto"/>
            <w:noWrap/>
            <w:vAlign w:val="center"/>
            <w:hideMark/>
          </w:tcPr>
          <w:p w14:paraId="7536ED29"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2.115.797.000</w:t>
            </w:r>
          </w:p>
        </w:tc>
        <w:tc>
          <w:tcPr>
            <w:tcW w:w="1559" w:type="dxa"/>
            <w:tcBorders>
              <w:top w:val="nil"/>
              <w:left w:val="nil"/>
              <w:bottom w:val="single" w:sz="4" w:space="0" w:color="auto"/>
              <w:right w:val="single" w:sz="4" w:space="0" w:color="auto"/>
            </w:tcBorders>
            <w:shd w:val="clear" w:color="auto" w:fill="auto"/>
            <w:noWrap/>
            <w:vAlign w:val="center"/>
            <w:hideMark/>
          </w:tcPr>
          <w:p w14:paraId="5735340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2.599.319.000</w:t>
            </w:r>
          </w:p>
        </w:tc>
      </w:tr>
      <w:tr w:rsidR="009E5378" w:rsidRPr="009E5378" w14:paraId="4952B80D"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36493607"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AA68CF"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5.983.923.000</w:t>
            </w:r>
          </w:p>
        </w:tc>
        <w:tc>
          <w:tcPr>
            <w:tcW w:w="1559" w:type="dxa"/>
            <w:tcBorders>
              <w:top w:val="nil"/>
              <w:left w:val="nil"/>
              <w:bottom w:val="single" w:sz="4" w:space="0" w:color="auto"/>
              <w:right w:val="single" w:sz="4" w:space="0" w:color="auto"/>
            </w:tcBorders>
            <w:shd w:val="clear" w:color="auto" w:fill="auto"/>
            <w:noWrap/>
            <w:vAlign w:val="center"/>
            <w:hideMark/>
          </w:tcPr>
          <w:p w14:paraId="7183A4D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3.203.848.000</w:t>
            </w:r>
          </w:p>
        </w:tc>
        <w:tc>
          <w:tcPr>
            <w:tcW w:w="1560" w:type="dxa"/>
            <w:tcBorders>
              <w:top w:val="nil"/>
              <w:left w:val="nil"/>
              <w:bottom w:val="single" w:sz="4" w:space="0" w:color="auto"/>
              <w:right w:val="single" w:sz="4" w:space="0" w:color="auto"/>
            </w:tcBorders>
            <w:shd w:val="clear" w:color="auto" w:fill="auto"/>
            <w:noWrap/>
            <w:vAlign w:val="center"/>
            <w:hideMark/>
          </w:tcPr>
          <w:p w14:paraId="6258A00E"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2.601.439.333</w:t>
            </w:r>
          </w:p>
        </w:tc>
        <w:tc>
          <w:tcPr>
            <w:tcW w:w="1559" w:type="dxa"/>
            <w:tcBorders>
              <w:top w:val="nil"/>
              <w:left w:val="nil"/>
              <w:bottom w:val="single" w:sz="4" w:space="0" w:color="auto"/>
              <w:right w:val="single" w:sz="4" w:space="0" w:color="auto"/>
            </w:tcBorders>
            <w:shd w:val="clear" w:color="auto" w:fill="auto"/>
            <w:noWrap/>
            <w:vAlign w:val="center"/>
            <w:hideMark/>
          </w:tcPr>
          <w:p w14:paraId="7D0116F8"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1.234.418.667</w:t>
            </w:r>
          </w:p>
        </w:tc>
        <w:tc>
          <w:tcPr>
            <w:tcW w:w="1559" w:type="dxa"/>
            <w:tcBorders>
              <w:top w:val="nil"/>
              <w:left w:val="nil"/>
              <w:bottom w:val="single" w:sz="4" w:space="0" w:color="auto"/>
              <w:right w:val="single" w:sz="4" w:space="0" w:color="auto"/>
            </w:tcBorders>
            <w:shd w:val="clear" w:color="auto" w:fill="auto"/>
            <w:noWrap/>
            <w:vAlign w:val="center"/>
            <w:hideMark/>
          </w:tcPr>
          <w:p w14:paraId="2DDB18C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1.191.681.333</w:t>
            </w:r>
          </w:p>
        </w:tc>
      </w:tr>
    </w:tbl>
    <w:p w14:paraId="2654DCBC" w14:textId="717C6DD0" w:rsidR="00585EEC" w:rsidRDefault="00585EEC" w:rsidP="009511AB">
      <w:pPr>
        <w:pStyle w:val="Descripcin"/>
        <w:spacing w:before="240" w:line="240" w:lineRule="auto"/>
      </w:pPr>
      <w:r>
        <w:t xml:space="preserve">Tabla </w:t>
      </w:r>
      <w:r w:rsidR="0088389F">
        <w:rPr>
          <w:noProof/>
        </w:rPr>
        <w:t>5</w:t>
      </w:r>
      <w:r>
        <w:t xml:space="preserve"> Plan de inversiones del nivel de tensión 1, pesos de diciembre de 2017 </w:t>
      </w:r>
    </w:p>
    <w:tbl>
      <w:tblPr>
        <w:tblW w:w="9209" w:type="dxa"/>
        <w:tblCellMar>
          <w:left w:w="70" w:type="dxa"/>
          <w:right w:w="70" w:type="dxa"/>
        </w:tblCellMar>
        <w:tblLook w:val="04A0" w:firstRow="1" w:lastRow="0" w:firstColumn="1" w:lastColumn="0" w:noHBand="0" w:noVBand="1"/>
      </w:tblPr>
      <w:tblGrid>
        <w:gridCol w:w="1413"/>
        <w:gridCol w:w="1559"/>
        <w:gridCol w:w="1559"/>
        <w:gridCol w:w="1560"/>
        <w:gridCol w:w="1559"/>
        <w:gridCol w:w="1559"/>
      </w:tblGrid>
      <w:tr w:rsidR="009E5378" w:rsidRPr="009E5378" w14:paraId="767838DE" w14:textId="77777777" w:rsidTr="008B64FE">
        <w:trPr>
          <w:trHeight w:val="480"/>
          <w:tblHead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AA5F8" w14:textId="77777777" w:rsidR="009E5378" w:rsidRPr="009E5378" w:rsidRDefault="009E5378" w:rsidP="009E5378">
            <w:pPr>
              <w:spacing w:before="0" w:after="0"/>
              <w:jc w:val="center"/>
              <w:rPr>
                <w:rFonts w:cs="Arial"/>
                <w:b/>
                <w:bCs/>
                <w:color w:val="000000"/>
                <w:sz w:val="18"/>
                <w:szCs w:val="18"/>
                <w:lang w:val="es-CO" w:eastAsia="es-CO"/>
              </w:rPr>
            </w:pPr>
            <w:r w:rsidRPr="009E5378">
              <w:rPr>
                <w:rFonts w:cs="Arial"/>
                <w:b/>
                <w:bCs/>
                <w:color w:val="000000"/>
                <w:sz w:val="18"/>
                <w:szCs w:val="18"/>
                <w:lang w:val="es-CO" w:eastAsia="es-CO"/>
              </w:rPr>
              <w:t xml:space="preserve">Categoría de activos </w:t>
            </w:r>
            <w:r w:rsidRPr="009E5378">
              <w:rPr>
                <w:rFonts w:cs="Arial"/>
                <w:b/>
                <w:bCs/>
                <w:i/>
                <w:iCs/>
                <w:color w:val="000000"/>
                <w:sz w:val="18"/>
                <w:szCs w:val="18"/>
                <w:lang w:val="es-CO" w:eastAsia="es-CO"/>
              </w:rPr>
              <w:t>l</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C0DC3DB"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1,l</w:t>
            </w:r>
            <w:proofErr w:type="gramEnd"/>
            <w:r w:rsidRPr="009E5378">
              <w:rPr>
                <w:rFonts w:cs="Arial"/>
                <w:b/>
                <w:bCs/>
                <w:i/>
                <w:iCs/>
                <w:sz w:val="18"/>
                <w:szCs w:val="18"/>
                <w:vertAlign w:val="subscript"/>
                <w:lang w:val="es-CO" w:eastAsia="es-CO"/>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571F7B35"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1,l</w:t>
            </w:r>
            <w:proofErr w:type="gramEnd"/>
            <w:r w:rsidRPr="009E5378">
              <w:rPr>
                <w:rFonts w:cs="Arial"/>
                <w:b/>
                <w:bCs/>
                <w:i/>
                <w:iCs/>
                <w:sz w:val="18"/>
                <w:szCs w:val="18"/>
                <w:vertAlign w:val="subscript"/>
                <w:lang w:val="es-CO" w:eastAsia="es-CO"/>
              </w:rPr>
              <w:t>,2</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DC67824"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1,l</w:t>
            </w:r>
            <w:proofErr w:type="gramEnd"/>
            <w:r w:rsidRPr="009E5378">
              <w:rPr>
                <w:rFonts w:cs="Arial"/>
                <w:b/>
                <w:bCs/>
                <w:i/>
                <w:iCs/>
                <w:sz w:val="18"/>
                <w:szCs w:val="18"/>
                <w:vertAlign w:val="subscript"/>
                <w:lang w:val="es-CO" w:eastAsia="es-CO"/>
              </w:rPr>
              <w:t>,3</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1FBFFC0"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1,l</w:t>
            </w:r>
            <w:proofErr w:type="gramEnd"/>
            <w:r w:rsidRPr="009E5378">
              <w:rPr>
                <w:rFonts w:cs="Arial"/>
                <w:b/>
                <w:bCs/>
                <w:i/>
                <w:iCs/>
                <w:sz w:val="18"/>
                <w:szCs w:val="18"/>
                <w:vertAlign w:val="subscript"/>
                <w:lang w:val="es-CO" w:eastAsia="es-CO"/>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6B8F608F" w14:textId="77777777" w:rsidR="009E5378" w:rsidRPr="009E5378" w:rsidRDefault="009E5378" w:rsidP="009E5378">
            <w:pPr>
              <w:spacing w:before="0" w:after="0"/>
              <w:jc w:val="center"/>
              <w:rPr>
                <w:rFonts w:cs="Arial"/>
                <w:b/>
                <w:bCs/>
                <w:i/>
                <w:iCs/>
                <w:sz w:val="18"/>
                <w:szCs w:val="18"/>
                <w:lang w:val="es-CO" w:eastAsia="es-CO"/>
              </w:rPr>
            </w:pPr>
            <w:r w:rsidRPr="009E5378">
              <w:rPr>
                <w:rFonts w:cs="Arial"/>
                <w:b/>
                <w:bCs/>
                <w:i/>
                <w:iCs/>
                <w:sz w:val="18"/>
                <w:szCs w:val="18"/>
                <w:lang w:val="es-CO" w:eastAsia="es-CO"/>
              </w:rPr>
              <w:t>INVA</w:t>
            </w:r>
            <w:r w:rsidRPr="009E5378">
              <w:rPr>
                <w:rFonts w:cs="Arial"/>
                <w:b/>
                <w:bCs/>
                <w:i/>
                <w:iCs/>
                <w:sz w:val="18"/>
                <w:szCs w:val="18"/>
                <w:vertAlign w:val="subscript"/>
                <w:lang w:val="es-CO" w:eastAsia="es-CO"/>
              </w:rPr>
              <w:t>j,</w:t>
            </w:r>
            <w:proofErr w:type="gramStart"/>
            <w:r w:rsidRPr="009E5378">
              <w:rPr>
                <w:rFonts w:cs="Arial"/>
                <w:b/>
                <w:bCs/>
                <w:i/>
                <w:iCs/>
                <w:sz w:val="18"/>
                <w:szCs w:val="18"/>
                <w:vertAlign w:val="subscript"/>
                <w:lang w:val="es-CO" w:eastAsia="es-CO"/>
              </w:rPr>
              <w:t>1,l</w:t>
            </w:r>
            <w:proofErr w:type="gramEnd"/>
            <w:r w:rsidRPr="009E5378">
              <w:rPr>
                <w:rFonts w:cs="Arial"/>
                <w:b/>
                <w:bCs/>
                <w:i/>
                <w:iCs/>
                <w:sz w:val="18"/>
                <w:szCs w:val="18"/>
                <w:vertAlign w:val="subscript"/>
                <w:lang w:val="es-CO" w:eastAsia="es-CO"/>
              </w:rPr>
              <w:t>,5</w:t>
            </w:r>
          </w:p>
        </w:tc>
      </w:tr>
      <w:tr w:rsidR="009E5378" w:rsidRPr="009E5378" w14:paraId="0924A3E1"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7D2AA4A4"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7FB1B7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3.489.713.000</w:t>
            </w:r>
          </w:p>
        </w:tc>
        <w:tc>
          <w:tcPr>
            <w:tcW w:w="1559" w:type="dxa"/>
            <w:tcBorders>
              <w:top w:val="nil"/>
              <w:left w:val="nil"/>
              <w:bottom w:val="single" w:sz="4" w:space="0" w:color="auto"/>
              <w:right w:val="single" w:sz="4" w:space="0" w:color="auto"/>
            </w:tcBorders>
            <w:shd w:val="clear" w:color="auto" w:fill="auto"/>
            <w:noWrap/>
            <w:vAlign w:val="center"/>
            <w:hideMark/>
          </w:tcPr>
          <w:p w14:paraId="275A8A9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2.783.068.000</w:t>
            </w:r>
          </w:p>
        </w:tc>
        <w:tc>
          <w:tcPr>
            <w:tcW w:w="1560" w:type="dxa"/>
            <w:tcBorders>
              <w:top w:val="nil"/>
              <w:left w:val="nil"/>
              <w:bottom w:val="single" w:sz="4" w:space="0" w:color="auto"/>
              <w:right w:val="single" w:sz="4" w:space="0" w:color="auto"/>
            </w:tcBorders>
            <w:shd w:val="clear" w:color="auto" w:fill="auto"/>
            <w:noWrap/>
            <w:vAlign w:val="center"/>
            <w:hideMark/>
          </w:tcPr>
          <w:p w14:paraId="57847AB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2.334.030.000</w:t>
            </w:r>
          </w:p>
        </w:tc>
        <w:tc>
          <w:tcPr>
            <w:tcW w:w="1559" w:type="dxa"/>
            <w:tcBorders>
              <w:top w:val="nil"/>
              <w:left w:val="nil"/>
              <w:bottom w:val="single" w:sz="4" w:space="0" w:color="auto"/>
              <w:right w:val="single" w:sz="4" w:space="0" w:color="auto"/>
            </w:tcBorders>
            <w:shd w:val="clear" w:color="auto" w:fill="auto"/>
            <w:noWrap/>
            <w:vAlign w:val="center"/>
            <w:hideMark/>
          </w:tcPr>
          <w:p w14:paraId="10644B26"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2.371.603.000</w:t>
            </w:r>
          </w:p>
        </w:tc>
        <w:tc>
          <w:tcPr>
            <w:tcW w:w="1559" w:type="dxa"/>
            <w:tcBorders>
              <w:top w:val="nil"/>
              <w:left w:val="nil"/>
              <w:bottom w:val="single" w:sz="4" w:space="0" w:color="auto"/>
              <w:right w:val="single" w:sz="4" w:space="0" w:color="auto"/>
            </w:tcBorders>
            <w:shd w:val="clear" w:color="auto" w:fill="auto"/>
            <w:noWrap/>
            <w:vAlign w:val="center"/>
            <w:hideMark/>
          </w:tcPr>
          <w:p w14:paraId="72A398AA"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2.286.211.000</w:t>
            </w:r>
          </w:p>
        </w:tc>
      </w:tr>
      <w:tr w:rsidR="009E5378" w:rsidRPr="009E5378" w14:paraId="296F7333" w14:textId="77777777" w:rsidTr="009E5378">
        <w:trPr>
          <w:trHeight w:val="255"/>
        </w:trPr>
        <w:tc>
          <w:tcPr>
            <w:tcW w:w="1413" w:type="dxa"/>
            <w:tcBorders>
              <w:top w:val="nil"/>
              <w:left w:val="single" w:sz="4" w:space="0" w:color="auto"/>
              <w:bottom w:val="single" w:sz="4" w:space="0" w:color="auto"/>
              <w:right w:val="nil"/>
            </w:tcBorders>
            <w:shd w:val="clear" w:color="000000" w:fill="FFFFFF"/>
            <w:noWrap/>
            <w:vAlign w:val="center"/>
            <w:hideMark/>
          </w:tcPr>
          <w:p w14:paraId="5DAF946D" w14:textId="77777777" w:rsidR="009E5378" w:rsidRPr="009E5378" w:rsidRDefault="009E5378" w:rsidP="009E5378">
            <w:pPr>
              <w:spacing w:before="0" w:after="0"/>
              <w:jc w:val="center"/>
              <w:rPr>
                <w:rFonts w:cs="Arial"/>
                <w:i/>
                <w:iCs/>
                <w:color w:val="000000"/>
                <w:sz w:val="18"/>
                <w:szCs w:val="18"/>
                <w:lang w:val="es-CO" w:eastAsia="es-CO"/>
              </w:rPr>
            </w:pPr>
            <w:r w:rsidRPr="009E5378">
              <w:rPr>
                <w:rFonts w:cs="Arial"/>
                <w:i/>
                <w:iCs/>
                <w:color w:val="000000"/>
                <w:sz w:val="18"/>
                <w:szCs w:val="18"/>
                <w:lang w:val="es-CO" w:eastAsia="es-CO"/>
              </w:rPr>
              <w:t>l = 12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3DE017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5.676.261.255</w:t>
            </w:r>
          </w:p>
        </w:tc>
        <w:tc>
          <w:tcPr>
            <w:tcW w:w="1559" w:type="dxa"/>
            <w:tcBorders>
              <w:top w:val="nil"/>
              <w:left w:val="nil"/>
              <w:bottom w:val="single" w:sz="4" w:space="0" w:color="auto"/>
              <w:right w:val="single" w:sz="4" w:space="0" w:color="auto"/>
            </w:tcBorders>
            <w:shd w:val="clear" w:color="auto" w:fill="auto"/>
            <w:noWrap/>
            <w:vAlign w:val="center"/>
            <w:hideMark/>
          </w:tcPr>
          <w:p w14:paraId="66EA692C"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6.887.258.080</w:t>
            </w:r>
          </w:p>
        </w:tc>
        <w:tc>
          <w:tcPr>
            <w:tcW w:w="1560" w:type="dxa"/>
            <w:tcBorders>
              <w:top w:val="nil"/>
              <w:left w:val="nil"/>
              <w:bottom w:val="single" w:sz="4" w:space="0" w:color="auto"/>
              <w:right w:val="single" w:sz="4" w:space="0" w:color="auto"/>
            </w:tcBorders>
            <w:shd w:val="clear" w:color="auto" w:fill="auto"/>
            <w:noWrap/>
            <w:vAlign w:val="center"/>
            <w:hideMark/>
          </w:tcPr>
          <w:p w14:paraId="49D1B95D"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8.683.281.616</w:t>
            </w:r>
          </w:p>
        </w:tc>
        <w:tc>
          <w:tcPr>
            <w:tcW w:w="1559" w:type="dxa"/>
            <w:tcBorders>
              <w:top w:val="nil"/>
              <w:left w:val="nil"/>
              <w:bottom w:val="single" w:sz="4" w:space="0" w:color="auto"/>
              <w:right w:val="single" w:sz="4" w:space="0" w:color="auto"/>
            </w:tcBorders>
            <w:shd w:val="clear" w:color="auto" w:fill="auto"/>
            <w:noWrap/>
            <w:vAlign w:val="center"/>
            <w:hideMark/>
          </w:tcPr>
          <w:p w14:paraId="0DC112B5"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6.059.171.098</w:t>
            </w:r>
          </w:p>
        </w:tc>
        <w:tc>
          <w:tcPr>
            <w:tcW w:w="1559" w:type="dxa"/>
            <w:tcBorders>
              <w:top w:val="nil"/>
              <w:left w:val="nil"/>
              <w:bottom w:val="single" w:sz="4" w:space="0" w:color="auto"/>
              <w:right w:val="single" w:sz="4" w:space="0" w:color="auto"/>
            </w:tcBorders>
            <w:shd w:val="clear" w:color="auto" w:fill="auto"/>
            <w:noWrap/>
            <w:vAlign w:val="center"/>
            <w:hideMark/>
          </w:tcPr>
          <w:p w14:paraId="42F76F23" w14:textId="77777777" w:rsidR="009E5378" w:rsidRPr="009E5378" w:rsidRDefault="009E5378" w:rsidP="009E5378">
            <w:pPr>
              <w:spacing w:before="0" w:after="0"/>
              <w:jc w:val="right"/>
              <w:rPr>
                <w:rFonts w:cs="Arial"/>
                <w:sz w:val="18"/>
                <w:szCs w:val="18"/>
                <w:lang w:val="es-CO" w:eastAsia="es-CO"/>
              </w:rPr>
            </w:pPr>
            <w:r w:rsidRPr="009E5378">
              <w:rPr>
                <w:rFonts w:cs="Arial"/>
                <w:sz w:val="18"/>
                <w:szCs w:val="18"/>
                <w:lang w:val="es-CO" w:eastAsia="es-CO"/>
              </w:rPr>
              <w:t>6.345.589.587</w:t>
            </w:r>
          </w:p>
        </w:tc>
      </w:tr>
    </w:tbl>
    <w:p w14:paraId="662DD9C8" w14:textId="77777777" w:rsidR="00130632" w:rsidRDefault="00130632" w:rsidP="00573986">
      <w:pPr>
        <w:ind w:left="426"/>
        <w:rPr>
          <w:b/>
          <w:sz w:val="22"/>
          <w:szCs w:val="22"/>
        </w:rPr>
      </w:pPr>
    </w:p>
    <w:p w14:paraId="7C8254D1" w14:textId="0B0F549E" w:rsidR="00573986" w:rsidRDefault="00573986" w:rsidP="00573986">
      <w:pPr>
        <w:ind w:left="426"/>
        <w:rPr>
          <w:sz w:val="22"/>
          <w:szCs w:val="22"/>
        </w:rPr>
      </w:pPr>
      <w:r w:rsidRPr="00573986">
        <w:rPr>
          <w:b/>
          <w:sz w:val="22"/>
          <w:szCs w:val="22"/>
        </w:rPr>
        <w:t>Parágrafo:</w:t>
      </w:r>
      <w:r w:rsidRPr="00573986">
        <w:rPr>
          <w:sz w:val="22"/>
          <w:szCs w:val="22"/>
        </w:rPr>
        <w:t xml:space="preserve"> En aplicación de lo dispuesto en el artículo 6 de la Resolución CREG 015 de 2018 y el artículo 50 de la Resolución CREG 036 de 2019, el valor de los activos puestos en operación en el 2018 es el siguiente:</w:t>
      </w:r>
    </w:p>
    <w:p w14:paraId="2EFCDE72" w14:textId="7644AE64" w:rsidR="00573986" w:rsidRDefault="00573986" w:rsidP="009039F8">
      <w:pPr>
        <w:pStyle w:val="Descripcin"/>
        <w:spacing w:before="240" w:line="240" w:lineRule="auto"/>
        <w:ind w:left="992" w:right="851"/>
      </w:pPr>
      <w:r>
        <w:t xml:space="preserve">Tabla 6 </w:t>
      </w:r>
      <w:r w:rsidRPr="009F4749">
        <w:t>Valor de los activos del nivel de tensión 4, 3 y 2 puestos en operación en el 2018</w:t>
      </w:r>
      <w:r>
        <w:t xml:space="preserve">, pesos de diciembre de 2017 </w:t>
      </w:r>
    </w:p>
    <w:tbl>
      <w:tblPr>
        <w:tblW w:w="6440" w:type="dxa"/>
        <w:jc w:val="center"/>
        <w:tblCellMar>
          <w:left w:w="70" w:type="dxa"/>
          <w:right w:w="70" w:type="dxa"/>
        </w:tblCellMar>
        <w:tblLook w:val="04A0" w:firstRow="1" w:lastRow="0" w:firstColumn="1" w:lastColumn="0" w:noHBand="0" w:noVBand="1"/>
      </w:tblPr>
      <w:tblGrid>
        <w:gridCol w:w="1320"/>
        <w:gridCol w:w="1760"/>
        <w:gridCol w:w="1620"/>
        <w:gridCol w:w="1740"/>
      </w:tblGrid>
      <w:tr w:rsidR="00573986" w:rsidRPr="00573986" w14:paraId="560460D7" w14:textId="77777777" w:rsidTr="006C0D43">
        <w:trPr>
          <w:trHeight w:val="720"/>
          <w:tblHeader/>
          <w:jc w:val="center"/>
        </w:trPr>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3C040" w14:textId="77777777" w:rsidR="00573986" w:rsidRPr="00573986" w:rsidRDefault="00573986" w:rsidP="00573986">
            <w:pPr>
              <w:spacing w:before="0" w:after="0"/>
              <w:jc w:val="center"/>
              <w:rPr>
                <w:rFonts w:cs="Arial"/>
                <w:b/>
                <w:bCs/>
                <w:color w:val="000000"/>
                <w:sz w:val="18"/>
                <w:szCs w:val="18"/>
                <w:lang w:val="es-CO" w:eastAsia="es-CO"/>
              </w:rPr>
            </w:pPr>
            <w:r w:rsidRPr="00573986">
              <w:rPr>
                <w:rFonts w:cs="Arial"/>
                <w:b/>
                <w:bCs/>
                <w:color w:val="000000"/>
                <w:sz w:val="18"/>
                <w:szCs w:val="18"/>
                <w:lang w:val="es-CO" w:eastAsia="es-CO"/>
              </w:rPr>
              <w:t xml:space="preserve">Categoría de activos </w:t>
            </w:r>
            <w:r w:rsidRPr="00573986">
              <w:rPr>
                <w:rFonts w:cs="Arial"/>
                <w:b/>
                <w:bCs/>
                <w:i/>
                <w:iCs/>
                <w:color w:val="000000"/>
                <w:sz w:val="18"/>
                <w:szCs w:val="18"/>
                <w:lang w:val="es-CO" w:eastAsia="es-CO"/>
              </w:rPr>
              <w:t>l</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692359B3" w14:textId="77777777" w:rsidR="00573986" w:rsidRPr="00573986" w:rsidRDefault="00573986" w:rsidP="00573986">
            <w:pPr>
              <w:spacing w:before="0" w:after="0"/>
              <w:jc w:val="center"/>
              <w:rPr>
                <w:rFonts w:cs="Arial"/>
                <w:b/>
                <w:bCs/>
                <w:i/>
                <w:iCs/>
                <w:sz w:val="18"/>
                <w:szCs w:val="18"/>
                <w:lang w:val="es-CO" w:eastAsia="es-CO"/>
              </w:rPr>
            </w:pPr>
            <w:r w:rsidRPr="00573986">
              <w:rPr>
                <w:rFonts w:cs="Arial"/>
                <w:b/>
                <w:bCs/>
                <w:i/>
                <w:iCs/>
                <w:sz w:val="18"/>
                <w:szCs w:val="18"/>
                <w:lang w:val="es-CO" w:eastAsia="es-CO"/>
              </w:rPr>
              <w:t>Nivel 4</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0C350B03" w14:textId="77777777" w:rsidR="00573986" w:rsidRPr="00573986" w:rsidRDefault="00573986" w:rsidP="00573986">
            <w:pPr>
              <w:spacing w:before="0" w:after="0"/>
              <w:jc w:val="center"/>
              <w:rPr>
                <w:rFonts w:cs="Arial"/>
                <w:b/>
                <w:bCs/>
                <w:i/>
                <w:iCs/>
                <w:sz w:val="18"/>
                <w:szCs w:val="18"/>
                <w:lang w:val="es-CO" w:eastAsia="es-CO"/>
              </w:rPr>
            </w:pPr>
            <w:r w:rsidRPr="00573986">
              <w:rPr>
                <w:rFonts w:cs="Arial"/>
                <w:b/>
                <w:bCs/>
                <w:i/>
                <w:iCs/>
                <w:sz w:val="18"/>
                <w:szCs w:val="18"/>
                <w:lang w:val="es-CO" w:eastAsia="es-CO"/>
              </w:rPr>
              <w:t>Nivel 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14:paraId="69F4238A" w14:textId="77777777" w:rsidR="00573986" w:rsidRPr="00573986" w:rsidRDefault="00573986" w:rsidP="00573986">
            <w:pPr>
              <w:spacing w:before="0" w:after="0"/>
              <w:jc w:val="center"/>
              <w:rPr>
                <w:rFonts w:cs="Arial"/>
                <w:b/>
                <w:bCs/>
                <w:i/>
                <w:iCs/>
                <w:sz w:val="18"/>
                <w:szCs w:val="18"/>
                <w:lang w:val="es-CO" w:eastAsia="es-CO"/>
              </w:rPr>
            </w:pPr>
            <w:r w:rsidRPr="00573986">
              <w:rPr>
                <w:rFonts w:cs="Arial"/>
                <w:b/>
                <w:bCs/>
                <w:i/>
                <w:iCs/>
                <w:sz w:val="18"/>
                <w:szCs w:val="18"/>
                <w:lang w:val="es-CO" w:eastAsia="es-CO"/>
              </w:rPr>
              <w:t>Nivel 2</w:t>
            </w:r>
          </w:p>
        </w:tc>
      </w:tr>
      <w:tr w:rsidR="00573986" w:rsidRPr="00573986" w14:paraId="7A0E7B6B"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0103EDAE"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1</w:t>
            </w:r>
          </w:p>
        </w:tc>
        <w:tc>
          <w:tcPr>
            <w:tcW w:w="1760" w:type="dxa"/>
            <w:tcBorders>
              <w:top w:val="nil"/>
              <w:left w:val="nil"/>
              <w:bottom w:val="single" w:sz="4" w:space="0" w:color="auto"/>
              <w:right w:val="single" w:sz="4" w:space="0" w:color="auto"/>
            </w:tcBorders>
            <w:shd w:val="clear" w:color="auto" w:fill="auto"/>
            <w:noWrap/>
            <w:vAlign w:val="center"/>
            <w:hideMark/>
          </w:tcPr>
          <w:p w14:paraId="0EC1C9F6"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3B6D9A1E"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14:paraId="76BE3544"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r>
      <w:tr w:rsidR="00573986" w:rsidRPr="00573986" w14:paraId="475AF8D8"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18A1B2AE"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2</w:t>
            </w:r>
          </w:p>
        </w:tc>
        <w:tc>
          <w:tcPr>
            <w:tcW w:w="1760" w:type="dxa"/>
            <w:tcBorders>
              <w:top w:val="nil"/>
              <w:left w:val="nil"/>
              <w:bottom w:val="single" w:sz="4" w:space="0" w:color="auto"/>
              <w:right w:val="single" w:sz="4" w:space="0" w:color="auto"/>
            </w:tcBorders>
            <w:shd w:val="clear" w:color="auto" w:fill="auto"/>
            <w:noWrap/>
            <w:vAlign w:val="center"/>
            <w:hideMark/>
          </w:tcPr>
          <w:p w14:paraId="0E508BF7"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43163289"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14:paraId="459D8743"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r>
      <w:tr w:rsidR="00573986" w:rsidRPr="00573986" w14:paraId="6EFCE185"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080958B4"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3</w:t>
            </w:r>
          </w:p>
        </w:tc>
        <w:tc>
          <w:tcPr>
            <w:tcW w:w="1760" w:type="dxa"/>
            <w:tcBorders>
              <w:top w:val="nil"/>
              <w:left w:val="nil"/>
              <w:bottom w:val="single" w:sz="4" w:space="0" w:color="auto"/>
              <w:right w:val="single" w:sz="4" w:space="0" w:color="auto"/>
            </w:tcBorders>
            <w:shd w:val="clear" w:color="auto" w:fill="auto"/>
            <w:noWrap/>
            <w:vAlign w:val="center"/>
            <w:hideMark/>
          </w:tcPr>
          <w:p w14:paraId="699CA9E2"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4.308.148.532</w:t>
            </w:r>
          </w:p>
        </w:tc>
        <w:tc>
          <w:tcPr>
            <w:tcW w:w="1620" w:type="dxa"/>
            <w:tcBorders>
              <w:top w:val="nil"/>
              <w:left w:val="nil"/>
              <w:bottom w:val="single" w:sz="4" w:space="0" w:color="auto"/>
              <w:right w:val="single" w:sz="4" w:space="0" w:color="auto"/>
            </w:tcBorders>
            <w:shd w:val="clear" w:color="auto" w:fill="auto"/>
            <w:noWrap/>
            <w:vAlign w:val="center"/>
            <w:hideMark/>
          </w:tcPr>
          <w:p w14:paraId="3A2E41A8"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1.565.514.000</w:t>
            </w:r>
          </w:p>
        </w:tc>
        <w:tc>
          <w:tcPr>
            <w:tcW w:w="1740" w:type="dxa"/>
            <w:tcBorders>
              <w:top w:val="nil"/>
              <w:left w:val="nil"/>
              <w:bottom w:val="single" w:sz="4" w:space="0" w:color="auto"/>
              <w:right w:val="single" w:sz="4" w:space="0" w:color="auto"/>
            </w:tcBorders>
            <w:shd w:val="clear" w:color="auto" w:fill="auto"/>
            <w:noWrap/>
            <w:vAlign w:val="center"/>
            <w:hideMark/>
          </w:tcPr>
          <w:p w14:paraId="1B999BDB"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351.421.000</w:t>
            </w:r>
          </w:p>
        </w:tc>
      </w:tr>
      <w:tr w:rsidR="00573986" w:rsidRPr="00573986" w14:paraId="0D06F2CC"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766497A9"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4</w:t>
            </w:r>
          </w:p>
        </w:tc>
        <w:tc>
          <w:tcPr>
            <w:tcW w:w="1760" w:type="dxa"/>
            <w:tcBorders>
              <w:top w:val="nil"/>
              <w:left w:val="nil"/>
              <w:bottom w:val="single" w:sz="4" w:space="0" w:color="auto"/>
              <w:right w:val="single" w:sz="4" w:space="0" w:color="auto"/>
            </w:tcBorders>
            <w:shd w:val="clear" w:color="auto" w:fill="auto"/>
            <w:noWrap/>
            <w:vAlign w:val="center"/>
            <w:hideMark/>
          </w:tcPr>
          <w:p w14:paraId="0C1B216A"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1.368.405.470</w:t>
            </w:r>
          </w:p>
        </w:tc>
        <w:tc>
          <w:tcPr>
            <w:tcW w:w="1620" w:type="dxa"/>
            <w:tcBorders>
              <w:top w:val="nil"/>
              <w:left w:val="nil"/>
              <w:bottom w:val="single" w:sz="4" w:space="0" w:color="auto"/>
              <w:right w:val="single" w:sz="4" w:space="0" w:color="auto"/>
            </w:tcBorders>
            <w:shd w:val="clear" w:color="auto" w:fill="auto"/>
            <w:noWrap/>
            <w:vAlign w:val="center"/>
            <w:hideMark/>
          </w:tcPr>
          <w:p w14:paraId="07DD8C18"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4.284.000</w:t>
            </w:r>
          </w:p>
        </w:tc>
        <w:tc>
          <w:tcPr>
            <w:tcW w:w="1740" w:type="dxa"/>
            <w:tcBorders>
              <w:top w:val="nil"/>
              <w:left w:val="nil"/>
              <w:bottom w:val="single" w:sz="4" w:space="0" w:color="auto"/>
              <w:right w:val="single" w:sz="4" w:space="0" w:color="auto"/>
            </w:tcBorders>
            <w:shd w:val="clear" w:color="auto" w:fill="auto"/>
            <w:noWrap/>
            <w:vAlign w:val="center"/>
            <w:hideMark/>
          </w:tcPr>
          <w:p w14:paraId="59542B1E"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r>
      <w:tr w:rsidR="00573986" w:rsidRPr="00573986" w14:paraId="3FD6DB27"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5E9D27DE"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5</w:t>
            </w:r>
          </w:p>
        </w:tc>
        <w:tc>
          <w:tcPr>
            <w:tcW w:w="1760" w:type="dxa"/>
            <w:tcBorders>
              <w:top w:val="nil"/>
              <w:left w:val="nil"/>
              <w:bottom w:val="single" w:sz="4" w:space="0" w:color="auto"/>
              <w:right w:val="single" w:sz="4" w:space="0" w:color="auto"/>
            </w:tcBorders>
            <w:shd w:val="clear" w:color="auto" w:fill="auto"/>
            <w:noWrap/>
            <w:vAlign w:val="center"/>
            <w:hideMark/>
          </w:tcPr>
          <w:p w14:paraId="4E0F4C7C"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928.799.872</w:t>
            </w:r>
          </w:p>
        </w:tc>
        <w:tc>
          <w:tcPr>
            <w:tcW w:w="1620" w:type="dxa"/>
            <w:tcBorders>
              <w:top w:val="nil"/>
              <w:left w:val="nil"/>
              <w:bottom w:val="single" w:sz="4" w:space="0" w:color="auto"/>
              <w:right w:val="single" w:sz="4" w:space="0" w:color="auto"/>
            </w:tcBorders>
            <w:shd w:val="clear" w:color="auto" w:fill="auto"/>
            <w:noWrap/>
            <w:vAlign w:val="center"/>
            <w:hideMark/>
          </w:tcPr>
          <w:p w14:paraId="3BF60CE9"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106.344.000</w:t>
            </w:r>
          </w:p>
        </w:tc>
        <w:tc>
          <w:tcPr>
            <w:tcW w:w="1740" w:type="dxa"/>
            <w:tcBorders>
              <w:top w:val="nil"/>
              <w:left w:val="nil"/>
              <w:bottom w:val="single" w:sz="4" w:space="0" w:color="auto"/>
              <w:right w:val="single" w:sz="4" w:space="0" w:color="auto"/>
            </w:tcBorders>
            <w:shd w:val="clear" w:color="auto" w:fill="auto"/>
            <w:noWrap/>
            <w:vAlign w:val="center"/>
            <w:hideMark/>
          </w:tcPr>
          <w:p w14:paraId="695A14A5"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216.477.000</w:t>
            </w:r>
          </w:p>
        </w:tc>
      </w:tr>
      <w:tr w:rsidR="00573986" w:rsidRPr="00573986" w14:paraId="69A25BF3"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30A23F82"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6</w:t>
            </w:r>
          </w:p>
        </w:tc>
        <w:tc>
          <w:tcPr>
            <w:tcW w:w="1760" w:type="dxa"/>
            <w:tcBorders>
              <w:top w:val="nil"/>
              <w:left w:val="nil"/>
              <w:bottom w:val="single" w:sz="4" w:space="0" w:color="auto"/>
              <w:right w:val="single" w:sz="4" w:space="0" w:color="auto"/>
            </w:tcBorders>
            <w:shd w:val="clear" w:color="auto" w:fill="auto"/>
            <w:noWrap/>
            <w:vAlign w:val="center"/>
            <w:hideMark/>
          </w:tcPr>
          <w:p w14:paraId="5B6B3DFC"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3.944.379.292</w:t>
            </w:r>
          </w:p>
        </w:tc>
        <w:tc>
          <w:tcPr>
            <w:tcW w:w="1620" w:type="dxa"/>
            <w:tcBorders>
              <w:top w:val="nil"/>
              <w:left w:val="nil"/>
              <w:bottom w:val="single" w:sz="4" w:space="0" w:color="auto"/>
              <w:right w:val="single" w:sz="4" w:space="0" w:color="auto"/>
            </w:tcBorders>
            <w:shd w:val="clear" w:color="auto" w:fill="auto"/>
            <w:noWrap/>
            <w:vAlign w:val="center"/>
            <w:hideMark/>
          </w:tcPr>
          <w:p w14:paraId="3C35CBA2"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14:paraId="76D1CC95"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171.220.000</w:t>
            </w:r>
          </w:p>
        </w:tc>
      </w:tr>
      <w:tr w:rsidR="00573986" w:rsidRPr="00573986" w14:paraId="7BFC2BF9"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14AE61CE"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7</w:t>
            </w:r>
          </w:p>
        </w:tc>
        <w:tc>
          <w:tcPr>
            <w:tcW w:w="1760" w:type="dxa"/>
            <w:tcBorders>
              <w:top w:val="nil"/>
              <w:left w:val="nil"/>
              <w:bottom w:val="single" w:sz="4" w:space="0" w:color="auto"/>
              <w:right w:val="single" w:sz="4" w:space="0" w:color="auto"/>
            </w:tcBorders>
            <w:shd w:val="clear" w:color="auto" w:fill="auto"/>
            <w:noWrap/>
            <w:vAlign w:val="center"/>
            <w:hideMark/>
          </w:tcPr>
          <w:p w14:paraId="00EADE3A"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4D5C07FF"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3.240.924.336</w:t>
            </w:r>
          </w:p>
        </w:tc>
        <w:tc>
          <w:tcPr>
            <w:tcW w:w="1740" w:type="dxa"/>
            <w:tcBorders>
              <w:top w:val="nil"/>
              <w:left w:val="nil"/>
              <w:bottom w:val="single" w:sz="4" w:space="0" w:color="auto"/>
              <w:right w:val="single" w:sz="4" w:space="0" w:color="auto"/>
            </w:tcBorders>
            <w:shd w:val="clear" w:color="auto" w:fill="auto"/>
            <w:noWrap/>
            <w:vAlign w:val="center"/>
            <w:hideMark/>
          </w:tcPr>
          <w:p w14:paraId="5EABB2EE"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9.286.277.529</w:t>
            </w:r>
          </w:p>
        </w:tc>
      </w:tr>
      <w:tr w:rsidR="00573986" w:rsidRPr="00573986" w14:paraId="1C139465"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142FF5A8"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8</w:t>
            </w:r>
          </w:p>
        </w:tc>
        <w:tc>
          <w:tcPr>
            <w:tcW w:w="1760" w:type="dxa"/>
            <w:tcBorders>
              <w:top w:val="nil"/>
              <w:left w:val="nil"/>
              <w:bottom w:val="single" w:sz="4" w:space="0" w:color="auto"/>
              <w:right w:val="single" w:sz="4" w:space="0" w:color="auto"/>
            </w:tcBorders>
            <w:shd w:val="clear" w:color="auto" w:fill="auto"/>
            <w:noWrap/>
            <w:vAlign w:val="center"/>
            <w:hideMark/>
          </w:tcPr>
          <w:p w14:paraId="0EEFEDCC"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258274B1"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14:paraId="18C36C04"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1.506.807.125</w:t>
            </w:r>
          </w:p>
        </w:tc>
      </w:tr>
      <w:tr w:rsidR="00573986" w:rsidRPr="00573986" w14:paraId="78E27E06"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3630B059"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9</w:t>
            </w:r>
          </w:p>
        </w:tc>
        <w:tc>
          <w:tcPr>
            <w:tcW w:w="1760" w:type="dxa"/>
            <w:tcBorders>
              <w:top w:val="nil"/>
              <w:left w:val="nil"/>
              <w:bottom w:val="single" w:sz="4" w:space="0" w:color="auto"/>
              <w:right w:val="single" w:sz="4" w:space="0" w:color="auto"/>
            </w:tcBorders>
            <w:shd w:val="clear" w:color="auto" w:fill="auto"/>
            <w:noWrap/>
            <w:vAlign w:val="center"/>
            <w:hideMark/>
          </w:tcPr>
          <w:p w14:paraId="04EA0F04"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224EC746"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25.166.000</w:t>
            </w:r>
          </w:p>
        </w:tc>
        <w:tc>
          <w:tcPr>
            <w:tcW w:w="1740" w:type="dxa"/>
            <w:tcBorders>
              <w:top w:val="nil"/>
              <w:left w:val="nil"/>
              <w:bottom w:val="single" w:sz="4" w:space="0" w:color="auto"/>
              <w:right w:val="single" w:sz="4" w:space="0" w:color="auto"/>
            </w:tcBorders>
            <w:shd w:val="clear" w:color="auto" w:fill="auto"/>
            <w:noWrap/>
            <w:vAlign w:val="center"/>
            <w:hideMark/>
          </w:tcPr>
          <w:p w14:paraId="433F9275"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800.101.000</w:t>
            </w:r>
          </w:p>
        </w:tc>
      </w:tr>
      <w:tr w:rsidR="00573986" w:rsidRPr="00573986" w14:paraId="4F3930CC" w14:textId="77777777" w:rsidTr="00573986">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14:paraId="24099F1F"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10</w:t>
            </w:r>
          </w:p>
        </w:tc>
        <w:tc>
          <w:tcPr>
            <w:tcW w:w="1760" w:type="dxa"/>
            <w:tcBorders>
              <w:top w:val="nil"/>
              <w:left w:val="nil"/>
              <w:bottom w:val="single" w:sz="4" w:space="0" w:color="auto"/>
              <w:right w:val="single" w:sz="4" w:space="0" w:color="auto"/>
            </w:tcBorders>
            <w:shd w:val="clear" w:color="auto" w:fill="auto"/>
            <w:noWrap/>
            <w:vAlign w:val="center"/>
            <w:hideMark/>
          </w:tcPr>
          <w:p w14:paraId="202A3451"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14:paraId="0E25C8EB"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14:paraId="5A998968"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0</w:t>
            </w:r>
          </w:p>
        </w:tc>
      </w:tr>
    </w:tbl>
    <w:p w14:paraId="2EDCB465" w14:textId="18B9C0BD" w:rsidR="00573986" w:rsidRDefault="00573986" w:rsidP="00BA3C8A">
      <w:pPr>
        <w:pStyle w:val="Descripcin"/>
        <w:widowControl/>
        <w:spacing w:before="240" w:line="240" w:lineRule="auto"/>
        <w:ind w:left="1134" w:right="1134"/>
      </w:pPr>
      <w:r>
        <w:t xml:space="preserve">Tabla 7 </w:t>
      </w:r>
      <w:r w:rsidRPr="009F4749">
        <w:t xml:space="preserve">Valor de los activos del nivel de tensión </w:t>
      </w:r>
      <w:r>
        <w:t>1</w:t>
      </w:r>
      <w:r w:rsidRPr="009F4749">
        <w:t xml:space="preserve"> puestos en operación en el 2018</w:t>
      </w:r>
      <w:r>
        <w:t xml:space="preserve">, pesos de diciembre de 2017 </w:t>
      </w:r>
    </w:p>
    <w:tbl>
      <w:tblPr>
        <w:tblW w:w="2700" w:type="dxa"/>
        <w:jc w:val="center"/>
        <w:tblCellMar>
          <w:left w:w="70" w:type="dxa"/>
          <w:right w:w="70" w:type="dxa"/>
        </w:tblCellMar>
        <w:tblLook w:val="04A0" w:firstRow="1" w:lastRow="0" w:firstColumn="1" w:lastColumn="0" w:noHBand="0" w:noVBand="1"/>
      </w:tblPr>
      <w:tblGrid>
        <w:gridCol w:w="1413"/>
        <w:gridCol w:w="1429"/>
      </w:tblGrid>
      <w:tr w:rsidR="00573986" w:rsidRPr="00573986" w14:paraId="34B7EE85" w14:textId="77777777" w:rsidTr="00BA3C8A">
        <w:trPr>
          <w:trHeight w:val="72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D7FAE" w14:textId="77777777" w:rsidR="00573986" w:rsidRPr="00573986" w:rsidRDefault="00573986" w:rsidP="00BA3C8A">
            <w:pPr>
              <w:keepNext/>
              <w:spacing w:before="0" w:after="0"/>
              <w:jc w:val="center"/>
              <w:rPr>
                <w:rFonts w:cs="Arial"/>
                <w:b/>
                <w:bCs/>
                <w:color w:val="000000"/>
                <w:sz w:val="18"/>
                <w:szCs w:val="18"/>
                <w:lang w:val="es-CO" w:eastAsia="es-CO"/>
              </w:rPr>
            </w:pPr>
            <w:r w:rsidRPr="00573986">
              <w:rPr>
                <w:rFonts w:cs="Arial"/>
                <w:b/>
                <w:bCs/>
                <w:color w:val="000000"/>
                <w:sz w:val="18"/>
                <w:szCs w:val="18"/>
                <w:lang w:val="es-CO" w:eastAsia="es-CO"/>
              </w:rPr>
              <w:t xml:space="preserve">Categoría de activos </w:t>
            </w:r>
            <w:r w:rsidRPr="00573986">
              <w:rPr>
                <w:rFonts w:cs="Arial"/>
                <w:b/>
                <w:bCs/>
                <w:i/>
                <w:iCs/>
                <w:color w:val="000000"/>
                <w:sz w:val="18"/>
                <w:szCs w:val="18"/>
                <w:lang w:val="es-CO" w:eastAsia="es-CO"/>
              </w:rPr>
              <w:t>l</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14:paraId="572800EA" w14:textId="77777777" w:rsidR="00573986" w:rsidRPr="00573986" w:rsidRDefault="00573986" w:rsidP="00BA3C8A">
            <w:pPr>
              <w:keepNext/>
              <w:spacing w:before="0" w:after="0"/>
              <w:jc w:val="center"/>
              <w:rPr>
                <w:rFonts w:cs="Arial"/>
                <w:b/>
                <w:bCs/>
                <w:i/>
                <w:iCs/>
                <w:sz w:val="18"/>
                <w:szCs w:val="18"/>
                <w:lang w:val="es-CO" w:eastAsia="es-CO"/>
              </w:rPr>
            </w:pPr>
            <w:r w:rsidRPr="00573986">
              <w:rPr>
                <w:rFonts w:cs="Arial"/>
                <w:b/>
                <w:bCs/>
                <w:i/>
                <w:iCs/>
                <w:sz w:val="18"/>
                <w:szCs w:val="18"/>
                <w:lang w:val="es-CO" w:eastAsia="es-CO"/>
              </w:rPr>
              <w:t>Nivel 4</w:t>
            </w:r>
          </w:p>
        </w:tc>
      </w:tr>
      <w:tr w:rsidR="00573986" w:rsidRPr="00573986" w14:paraId="6BB4B3C6" w14:textId="77777777" w:rsidTr="004344A3">
        <w:trPr>
          <w:trHeight w:val="255"/>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0F46322C"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1</w:t>
            </w:r>
          </w:p>
        </w:tc>
        <w:tc>
          <w:tcPr>
            <w:tcW w:w="1287" w:type="dxa"/>
            <w:tcBorders>
              <w:top w:val="nil"/>
              <w:left w:val="nil"/>
              <w:bottom w:val="single" w:sz="4" w:space="0" w:color="auto"/>
              <w:right w:val="single" w:sz="4" w:space="0" w:color="auto"/>
            </w:tcBorders>
            <w:shd w:val="clear" w:color="auto" w:fill="auto"/>
            <w:noWrap/>
            <w:vAlign w:val="center"/>
            <w:hideMark/>
          </w:tcPr>
          <w:p w14:paraId="12FF6AE6"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2.243.464.000</w:t>
            </w:r>
          </w:p>
        </w:tc>
      </w:tr>
      <w:tr w:rsidR="00573986" w:rsidRPr="00573986" w14:paraId="3E4F0F01" w14:textId="77777777" w:rsidTr="004344A3">
        <w:trPr>
          <w:trHeight w:val="255"/>
          <w:jc w:val="center"/>
        </w:trPr>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14:paraId="0E6191F1" w14:textId="77777777" w:rsidR="00573986" w:rsidRPr="00573986" w:rsidRDefault="00573986" w:rsidP="00573986">
            <w:pPr>
              <w:spacing w:before="0" w:after="0"/>
              <w:jc w:val="center"/>
              <w:rPr>
                <w:rFonts w:cs="Arial"/>
                <w:i/>
                <w:iCs/>
                <w:color w:val="000000"/>
                <w:sz w:val="18"/>
                <w:szCs w:val="18"/>
                <w:lang w:val="es-CO" w:eastAsia="es-CO"/>
              </w:rPr>
            </w:pPr>
            <w:r w:rsidRPr="00573986">
              <w:rPr>
                <w:rFonts w:cs="Arial"/>
                <w:i/>
                <w:iCs/>
                <w:color w:val="000000"/>
                <w:sz w:val="18"/>
                <w:szCs w:val="18"/>
                <w:lang w:val="es-CO" w:eastAsia="es-CO"/>
              </w:rPr>
              <w:t>l = 2</w:t>
            </w:r>
          </w:p>
        </w:tc>
        <w:tc>
          <w:tcPr>
            <w:tcW w:w="1287" w:type="dxa"/>
            <w:tcBorders>
              <w:top w:val="nil"/>
              <w:left w:val="nil"/>
              <w:bottom w:val="single" w:sz="4" w:space="0" w:color="auto"/>
              <w:right w:val="single" w:sz="4" w:space="0" w:color="auto"/>
            </w:tcBorders>
            <w:shd w:val="clear" w:color="auto" w:fill="auto"/>
            <w:noWrap/>
            <w:vAlign w:val="center"/>
            <w:hideMark/>
          </w:tcPr>
          <w:p w14:paraId="50288A50" w14:textId="77777777" w:rsidR="00573986" w:rsidRPr="00573986" w:rsidRDefault="00573986" w:rsidP="00573986">
            <w:pPr>
              <w:spacing w:before="0" w:after="0"/>
              <w:jc w:val="right"/>
              <w:rPr>
                <w:rFonts w:cs="Arial"/>
                <w:sz w:val="18"/>
                <w:szCs w:val="18"/>
                <w:lang w:val="es-CO" w:eastAsia="es-CO"/>
              </w:rPr>
            </w:pPr>
            <w:r w:rsidRPr="00573986">
              <w:rPr>
                <w:rFonts w:cs="Arial"/>
                <w:sz w:val="18"/>
                <w:szCs w:val="18"/>
                <w:lang w:val="es-CO" w:eastAsia="es-CO"/>
              </w:rPr>
              <w:t>8.343.349.525</w:t>
            </w:r>
          </w:p>
        </w:tc>
      </w:tr>
    </w:tbl>
    <w:p w14:paraId="2077F9E3" w14:textId="660C6004" w:rsidR="006F0DAD" w:rsidRPr="0019345E" w:rsidRDefault="006F0DAD" w:rsidP="006F0DAD">
      <w:pPr>
        <w:pStyle w:val="Artculo"/>
        <w:ind w:left="0"/>
        <w:outlineLvl w:val="2"/>
        <w:rPr>
          <w:b w:val="0"/>
        </w:rPr>
      </w:pPr>
      <w:r w:rsidRPr="0019345E">
        <w:t xml:space="preserve">Modificar el artículo </w:t>
      </w:r>
      <w:r>
        <w:t>4</w:t>
      </w:r>
      <w:r w:rsidRPr="0019345E">
        <w:t xml:space="preserve"> de la Resolución CREG 1</w:t>
      </w:r>
      <w:r>
        <w:t>77</w:t>
      </w:r>
      <w:r w:rsidRPr="0019345E">
        <w:t xml:space="preserve"> de 2019. </w:t>
      </w:r>
      <w:r w:rsidRPr="0019345E">
        <w:rPr>
          <w:b w:val="0"/>
        </w:rPr>
        <w:t xml:space="preserve">El artículo </w:t>
      </w:r>
      <w:r>
        <w:rPr>
          <w:b w:val="0"/>
        </w:rPr>
        <w:t>4</w:t>
      </w:r>
      <w:r w:rsidRPr="0019345E">
        <w:rPr>
          <w:b w:val="0"/>
        </w:rPr>
        <w:t xml:space="preserve"> de la Resolución CREG 1</w:t>
      </w:r>
      <w:r>
        <w:rPr>
          <w:b w:val="0"/>
        </w:rPr>
        <w:t>77</w:t>
      </w:r>
      <w:r w:rsidRPr="0019345E">
        <w:rPr>
          <w:b w:val="0"/>
        </w:rPr>
        <w:t xml:space="preserve"> de 2019 quedará así:</w:t>
      </w:r>
      <w:r>
        <w:rPr>
          <w:b w:val="0"/>
        </w:rPr>
        <w:t xml:space="preserve"> </w:t>
      </w:r>
    </w:p>
    <w:p w14:paraId="6D63811E" w14:textId="3D978577" w:rsidR="008B6CFD" w:rsidRPr="006F0DAD" w:rsidRDefault="006F0DAD" w:rsidP="006F0DAD">
      <w:pPr>
        <w:ind w:left="426"/>
        <w:rPr>
          <w:sz w:val="22"/>
          <w:szCs w:val="22"/>
        </w:rPr>
      </w:pPr>
      <w:r w:rsidRPr="006F0DAD">
        <w:rPr>
          <w:b/>
          <w:bCs/>
          <w:sz w:val="22"/>
          <w:szCs w:val="22"/>
        </w:rPr>
        <w:t xml:space="preserve">Artículo 4. </w:t>
      </w:r>
      <w:r w:rsidR="00DC3445" w:rsidRPr="006F0DAD">
        <w:rPr>
          <w:b/>
          <w:bCs/>
          <w:sz w:val="22"/>
          <w:szCs w:val="22"/>
        </w:rPr>
        <w:t>Recuperación de capital de activos de la BRA inicial</w:t>
      </w:r>
      <w:r w:rsidR="00DB020A" w:rsidRPr="006F0DAD">
        <w:rPr>
          <w:b/>
          <w:bCs/>
          <w:sz w:val="22"/>
          <w:szCs w:val="22"/>
        </w:rPr>
        <w:t>.</w:t>
      </w:r>
      <w:r w:rsidR="006747D5" w:rsidRPr="006F0DAD">
        <w:rPr>
          <w:sz w:val="22"/>
          <w:szCs w:val="22"/>
        </w:rPr>
        <w:t xml:space="preserve"> </w:t>
      </w:r>
      <w:r w:rsidR="00DC3445" w:rsidRPr="006F0DAD">
        <w:rPr>
          <w:sz w:val="22"/>
          <w:szCs w:val="22"/>
        </w:rPr>
        <w:t xml:space="preserve">El valor de </w:t>
      </w:r>
      <w:r w:rsidR="00DB020A" w:rsidRPr="006F0DAD">
        <w:rPr>
          <w:sz w:val="22"/>
          <w:szCs w:val="22"/>
        </w:rPr>
        <w:t xml:space="preserve">la </w:t>
      </w:r>
      <w:r w:rsidR="00DC3445" w:rsidRPr="006F0DAD">
        <w:rPr>
          <w:sz w:val="22"/>
          <w:szCs w:val="22"/>
        </w:rPr>
        <w:t xml:space="preserve">recuperación de capital </w:t>
      </w:r>
      <w:r w:rsidR="00F84552" w:rsidRPr="006F0DAD">
        <w:rPr>
          <w:sz w:val="22"/>
          <w:szCs w:val="22"/>
        </w:rPr>
        <w:t xml:space="preserve">reconocida para los activos incluidos en </w:t>
      </w:r>
      <w:r w:rsidR="00DC3445" w:rsidRPr="006F0DAD">
        <w:rPr>
          <w:sz w:val="22"/>
          <w:szCs w:val="22"/>
        </w:rPr>
        <w:t xml:space="preserve">la base regulatoria </w:t>
      </w:r>
      <w:r w:rsidR="00F84552" w:rsidRPr="006F0DAD">
        <w:rPr>
          <w:sz w:val="22"/>
          <w:szCs w:val="22"/>
        </w:rPr>
        <w:t xml:space="preserve">inicial </w:t>
      </w:r>
      <w:r w:rsidR="006747D5" w:rsidRPr="006F0DAD">
        <w:rPr>
          <w:sz w:val="22"/>
          <w:szCs w:val="22"/>
        </w:rPr>
        <w:t>de activos</w:t>
      </w:r>
      <w:r w:rsidR="00C44B9B" w:rsidRPr="006F0DAD">
        <w:rPr>
          <w:sz w:val="22"/>
          <w:szCs w:val="22"/>
        </w:rPr>
        <w:t xml:space="preserve">, </w:t>
      </w:r>
      <w:proofErr w:type="gramStart"/>
      <w:r w:rsidR="00C44B9B" w:rsidRPr="006F0DAD">
        <w:rPr>
          <w:i/>
          <w:sz w:val="22"/>
          <w:szCs w:val="22"/>
        </w:rPr>
        <w:t>RCBIA</w:t>
      </w:r>
      <w:r w:rsidR="00C44B9B" w:rsidRPr="006F0DAD">
        <w:rPr>
          <w:i/>
          <w:sz w:val="22"/>
          <w:szCs w:val="22"/>
          <w:vertAlign w:val="subscript"/>
        </w:rPr>
        <w:t>j,n</w:t>
      </w:r>
      <w:proofErr w:type="gramEnd"/>
      <w:r w:rsidR="00C44B9B" w:rsidRPr="006F0DAD">
        <w:rPr>
          <w:i/>
          <w:sz w:val="22"/>
          <w:szCs w:val="22"/>
          <w:vertAlign w:val="subscript"/>
        </w:rPr>
        <w:t>,1</w:t>
      </w:r>
      <w:r w:rsidR="00C44B9B" w:rsidRPr="006F0DAD">
        <w:rPr>
          <w:sz w:val="22"/>
          <w:szCs w:val="22"/>
        </w:rPr>
        <w:t>,</w:t>
      </w:r>
      <w:r w:rsidR="00DC3445" w:rsidRPr="006F0DAD">
        <w:rPr>
          <w:sz w:val="22"/>
          <w:szCs w:val="22"/>
        </w:rPr>
        <w:t xml:space="preserve"> es el siguiente:</w:t>
      </w:r>
      <w:bookmarkStart w:id="2" w:name="_Ref195412735"/>
      <w:bookmarkStart w:id="3" w:name="_Ref209833384"/>
      <w:bookmarkStart w:id="4" w:name="_Ref476757639"/>
    </w:p>
    <w:p w14:paraId="1D5D5A88" w14:textId="67EC2C72" w:rsidR="00FA5BD7" w:rsidRDefault="00FA5BD7" w:rsidP="00FA5BD7">
      <w:pPr>
        <w:pStyle w:val="Descripcin"/>
      </w:pPr>
      <w:r>
        <w:t xml:space="preserve">Tabla </w:t>
      </w:r>
      <w:r w:rsidR="006F0DAD">
        <w:rPr>
          <w:noProof/>
        </w:rPr>
        <w:t>8</w:t>
      </w:r>
      <w:r>
        <w:t xml:space="preserve"> Recuperación de capital de activos de la BRA inicial</w:t>
      </w:r>
    </w:p>
    <w:tbl>
      <w:tblPr>
        <w:tblW w:w="3580" w:type="dxa"/>
        <w:jc w:val="center"/>
        <w:tblCellMar>
          <w:left w:w="70" w:type="dxa"/>
          <w:right w:w="70" w:type="dxa"/>
        </w:tblCellMar>
        <w:tblLook w:val="04A0" w:firstRow="1" w:lastRow="0" w:firstColumn="1" w:lastColumn="0" w:noHBand="0" w:noVBand="1"/>
      </w:tblPr>
      <w:tblGrid>
        <w:gridCol w:w="1600"/>
        <w:gridCol w:w="1980"/>
      </w:tblGrid>
      <w:tr w:rsidR="006F0DAD" w:rsidRPr="006F0DAD" w14:paraId="2C198FE6" w14:textId="77777777" w:rsidTr="006F0DAD">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46202" w14:textId="77777777" w:rsidR="006F0DAD" w:rsidRPr="006F0DAD" w:rsidRDefault="006F0DAD" w:rsidP="006F0DAD">
            <w:pPr>
              <w:spacing w:before="0" w:after="0"/>
              <w:jc w:val="center"/>
              <w:rPr>
                <w:rFonts w:cs="Arial"/>
                <w:b/>
                <w:bCs/>
                <w:sz w:val="18"/>
                <w:szCs w:val="18"/>
                <w:lang w:val="es-CO" w:eastAsia="es-CO"/>
              </w:rPr>
            </w:pPr>
            <w:r w:rsidRPr="006F0DAD">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BB0E3A1" w14:textId="77777777" w:rsidR="006F0DAD" w:rsidRPr="006F0DAD" w:rsidRDefault="006F0DAD" w:rsidP="006F0DAD">
            <w:pPr>
              <w:spacing w:before="0" w:after="0"/>
              <w:jc w:val="center"/>
              <w:rPr>
                <w:rFonts w:cs="Arial"/>
                <w:b/>
                <w:bCs/>
                <w:sz w:val="18"/>
                <w:szCs w:val="18"/>
                <w:lang w:val="es-CO" w:eastAsia="es-CO"/>
              </w:rPr>
            </w:pPr>
            <w:r w:rsidRPr="006F0DAD">
              <w:rPr>
                <w:rFonts w:cs="Arial"/>
                <w:b/>
                <w:bCs/>
                <w:sz w:val="18"/>
                <w:szCs w:val="18"/>
                <w:lang w:val="es-CO" w:eastAsia="es-CO"/>
              </w:rPr>
              <w:t>Pesos de diciembre de 2017</w:t>
            </w:r>
          </w:p>
        </w:tc>
      </w:tr>
      <w:tr w:rsidR="006F0DAD" w:rsidRPr="006F0DAD" w14:paraId="2D11E50C" w14:textId="77777777" w:rsidTr="006F0DA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BB2406C" w14:textId="77777777" w:rsidR="006F0DAD" w:rsidRPr="006F0DAD" w:rsidRDefault="006F0DAD" w:rsidP="006F0DAD">
            <w:pPr>
              <w:spacing w:before="0" w:after="0"/>
              <w:jc w:val="center"/>
              <w:rPr>
                <w:rFonts w:cs="Arial"/>
                <w:i/>
                <w:iCs/>
                <w:sz w:val="18"/>
                <w:szCs w:val="18"/>
                <w:lang w:val="es-CO" w:eastAsia="es-CO"/>
              </w:rPr>
            </w:pPr>
            <w:r w:rsidRPr="006F0DAD">
              <w:rPr>
                <w:rFonts w:cs="Arial"/>
                <w:i/>
                <w:iCs/>
                <w:sz w:val="18"/>
                <w:szCs w:val="18"/>
                <w:lang w:val="es-CO" w:eastAsia="es-CO"/>
              </w:rPr>
              <w:t>RCBIA</w:t>
            </w:r>
            <w:r w:rsidRPr="006F0DAD">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305E4F38" w14:textId="77777777" w:rsidR="006F0DAD" w:rsidRPr="006F0DAD" w:rsidRDefault="006F0DAD" w:rsidP="006F0DAD">
            <w:pPr>
              <w:spacing w:before="0" w:after="0"/>
              <w:jc w:val="right"/>
              <w:rPr>
                <w:rFonts w:cs="Arial"/>
                <w:sz w:val="18"/>
                <w:szCs w:val="18"/>
                <w:lang w:val="es-CO" w:eastAsia="es-CO"/>
              </w:rPr>
            </w:pPr>
            <w:r w:rsidRPr="006F0DAD">
              <w:rPr>
                <w:rFonts w:cs="Arial"/>
                <w:sz w:val="18"/>
                <w:szCs w:val="18"/>
                <w:lang w:val="es-CO" w:eastAsia="es-CO"/>
              </w:rPr>
              <w:t>8.088.543.007</w:t>
            </w:r>
          </w:p>
        </w:tc>
      </w:tr>
      <w:tr w:rsidR="006F0DAD" w:rsidRPr="006F0DAD" w14:paraId="2365E8AC" w14:textId="77777777" w:rsidTr="006F0DA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28CBEB3" w14:textId="77777777" w:rsidR="006F0DAD" w:rsidRPr="006F0DAD" w:rsidRDefault="006F0DAD" w:rsidP="006F0DAD">
            <w:pPr>
              <w:spacing w:before="0" w:after="0"/>
              <w:jc w:val="center"/>
              <w:rPr>
                <w:rFonts w:cs="Arial"/>
                <w:i/>
                <w:iCs/>
                <w:sz w:val="18"/>
                <w:szCs w:val="18"/>
                <w:lang w:val="es-CO" w:eastAsia="es-CO"/>
              </w:rPr>
            </w:pPr>
            <w:r w:rsidRPr="006F0DAD">
              <w:rPr>
                <w:rFonts w:cs="Arial"/>
                <w:i/>
                <w:iCs/>
                <w:sz w:val="18"/>
                <w:szCs w:val="18"/>
                <w:lang w:val="es-CO" w:eastAsia="es-CO"/>
              </w:rPr>
              <w:t>RCBIA</w:t>
            </w:r>
            <w:r w:rsidRPr="006F0DAD">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0C7C9B7E" w14:textId="77777777" w:rsidR="006F0DAD" w:rsidRPr="006F0DAD" w:rsidRDefault="006F0DAD" w:rsidP="006F0DAD">
            <w:pPr>
              <w:spacing w:before="0" w:after="0"/>
              <w:jc w:val="right"/>
              <w:rPr>
                <w:rFonts w:cs="Arial"/>
                <w:sz w:val="18"/>
                <w:szCs w:val="18"/>
                <w:lang w:val="es-CO" w:eastAsia="es-CO"/>
              </w:rPr>
            </w:pPr>
            <w:r w:rsidRPr="006F0DAD">
              <w:rPr>
                <w:rFonts w:cs="Arial"/>
                <w:sz w:val="18"/>
                <w:szCs w:val="18"/>
                <w:lang w:val="es-CO" w:eastAsia="es-CO"/>
              </w:rPr>
              <w:t>6.895.645.527</w:t>
            </w:r>
          </w:p>
        </w:tc>
      </w:tr>
      <w:tr w:rsidR="006F0DAD" w:rsidRPr="006F0DAD" w14:paraId="04D32CD1" w14:textId="77777777" w:rsidTr="006F0DA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79BD54B" w14:textId="77777777" w:rsidR="006F0DAD" w:rsidRPr="006F0DAD" w:rsidRDefault="006F0DAD" w:rsidP="006F0DAD">
            <w:pPr>
              <w:spacing w:before="0" w:after="0"/>
              <w:jc w:val="center"/>
              <w:rPr>
                <w:rFonts w:cs="Arial"/>
                <w:i/>
                <w:iCs/>
                <w:sz w:val="18"/>
                <w:szCs w:val="18"/>
                <w:lang w:val="es-CO" w:eastAsia="es-CO"/>
              </w:rPr>
            </w:pPr>
            <w:r w:rsidRPr="006F0DAD">
              <w:rPr>
                <w:rFonts w:cs="Arial"/>
                <w:i/>
                <w:iCs/>
                <w:sz w:val="18"/>
                <w:szCs w:val="18"/>
                <w:lang w:val="es-CO" w:eastAsia="es-CO"/>
              </w:rPr>
              <w:t>RCBIA</w:t>
            </w:r>
            <w:r w:rsidRPr="006F0DAD">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50526AAC" w14:textId="77777777" w:rsidR="006F0DAD" w:rsidRPr="006F0DAD" w:rsidRDefault="006F0DAD" w:rsidP="006F0DAD">
            <w:pPr>
              <w:spacing w:before="0" w:after="0"/>
              <w:jc w:val="right"/>
              <w:rPr>
                <w:rFonts w:cs="Arial"/>
                <w:sz w:val="18"/>
                <w:szCs w:val="18"/>
                <w:lang w:val="es-CO" w:eastAsia="es-CO"/>
              </w:rPr>
            </w:pPr>
            <w:r w:rsidRPr="006F0DAD">
              <w:rPr>
                <w:rFonts w:cs="Arial"/>
                <w:sz w:val="18"/>
                <w:szCs w:val="18"/>
                <w:lang w:val="es-CO" w:eastAsia="es-CO"/>
              </w:rPr>
              <w:t>16.962.617.002</w:t>
            </w:r>
          </w:p>
        </w:tc>
      </w:tr>
      <w:tr w:rsidR="006F0DAD" w:rsidRPr="006F0DAD" w14:paraId="5D429B9B" w14:textId="77777777" w:rsidTr="006F0DA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46B09B8" w14:textId="77777777" w:rsidR="006F0DAD" w:rsidRPr="006F0DAD" w:rsidRDefault="006F0DAD" w:rsidP="006F0DAD">
            <w:pPr>
              <w:spacing w:before="0" w:after="0"/>
              <w:jc w:val="center"/>
              <w:rPr>
                <w:rFonts w:cs="Arial"/>
                <w:i/>
                <w:iCs/>
                <w:sz w:val="18"/>
                <w:szCs w:val="18"/>
                <w:lang w:val="es-CO" w:eastAsia="es-CO"/>
              </w:rPr>
            </w:pPr>
            <w:r w:rsidRPr="006F0DAD">
              <w:rPr>
                <w:rFonts w:cs="Arial"/>
                <w:i/>
                <w:iCs/>
                <w:sz w:val="18"/>
                <w:szCs w:val="18"/>
                <w:lang w:val="es-CO" w:eastAsia="es-CO"/>
              </w:rPr>
              <w:t>RCBIA</w:t>
            </w:r>
            <w:r w:rsidRPr="006F0DAD">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0960AFBD" w14:textId="77777777" w:rsidR="006F0DAD" w:rsidRPr="006F0DAD" w:rsidRDefault="006F0DAD" w:rsidP="006F0DAD">
            <w:pPr>
              <w:spacing w:before="0" w:after="0"/>
              <w:jc w:val="right"/>
              <w:rPr>
                <w:rFonts w:cs="Arial"/>
                <w:sz w:val="18"/>
                <w:szCs w:val="18"/>
                <w:lang w:val="es-CO" w:eastAsia="es-CO"/>
              </w:rPr>
            </w:pPr>
            <w:r w:rsidRPr="006F0DAD">
              <w:rPr>
                <w:rFonts w:cs="Arial"/>
                <w:sz w:val="18"/>
                <w:szCs w:val="18"/>
                <w:lang w:val="es-CO" w:eastAsia="es-CO"/>
              </w:rPr>
              <w:t>9.370.014.107</w:t>
            </w:r>
          </w:p>
        </w:tc>
      </w:tr>
    </w:tbl>
    <w:p w14:paraId="57DC458A" w14:textId="4F010B94" w:rsidR="00D913A7" w:rsidRPr="0019345E" w:rsidRDefault="00D913A7" w:rsidP="00D913A7">
      <w:pPr>
        <w:pStyle w:val="Artculo"/>
        <w:ind w:left="0"/>
        <w:outlineLvl w:val="2"/>
        <w:rPr>
          <w:b w:val="0"/>
        </w:rPr>
      </w:pPr>
      <w:r w:rsidRPr="0019345E">
        <w:t>Modificar el artículo 5 de la Resolución CREG 1</w:t>
      </w:r>
      <w:r>
        <w:t>77</w:t>
      </w:r>
      <w:r w:rsidRPr="0019345E">
        <w:t xml:space="preserve"> de 2019. </w:t>
      </w:r>
      <w:r w:rsidRPr="0019345E">
        <w:rPr>
          <w:b w:val="0"/>
        </w:rPr>
        <w:t>El artículo 5 de la Resolución CREG 1</w:t>
      </w:r>
      <w:r>
        <w:rPr>
          <w:b w:val="0"/>
        </w:rPr>
        <w:t xml:space="preserve">77 </w:t>
      </w:r>
      <w:r w:rsidRPr="0019345E">
        <w:rPr>
          <w:b w:val="0"/>
        </w:rPr>
        <w:t>de 2019 quedará así:</w:t>
      </w:r>
    </w:p>
    <w:p w14:paraId="63A44D91" w14:textId="3559852E" w:rsidR="006747D5" w:rsidRPr="00D913A7" w:rsidRDefault="00D913A7" w:rsidP="00D913A7">
      <w:pPr>
        <w:ind w:left="426"/>
        <w:rPr>
          <w:sz w:val="22"/>
          <w:szCs w:val="22"/>
        </w:rPr>
      </w:pPr>
      <w:r w:rsidRPr="00D913A7">
        <w:rPr>
          <w:b/>
          <w:bCs/>
          <w:sz w:val="22"/>
          <w:szCs w:val="22"/>
        </w:rPr>
        <w:t xml:space="preserve">Artículo 5. </w:t>
      </w:r>
      <w:r w:rsidR="006747D5" w:rsidRPr="00D913A7">
        <w:rPr>
          <w:b/>
          <w:bCs/>
          <w:sz w:val="22"/>
          <w:szCs w:val="22"/>
        </w:rPr>
        <w:t>Recuperación de capital de activos nuevos.</w:t>
      </w:r>
      <w:r w:rsidR="006747D5" w:rsidRPr="00D913A7">
        <w:rPr>
          <w:sz w:val="22"/>
          <w:szCs w:val="22"/>
        </w:rPr>
        <w:t xml:space="preserve"> El valor de </w:t>
      </w:r>
      <w:r w:rsidR="00F84552" w:rsidRPr="00D913A7">
        <w:rPr>
          <w:sz w:val="22"/>
          <w:szCs w:val="22"/>
        </w:rPr>
        <w:t xml:space="preserve">la </w:t>
      </w:r>
      <w:r w:rsidR="006747D5" w:rsidRPr="00D913A7">
        <w:rPr>
          <w:sz w:val="22"/>
          <w:szCs w:val="22"/>
        </w:rPr>
        <w:t xml:space="preserve">recuperación de capital </w:t>
      </w:r>
      <w:r w:rsidR="00F84552" w:rsidRPr="00D913A7">
        <w:rPr>
          <w:sz w:val="22"/>
          <w:szCs w:val="22"/>
        </w:rPr>
        <w:t>reconocida para los activos que entraron en operación en el primer año</w:t>
      </w:r>
      <w:r w:rsidR="00DB020A" w:rsidRPr="00D913A7">
        <w:rPr>
          <w:sz w:val="22"/>
          <w:szCs w:val="22"/>
        </w:rPr>
        <w:t xml:space="preserve">, </w:t>
      </w:r>
      <w:proofErr w:type="gramStart"/>
      <w:r w:rsidR="00DB020A" w:rsidRPr="00D913A7">
        <w:rPr>
          <w:i/>
          <w:sz w:val="22"/>
          <w:szCs w:val="22"/>
        </w:rPr>
        <w:t>RCNA</w:t>
      </w:r>
      <w:r w:rsidR="00DB020A" w:rsidRPr="00D913A7">
        <w:rPr>
          <w:i/>
          <w:sz w:val="22"/>
          <w:szCs w:val="22"/>
          <w:vertAlign w:val="subscript"/>
        </w:rPr>
        <w:t>j,n</w:t>
      </w:r>
      <w:proofErr w:type="gramEnd"/>
      <w:r w:rsidR="00DB020A" w:rsidRPr="00D913A7">
        <w:rPr>
          <w:i/>
          <w:sz w:val="22"/>
          <w:szCs w:val="22"/>
          <w:vertAlign w:val="subscript"/>
        </w:rPr>
        <w:t>,1</w:t>
      </w:r>
      <w:r w:rsidR="00DB020A" w:rsidRPr="00D913A7">
        <w:rPr>
          <w:sz w:val="22"/>
          <w:szCs w:val="22"/>
        </w:rPr>
        <w:t xml:space="preserve">, </w:t>
      </w:r>
      <w:r w:rsidR="006747D5" w:rsidRPr="00D913A7">
        <w:rPr>
          <w:sz w:val="22"/>
          <w:szCs w:val="22"/>
        </w:rPr>
        <w:t>es el siguiente:</w:t>
      </w:r>
    </w:p>
    <w:p w14:paraId="3140A1E6" w14:textId="5DCDC839" w:rsidR="006747D5" w:rsidRDefault="006747D5" w:rsidP="006747D5">
      <w:pPr>
        <w:pStyle w:val="Descripcin"/>
      </w:pPr>
      <w:r>
        <w:t xml:space="preserve">Tabla </w:t>
      </w:r>
      <w:r w:rsidR="00341BF1">
        <w:rPr>
          <w:noProof/>
        </w:rPr>
        <w:t>9</w:t>
      </w:r>
      <w:r>
        <w:t xml:space="preserve"> Recuperación de capital de activos nuevos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D913A7" w:rsidRPr="00D913A7" w14:paraId="5B40CCD2" w14:textId="77777777" w:rsidTr="00AF405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AFF2" w14:textId="77777777" w:rsidR="00D913A7" w:rsidRPr="00D913A7" w:rsidRDefault="00D913A7" w:rsidP="00D913A7">
            <w:pPr>
              <w:spacing w:before="0" w:after="0"/>
              <w:jc w:val="center"/>
              <w:rPr>
                <w:rFonts w:cs="Arial"/>
                <w:b/>
                <w:bCs/>
                <w:sz w:val="18"/>
                <w:szCs w:val="18"/>
                <w:lang w:val="es-CO" w:eastAsia="es-CO"/>
              </w:rPr>
            </w:pPr>
            <w:r w:rsidRPr="00D913A7">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17D9EC5" w14:textId="77777777" w:rsidR="00D913A7" w:rsidRPr="00D913A7" w:rsidRDefault="00D913A7" w:rsidP="00D913A7">
            <w:pPr>
              <w:spacing w:before="0" w:after="0"/>
              <w:jc w:val="center"/>
              <w:rPr>
                <w:rFonts w:cs="Arial"/>
                <w:b/>
                <w:bCs/>
                <w:sz w:val="18"/>
                <w:szCs w:val="18"/>
                <w:lang w:val="es-CO" w:eastAsia="es-CO"/>
              </w:rPr>
            </w:pPr>
            <w:r w:rsidRPr="00D913A7">
              <w:rPr>
                <w:rFonts w:cs="Arial"/>
                <w:b/>
                <w:bCs/>
                <w:sz w:val="18"/>
                <w:szCs w:val="18"/>
                <w:lang w:val="es-CO" w:eastAsia="es-CO"/>
              </w:rPr>
              <w:t>Pesos de diciembre de 2017</w:t>
            </w:r>
          </w:p>
        </w:tc>
      </w:tr>
      <w:tr w:rsidR="00D913A7" w:rsidRPr="00D913A7" w14:paraId="13E55AB5" w14:textId="77777777" w:rsidTr="00D913A7">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FFE8BA6" w14:textId="77777777" w:rsidR="00D913A7" w:rsidRPr="00D913A7" w:rsidRDefault="00D913A7" w:rsidP="00D913A7">
            <w:pPr>
              <w:spacing w:before="0" w:after="0"/>
              <w:jc w:val="center"/>
              <w:rPr>
                <w:rFonts w:cs="Arial"/>
                <w:i/>
                <w:iCs/>
                <w:sz w:val="18"/>
                <w:szCs w:val="18"/>
                <w:lang w:val="es-CO" w:eastAsia="es-CO"/>
              </w:rPr>
            </w:pPr>
            <w:r w:rsidRPr="00D913A7">
              <w:rPr>
                <w:rFonts w:cs="Arial"/>
                <w:i/>
                <w:iCs/>
                <w:sz w:val="18"/>
                <w:szCs w:val="18"/>
                <w:lang w:val="es-CO" w:eastAsia="es-CO"/>
              </w:rPr>
              <w:t>RCNA</w:t>
            </w:r>
            <w:r w:rsidRPr="00D913A7">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434046B5" w14:textId="77777777" w:rsidR="00D913A7" w:rsidRPr="00D913A7" w:rsidRDefault="00D913A7" w:rsidP="00D913A7">
            <w:pPr>
              <w:spacing w:before="0" w:after="0"/>
              <w:jc w:val="right"/>
              <w:rPr>
                <w:rFonts w:cs="Arial"/>
                <w:sz w:val="18"/>
                <w:szCs w:val="18"/>
                <w:lang w:val="es-CO" w:eastAsia="es-CO"/>
              </w:rPr>
            </w:pPr>
            <w:r w:rsidRPr="00D913A7">
              <w:rPr>
                <w:rFonts w:cs="Arial"/>
                <w:sz w:val="18"/>
                <w:szCs w:val="18"/>
                <w:lang w:val="es-CO" w:eastAsia="es-CO"/>
              </w:rPr>
              <w:t>3.773.633.233</w:t>
            </w:r>
          </w:p>
        </w:tc>
      </w:tr>
      <w:tr w:rsidR="00D913A7" w:rsidRPr="00D913A7" w14:paraId="3D991EB2" w14:textId="77777777" w:rsidTr="00D913A7">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0D59A22" w14:textId="77777777" w:rsidR="00D913A7" w:rsidRPr="00D913A7" w:rsidRDefault="00D913A7" w:rsidP="00D913A7">
            <w:pPr>
              <w:spacing w:before="0" w:after="0"/>
              <w:jc w:val="center"/>
              <w:rPr>
                <w:rFonts w:cs="Arial"/>
                <w:i/>
                <w:iCs/>
                <w:sz w:val="18"/>
                <w:szCs w:val="18"/>
                <w:lang w:val="es-CO" w:eastAsia="es-CO"/>
              </w:rPr>
            </w:pPr>
            <w:r w:rsidRPr="00D913A7">
              <w:rPr>
                <w:rFonts w:cs="Arial"/>
                <w:i/>
                <w:iCs/>
                <w:sz w:val="18"/>
                <w:szCs w:val="18"/>
                <w:lang w:val="es-CO" w:eastAsia="es-CO"/>
              </w:rPr>
              <w:t>RCNA</w:t>
            </w:r>
            <w:r w:rsidRPr="00D913A7">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7D86F605" w14:textId="77777777" w:rsidR="00D913A7" w:rsidRPr="00D913A7" w:rsidRDefault="00D913A7" w:rsidP="00D913A7">
            <w:pPr>
              <w:spacing w:before="0" w:after="0"/>
              <w:jc w:val="right"/>
              <w:rPr>
                <w:rFonts w:cs="Arial"/>
                <w:sz w:val="18"/>
                <w:szCs w:val="18"/>
                <w:lang w:val="es-CO" w:eastAsia="es-CO"/>
              </w:rPr>
            </w:pPr>
            <w:r w:rsidRPr="00D913A7">
              <w:rPr>
                <w:rFonts w:cs="Arial"/>
                <w:sz w:val="18"/>
                <w:szCs w:val="18"/>
                <w:lang w:val="es-CO" w:eastAsia="es-CO"/>
              </w:rPr>
              <w:t>1.294.423.008</w:t>
            </w:r>
          </w:p>
        </w:tc>
      </w:tr>
      <w:tr w:rsidR="00D913A7" w:rsidRPr="00D913A7" w14:paraId="416C8B86" w14:textId="77777777" w:rsidTr="00D913A7">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63B5653" w14:textId="77777777" w:rsidR="00D913A7" w:rsidRPr="00D913A7" w:rsidRDefault="00D913A7" w:rsidP="00D913A7">
            <w:pPr>
              <w:spacing w:before="0" w:after="0"/>
              <w:jc w:val="center"/>
              <w:rPr>
                <w:rFonts w:cs="Arial"/>
                <w:i/>
                <w:iCs/>
                <w:sz w:val="18"/>
                <w:szCs w:val="18"/>
                <w:lang w:val="es-CO" w:eastAsia="es-CO"/>
              </w:rPr>
            </w:pPr>
            <w:r w:rsidRPr="00D913A7">
              <w:rPr>
                <w:rFonts w:cs="Arial"/>
                <w:i/>
                <w:iCs/>
                <w:sz w:val="18"/>
                <w:szCs w:val="18"/>
                <w:lang w:val="es-CO" w:eastAsia="es-CO"/>
              </w:rPr>
              <w:t>RCNA</w:t>
            </w:r>
            <w:r w:rsidRPr="00D913A7">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1D6B88D1" w14:textId="77777777" w:rsidR="00D913A7" w:rsidRPr="00D913A7" w:rsidRDefault="00D913A7" w:rsidP="00D913A7">
            <w:pPr>
              <w:spacing w:before="0" w:after="0"/>
              <w:jc w:val="right"/>
              <w:rPr>
                <w:rFonts w:cs="Arial"/>
                <w:sz w:val="18"/>
                <w:szCs w:val="18"/>
                <w:lang w:val="es-CO" w:eastAsia="es-CO"/>
              </w:rPr>
            </w:pPr>
            <w:r w:rsidRPr="00D913A7">
              <w:rPr>
                <w:rFonts w:cs="Arial"/>
                <w:sz w:val="18"/>
                <w:szCs w:val="18"/>
                <w:lang w:val="es-CO" w:eastAsia="es-CO"/>
              </w:rPr>
              <w:t>1.635.911.828</w:t>
            </w:r>
          </w:p>
        </w:tc>
      </w:tr>
      <w:tr w:rsidR="00D913A7" w:rsidRPr="00D913A7" w14:paraId="007EC834" w14:textId="77777777" w:rsidTr="00D913A7">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C316619" w14:textId="77777777" w:rsidR="00D913A7" w:rsidRPr="00D913A7" w:rsidRDefault="00D913A7" w:rsidP="00D913A7">
            <w:pPr>
              <w:spacing w:before="0" w:after="0"/>
              <w:jc w:val="center"/>
              <w:rPr>
                <w:rFonts w:cs="Arial"/>
                <w:i/>
                <w:iCs/>
                <w:sz w:val="18"/>
                <w:szCs w:val="18"/>
                <w:lang w:val="es-CO" w:eastAsia="es-CO"/>
              </w:rPr>
            </w:pPr>
            <w:r w:rsidRPr="00D913A7">
              <w:rPr>
                <w:rFonts w:cs="Arial"/>
                <w:i/>
                <w:iCs/>
                <w:sz w:val="18"/>
                <w:szCs w:val="18"/>
                <w:lang w:val="es-CO" w:eastAsia="es-CO"/>
              </w:rPr>
              <w:t>RCNA</w:t>
            </w:r>
            <w:r w:rsidRPr="00D913A7">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0E26C5CB" w14:textId="77777777" w:rsidR="00D913A7" w:rsidRPr="00D913A7" w:rsidRDefault="00D913A7" w:rsidP="00D913A7">
            <w:pPr>
              <w:spacing w:before="0" w:after="0"/>
              <w:jc w:val="right"/>
              <w:rPr>
                <w:rFonts w:cs="Arial"/>
                <w:sz w:val="18"/>
                <w:szCs w:val="18"/>
                <w:lang w:val="es-CO" w:eastAsia="es-CO"/>
              </w:rPr>
            </w:pPr>
            <w:r w:rsidRPr="00D913A7">
              <w:rPr>
                <w:rFonts w:cs="Arial"/>
                <w:sz w:val="18"/>
                <w:szCs w:val="18"/>
                <w:lang w:val="es-CO" w:eastAsia="es-CO"/>
              </w:rPr>
              <w:t>642.485.136</w:t>
            </w:r>
          </w:p>
        </w:tc>
      </w:tr>
    </w:tbl>
    <w:p w14:paraId="4046CAA8" w14:textId="6660D615" w:rsidR="00341BF1" w:rsidRPr="0019345E" w:rsidRDefault="00341BF1" w:rsidP="00341BF1">
      <w:pPr>
        <w:pStyle w:val="Artculo"/>
        <w:ind w:left="0"/>
        <w:outlineLvl w:val="2"/>
        <w:rPr>
          <w:b w:val="0"/>
        </w:rPr>
      </w:pPr>
      <w:r w:rsidRPr="0019345E">
        <w:t xml:space="preserve">Modificar el artículo </w:t>
      </w:r>
      <w:r>
        <w:t>6</w:t>
      </w:r>
      <w:r w:rsidRPr="0019345E">
        <w:t xml:space="preserve"> de la Resolución CREG 1</w:t>
      </w:r>
      <w:r>
        <w:t>77</w:t>
      </w:r>
      <w:r w:rsidRPr="0019345E">
        <w:t xml:space="preserve"> de 2019. </w:t>
      </w:r>
      <w:r w:rsidRPr="0019345E">
        <w:rPr>
          <w:b w:val="0"/>
        </w:rPr>
        <w:t xml:space="preserve">El artículo </w:t>
      </w:r>
      <w:r>
        <w:rPr>
          <w:b w:val="0"/>
        </w:rPr>
        <w:t>6</w:t>
      </w:r>
      <w:r w:rsidRPr="0019345E">
        <w:rPr>
          <w:b w:val="0"/>
        </w:rPr>
        <w:t xml:space="preserve"> de la Resolución CREG 1</w:t>
      </w:r>
      <w:r>
        <w:rPr>
          <w:b w:val="0"/>
        </w:rPr>
        <w:t>77</w:t>
      </w:r>
      <w:r w:rsidRPr="0019345E">
        <w:rPr>
          <w:b w:val="0"/>
        </w:rPr>
        <w:t xml:space="preserve"> de 2019 quedará así:</w:t>
      </w:r>
    </w:p>
    <w:p w14:paraId="365C343B" w14:textId="7ACBB8CA" w:rsidR="006747D5" w:rsidRDefault="00341BF1" w:rsidP="00341BF1">
      <w:pPr>
        <w:ind w:left="426"/>
        <w:rPr>
          <w:sz w:val="22"/>
          <w:szCs w:val="22"/>
        </w:rPr>
      </w:pPr>
      <w:r w:rsidRPr="00341BF1">
        <w:rPr>
          <w:b/>
          <w:bCs/>
          <w:sz w:val="22"/>
          <w:szCs w:val="22"/>
        </w:rPr>
        <w:t xml:space="preserve">Artículo 6. </w:t>
      </w:r>
      <w:r w:rsidR="006747D5" w:rsidRPr="00341BF1">
        <w:rPr>
          <w:b/>
          <w:bCs/>
          <w:sz w:val="22"/>
          <w:szCs w:val="22"/>
        </w:rPr>
        <w:t>Base regulatoria de terrenos.</w:t>
      </w:r>
      <w:r w:rsidR="006747D5" w:rsidRPr="00341BF1">
        <w:rPr>
          <w:sz w:val="22"/>
          <w:szCs w:val="22"/>
        </w:rPr>
        <w:t xml:space="preserve"> El valor de la base regulatoria de terrenos</w:t>
      </w:r>
      <w:r w:rsidR="00DB020A" w:rsidRPr="00341BF1">
        <w:rPr>
          <w:sz w:val="22"/>
          <w:szCs w:val="22"/>
        </w:rPr>
        <w:t xml:space="preserve">, </w:t>
      </w:r>
      <w:proofErr w:type="gramStart"/>
      <w:r w:rsidR="00DB020A" w:rsidRPr="00341BF1">
        <w:rPr>
          <w:i/>
          <w:sz w:val="22"/>
          <w:szCs w:val="22"/>
        </w:rPr>
        <w:t>BRT</w:t>
      </w:r>
      <w:r w:rsidR="00DB020A" w:rsidRPr="00341BF1">
        <w:rPr>
          <w:i/>
          <w:sz w:val="22"/>
          <w:szCs w:val="22"/>
          <w:vertAlign w:val="subscript"/>
        </w:rPr>
        <w:t>j,n</w:t>
      </w:r>
      <w:proofErr w:type="gramEnd"/>
      <w:r w:rsidR="00DB020A" w:rsidRPr="00341BF1">
        <w:rPr>
          <w:i/>
          <w:sz w:val="22"/>
          <w:szCs w:val="22"/>
          <w:vertAlign w:val="subscript"/>
        </w:rPr>
        <w:t>,1</w:t>
      </w:r>
      <w:r w:rsidR="00DB020A" w:rsidRPr="00341BF1">
        <w:rPr>
          <w:sz w:val="22"/>
          <w:szCs w:val="22"/>
        </w:rPr>
        <w:t xml:space="preserve">, </w:t>
      </w:r>
      <w:r w:rsidR="006747D5" w:rsidRPr="00341BF1">
        <w:rPr>
          <w:sz w:val="22"/>
          <w:szCs w:val="22"/>
        </w:rPr>
        <w:t xml:space="preserve">del año 1, para </w:t>
      </w:r>
      <w:r w:rsidR="00DB020A" w:rsidRPr="00341BF1">
        <w:rPr>
          <w:sz w:val="22"/>
          <w:szCs w:val="22"/>
        </w:rPr>
        <w:t>los niveles de tensión 4, 3 y 2</w:t>
      </w:r>
      <w:r w:rsidR="006747D5" w:rsidRPr="00341BF1">
        <w:rPr>
          <w:sz w:val="22"/>
          <w:szCs w:val="22"/>
        </w:rPr>
        <w:t>, es el siguiente:</w:t>
      </w:r>
    </w:p>
    <w:p w14:paraId="0A4C83AB" w14:textId="0353E3D6" w:rsidR="006747D5" w:rsidRDefault="006747D5" w:rsidP="006747D5">
      <w:pPr>
        <w:pStyle w:val="Descripcin"/>
      </w:pPr>
      <w:r>
        <w:t xml:space="preserve">Tabla </w:t>
      </w:r>
      <w:r w:rsidR="00341BF1">
        <w:rPr>
          <w:noProof/>
        </w:rPr>
        <w:t>10</w:t>
      </w:r>
      <w:r>
        <w:t xml:space="preserve"> </w:t>
      </w:r>
      <w:r w:rsidR="00734187">
        <w:t>B</w:t>
      </w:r>
      <w:r w:rsidR="008F03AC" w:rsidRPr="003C3465">
        <w:t>ase regulatoria de terrenos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341BF1" w:rsidRPr="00341BF1" w14:paraId="66A4A0BE" w14:textId="77777777" w:rsidTr="00341BF1">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2EB9E" w14:textId="77777777" w:rsidR="00341BF1" w:rsidRPr="00341BF1" w:rsidRDefault="00341BF1" w:rsidP="00341BF1">
            <w:pPr>
              <w:keepNext/>
              <w:spacing w:before="0" w:after="0"/>
              <w:jc w:val="center"/>
              <w:rPr>
                <w:rFonts w:cs="Arial"/>
                <w:b/>
                <w:bCs/>
                <w:sz w:val="18"/>
                <w:szCs w:val="18"/>
                <w:lang w:val="es-CO" w:eastAsia="es-CO"/>
              </w:rPr>
            </w:pPr>
            <w:r w:rsidRPr="00341BF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FD5C2F3" w14:textId="77777777" w:rsidR="00341BF1" w:rsidRPr="00341BF1" w:rsidRDefault="00341BF1" w:rsidP="00341BF1">
            <w:pPr>
              <w:keepNext/>
              <w:spacing w:before="0" w:after="0"/>
              <w:jc w:val="center"/>
              <w:rPr>
                <w:rFonts w:cs="Arial"/>
                <w:b/>
                <w:bCs/>
                <w:sz w:val="18"/>
                <w:szCs w:val="18"/>
                <w:lang w:val="es-CO" w:eastAsia="es-CO"/>
              </w:rPr>
            </w:pPr>
            <w:r w:rsidRPr="00341BF1">
              <w:rPr>
                <w:rFonts w:cs="Arial"/>
                <w:b/>
                <w:bCs/>
                <w:sz w:val="18"/>
                <w:szCs w:val="18"/>
                <w:lang w:val="es-CO" w:eastAsia="es-CO"/>
              </w:rPr>
              <w:t>Pesos de diciembre de 2017</w:t>
            </w:r>
          </w:p>
        </w:tc>
      </w:tr>
      <w:tr w:rsidR="00341BF1" w:rsidRPr="00341BF1" w14:paraId="19CB92B4"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4B78944"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BRT</w:t>
            </w:r>
            <w:r w:rsidRPr="00341BF1">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2019D34A"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165.865.987</w:t>
            </w:r>
          </w:p>
        </w:tc>
      </w:tr>
      <w:tr w:rsidR="00341BF1" w:rsidRPr="00341BF1" w14:paraId="4231BCA1"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1C7CE8B"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BRT</w:t>
            </w:r>
            <w:r w:rsidRPr="00341BF1">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594B8B74"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19.170.407</w:t>
            </w:r>
          </w:p>
        </w:tc>
      </w:tr>
      <w:tr w:rsidR="00341BF1" w:rsidRPr="00341BF1" w14:paraId="24A9DEF7"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91E3E04"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BRT</w:t>
            </w:r>
            <w:r w:rsidRPr="00341BF1">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683DC48A"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43.415.596</w:t>
            </w:r>
          </w:p>
        </w:tc>
      </w:tr>
    </w:tbl>
    <w:p w14:paraId="3226C416" w14:textId="267DA340" w:rsidR="00341BF1" w:rsidRDefault="00341BF1" w:rsidP="00341BF1">
      <w:pPr>
        <w:pStyle w:val="Artculo"/>
        <w:ind w:left="0"/>
        <w:outlineLvl w:val="2"/>
        <w:rPr>
          <w:b w:val="0"/>
        </w:rPr>
      </w:pPr>
      <w:r w:rsidRPr="0019345E">
        <w:t xml:space="preserve">Modificar el artículo </w:t>
      </w:r>
      <w:r>
        <w:t>7</w:t>
      </w:r>
      <w:r w:rsidRPr="0019345E">
        <w:t xml:space="preserve"> de la Resolución CREG 1</w:t>
      </w:r>
      <w:r>
        <w:t>77</w:t>
      </w:r>
      <w:r w:rsidRPr="0019345E">
        <w:t xml:space="preserve"> de 2019. </w:t>
      </w:r>
      <w:r w:rsidRPr="0019345E">
        <w:rPr>
          <w:b w:val="0"/>
        </w:rPr>
        <w:t xml:space="preserve">El artículo </w:t>
      </w:r>
      <w:r>
        <w:rPr>
          <w:b w:val="0"/>
        </w:rPr>
        <w:t>7</w:t>
      </w:r>
      <w:r w:rsidRPr="0019345E">
        <w:rPr>
          <w:b w:val="0"/>
        </w:rPr>
        <w:t xml:space="preserve"> de la Resolución CREG 1</w:t>
      </w:r>
      <w:r>
        <w:rPr>
          <w:b w:val="0"/>
        </w:rPr>
        <w:t>77</w:t>
      </w:r>
      <w:r w:rsidRPr="0019345E">
        <w:rPr>
          <w:b w:val="0"/>
        </w:rPr>
        <w:t xml:space="preserve"> de 2019 quedará así:</w:t>
      </w:r>
    </w:p>
    <w:p w14:paraId="15281672" w14:textId="1642DC88" w:rsidR="00D443BE" w:rsidRPr="00341BF1" w:rsidRDefault="00341BF1" w:rsidP="00341BF1">
      <w:pPr>
        <w:ind w:left="426"/>
        <w:rPr>
          <w:sz w:val="22"/>
          <w:szCs w:val="22"/>
        </w:rPr>
      </w:pPr>
      <w:r w:rsidRPr="00341BF1">
        <w:rPr>
          <w:b/>
          <w:bCs/>
          <w:sz w:val="22"/>
          <w:szCs w:val="22"/>
        </w:rPr>
        <w:t xml:space="preserve">Artículo 7. </w:t>
      </w:r>
      <w:r w:rsidR="00D443BE" w:rsidRPr="00341BF1">
        <w:rPr>
          <w:b/>
          <w:bCs/>
          <w:sz w:val="22"/>
          <w:szCs w:val="22"/>
        </w:rPr>
        <w:t>AOM base</w:t>
      </w:r>
      <w:r w:rsidR="000718BC" w:rsidRPr="00341BF1">
        <w:rPr>
          <w:b/>
          <w:bCs/>
          <w:sz w:val="22"/>
          <w:szCs w:val="22"/>
        </w:rPr>
        <w:t xml:space="preserve"> por nivel de tensión</w:t>
      </w:r>
      <w:r w:rsidR="00D443BE" w:rsidRPr="00341BF1">
        <w:rPr>
          <w:b/>
          <w:bCs/>
          <w:sz w:val="22"/>
          <w:szCs w:val="22"/>
        </w:rPr>
        <w:t>.</w:t>
      </w:r>
      <w:r w:rsidR="00D443BE" w:rsidRPr="00341BF1">
        <w:rPr>
          <w:sz w:val="22"/>
          <w:szCs w:val="22"/>
        </w:rPr>
        <w:t xml:space="preserve"> El valor del AOM base</w:t>
      </w:r>
      <w:r w:rsidR="000718BC" w:rsidRPr="00341BF1">
        <w:rPr>
          <w:sz w:val="22"/>
          <w:szCs w:val="22"/>
        </w:rPr>
        <w:t xml:space="preserve"> para cada nivel de tensión</w:t>
      </w:r>
      <w:r w:rsidR="00DB020A" w:rsidRPr="00341BF1">
        <w:rPr>
          <w:sz w:val="22"/>
          <w:szCs w:val="22"/>
        </w:rPr>
        <w:t xml:space="preserve">, </w:t>
      </w:r>
      <w:proofErr w:type="spellStart"/>
      <w:proofErr w:type="gramStart"/>
      <w:r w:rsidR="00DB020A" w:rsidRPr="00341BF1">
        <w:rPr>
          <w:i/>
          <w:sz w:val="22"/>
          <w:szCs w:val="22"/>
        </w:rPr>
        <w:t>AOMbase</w:t>
      </w:r>
      <w:r w:rsidR="00DB020A" w:rsidRPr="00341BF1">
        <w:rPr>
          <w:i/>
          <w:sz w:val="22"/>
          <w:szCs w:val="22"/>
          <w:vertAlign w:val="subscript"/>
        </w:rPr>
        <w:t>j</w:t>
      </w:r>
      <w:r w:rsidR="000718BC" w:rsidRPr="00341BF1">
        <w:rPr>
          <w:i/>
          <w:sz w:val="22"/>
          <w:szCs w:val="22"/>
          <w:vertAlign w:val="subscript"/>
        </w:rPr>
        <w:t>,n</w:t>
      </w:r>
      <w:proofErr w:type="spellEnd"/>
      <w:proofErr w:type="gramEnd"/>
      <w:r w:rsidR="00DB020A" w:rsidRPr="00341BF1">
        <w:rPr>
          <w:sz w:val="22"/>
          <w:szCs w:val="22"/>
        </w:rPr>
        <w:t>,</w:t>
      </w:r>
      <w:r w:rsidR="00D443BE" w:rsidRPr="00341BF1">
        <w:rPr>
          <w:sz w:val="22"/>
          <w:szCs w:val="22"/>
        </w:rPr>
        <w:t xml:space="preserve"> es el siguiente:</w:t>
      </w:r>
    </w:p>
    <w:p w14:paraId="3DF1CB63" w14:textId="20ED6D1D" w:rsidR="00D443BE" w:rsidRDefault="00D443BE" w:rsidP="00D443BE">
      <w:pPr>
        <w:pStyle w:val="Descripcin"/>
      </w:pPr>
      <w:r>
        <w:t xml:space="preserve">Tabla </w:t>
      </w:r>
      <w:r w:rsidR="00341BF1">
        <w:rPr>
          <w:noProof/>
        </w:rPr>
        <w:t>11</w:t>
      </w:r>
      <w:r>
        <w:t xml:space="preserve"> </w:t>
      </w:r>
      <w:r w:rsidR="008F03AC">
        <w:t>AOM base</w:t>
      </w:r>
      <w:r w:rsidR="003F65FB">
        <w:t xml:space="preserve"> por nivel de tensión</w:t>
      </w:r>
    </w:p>
    <w:tbl>
      <w:tblPr>
        <w:tblW w:w="3580" w:type="dxa"/>
        <w:jc w:val="center"/>
        <w:tblCellMar>
          <w:left w:w="70" w:type="dxa"/>
          <w:right w:w="70" w:type="dxa"/>
        </w:tblCellMar>
        <w:tblLook w:val="04A0" w:firstRow="1" w:lastRow="0" w:firstColumn="1" w:lastColumn="0" w:noHBand="0" w:noVBand="1"/>
      </w:tblPr>
      <w:tblGrid>
        <w:gridCol w:w="1600"/>
        <w:gridCol w:w="1980"/>
      </w:tblGrid>
      <w:tr w:rsidR="00341BF1" w:rsidRPr="00341BF1" w14:paraId="010397B3" w14:textId="77777777" w:rsidTr="00AF405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1224E" w14:textId="77777777" w:rsidR="00341BF1" w:rsidRPr="00341BF1" w:rsidRDefault="00341BF1" w:rsidP="00341BF1">
            <w:pPr>
              <w:spacing w:before="0" w:after="0"/>
              <w:jc w:val="center"/>
              <w:rPr>
                <w:rFonts w:cs="Arial"/>
                <w:b/>
                <w:bCs/>
                <w:sz w:val="18"/>
                <w:szCs w:val="18"/>
                <w:lang w:val="es-CO" w:eastAsia="es-CO"/>
              </w:rPr>
            </w:pPr>
            <w:r w:rsidRPr="00341BF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49DB3B3" w14:textId="77777777" w:rsidR="00341BF1" w:rsidRPr="00341BF1" w:rsidRDefault="00341BF1" w:rsidP="00341BF1">
            <w:pPr>
              <w:spacing w:before="0" w:after="0"/>
              <w:jc w:val="center"/>
              <w:rPr>
                <w:rFonts w:cs="Arial"/>
                <w:b/>
                <w:bCs/>
                <w:sz w:val="18"/>
                <w:szCs w:val="18"/>
                <w:lang w:val="es-CO" w:eastAsia="es-CO"/>
              </w:rPr>
            </w:pPr>
            <w:r w:rsidRPr="00341BF1">
              <w:rPr>
                <w:rFonts w:cs="Arial"/>
                <w:b/>
                <w:bCs/>
                <w:sz w:val="18"/>
                <w:szCs w:val="18"/>
                <w:lang w:val="es-CO" w:eastAsia="es-CO"/>
              </w:rPr>
              <w:t>Pesos de diciembre de 2017</w:t>
            </w:r>
          </w:p>
        </w:tc>
      </w:tr>
      <w:tr w:rsidR="00341BF1" w:rsidRPr="00341BF1" w14:paraId="0FA96E33"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1DF4DF3"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AOMbase</w:t>
            </w:r>
            <w:r w:rsidRPr="00341BF1">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6EBE254A"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6.663.179.902</w:t>
            </w:r>
          </w:p>
        </w:tc>
      </w:tr>
      <w:tr w:rsidR="00341BF1" w:rsidRPr="00341BF1" w14:paraId="7C6A7860"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1F54B74"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AOMbase</w:t>
            </w:r>
            <w:r w:rsidRPr="00341BF1">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6A5C926E"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5.456.947.740</w:t>
            </w:r>
          </w:p>
        </w:tc>
      </w:tr>
      <w:tr w:rsidR="00341BF1" w:rsidRPr="00341BF1" w14:paraId="2ADCC4DB"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B98E2BA"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AOMbase</w:t>
            </w:r>
            <w:r w:rsidRPr="00341BF1">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533ECA1E"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14.786.691.325</w:t>
            </w:r>
          </w:p>
        </w:tc>
      </w:tr>
      <w:tr w:rsidR="00341BF1" w:rsidRPr="00341BF1" w14:paraId="2165D4AB" w14:textId="77777777" w:rsidTr="00341BF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278C4DF" w14:textId="77777777" w:rsidR="00341BF1" w:rsidRPr="00341BF1" w:rsidRDefault="00341BF1" w:rsidP="00341BF1">
            <w:pPr>
              <w:spacing w:before="0" w:after="0"/>
              <w:jc w:val="center"/>
              <w:rPr>
                <w:rFonts w:cs="Arial"/>
                <w:i/>
                <w:iCs/>
                <w:sz w:val="18"/>
                <w:szCs w:val="18"/>
                <w:lang w:val="es-CO" w:eastAsia="es-CO"/>
              </w:rPr>
            </w:pPr>
            <w:r w:rsidRPr="00341BF1">
              <w:rPr>
                <w:rFonts w:cs="Arial"/>
                <w:i/>
                <w:iCs/>
                <w:sz w:val="18"/>
                <w:szCs w:val="18"/>
                <w:lang w:val="es-CO" w:eastAsia="es-CO"/>
              </w:rPr>
              <w:t>AOMbase</w:t>
            </w:r>
            <w:r w:rsidRPr="00341BF1">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1E258B83" w14:textId="77777777" w:rsidR="00341BF1" w:rsidRPr="00341BF1" w:rsidRDefault="00341BF1" w:rsidP="00341BF1">
            <w:pPr>
              <w:spacing w:before="0" w:after="0"/>
              <w:jc w:val="right"/>
              <w:rPr>
                <w:rFonts w:cs="Arial"/>
                <w:sz w:val="18"/>
                <w:szCs w:val="18"/>
                <w:lang w:val="es-CO" w:eastAsia="es-CO"/>
              </w:rPr>
            </w:pPr>
            <w:r w:rsidRPr="00341BF1">
              <w:rPr>
                <w:rFonts w:cs="Arial"/>
                <w:sz w:val="18"/>
                <w:szCs w:val="18"/>
                <w:lang w:val="es-CO" w:eastAsia="es-CO"/>
              </w:rPr>
              <w:t>6.152.871.238</w:t>
            </w:r>
          </w:p>
        </w:tc>
      </w:tr>
    </w:tbl>
    <w:p w14:paraId="152B4A46" w14:textId="65BD12B3" w:rsidR="00746CC6" w:rsidRPr="0019345E" w:rsidRDefault="00746CC6" w:rsidP="00746CC6">
      <w:pPr>
        <w:pStyle w:val="Artculo"/>
        <w:ind w:left="0"/>
        <w:outlineLvl w:val="2"/>
        <w:rPr>
          <w:b w:val="0"/>
        </w:rPr>
      </w:pPr>
      <w:bookmarkStart w:id="5" w:name="_Ref194754334"/>
      <w:bookmarkEnd w:id="2"/>
      <w:bookmarkEnd w:id="3"/>
      <w:bookmarkEnd w:id="4"/>
      <w:r w:rsidRPr="0019345E">
        <w:t xml:space="preserve">Modificar el artículo </w:t>
      </w:r>
      <w:r>
        <w:t>12</w:t>
      </w:r>
      <w:r w:rsidRPr="0019345E">
        <w:t xml:space="preserve"> de la Resolución CREG 1</w:t>
      </w:r>
      <w:r>
        <w:t>77</w:t>
      </w:r>
      <w:r w:rsidRPr="0019345E">
        <w:t xml:space="preserve"> de 2019. </w:t>
      </w:r>
      <w:r w:rsidRPr="0019345E">
        <w:rPr>
          <w:b w:val="0"/>
        </w:rPr>
        <w:t xml:space="preserve">El artículo </w:t>
      </w:r>
      <w:r>
        <w:rPr>
          <w:b w:val="0"/>
        </w:rPr>
        <w:t>12</w:t>
      </w:r>
      <w:r w:rsidRPr="0019345E">
        <w:rPr>
          <w:b w:val="0"/>
        </w:rPr>
        <w:t xml:space="preserve"> de la Resolución CREG 1</w:t>
      </w:r>
      <w:r>
        <w:rPr>
          <w:b w:val="0"/>
        </w:rPr>
        <w:t>77</w:t>
      </w:r>
      <w:r w:rsidRPr="0019345E">
        <w:rPr>
          <w:b w:val="0"/>
        </w:rPr>
        <w:t xml:space="preserve"> de 2019 quedará así:</w:t>
      </w:r>
      <w:r>
        <w:rPr>
          <w:b w:val="0"/>
        </w:rPr>
        <w:t xml:space="preserve"> </w:t>
      </w:r>
    </w:p>
    <w:p w14:paraId="6856FE8F" w14:textId="48020FF0" w:rsidR="00C17547" w:rsidRPr="00746CC6" w:rsidRDefault="00746CC6" w:rsidP="00746CC6">
      <w:pPr>
        <w:ind w:left="426"/>
        <w:rPr>
          <w:sz w:val="22"/>
          <w:szCs w:val="22"/>
        </w:rPr>
      </w:pPr>
      <w:r w:rsidRPr="00746CC6">
        <w:rPr>
          <w:b/>
          <w:bCs/>
          <w:sz w:val="22"/>
          <w:szCs w:val="22"/>
        </w:rPr>
        <w:t xml:space="preserve">Artículo 12. </w:t>
      </w:r>
      <w:r w:rsidR="0045178C" w:rsidRPr="00746CC6">
        <w:rPr>
          <w:b/>
          <w:bCs/>
          <w:sz w:val="22"/>
          <w:szCs w:val="22"/>
        </w:rPr>
        <w:t>Indicadores de calidad individual de duración de eventos</w:t>
      </w:r>
      <w:r w:rsidR="00C17547" w:rsidRPr="00746CC6">
        <w:rPr>
          <w:b/>
          <w:bCs/>
          <w:sz w:val="22"/>
          <w:szCs w:val="22"/>
        </w:rPr>
        <w:t>.</w:t>
      </w:r>
      <w:r w:rsidR="00C17547" w:rsidRPr="00746CC6">
        <w:rPr>
          <w:sz w:val="22"/>
          <w:szCs w:val="22"/>
        </w:rPr>
        <w:t xml:space="preserve"> </w:t>
      </w:r>
      <w:r w:rsidR="00AD7D7C" w:rsidRPr="00746CC6">
        <w:rPr>
          <w:sz w:val="22"/>
          <w:szCs w:val="22"/>
        </w:rPr>
        <w:t xml:space="preserve">La duración máxima anual de </w:t>
      </w:r>
      <w:r w:rsidR="00732E0B" w:rsidRPr="00746CC6">
        <w:rPr>
          <w:sz w:val="22"/>
          <w:szCs w:val="22"/>
        </w:rPr>
        <w:t xml:space="preserve">los </w:t>
      </w:r>
      <w:r w:rsidR="00AD7D7C" w:rsidRPr="00746CC6">
        <w:rPr>
          <w:sz w:val="22"/>
          <w:szCs w:val="22"/>
        </w:rPr>
        <w:t xml:space="preserve">eventos </w:t>
      </w:r>
      <w:r w:rsidR="00732E0B" w:rsidRPr="00746CC6">
        <w:rPr>
          <w:sz w:val="22"/>
          <w:szCs w:val="22"/>
        </w:rPr>
        <w:t>percibidos por</w:t>
      </w:r>
      <w:r w:rsidR="00AD7D7C" w:rsidRPr="00746CC6">
        <w:rPr>
          <w:sz w:val="22"/>
          <w:szCs w:val="22"/>
        </w:rPr>
        <w:t xml:space="preserve"> los usuarios</w:t>
      </w:r>
      <w:r w:rsidR="00734187" w:rsidRPr="00746CC6">
        <w:rPr>
          <w:sz w:val="22"/>
          <w:szCs w:val="22"/>
        </w:rPr>
        <w:t xml:space="preserve">, </w:t>
      </w:r>
      <w:proofErr w:type="spellStart"/>
      <w:proofErr w:type="gramStart"/>
      <w:r w:rsidR="00734187" w:rsidRPr="00746CC6">
        <w:rPr>
          <w:i/>
          <w:sz w:val="22"/>
          <w:szCs w:val="22"/>
        </w:rPr>
        <w:t>DIUG</w:t>
      </w:r>
      <w:r w:rsidR="00734187" w:rsidRPr="00746CC6">
        <w:rPr>
          <w:i/>
          <w:sz w:val="22"/>
          <w:szCs w:val="22"/>
          <w:vertAlign w:val="subscript"/>
        </w:rPr>
        <w:t>j,n</w:t>
      </w:r>
      <w:proofErr w:type="gramEnd"/>
      <w:r w:rsidR="00734187" w:rsidRPr="00746CC6">
        <w:rPr>
          <w:i/>
          <w:sz w:val="22"/>
          <w:szCs w:val="22"/>
          <w:vertAlign w:val="subscript"/>
        </w:rPr>
        <w:t>,q</w:t>
      </w:r>
      <w:proofErr w:type="spellEnd"/>
      <w:r w:rsidR="00734187" w:rsidRPr="00746CC6">
        <w:rPr>
          <w:sz w:val="22"/>
          <w:szCs w:val="22"/>
        </w:rPr>
        <w:t>,</w:t>
      </w:r>
      <w:r w:rsidR="00AD7D7C" w:rsidRPr="00746CC6">
        <w:rPr>
          <w:sz w:val="22"/>
          <w:szCs w:val="22"/>
        </w:rPr>
        <w:t xml:space="preserve"> </w:t>
      </w:r>
      <w:r w:rsidR="00C17547" w:rsidRPr="00746CC6">
        <w:rPr>
          <w:sz w:val="22"/>
          <w:szCs w:val="22"/>
        </w:rPr>
        <w:t xml:space="preserve">en los niveles de tensión 3, 2 y 1, </w:t>
      </w:r>
      <w:r w:rsidR="0045178C" w:rsidRPr="00746CC6">
        <w:rPr>
          <w:sz w:val="22"/>
          <w:szCs w:val="22"/>
        </w:rPr>
        <w:t xml:space="preserve">es </w:t>
      </w:r>
      <w:r w:rsidR="00C17547" w:rsidRPr="00746CC6">
        <w:rPr>
          <w:sz w:val="22"/>
          <w:szCs w:val="22"/>
        </w:rPr>
        <w:t>l</w:t>
      </w:r>
      <w:r w:rsidR="0045178C" w:rsidRPr="00746CC6">
        <w:rPr>
          <w:sz w:val="22"/>
          <w:szCs w:val="22"/>
        </w:rPr>
        <w:t>a</w:t>
      </w:r>
      <w:r w:rsidR="00C17547" w:rsidRPr="00746CC6">
        <w:rPr>
          <w:sz w:val="22"/>
          <w:szCs w:val="22"/>
        </w:rPr>
        <w:t xml:space="preserve"> siguiente:</w:t>
      </w:r>
    </w:p>
    <w:p w14:paraId="6C70B08D" w14:textId="72D2FFBE" w:rsidR="00B8131D" w:rsidRDefault="00C17547" w:rsidP="00C17547">
      <w:pPr>
        <w:pStyle w:val="Descripcin"/>
      </w:pPr>
      <w:r>
        <w:t xml:space="preserve">Tabla </w:t>
      </w:r>
      <w:r w:rsidR="0088389F">
        <w:rPr>
          <w:noProof/>
        </w:rPr>
        <w:t>1</w:t>
      </w:r>
      <w:r w:rsidR="00746CC6">
        <w:rPr>
          <w:noProof/>
        </w:rPr>
        <w:t>6</w:t>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746CC6" w:rsidRPr="00746CC6" w14:paraId="2D9714B3" w14:textId="77777777" w:rsidTr="008B64FE">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0FDB4"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8D1AC0B"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EC2110B"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6148DF8"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3</w:t>
            </w:r>
          </w:p>
        </w:tc>
      </w:tr>
      <w:tr w:rsidR="00746CC6" w:rsidRPr="00746CC6" w14:paraId="5E0E8982"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801D3F2"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192CB83E"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2,38</w:t>
            </w:r>
          </w:p>
        </w:tc>
        <w:tc>
          <w:tcPr>
            <w:tcW w:w="1960" w:type="dxa"/>
            <w:tcBorders>
              <w:top w:val="nil"/>
              <w:left w:val="nil"/>
              <w:bottom w:val="single" w:sz="4" w:space="0" w:color="auto"/>
              <w:right w:val="single" w:sz="4" w:space="0" w:color="auto"/>
            </w:tcBorders>
            <w:shd w:val="clear" w:color="auto" w:fill="auto"/>
            <w:noWrap/>
            <w:vAlign w:val="center"/>
            <w:hideMark/>
          </w:tcPr>
          <w:p w14:paraId="63A4E761"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13,72</w:t>
            </w:r>
          </w:p>
        </w:tc>
        <w:tc>
          <w:tcPr>
            <w:tcW w:w="1960" w:type="dxa"/>
            <w:tcBorders>
              <w:top w:val="nil"/>
              <w:left w:val="nil"/>
              <w:bottom w:val="single" w:sz="4" w:space="0" w:color="auto"/>
              <w:right w:val="single" w:sz="4" w:space="0" w:color="auto"/>
            </w:tcBorders>
            <w:shd w:val="clear" w:color="auto" w:fill="auto"/>
            <w:noWrap/>
            <w:vAlign w:val="center"/>
            <w:hideMark/>
          </w:tcPr>
          <w:p w14:paraId="484D71AB"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39,66</w:t>
            </w:r>
          </w:p>
        </w:tc>
      </w:tr>
      <w:tr w:rsidR="00746CC6" w:rsidRPr="00746CC6" w14:paraId="58FADB75"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EBE18A4"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0DC4324F"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ACAB560"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5,00</w:t>
            </w:r>
          </w:p>
        </w:tc>
        <w:tc>
          <w:tcPr>
            <w:tcW w:w="1960" w:type="dxa"/>
            <w:tcBorders>
              <w:top w:val="nil"/>
              <w:left w:val="nil"/>
              <w:bottom w:val="single" w:sz="4" w:space="0" w:color="auto"/>
              <w:right w:val="single" w:sz="4" w:space="0" w:color="auto"/>
            </w:tcBorders>
            <w:shd w:val="clear" w:color="auto" w:fill="auto"/>
            <w:noWrap/>
            <w:vAlign w:val="center"/>
            <w:hideMark/>
          </w:tcPr>
          <w:p w14:paraId="0D9CF1F4"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18,94</w:t>
            </w:r>
          </w:p>
        </w:tc>
      </w:tr>
      <w:tr w:rsidR="00746CC6" w:rsidRPr="00746CC6" w14:paraId="36AB669C"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AC1EBBA"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6C7CF856"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114FFD2C"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12,64</w:t>
            </w:r>
          </w:p>
        </w:tc>
        <w:tc>
          <w:tcPr>
            <w:tcW w:w="1960" w:type="dxa"/>
            <w:tcBorders>
              <w:top w:val="nil"/>
              <w:left w:val="nil"/>
              <w:bottom w:val="single" w:sz="4" w:space="0" w:color="auto"/>
              <w:right w:val="single" w:sz="4" w:space="0" w:color="auto"/>
            </w:tcBorders>
            <w:shd w:val="clear" w:color="auto" w:fill="auto"/>
            <w:noWrap/>
            <w:vAlign w:val="center"/>
            <w:hideMark/>
          </w:tcPr>
          <w:p w14:paraId="44B03343"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32,57</w:t>
            </w:r>
          </w:p>
        </w:tc>
      </w:tr>
    </w:tbl>
    <w:p w14:paraId="47C86500" w14:textId="0E40B7D0" w:rsidR="00B8131D" w:rsidRDefault="00B8131D" w:rsidP="00C17547">
      <w:pPr>
        <w:pStyle w:val="Descripcin"/>
      </w:pPr>
      <w:r>
        <w:t xml:space="preserve">Tabla </w:t>
      </w:r>
      <w:r w:rsidR="0088389F">
        <w:rPr>
          <w:noProof/>
        </w:rPr>
        <w:t>1</w:t>
      </w:r>
      <w:r w:rsidR="00746CC6">
        <w:rPr>
          <w:noProof/>
        </w:rPr>
        <w:t>7</w:t>
      </w:r>
      <w:r>
        <w:t xml:space="preserve"> DIUG nivel de tensión </w:t>
      </w:r>
      <w:r w:rsidR="00734187">
        <w:t>1</w:t>
      </w:r>
      <w:r w:rsidR="00732E0B">
        <w:t>,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746CC6" w:rsidRPr="00746CC6" w14:paraId="4B806602" w14:textId="77777777" w:rsidTr="00746CC6">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90B07"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70910D8"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D7E757"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D2C946"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3</w:t>
            </w:r>
          </w:p>
        </w:tc>
      </w:tr>
      <w:tr w:rsidR="00746CC6" w:rsidRPr="00746CC6" w14:paraId="06C806BA"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7D643EE"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11F8B5D7"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2,71</w:t>
            </w:r>
          </w:p>
        </w:tc>
        <w:tc>
          <w:tcPr>
            <w:tcW w:w="1960" w:type="dxa"/>
            <w:tcBorders>
              <w:top w:val="nil"/>
              <w:left w:val="nil"/>
              <w:bottom w:val="single" w:sz="4" w:space="0" w:color="auto"/>
              <w:right w:val="single" w:sz="4" w:space="0" w:color="auto"/>
            </w:tcBorders>
            <w:shd w:val="clear" w:color="auto" w:fill="auto"/>
            <w:noWrap/>
            <w:vAlign w:val="center"/>
            <w:hideMark/>
          </w:tcPr>
          <w:p w14:paraId="0D64AB50"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25,01</w:t>
            </w:r>
          </w:p>
        </w:tc>
        <w:tc>
          <w:tcPr>
            <w:tcW w:w="1960" w:type="dxa"/>
            <w:tcBorders>
              <w:top w:val="nil"/>
              <w:left w:val="nil"/>
              <w:bottom w:val="single" w:sz="4" w:space="0" w:color="auto"/>
              <w:right w:val="single" w:sz="4" w:space="0" w:color="auto"/>
            </w:tcBorders>
            <w:shd w:val="clear" w:color="auto" w:fill="auto"/>
            <w:noWrap/>
            <w:vAlign w:val="center"/>
            <w:hideMark/>
          </w:tcPr>
          <w:p w14:paraId="6A0CC3FF"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39,59</w:t>
            </w:r>
          </w:p>
        </w:tc>
      </w:tr>
      <w:tr w:rsidR="00746CC6" w:rsidRPr="00746CC6" w14:paraId="2FECB4CF"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42B6AF10"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7566DA11"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5C8B58A"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14,28</w:t>
            </w:r>
          </w:p>
        </w:tc>
        <w:tc>
          <w:tcPr>
            <w:tcW w:w="1960" w:type="dxa"/>
            <w:tcBorders>
              <w:top w:val="nil"/>
              <w:left w:val="nil"/>
              <w:bottom w:val="single" w:sz="4" w:space="0" w:color="auto"/>
              <w:right w:val="single" w:sz="4" w:space="0" w:color="auto"/>
            </w:tcBorders>
            <w:shd w:val="clear" w:color="auto" w:fill="auto"/>
            <w:noWrap/>
            <w:vAlign w:val="center"/>
            <w:hideMark/>
          </w:tcPr>
          <w:p w14:paraId="7FE9303E"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39,78</w:t>
            </w:r>
          </w:p>
        </w:tc>
      </w:tr>
      <w:tr w:rsidR="00746CC6" w:rsidRPr="00746CC6" w14:paraId="6182C597"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6E12D76"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2799CD8D"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526F7137"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24,04</w:t>
            </w:r>
          </w:p>
        </w:tc>
        <w:tc>
          <w:tcPr>
            <w:tcW w:w="1960" w:type="dxa"/>
            <w:tcBorders>
              <w:top w:val="nil"/>
              <w:left w:val="nil"/>
              <w:bottom w:val="single" w:sz="4" w:space="0" w:color="auto"/>
              <w:right w:val="single" w:sz="4" w:space="0" w:color="auto"/>
            </w:tcBorders>
            <w:shd w:val="clear" w:color="auto" w:fill="auto"/>
            <w:noWrap/>
            <w:vAlign w:val="center"/>
            <w:hideMark/>
          </w:tcPr>
          <w:p w14:paraId="18572067"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42,93</w:t>
            </w:r>
          </w:p>
        </w:tc>
      </w:tr>
    </w:tbl>
    <w:p w14:paraId="47CC2226" w14:textId="463BE9C7" w:rsidR="00746CC6" w:rsidRPr="0019345E" w:rsidRDefault="00746CC6" w:rsidP="00F7510F">
      <w:pPr>
        <w:pStyle w:val="Artculo"/>
        <w:spacing w:before="360"/>
        <w:ind w:left="0"/>
        <w:outlineLvl w:val="2"/>
        <w:rPr>
          <w:b w:val="0"/>
        </w:rPr>
      </w:pPr>
      <w:r w:rsidRPr="0019345E">
        <w:t xml:space="preserve">Modificar el artículo </w:t>
      </w:r>
      <w:r>
        <w:t>13</w:t>
      </w:r>
      <w:r w:rsidRPr="0019345E">
        <w:t xml:space="preserve"> de la Resolución CREG 1</w:t>
      </w:r>
      <w:r>
        <w:t>77</w:t>
      </w:r>
      <w:r w:rsidRPr="0019345E">
        <w:t xml:space="preserve"> de 2019. </w:t>
      </w:r>
      <w:r w:rsidRPr="0019345E">
        <w:rPr>
          <w:b w:val="0"/>
        </w:rPr>
        <w:t xml:space="preserve">El artículo </w:t>
      </w:r>
      <w:r>
        <w:rPr>
          <w:b w:val="0"/>
        </w:rPr>
        <w:t>13</w:t>
      </w:r>
      <w:r w:rsidRPr="0019345E">
        <w:rPr>
          <w:b w:val="0"/>
        </w:rPr>
        <w:t xml:space="preserve"> de la Resolución CREG 1</w:t>
      </w:r>
      <w:r>
        <w:rPr>
          <w:b w:val="0"/>
        </w:rPr>
        <w:t>77</w:t>
      </w:r>
      <w:r w:rsidRPr="0019345E">
        <w:rPr>
          <w:b w:val="0"/>
        </w:rPr>
        <w:t xml:space="preserve"> de 2019 quedará así:</w:t>
      </w:r>
      <w:r>
        <w:rPr>
          <w:b w:val="0"/>
        </w:rPr>
        <w:t xml:space="preserve"> </w:t>
      </w:r>
    </w:p>
    <w:p w14:paraId="16692477" w14:textId="6F8502DC" w:rsidR="00732E0B" w:rsidRDefault="00746CC6" w:rsidP="00746CC6">
      <w:pPr>
        <w:ind w:left="426"/>
        <w:rPr>
          <w:sz w:val="22"/>
          <w:szCs w:val="22"/>
        </w:rPr>
      </w:pPr>
      <w:r w:rsidRPr="00746CC6">
        <w:rPr>
          <w:b/>
          <w:bCs/>
          <w:sz w:val="22"/>
          <w:szCs w:val="22"/>
        </w:rPr>
        <w:t xml:space="preserve">Artículo 13. </w:t>
      </w:r>
      <w:r w:rsidR="00732E0B" w:rsidRPr="00746CC6">
        <w:rPr>
          <w:b/>
          <w:bCs/>
          <w:sz w:val="22"/>
          <w:szCs w:val="22"/>
        </w:rPr>
        <w:t>Indicadores de calidad individual de frecuencia de eventos.</w:t>
      </w:r>
      <w:r w:rsidR="00732E0B" w:rsidRPr="00746CC6">
        <w:rPr>
          <w:sz w:val="22"/>
          <w:szCs w:val="22"/>
        </w:rPr>
        <w:t xml:space="preserve"> La frecuencia máxima anual de los eventos percibidos por los usuarios</w:t>
      </w:r>
      <w:r w:rsidR="00734187" w:rsidRPr="00746CC6">
        <w:rPr>
          <w:sz w:val="22"/>
          <w:szCs w:val="22"/>
        </w:rPr>
        <w:t xml:space="preserve">, </w:t>
      </w:r>
      <w:proofErr w:type="spellStart"/>
      <w:proofErr w:type="gramStart"/>
      <w:r w:rsidR="00734187" w:rsidRPr="00746CC6">
        <w:rPr>
          <w:i/>
          <w:sz w:val="22"/>
          <w:szCs w:val="22"/>
        </w:rPr>
        <w:t>FIUG</w:t>
      </w:r>
      <w:r w:rsidR="00734187" w:rsidRPr="00746CC6">
        <w:rPr>
          <w:i/>
          <w:sz w:val="22"/>
          <w:szCs w:val="22"/>
          <w:vertAlign w:val="subscript"/>
        </w:rPr>
        <w:t>j,n</w:t>
      </w:r>
      <w:proofErr w:type="gramEnd"/>
      <w:r w:rsidR="00734187" w:rsidRPr="00746CC6">
        <w:rPr>
          <w:i/>
          <w:sz w:val="22"/>
          <w:szCs w:val="22"/>
          <w:vertAlign w:val="subscript"/>
        </w:rPr>
        <w:t>,q</w:t>
      </w:r>
      <w:proofErr w:type="spellEnd"/>
      <w:r w:rsidR="00734187" w:rsidRPr="00746CC6">
        <w:rPr>
          <w:sz w:val="22"/>
          <w:szCs w:val="22"/>
        </w:rPr>
        <w:t>,</w:t>
      </w:r>
      <w:r w:rsidR="00732E0B" w:rsidRPr="00746CC6">
        <w:rPr>
          <w:sz w:val="22"/>
          <w:szCs w:val="22"/>
        </w:rPr>
        <w:t xml:space="preserve">  en los niveles de tensión 3, 2 y 1, es la siguiente:</w:t>
      </w:r>
    </w:p>
    <w:p w14:paraId="5CCB9AAC" w14:textId="77777777" w:rsidR="006C0D43" w:rsidRPr="00746CC6" w:rsidRDefault="006C0D43" w:rsidP="00746CC6">
      <w:pPr>
        <w:ind w:left="426"/>
        <w:rPr>
          <w:sz w:val="22"/>
          <w:szCs w:val="22"/>
        </w:rPr>
      </w:pPr>
    </w:p>
    <w:p w14:paraId="5AA8A1A6" w14:textId="2FE354AB" w:rsidR="00B8131D" w:rsidRDefault="00B8131D" w:rsidP="00306F7F">
      <w:pPr>
        <w:pStyle w:val="Descripcin"/>
        <w:spacing w:before="0"/>
      </w:pPr>
      <w:r>
        <w:t xml:space="preserve">Tabla </w:t>
      </w:r>
      <w:r w:rsidR="0088389F">
        <w:rPr>
          <w:noProof/>
        </w:rPr>
        <w:t>1</w:t>
      </w:r>
      <w:r w:rsidR="00746CC6">
        <w:rPr>
          <w:noProof/>
        </w:rPr>
        <w:t>8</w:t>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746CC6" w:rsidRPr="00746CC6" w14:paraId="344AD6A2" w14:textId="77777777" w:rsidTr="00746CC6">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FC150"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A97DC12"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EE29FB8"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7160F04"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Ruralidad 3</w:t>
            </w:r>
          </w:p>
        </w:tc>
      </w:tr>
      <w:tr w:rsidR="00746CC6" w:rsidRPr="00746CC6" w14:paraId="3E527CDE"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618D7F3"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7221499C"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7</w:t>
            </w:r>
          </w:p>
        </w:tc>
        <w:tc>
          <w:tcPr>
            <w:tcW w:w="1960" w:type="dxa"/>
            <w:tcBorders>
              <w:top w:val="nil"/>
              <w:left w:val="nil"/>
              <w:bottom w:val="single" w:sz="4" w:space="0" w:color="auto"/>
              <w:right w:val="single" w:sz="4" w:space="0" w:color="auto"/>
            </w:tcBorders>
            <w:shd w:val="clear" w:color="auto" w:fill="auto"/>
            <w:noWrap/>
            <w:vAlign w:val="center"/>
            <w:hideMark/>
          </w:tcPr>
          <w:p w14:paraId="0211D8B1"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26</w:t>
            </w:r>
          </w:p>
        </w:tc>
        <w:tc>
          <w:tcPr>
            <w:tcW w:w="1960" w:type="dxa"/>
            <w:tcBorders>
              <w:top w:val="nil"/>
              <w:left w:val="nil"/>
              <w:bottom w:val="single" w:sz="4" w:space="0" w:color="auto"/>
              <w:right w:val="single" w:sz="4" w:space="0" w:color="auto"/>
            </w:tcBorders>
            <w:shd w:val="clear" w:color="auto" w:fill="auto"/>
            <w:noWrap/>
            <w:vAlign w:val="center"/>
            <w:hideMark/>
          </w:tcPr>
          <w:p w14:paraId="01B2AAE3"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20</w:t>
            </w:r>
          </w:p>
        </w:tc>
      </w:tr>
      <w:tr w:rsidR="00746CC6" w:rsidRPr="00746CC6" w14:paraId="33C65A25"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7D8D162C"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2898A420"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2DD2922"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9</w:t>
            </w:r>
          </w:p>
        </w:tc>
        <w:tc>
          <w:tcPr>
            <w:tcW w:w="1960" w:type="dxa"/>
            <w:tcBorders>
              <w:top w:val="nil"/>
              <w:left w:val="nil"/>
              <w:bottom w:val="single" w:sz="4" w:space="0" w:color="auto"/>
              <w:right w:val="single" w:sz="4" w:space="0" w:color="auto"/>
            </w:tcBorders>
            <w:shd w:val="clear" w:color="auto" w:fill="auto"/>
            <w:noWrap/>
            <w:vAlign w:val="center"/>
            <w:hideMark/>
          </w:tcPr>
          <w:p w14:paraId="797FB818"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44</w:t>
            </w:r>
          </w:p>
        </w:tc>
      </w:tr>
      <w:tr w:rsidR="00746CC6" w:rsidRPr="00746CC6" w14:paraId="2CDAA237" w14:textId="77777777" w:rsidTr="00746CC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5B7D1DB9" w14:textId="77777777" w:rsidR="00746CC6" w:rsidRPr="00746CC6" w:rsidRDefault="00746CC6" w:rsidP="00746CC6">
            <w:pPr>
              <w:spacing w:before="0" w:after="0"/>
              <w:jc w:val="center"/>
              <w:rPr>
                <w:rFonts w:cs="Arial"/>
                <w:b/>
                <w:bCs/>
                <w:sz w:val="18"/>
                <w:szCs w:val="18"/>
                <w:lang w:val="es-CO" w:eastAsia="es-CO"/>
              </w:rPr>
            </w:pPr>
            <w:r w:rsidRPr="00746CC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69EA2BB4"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579B8F00"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23</w:t>
            </w:r>
          </w:p>
        </w:tc>
        <w:tc>
          <w:tcPr>
            <w:tcW w:w="1960" w:type="dxa"/>
            <w:tcBorders>
              <w:top w:val="nil"/>
              <w:left w:val="nil"/>
              <w:bottom w:val="single" w:sz="4" w:space="0" w:color="auto"/>
              <w:right w:val="single" w:sz="4" w:space="0" w:color="auto"/>
            </w:tcBorders>
            <w:shd w:val="clear" w:color="auto" w:fill="auto"/>
            <w:noWrap/>
            <w:vAlign w:val="center"/>
            <w:hideMark/>
          </w:tcPr>
          <w:p w14:paraId="05C9E173" w14:textId="77777777" w:rsidR="00746CC6" w:rsidRPr="00746CC6" w:rsidRDefault="00746CC6" w:rsidP="00746CC6">
            <w:pPr>
              <w:spacing w:before="0" w:after="0"/>
              <w:jc w:val="right"/>
              <w:rPr>
                <w:rFonts w:cs="Arial"/>
                <w:sz w:val="18"/>
                <w:szCs w:val="18"/>
                <w:lang w:val="es-CO" w:eastAsia="es-CO"/>
              </w:rPr>
            </w:pPr>
            <w:r w:rsidRPr="00746CC6">
              <w:rPr>
                <w:rFonts w:cs="Arial"/>
                <w:sz w:val="18"/>
                <w:szCs w:val="18"/>
                <w:lang w:val="es-CO" w:eastAsia="es-CO"/>
              </w:rPr>
              <w:t>51</w:t>
            </w:r>
          </w:p>
        </w:tc>
      </w:tr>
    </w:tbl>
    <w:p w14:paraId="09B45A5D" w14:textId="0F5874FF" w:rsidR="00C17547" w:rsidRDefault="00B8131D" w:rsidP="00C17547">
      <w:pPr>
        <w:pStyle w:val="Descripcin"/>
      </w:pPr>
      <w:r>
        <w:t xml:space="preserve">Tabla </w:t>
      </w:r>
      <w:r w:rsidR="0088389F">
        <w:rPr>
          <w:noProof/>
        </w:rPr>
        <w:t>1</w:t>
      </w:r>
      <w:r w:rsidR="00746CC6">
        <w:rPr>
          <w:noProof/>
        </w:rPr>
        <w:t>9</w:t>
      </w:r>
      <w:r>
        <w:t xml:space="preserve"> FIUG nivel de tensión </w:t>
      </w:r>
      <w:r w:rsidR="00734187">
        <w:t>1</w:t>
      </w:r>
      <w:r w:rsidR="00732E0B">
        <w:t>, veces</w:t>
      </w:r>
      <w:r w:rsidR="00C17547">
        <w:t xml:space="preserve"> </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6D2F80" w:rsidRPr="006D2F80" w14:paraId="7B789FEC" w14:textId="77777777" w:rsidTr="006D2F80">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10C0E"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9B84F99"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ED28A9B"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E1C370C"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Ruralidad 3</w:t>
            </w:r>
          </w:p>
        </w:tc>
      </w:tr>
      <w:tr w:rsidR="006D2F80" w:rsidRPr="006D2F80" w14:paraId="7A968402" w14:textId="77777777" w:rsidTr="006D2F80">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5D9C1565"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47EDBCDA"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8</w:t>
            </w:r>
          </w:p>
        </w:tc>
        <w:tc>
          <w:tcPr>
            <w:tcW w:w="1960" w:type="dxa"/>
            <w:tcBorders>
              <w:top w:val="nil"/>
              <w:left w:val="nil"/>
              <w:bottom w:val="single" w:sz="4" w:space="0" w:color="auto"/>
              <w:right w:val="single" w:sz="4" w:space="0" w:color="auto"/>
            </w:tcBorders>
            <w:shd w:val="clear" w:color="auto" w:fill="auto"/>
            <w:noWrap/>
            <w:vAlign w:val="center"/>
            <w:hideMark/>
          </w:tcPr>
          <w:p w14:paraId="0672C606"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36</w:t>
            </w:r>
          </w:p>
        </w:tc>
        <w:tc>
          <w:tcPr>
            <w:tcW w:w="1960" w:type="dxa"/>
            <w:tcBorders>
              <w:top w:val="nil"/>
              <w:left w:val="nil"/>
              <w:bottom w:val="single" w:sz="4" w:space="0" w:color="auto"/>
              <w:right w:val="single" w:sz="4" w:space="0" w:color="auto"/>
            </w:tcBorders>
            <w:shd w:val="clear" w:color="auto" w:fill="auto"/>
            <w:noWrap/>
            <w:vAlign w:val="center"/>
            <w:hideMark/>
          </w:tcPr>
          <w:p w14:paraId="7C238AF3"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36</w:t>
            </w:r>
          </w:p>
        </w:tc>
      </w:tr>
      <w:tr w:rsidR="006D2F80" w:rsidRPr="006D2F80" w14:paraId="2A313748" w14:textId="77777777" w:rsidTr="006D2F80">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7B534B1E"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4575AA9F"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4E1F5ED1"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30</w:t>
            </w:r>
          </w:p>
        </w:tc>
        <w:tc>
          <w:tcPr>
            <w:tcW w:w="1960" w:type="dxa"/>
            <w:tcBorders>
              <w:top w:val="nil"/>
              <w:left w:val="nil"/>
              <w:bottom w:val="single" w:sz="4" w:space="0" w:color="auto"/>
              <w:right w:val="single" w:sz="4" w:space="0" w:color="auto"/>
            </w:tcBorders>
            <w:shd w:val="clear" w:color="auto" w:fill="auto"/>
            <w:noWrap/>
            <w:vAlign w:val="center"/>
            <w:hideMark/>
          </w:tcPr>
          <w:p w14:paraId="24855597"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56</w:t>
            </w:r>
          </w:p>
        </w:tc>
      </w:tr>
      <w:tr w:rsidR="006D2F80" w:rsidRPr="006D2F80" w14:paraId="3F434C01" w14:textId="77777777" w:rsidTr="006D2F80">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D228C30"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7168EEC4"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619CD388"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34</w:t>
            </w:r>
          </w:p>
        </w:tc>
        <w:tc>
          <w:tcPr>
            <w:tcW w:w="1960" w:type="dxa"/>
            <w:tcBorders>
              <w:top w:val="nil"/>
              <w:left w:val="nil"/>
              <w:bottom w:val="single" w:sz="4" w:space="0" w:color="auto"/>
              <w:right w:val="single" w:sz="4" w:space="0" w:color="auto"/>
            </w:tcBorders>
            <w:shd w:val="clear" w:color="auto" w:fill="auto"/>
            <w:noWrap/>
            <w:vAlign w:val="center"/>
            <w:hideMark/>
          </w:tcPr>
          <w:p w14:paraId="586BEBD6"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67</w:t>
            </w:r>
          </w:p>
        </w:tc>
      </w:tr>
    </w:tbl>
    <w:p w14:paraId="066DAA44" w14:textId="5ADCE737" w:rsidR="006D2F80" w:rsidRPr="0019345E" w:rsidRDefault="006D2F80" w:rsidP="00F7510F">
      <w:pPr>
        <w:pStyle w:val="Artculo"/>
        <w:spacing w:before="360"/>
        <w:ind w:left="0"/>
        <w:outlineLvl w:val="2"/>
        <w:rPr>
          <w:b w:val="0"/>
        </w:rPr>
      </w:pPr>
      <w:r w:rsidRPr="0019345E">
        <w:t xml:space="preserve">Modificar el artículo </w:t>
      </w:r>
      <w:r>
        <w:t>15</w:t>
      </w:r>
      <w:r w:rsidRPr="0019345E">
        <w:t xml:space="preserve"> de la Resolución CREG 1</w:t>
      </w:r>
      <w:r>
        <w:t>77</w:t>
      </w:r>
      <w:r w:rsidRPr="0019345E">
        <w:t xml:space="preserve"> de 2019. </w:t>
      </w:r>
      <w:r w:rsidRPr="0019345E">
        <w:rPr>
          <w:b w:val="0"/>
        </w:rPr>
        <w:t xml:space="preserve">El artículo </w:t>
      </w:r>
      <w:r>
        <w:rPr>
          <w:b w:val="0"/>
        </w:rPr>
        <w:t>15</w:t>
      </w:r>
      <w:r w:rsidRPr="0019345E">
        <w:rPr>
          <w:b w:val="0"/>
        </w:rPr>
        <w:t xml:space="preserve"> de la Resolución CREG 1</w:t>
      </w:r>
      <w:r>
        <w:rPr>
          <w:b w:val="0"/>
        </w:rPr>
        <w:t>77</w:t>
      </w:r>
      <w:r w:rsidRPr="0019345E">
        <w:rPr>
          <w:b w:val="0"/>
        </w:rPr>
        <w:t xml:space="preserve"> de 2019 quedará así:</w:t>
      </w:r>
      <w:r>
        <w:rPr>
          <w:b w:val="0"/>
        </w:rPr>
        <w:t xml:space="preserve"> </w:t>
      </w:r>
    </w:p>
    <w:p w14:paraId="6ADB8150" w14:textId="42AA89E8" w:rsidR="005711EC" w:rsidRPr="006D2F80" w:rsidRDefault="006D2F80" w:rsidP="006D2F80">
      <w:pPr>
        <w:ind w:left="426"/>
        <w:rPr>
          <w:sz w:val="22"/>
          <w:szCs w:val="22"/>
        </w:rPr>
      </w:pPr>
      <w:r w:rsidRPr="006D2F80">
        <w:rPr>
          <w:b/>
          <w:bCs/>
          <w:sz w:val="22"/>
          <w:szCs w:val="22"/>
        </w:rPr>
        <w:t xml:space="preserve">Artículo 15. </w:t>
      </w:r>
      <w:r w:rsidR="001560A7" w:rsidRPr="006D2F80">
        <w:rPr>
          <w:b/>
          <w:bCs/>
          <w:sz w:val="22"/>
          <w:szCs w:val="22"/>
        </w:rPr>
        <w:t>Costo</w:t>
      </w:r>
      <w:r w:rsidR="00B95B1A" w:rsidRPr="006D2F80">
        <w:rPr>
          <w:b/>
          <w:bCs/>
          <w:sz w:val="22"/>
          <w:szCs w:val="22"/>
        </w:rPr>
        <w:t>s</w:t>
      </w:r>
      <w:r w:rsidR="001560A7" w:rsidRPr="006D2F80">
        <w:rPr>
          <w:b/>
          <w:bCs/>
          <w:sz w:val="22"/>
          <w:szCs w:val="22"/>
        </w:rPr>
        <w:t xml:space="preserve"> de reposición de referencia</w:t>
      </w:r>
      <w:r w:rsidR="005711EC" w:rsidRPr="006D2F80">
        <w:rPr>
          <w:b/>
          <w:bCs/>
          <w:sz w:val="22"/>
          <w:szCs w:val="22"/>
        </w:rPr>
        <w:t>.</w:t>
      </w:r>
      <w:r w:rsidR="005711EC" w:rsidRPr="006D2F80">
        <w:rPr>
          <w:sz w:val="22"/>
          <w:szCs w:val="22"/>
        </w:rPr>
        <w:t xml:space="preserve"> El </w:t>
      </w:r>
      <w:r w:rsidR="001560A7" w:rsidRPr="006D2F80">
        <w:rPr>
          <w:sz w:val="22"/>
          <w:szCs w:val="22"/>
        </w:rPr>
        <w:t>costo de reposición de referencia</w:t>
      </w:r>
      <w:r w:rsidR="00734187" w:rsidRPr="006D2F80">
        <w:rPr>
          <w:sz w:val="22"/>
          <w:szCs w:val="22"/>
        </w:rPr>
        <w:t xml:space="preserve">, </w:t>
      </w:r>
      <w:proofErr w:type="spellStart"/>
      <w:r w:rsidR="00734187" w:rsidRPr="006D2F80">
        <w:rPr>
          <w:i/>
          <w:sz w:val="22"/>
          <w:szCs w:val="22"/>
        </w:rPr>
        <w:t>CRR</w:t>
      </w:r>
      <w:r w:rsidR="00734187" w:rsidRPr="006D2F80">
        <w:rPr>
          <w:i/>
          <w:sz w:val="22"/>
          <w:szCs w:val="22"/>
          <w:vertAlign w:val="subscript"/>
        </w:rPr>
        <w:t>j</w:t>
      </w:r>
      <w:proofErr w:type="spellEnd"/>
      <w:r w:rsidR="00734187" w:rsidRPr="006D2F80">
        <w:rPr>
          <w:sz w:val="22"/>
          <w:szCs w:val="22"/>
        </w:rPr>
        <w:t>,</w:t>
      </w:r>
      <w:r w:rsidR="001560A7" w:rsidRPr="006D2F80">
        <w:rPr>
          <w:sz w:val="22"/>
          <w:szCs w:val="22"/>
        </w:rPr>
        <w:t xml:space="preserve"> </w:t>
      </w:r>
      <w:r w:rsidR="00221BED" w:rsidRPr="006D2F80">
        <w:rPr>
          <w:sz w:val="22"/>
          <w:szCs w:val="22"/>
        </w:rPr>
        <w:t xml:space="preserve">y </w:t>
      </w:r>
      <w:r w:rsidR="00B95B1A" w:rsidRPr="006D2F80">
        <w:rPr>
          <w:sz w:val="22"/>
          <w:szCs w:val="22"/>
        </w:rPr>
        <w:t xml:space="preserve">los </w:t>
      </w:r>
      <w:r w:rsidR="00221BED" w:rsidRPr="006D2F80">
        <w:rPr>
          <w:sz w:val="22"/>
          <w:szCs w:val="22"/>
        </w:rPr>
        <w:t>costo</w:t>
      </w:r>
      <w:r w:rsidR="00B95B1A" w:rsidRPr="006D2F80">
        <w:rPr>
          <w:sz w:val="22"/>
          <w:szCs w:val="22"/>
        </w:rPr>
        <w:t>s</w:t>
      </w:r>
      <w:r w:rsidR="00221BED" w:rsidRPr="006D2F80">
        <w:rPr>
          <w:sz w:val="22"/>
          <w:szCs w:val="22"/>
        </w:rPr>
        <w:t xml:space="preserve"> de reposición de referencia por nivel de tensión, </w:t>
      </w:r>
      <w:proofErr w:type="spellStart"/>
      <w:proofErr w:type="gramStart"/>
      <w:r w:rsidR="00221BED" w:rsidRPr="006D2F80">
        <w:rPr>
          <w:i/>
          <w:sz w:val="22"/>
          <w:szCs w:val="22"/>
        </w:rPr>
        <w:t>Crr</w:t>
      </w:r>
      <w:r w:rsidR="00221BED" w:rsidRPr="006D2F80">
        <w:rPr>
          <w:i/>
          <w:sz w:val="22"/>
          <w:szCs w:val="22"/>
          <w:vertAlign w:val="subscript"/>
        </w:rPr>
        <w:t>j,n</w:t>
      </w:r>
      <w:proofErr w:type="spellEnd"/>
      <w:proofErr w:type="gramEnd"/>
      <w:r w:rsidR="00221BED" w:rsidRPr="006D2F80">
        <w:rPr>
          <w:sz w:val="22"/>
          <w:szCs w:val="22"/>
        </w:rPr>
        <w:t xml:space="preserve">, son los </w:t>
      </w:r>
      <w:r w:rsidR="005711EC" w:rsidRPr="006D2F80">
        <w:rPr>
          <w:sz w:val="22"/>
          <w:szCs w:val="22"/>
        </w:rPr>
        <w:t>siguiente</w:t>
      </w:r>
      <w:r w:rsidR="00221BED" w:rsidRPr="006D2F80">
        <w:rPr>
          <w:sz w:val="22"/>
          <w:szCs w:val="22"/>
        </w:rPr>
        <w:t>s</w:t>
      </w:r>
      <w:r w:rsidR="005711EC" w:rsidRPr="006D2F80">
        <w:rPr>
          <w:sz w:val="22"/>
          <w:szCs w:val="22"/>
        </w:rPr>
        <w:t>:</w:t>
      </w:r>
    </w:p>
    <w:p w14:paraId="01FCC60A" w14:textId="12B7BC6A" w:rsidR="00264F14" w:rsidRDefault="00264F14" w:rsidP="00264F14">
      <w:pPr>
        <w:pStyle w:val="Descripcin"/>
      </w:pPr>
      <w:r>
        <w:t xml:space="preserve">Tabla </w:t>
      </w:r>
      <w:r w:rsidR="006D2F80">
        <w:rPr>
          <w:noProof/>
        </w:rPr>
        <w:t>21</w:t>
      </w:r>
      <w:r>
        <w:t xml:space="preserve"> </w:t>
      </w:r>
      <w:r w:rsidR="008F03AC">
        <w:t>Costo de reposición de referencia</w:t>
      </w:r>
    </w:p>
    <w:tbl>
      <w:tblPr>
        <w:tblW w:w="3580" w:type="dxa"/>
        <w:jc w:val="center"/>
        <w:tblCellMar>
          <w:left w:w="70" w:type="dxa"/>
          <w:right w:w="70" w:type="dxa"/>
        </w:tblCellMar>
        <w:tblLook w:val="04A0" w:firstRow="1" w:lastRow="0" w:firstColumn="1" w:lastColumn="0" w:noHBand="0" w:noVBand="1"/>
      </w:tblPr>
      <w:tblGrid>
        <w:gridCol w:w="1600"/>
        <w:gridCol w:w="1980"/>
      </w:tblGrid>
      <w:tr w:rsidR="006D2F80" w:rsidRPr="006D2F80" w14:paraId="1F11AF78" w14:textId="77777777" w:rsidTr="00AF405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6FE1D"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12DF6426" w14:textId="77777777" w:rsidR="006D2F80" w:rsidRPr="006D2F80" w:rsidRDefault="006D2F80" w:rsidP="006D2F80">
            <w:pPr>
              <w:spacing w:before="0" w:after="0"/>
              <w:jc w:val="center"/>
              <w:rPr>
                <w:rFonts w:cs="Arial"/>
                <w:b/>
                <w:bCs/>
                <w:sz w:val="18"/>
                <w:szCs w:val="18"/>
                <w:lang w:val="es-CO" w:eastAsia="es-CO"/>
              </w:rPr>
            </w:pPr>
            <w:r w:rsidRPr="006D2F80">
              <w:rPr>
                <w:rFonts w:cs="Arial"/>
                <w:b/>
                <w:bCs/>
                <w:sz w:val="18"/>
                <w:szCs w:val="18"/>
                <w:lang w:val="es-CO" w:eastAsia="es-CO"/>
              </w:rPr>
              <w:t>Pesos de diciembre de 2017</w:t>
            </w:r>
          </w:p>
        </w:tc>
      </w:tr>
      <w:tr w:rsidR="006D2F80" w:rsidRPr="006D2F80" w14:paraId="30910F72" w14:textId="77777777" w:rsidTr="006D2F80">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48541C6" w14:textId="77777777" w:rsidR="006D2F80" w:rsidRPr="006D2F80" w:rsidRDefault="006D2F80" w:rsidP="006D2F80">
            <w:pPr>
              <w:spacing w:before="0" w:after="0"/>
              <w:jc w:val="center"/>
              <w:rPr>
                <w:rFonts w:cs="Arial"/>
                <w:i/>
                <w:iCs/>
                <w:sz w:val="18"/>
                <w:szCs w:val="18"/>
                <w:lang w:val="es-CO" w:eastAsia="es-CO"/>
              </w:rPr>
            </w:pPr>
            <w:proofErr w:type="spellStart"/>
            <w:r w:rsidRPr="006D2F80">
              <w:rPr>
                <w:rFonts w:cs="Arial"/>
                <w:i/>
                <w:iCs/>
                <w:sz w:val="18"/>
                <w:szCs w:val="18"/>
                <w:lang w:val="es-CO" w:eastAsia="es-CO"/>
              </w:rPr>
              <w:t>CRR</w:t>
            </w:r>
            <w:r w:rsidRPr="006D2F80">
              <w:rPr>
                <w:rFonts w:cs="Arial"/>
                <w:i/>
                <w:iCs/>
                <w:color w:val="000000"/>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738FEBB"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1.361.718.802.419</w:t>
            </w:r>
          </w:p>
        </w:tc>
      </w:tr>
      <w:tr w:rsidR="006D2F80" w:rsidRPr="006D2F80" w14:paraId="41E24C0B" w14:textId="77777777" w:rsidTr="006D2F80">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80A5524" w14:textId="77777777" w:rsidR="006D2F80" w:rsidRPr="006D2F80" w:rsidRDefault="006D2F80" w:rsidP="006D2F80">
            <w:pPr>
              <w:spacing w:before="0" w:after="0"/>
              <w:jc w:val="center"/>
              <w:rPr>
                <w:rFonts w:cs="Arial"/>
                <w:i/>
                <w:iCs/>
                <w:sz w:val="18"/>
                <w:szCs w:val="18"/>
                <w:lang w:val="es-CO" w:eastAsia="es-CO"/>
              </w:rPr>
            </w:pPr>
            <w:r w:rsidRPr="006D2F80">
              <w:rPr>
                <w:rFonts w:cs="Arial"/>
                <w:i/>
                <w:iCs/>
                <w:sz w:val="18"/>
                <w:szCs w:val="18"/>
                <w:lang w:val="es-CO" w:eastAsia="es-CO"/>
              </w:rPr>
              <w:t>Crr</w:t>
            </w:r>
            <w:r w:rsidRPr="006D2F80">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4F711FEB"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273.119.253.970</w:t>
            </w:r>
          </w:p>
        </w:tc>
      </w:tr>
      <w:tr w:rsidR="006D2F80" w:rsidRPr="006D2F80" w14:paraId="7A66EA8D" w14:textId="77777777" w:rsidTr="006D2F80">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18C1B63" w14:textId="77777777" w:rsidR="006D2F80" w:rsidRPr="006D2F80" w:rsidRDefault="006D2F80" w:rsidP="006D2F80">
            <w:pPr>
              <w:spacing w:before="0" w:after="0"/>
              <w:jc w:val="center"/>
              <w:rPr>
                <w:rFonts w:cs="Arial"/>
                <w:i/>
                <w:iCs/>
                <w:sz w:val="18"/>
                <w:szCs w:val="18"/>
                <w:lang w:val="es-CO" w:eastAsia="es-CO"/>
              </w:rPr>
            </w:pPr>
            <w:r w:rsidRPr="006D2F80">
              <w:rPr>
                <w:rFonts w:cs="Arial"/>
                <w:i/>
                <w:iCs/>
                <w:sz w:val="18"/>
                <w:szCs w:val="18"/>
                <w:lang w:val="es-CO" w:eastAsia="es-CO"/>
              </w:rPr>
              <w:t>Crr</w:t>
            </w:r>
            <w:r w:rsidRPr="006D2F80">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17037331"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221.717.294.617</w:t>
            </w:r>
          </w:p>
        </w:tc>
      </w:tr>
      <w:tr w:rsidR="006D2F80" w:rsidRPr="006D2F80" w14:paraId="5F97106C" w14:textId="77777777" w:rsidTr="006D2F80">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9411590" w14:textId="77777777" w:rsidR="006D2F80" w:rsidRPr="006D2F80" w:rsidRDefault="006D2F80" w:rsidP="006D2F80">
            <w:pPr>
              <w:spacing w:before="0" w:after="0"/>
              <w:jc w:val="center"/>
              <w:rPr>
                <w:rFonts w:cs="Arial"/>
                <w:i/>
                <w:iCs/>
                <w:sz w:val="18"/>
                <w:szCs w:val="18"/>
                <w:lang w:val="es-CO" w:eastAsia="es-CO"/>
              </w:rPr>
            </w:pPr>
            <w:r w:rsidRPr="006D2F80">
              <w:rPr>
                <w:rFonts w:cs="Arial"/>
                <w:i/>
                <w:iCs/>
                <w:sz w:val="18"/>
                <w:szCs w:val="18"/>
                <w:lang w:val="es-CO" w:eastAsia="es-CO"/>
              </w:rPr>
              <w:t>Crr</w:t>
            </w:r>
            <w:r w:rsidRPr="006D2F80">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30E51659"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615.446.049.586</w:t>
            </w:r>
          </w:p>
        </w:tc>
      </w:tr>
      <w:tr w:rsidR="006D2F80" w:rsidRPr="006D2F80" w14:paraId="511F21F6" w14:textId="77777777" w:rsidTr="006D2F80">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15DF300" w14:textId="77777777" w:rsidR="006D2F80" w:rsidRPr="006D2F80" w:rsidRDefault="006D2F80" w:rsidP="006D2F80">
            <w:pPr>
              <w:spacing w:before="0" w:after="0"/>
              <w:jc w:val="center"/>
              <w:rPr>
                <w:rFonts w:cs="Arial"/>
                <w:i/>
                <w:iCs/>
                <w:sz w:val="18"/>
                <w:szCs w:val="18"/>
                <w:lang w:val="es-CO" w:eastAsia="es-CO"/>
              </w:rPr>
            </w:pPr>
            <w:r w:rsidRPr="006D2F80">
              <w:rPr>
                <w:rFonts w:cs="Arial"/>
                <w:i/>
                <w:iCs/>
                <w:sz w:val="18"/>
                <w:szCs w:val="18"/>
                <w:lang w:val="es-CO" w:eastAsia="es-CO"/>
              </w:rPr>
              <w:t>Crr</w:t>
            </w:r>
            <w:r w:rsidRPr="006D2F80">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4C4012D4" w14:textId="77777777" w:rsidR="006D2F80" w:rsidRPr="006D2F80" w:rsidRDefault="006D2F80" w:rsidP="006D2F80">
            <w:pPr>
              <w:spacing w:before="0" w:after="0"/>
              <w:jc w:val="right"/>
              <w:rPr>
                <w:rFonts w:cs="Arial"/>
                <w:sz w:val="18"/>
                <w:szCs w:val="18"/>
                <w:lang w:val="es-CO" w:eastAsia="es-CO"/>
              </w:rPr>
            </w:pPr>
            <w:r w:rsidRPr="006D2F80">
              <w:rPr>
                <w:rFonts w:cs="Arial"/>
                <w:sz w:val="18"/>
                <w:szCs w:val="18"/>
                <w:lang w:val="es-CO" w:eastAsia="es-CO"/>
              </w:rPr>
              <w:t>251.436.204.246</w:t>
            </w:r>
          </w:p>
        </w:tc>
      </w:tr>
    </w:tbl>
    <w:bookmarkEnd w:id="5"/>
    <w:p w14:paraId="6B61E76B" w14:textId="406DE691" w:rsidR="006D2F80" w:rsidRPr="0019345E" w:rsidRDefault="006D2F80" w:rsidP="00F7510F">
      <w:pPr>
        <w:pStyle w:val="Artculo"/>
        <w:spacing w:before="360"/>
        <w:ind w:left="0"/>
        <w:outlineLvl w:val="2"/>
        <w:rPr>
          <w:b w:val="0"/>
        </w:rPr>
      </w:pPr>
      <w:r w:rsidRPr="0019345E">
        <w:t xml:space="preserve">Modificar el artículo </w:t>
      </w:r>
      <w:r>
        <w:t>16</w:t>
      </w:r>
      <w:r w:rsidRPr="0019345E">
        <w:t xml:space="preserve"> de la Resolución CREG 1</w:t>
      </w:r>
      <w:r>
        <w:t>77</w:t>
      </w:r>
      <w:r w:rsidRPr="0019345E">
        <w:t xml:space="preserve"> de 2019. </w:t>
      </w:r>
      <w:r w:rsidRPr="0019345E">
        <w:rPr>
          <w:b w:val="0"/>
        </w:rPr>
        <w:t xml:space="preserve">El artículo </w:t>
      </w:r>
      <w:r>
        <w:rPr>
          <w:b w:val="0"/>
        </w:rPr>
        <w:t>16</w:t>
      </w:r>
      <w:r w:rsidRPr="0019345E">
        <w:rPr>
          <w:b w:val="0"/>
        </w:rPr>
        <w:t xml:space="preserve"> de la Resolución CREG 1</w:t>
      </w:r>
      <w:r>
        <w:rPr>
          <w:b w:val="0"/>
        </w:rPr>
        <w:t>77</w:t>
      </w:r>
      <w:r w:rsidRPr="0019345E">
        <w:rPr>
          <w:b w:val="0"/>
        </w:rPr>
        <w:t xml:space="preserve"> de 2019 quedará así:</w:t>
      </w:r>
      <w:r>
        <w:rPr>
          <w:b w:val="0"/>
        </w:rPr>
        <w:t xml:space="preserve"> </w:t>
      </w:r>
    </w:p>
    <w:p w14:paraId="4956C0A1" w14:textId="51782D73" w:rsidR="00CB3293" w:rsidRPr="006D2F80" w:rsidRDefault="006D2F80" w:rsidP="006D2F80">
      <w:pPr>
        <w:ind w:left="426"/>
        <w:rPr>
          <w:sz w:val="22"/>
          <w:szCs w:val="22"/>
        </w:rPr>
      </w:pPr>
      <w:r w:rsidRPr="006D2F80">
        <w:rPr>
          <w:b/>
          <w:bCs/>
          <w:sz w:val="22"/>
          <w:szCs w:val="22"/>
        </w:rPr>
        <w:t xml:space="preserve">Artículo 16. </w:t>
      </w:r>
      <w:r w:rsidR="00CB3293" w:rsidRPr="006D2F80">
        <w:rPr>
          <w:b/>
          <w:bCs/>
          <w:sz w:val="22"/>
          <w:szCs w:val="22"/>
        </w:rPr>
        <w:t>Costo anual del plan de gestión de pérdidas</w:t>
      </w:r>
      <w:r w:rsidR="00AD4D6E" w:rsidRPr="006D2F80">
        <w:rPr>
          <w:b/>
          <w:bCs/>
          <w:sz w:val="22"/>
          <w:szCs w:val="22"/>
        </w:rPr>
        <w:t>.</w:t>
      </w:r>
      <w:r w:rsidR="00CB3293" w:rsidRPr="006D2F80">
        <w:rPr>
          <w:sz w:val="22"/>
          <w:szCs w:val="22"/>
        </w:rPr>
        <w:t xml:space="preserve"> El costo anual del plan de gestión de pérdidas</w:t>
      </w:r>
      <w:r w:rsidR="00734187" w:rsidRPr="006D2F80">
        <w:rPr>
          <w:sz w:val="22"/>
          <w:szCs w:val="22"/>
        </w:rPr>
        <w:t xml:space="preserve">, </w:t>
      </w:r>
      <w:proofErr w:type="spellStart"/>
      <w:r w:rsidR="00734187" w:rsidRPr="006D2F80">
        <w:rPr>
          <w:i/>
          <w:sz w:val="22"/>
          <w:szCs w:val="22"/>
        </w:rPr>
        <w:t>CAP</w:t>
      </w:r>
      <w:r w:rsidR="00734187" w:rsidRPr="006D2F80">
        <w:rPr>
          <w:i/>
          <w:sz w:val="22"/>
          <w:szCs w:val="22"/>
          <w:vertAlign w:val="subscript"/>
        </w:rPr>
        <w:t>j</w:t>
      </w:r>
      <w:proofErr w:type="spellEnd"/>
      <w:r w:rsidR="00734187" w:rsidRPr="006D2F80">
        <w:rPr>
          <w:sz w:val="22"/>
          <w:szCs w:val="22"/>
        </w:rPr>
        <w:t>,</w:t>
      </w:r>
      <w:r w:rsidR="00CB3293" w:rsidRPr="006D2F80">
        <w:rPr>
          <w:sz w:val="22"/>
          <w:szCs w:val="22"/>
        </w:rPr>
        <w:t xml:space="preserve"> es el siguiente:</w:t>
      </w:r>
    </w:p>
    <w:p w14:paraId="2028B3A9" w14:textId="67D38401" w:rsidR="00264F14" w:rsidRDefault="00AD4D6E" w:rsidP="00AD4D6E">
      <w:pPr>
        <w:pStyle w:val="Descripcin"/>
      </w:pPr>
      <w:r>
        <w:t xml:space="preserve">Tabla </w:t>
      </w:r>
      <w:r w:rsidR="0088389F">
        <w:rPr>
          <w:noProof/>
        </w:rPr>
        <w:t>2</w:t>
      </w:r>
      <w:r w:rsidR="006D2F80">
        <w:rPr>
          <w:noProof/>
        </w:rPr>
        <w:t>2</w:t>
      </w:r>
      <w:r>
        <w:t xml:space="preserve"> </w:t>
      </w:r>
      <w:r w:rsidR="008F03AC">
        <w:t>Costo anual del plan de gestión de pérdidas</w:t>
      </w:r>
    </w:p>
    <w:tbl>
      <w:tblPr>
        <w:tblW w:w="3580" w:type="dxa"/>
        <w:jc w:val="center"/>
        <w:tblCellMar>
          <w:left w:w="70" w:type="dxa"/>
          <w:right w:w="70" w:type="dxa"/>
        </w:tblCellMar>
        <w:tblLook w:val="04A0" w:firstRow="1" w:lastRow="0" w:firstColumn="1" w:lastColumn="0" w:noHBand="0" w:noVBand="1"/>
      </w:tblPr>
      <w:tblGrid>
        <w:gridCol w:w="1600"/>
        <w:gridCol w:w="1980"/>
      </w:tblGrid>
      <w:tr w:rsidR="00307625" w:rsidRPr="008E363E" w14:paraId="5A96664B" w14:textId="77777777" w:rsidTr="0081772D">
        <w:trPr>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4BCF2" w14:textId="77777777" w:rsidR="00307625" w:rsidRPr="008E363E" w:rsidRDefault="00307625" w:rsidP="0081772D">
            <w:pPr>
              <w:spacing w:before="0" w:after="0"/>
              <w:jc w:val="center"/>
              <w:rPr>
                <w:rFonts w:cs="Arial"/>
                <w:b/>
                <w:bCs/>
                <w:sz w:val="18"/>
                <w:szCs w:val="18"/>
                <w:lang w:val="es-CO" w:eastAsia="es-CO"/>
              </w:rPr>
            </w:pPr>
            <w:r w:rsidRPr="008E363E">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78F142A3" w14:textId="77777777" w:rsidR="00307625" w:rsidRPr="008E363E" w:rsidRDefault="00307625" w:rsidP="0081772D">
            <w:pPr>
              <w:spacing w:before="0" w:after="0"/>
              <w:jc w:val="center"/>
              <w:rPr>
                <w:rFonts w:cs="Arial"/>
                <w:b/>
                <w:bCs/>
                <w:sz w:val="18"/>
                <w:szCs w:val="18"/>
                <w:lang w:val="es-CO" w:eastAsia="es-CO"/>
              </w:rPr>
            </w:pPr>
            <w:r w:rsidRPr="008E363E">
              <w:rPr>
                <w:rFonts w:cs="Arial"/>
                <w:b/>
                <w:bCs/>
                <w:sz w:val="18"/>
                <w:szCs w:val="18"/>
                <w:lang w:val="es-CO" w:eastAsia="es-CO"/>
              </w:rPr>
              <w:t>Pesos de diciembre de 2017</w:t>
            </w:r>
          </w:p>
        </w:tc>
      </w:tr>
      <w:tr w:rsidR="00307625" w:rsidRPr="008E363E" w14:paraId="2BA125A6" w14:textId="77777777" w:rsidTr="0081772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6DF277B" w14:textId="77777777" w:rsidR="00307625" w:rsidRPr="008E363E" w:rsidRDefault="00307625" w:rsidP="0081772D">
            <w:pPr>
              <w:spacing w:before="0" w:after="0"/>
              <w:jc w:val="center"/>
              <w:rPr>
                <w:rFonts w:cs="Arial"/>
                <w:i/>
                <w:iCs/>
                <w:sz w:val="18"/>
                <w:szCs w:val="18"/>
                <w:lang w:val="es-CO" w:eastAsia="es-CO"/>
              </w:rPr>
            </w:pPr>
            <w:proofErr w:type="spellStart"/>
            <w:r w:rsidRPr="008E363E">
              <w:rPr>
                <w:rFonts w:cs="Arial"/>
                <w:i/>
                <w:iCs/>
                <w:sz w:val="18"/>
                <w:szCs w:val="18"/>
                <w:lang w:val="es-CO" w:eastAsia="es-CO"/>
              </w:rPr>
              <w:t>CAP</w:t>
            </w:r>
            <w:r w:rsidRPr="008E363E">
              <w:rPr>
                <w:rFonts w:cs="Arial"/>
                <w:i/>
                <w:iCs/>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49FA8A86" w14:textId="77777777" w:rsidR="00307625" w:rsidRPr="008E363E" w:rsidRDefault="00307625" w:rsidP="0081772D">
            <w:pPr>
              <w:spacing w:before="0" w:after="0"/>
              <w:jc w:val="right"/>
              <w:rPr>
                <w:rFonts w:cs="Arial"/>
                <w:sz w:val="18"/>
                <w:szCs w:val="18"/>
                <w:lang w:val="es-CO" w:eastAsia="es-CO"/>
              </w:rPr>
            </w:pPr>
            <w:r w:rsidRPr="008E363E">
              <w:rPr>
                <w:rFonts w:cs="Arial"/>
                <w:sz w:val="18"/>
                <w:szCs w:val="18"/>
                <w:lang w:val="es-CO" w:eastAsia="es-CO"/>
              </w:rPr>
              <w:t>2.677.470.146</w:t>
            </w:r>
          </w:p>
        </w:tc>
      </w:tr>
    </w:tbl>
    <w:p w14:paraId="5DA13019" w14:textId="4A667F4D" w:rsidR="00130632" w:rsidRPr="0019345E" w:rsidRDefault="00130632" w:rsidP="00F7510F">
      <w:pPr>
        <w:pStyle w:val="Artculo"/>
        <w:spacing w:before="360"/>
        <w:ind w:left="0"/>
        <w:outlineLvl w:val="2"/>
        <w:rPr>
          <w:b w:val="0"/>
        </w:rPr>
      </w:pPr>
      <w:r w:rsidRPr="0019345E">
        <w:t xml:space="preserve">Modificar el artículo </w:t>
      </w:r>
      <w:r>
        <w:t>17</w:t>
      </w:r>
      <w:r w:rsidRPr="0019345E">
        <w:t xml:space="preserve"> de la Resolución CREG 1</w:t>
      </w:r>
      <w:r>
        <w:t>77</w:t>
      </w:r>
      <w:r w:rsidRPr="0019345E">
        <w:t xml:space="preserve"> de 2019. </w:t>
      </w:r>
      <w:r w:rsidRPr="0019345E">
        <w:rPr>
          <w:b w:val="0"/>
        </w:rPr>
        <w:t xml:space="preserve">El artículo </w:t>
      </w:r>
      <w:r>
        <w:rPr>
          <w:b w:val="0"/>
        </w:rPr>
        <w:t>17</w:t>
      </w:r>
      <w:r w:rsidRPr="0019345E">
        <w:rPr>
          <w:b w:val="0"/>
        </w:rPr>
        <w:t xml:space="preserve"> de la Resolución CREG 1</w:t>
      </w:r>
      <w:r>
        <w:rPr>
          <w:b w:val="0"/>
        </w:rPr>
        <w:t>77</w:t>
      </w:r>
      <w:r w:rsidRPr="0019345E">
        <w:rPr>
          <w:b w:val="0"/>
        </w:rPr>
        <w:t xml:space="preserve"> de 2019 quedará así:</w:t>
      </w:r>
      <w:r>
        <w:rPr>
          <w:b w:val="0"/>
        </w:rPr>
        <w:t xml:space="preserve"> </w:t>
      </w:r>
    </w:p>
    <w:p w14:paraId="3CDCD65B" w14:textId="09F98FEE" w:rsidR="00130632" w:rsidRDefault="00130632" w:rsidP="00130632">
      <w:pPr>
        <w:ind w:left="426"/>
        <w:rPr>
          <w:sz w:val="22"/>
          <w:szCs w:val="22"/>
        </w:rPr>
      </w:pPr>
      <w:r w:rsidRPr="00130632">
        <w:rPr>
          <w:b/>
          <w:bCs/>
          <w:sz w:val="22"/>
          <w:szCs w:val="22"/>
        </w:rPr>
        <w:t>Artículo 17. Factor de pérdidas reconocidas en el nivel de tensión 1 en el año 1.</w:t>
      </w:r>
      <w:r w:rsidRPr="00130632">
        <w:rPr>
          <w:sz w:val="22"/>
          <w:szCs w:val="22"/>
        </w:rPr>
        <w:t xml:space="preserve"> El factor de pérdidas reconocidas en el nivel de tensión 1 en el año 1, </w:t>
      </w:r>
      <w:r w:rsidRPr="00130632">
        <w:rPr>
          <w:i/>
          <w:sz w:val="22"/>
          <w:szCs w:val="22"/>
        </w:rPr>
        <w:t>FPI</w:t>
      </w:r>
      <w:r w:rsidRPr="00130632">
        <w:rPr>
          <w:i/>
          <w:sz w:val="22"/>
          <w:szCs w:val="22"/>
          <w:vertAlign w:val="subscript"/>
        </w:rPr>
        <w:t>j,1</w:t>
      </w:r>
      <w:r w:rsidRPr="00130632">
        <w:rPr>
          <w:sz w:val="22"/>
          <w:szCs w:val="22"/>
        </w:rPr>
        <w:t>, es el siguiente:</w:t>
      </w:r>
    </w:p>
    <w:p w14:paraId="46134FF6" w14:textId="77777777" w:rsidR="006C0D43" w:rsidRDefault="006C0D43" w:rsidP="00130632">
      <w:pPr>
        <w:ind w:left="426"/>
        <w:rPr>
          <w:sz w:val="22"/>
          <w:szCs w:val="22"/>
        </w:rPr>
      </w:pPr>
    </w:p>
    <w:p w14:paraId="116E0609" w14:textId="5BC7CD5B" w:rsidR="00130632" w:rsidRDefault="00130632" w:rsidP="00130632">
      <w:pPr>
        <w:pStyle w:val="Descripcin"/>
        <w:rPr>
          <w:szCs w:val="22"/>
        </w:rPr>
      </w:pPr>
      <w:r>
        <w:t>Tabla 23 Índice de pérdidas eficientes</w:t>
      </w:r>
    </w:p>
    <w:tbl>
      <w:tblPr>
        <w:tblW w:w="3580" w:type="dxa"/>
        <w:jc w:val="center"/>
        <w:tblCellMar>
          <w:left w:w="70" w:type="dxa"/>
          <w:right w:w="70" w:type="dxa"/>
        </w:tblCellMar>
        <w:tblLook w:val="04A0" w:firstRow="1" w:lastRow="0" w:firstColumn="1" w:lastColumn="0" w:noHBand="0" w:noVBand="1"/>
      </w:tblPr>
      <w:tblGrid>
        <w:gridCol w:w="1600"/>
        <w:gridCol w:w="1980"/>
      </w:tblGrid>
      <w:tr w:rsidR="00130632" w:rsidRPr="00130632" w14:paraId="25F7770B" w14:textId="77777777" w:rsidTr="00130632">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3EE5E" w14:textId="77777777" w:rsidR="00130632" w:rsidRPr="00130632" w:rsidRDefault="00130632" w:rsidP="00130632">
            <w:pPr>
              <w:spacing w:before="0" w:after="0"/>
              <w:jc w:val="center"/>
              <w:rPr>
                <w:rFonts w:cs="Arial"/>
                <w:b/>
                <w:bCs/>
                <w:sz w:val="18"/>
                <w:szCs w:val="18"/>
                <w:lang w:val="es-CO" w:eastAsia="es-CO"/>
              </w:rPr>
            </w:pPr>
            <w:r w:rsidRPr="0013063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B2C8501" w14:textId="77777777" w:rsidR="00130632" w:rsidRPr="00130632" w:rsidRDefault="00130632" w:rsidP="00130632">
            <w:pPr>
              <w:spacing w:before="0" w:after="0"/>
              <w:jc w:val="center"/>
              <w:rPr>
                <w:rFonts w:cs="Arial"/>
                <w:b/>
                <w:bCs/>
                <w:sz w:val="18"/>
                <w:szCs w:val="18"/>
                <w:lang w:val="es-CO" w:eastAsia="es-CO"/>
              </w:rPr>
            </w:pPr>
            <w:r w:rsidRPr="00130632">
              <w:rPr>
                <w:rFonts w:cs="Arial"/>
                <w:b/>
                <w:bCs/>
                <w:sz w:val="18"/>
                <w:szCs w:val="18"/>
                <w:lang w:val="es-CO" w:eastAsia="es-CO"/>
              </w:rPr>
              <w:t>Valor</w:t>
            </w:r>
          </w:p>
        </w:tc>
      </w:tr>
      <w:tr w:rsidR="00130632" w:rsidRPr="00130632" w14:paraId="2AD8A804" w14:textId="77777777" w:rsidTr="00130632">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19EA841" w14:textId="77777777" w:rsidR="00130632" w:rsidRPr="00130632" w:rsidRDefault="00130632" w:rsidP="00130632">
            <w:pPr>
              <w:spacing w:before="0" w:after="0"/>
              <w:jc w:val="center"/>
              <w:rPr>
                <w:rFonts w:cs="Arial"/>
                <w:i/>
                <w:iCs/>
                <w:sz w:val="18"/>
                <w:szCs w:val="18"/>
                <w:lang w:val="es-CO" w:eastAsia="es-CO"/>
              </w:rPr>
            </w:pPr>
            <w:r w:rsidRPr="00130632">
              <w:rPr>
                <w:rFonts w:cs="Arial"/>
                <w:i/>
                <w:iCs/>
                <w:sz w:val="18"/>
                <w:szCs w:val="18"/>
                <w:lang w:val="es-CO" w:eastAsia="es-CO"/>
              </w:rPr>
              <w:t>FPI</w:t>
            </w:r>
            <w:r w:rsidRPr="00130632">
              <w:rPr>
                <w:rFonts w:cs="Arial"/>
                <w:i/>
                <w:iCs/>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5EA9957C" w14:textId="77777777" w:rsidR="00130632" w:rsidRPr="00130632" w:rsidRDefault="00130632" w:rsidP="00130632">
            <w:pPr>
              <w:spacing w:before="0" w:after="0"/>
              <w:jc w:val="right"/>
              <w:rPr>
                <w:rFonts w:cs="Arial"/>
                <w:sz w:val="18"/>
                <w:szCs w:val="18"/>
                <w:lang w:val="es-CO" w:eastAsia="es-CO"/>
              </w:rPr>
            </w:pPr>
            <w:r w:rsidRPr="00130632">
              <w:rPr>
                <w:rFonts w:cs="Arial"/>
                <w:sz w:val="18"/>
                <w:szCs w:val="18"/>
                <w:lang w:val="es-CO" w:eastAsia="es-CO"/>
              </w:rPr>
              <w:t>12,19%</w:t>
            </w:r>
          </w:p>
        </w:tc>
      </w:tr>
    </w:tbl>
    <w:p w14:paraId="45E605F0" w14:textId="6CBEDE90" w:rsidR="00130632" w:rsidRPr="0019345E" w:rsidRDefault="00130632" w:rsidP="00F7510F">
      <w:pPr>
        <w:pStyle w:val="Artculo"/>
        <w:spacing w:before="360"/>
        <w:ind w:left="0"/>
        <w:outlineLvl w:val="2"/>
        <w:rPr>
          <w:b w:val="0"/>
        </w:rPr>
      </w:pPr>
      <w:r w:rsidRPr="0019345E">
        <w:t xml:space="preserve">Modificar el artículo </w:t>
      </w:r>
      <w:r>
        <w:t>19</w:t>
      </w:r>
      <w:r w:rsidRPr="0019345E">
        <w:t xml:space="preserve"> de la Resolución CREG 1</w:t>
      </w:r>
      <w:r>
        <w:t>77</w:t>
      </w:r>
      <w:r w:rsidRPr="0019345E">
        <w:t xml:space="preserve"> de 2019. </w:t>
      </w:r>
      <w:r w:rsidRPr="0019345E">
        <w:rPr>
          <w:b w:val="0"/>
        </w:rPr>
        <w:t xml:space="preserve">El artículo </w:t>
      </w:r>
      <w:r>
        <w:rPr>
          <w:b w:val="0"/>
        </w:rPr>
        <w:t>19</w:t>
      </w:r>
      <w:r w:rsidRPr="0019345E">
        <w:rPr>
          <w:b w:val="0"/>
        </w:rPr>
        <w:t xml:space="preserve"> de la Resolución CREG 1</w:t>
      </w:r>
      <w:r>
        <w:rPr>
          <w:b w:val="0"/>
        </w:rPr>
        <w:t>77</w:t>
      </w:r>
      <w:r w:rsidRPr="0019345E">
        <w:rPr>
          <w:b w:val="0"/>
        </w:rPr>
        <w:t xml:space="preserve"> de 2019 quedará así:</w:t>
      </w:r>
      <w:r>
        <w:rPr>
          <w:b w:val="0"/>
        </w:rPr>
        <w:t xml:space="preserve"> </w:t>
      </w:r>
    </w:p>
    <w:p w14:paraId="6C29FD61" w14:textId="07F4F3D1" w:rsidR="00130632" w:rsidRPr="00130632" w:rsidRDefault="00130632" w:rsidP="00130632">
      <w:pPr>
        <w:ind w:left="426"/>
        <w:rPr>
          <w:b/>
          <w:sz w:val="22"/>
          <w:szCs w:val="22"/>
        </w:rPr>
      </w:pPr>
      <w:r w:rsidRPr="00130632">
        <w:rPr>
          <w:b/>
          <w:bCs/>
          <w:sz w:val="22"/>
          <w:szCs w:val="22"/>
        </w:rPr>
        <w:t>Artículo 19. Solicitud de DIACO S.A.</w:t>
      </w:r>
      <w:r w:rsidRPr="00130632">
        <w:rPr>
          <w:sz w:val="22"/>
          <w:szCs w:val="22"/>
        </w:rPr>
        <w:t xml:space="preserve"> No </w:t>
      </w:r>
      <w:r w:rsidR="005F3CC1" w:rsidRPr="00130632">
        <w:rPr>
          <w:sz w:val="22"/>
          <w:szCs w:val="22"/>
        </w:rPr>
        <w:t>a</w:t>
      </w:r>
      <w:r w:rsidR="005F3CC1">
        <w:rPr>
          <w:sz w:val="22"/>
          <w:szCs w:val="22"/>
        </w:rPr>
        <w:t>cepta</w:t>
      </w:r>
      <w:r w:rsidR="005F3CC1" w:rsidRPr="00130632">
        <w:rPr>
          <w:sz w:val="22"/>
          <w:szCs w:val="22"/>
        </w:rPr>
        <w:t xml:space="preserve">r </w:t>
      </w:r>
      <w:r w:rsidRPr="00130632">
        <w:rPr>
          <w:sz w:val="22"/>
          <w:szCs w:val="22"/>
        </w:rPr>
        <w:t>la solicitud de DIACO de excluir algunos activos</w:t>
      </w:r>
      <w:r>
        <w:rPr>
          <w:sz w:val="22"/>
          <w:szCs w:val="22"/>
        </w:rPr>
        <w:t xml:space="preserve"> del inventario a reconocer a la Empresa de Energía de Boyacá</w:t>
      </w:r>
      <w:r w:rsidR="00985954">
        <w:rPr>
          <w:sz w:val="22"/>
          <w:szCs w:val="22"/>
        </w:rPr>
        <w:t xml:space="preserve"> S.A. E.S.P.</w:t>
      </w:r>
      <w:r>
        <w:rPr>
          <w:sz w:val="22"/>
          <w:szCs w:val="22"/>
        </w:rPr>
        <w:t xml:space="preserve">, debido a que la CREG concluye que dichos activos </w:t>
      </w:r>
      <w:r w:rsidR="00E01476">
        <w:rPr>
          <w:sz w:val="22"/>
          <w:szCs w:val="22"/>
        </w:rPr>
        <w:t>hacen parte del Sistema de Transmisión Regional, STR, en un</w:t>
      </w:r>
      <w:r>
        <w:rPr>
          <w:sz w:val="22"/>
          <w:szCs w:val="22"/>
        </w:rPr>
        <w:t xml:space="preserve"> 100%</w:t>
      </w:r>
      <w:r w:rsidR="00985954">
        <w:rPr>
          <w:sz w:val="22"/>
          <w:szCs w:val="22"/>
        </w:rPr>
        <w:t>,</w:t>
      </w:r>
      <w:r>
        <w:rPr>
          <w:sz w:val="22"/>
          <w:szCs w:val="22"/>
        </w:rPr>
        <w:t xml:space="preserve"> </w:t>
      </w:r>
      <w:r w:rsidR="00E01476">
        <w:rPr>
          <w:sz w:val="22"/>
          <w:szCs w:val="22"/>
        </w:rPr>
        <w:t xml:space="preserve">y deben ser remunerados con los cargos por </w:t>
      </w:r>
      <w:r>
        <w:rPr>
          <w:sz w:val="22"/>
          <w:szCs w:val="22"/>
        </w:rPr>
        <w:t>uso</w:t>
      </w:r>
      <w:r w:rsidR="00E01476">
        <w:rPr>
          <w:sz w:val="22"/>
          <w:szCs w:val="22"/>
        </w:rPr>
        <w:t xml:space="preserve"> del sistema de distribución de EBSA</w:t>
      </w:r>
      <w:r>
        <w:rPr>
          <w:sz w:val="22"/>
          <w:szCs w:val="22"/>
        </w:rPr>
        <w:t>.</w:t>
      </w:r>
    </w:p>
    <w:p w14:paraId="3CCBF845" w14:textId="13059565" w:rsidR="00FD79FF" w:rsidRDefault="00B528B3" w:rsidP="00F7510F">
      <w:pPr>
        <w:pStyle w:val="Artculo"/>
        <w:spacing w:before="360"/>
        <w:ind w:left="0"/>
        <w:rPr>
          <w:b w:val="0"/>
          <w:bCs/>
        </w:rPr>
      </w:pPr>
      <w:bookmarkStart w:id="6" w:name="_Hlk43196443"/>
      <w:r>
        <w:rPr>
          <w:b w:val="0"/>
          <w:bCs/>
        </w:rPr>
        <w:t xml:space="preserve">Los </w:t>
      </w:r>
      <w:r w:rsidR="00EE2109" w:rsidRPr="00B528B3">
        <w:rPr>
          <w:b w:val="0"/>
          <w:bCs/>
        </w:rPr>
        <w:t xml:space="preserve">incentivos </w:t>
      </w:r>
      <w:r w:rsidR="004004D3">
        <w:rPr>
          <w:b w:val="0"/>
          <w:bCs/>
        </w:rPr>
        <w:t xml:space="preserve">por el desempeño </w:t>
      </w:r>
      <w:r w:rsidR="00EE2109" w:rsidRPr="00B528B3">
        <w:rPr>
          <w:b w:val="0"/>
          <w:bCs/>
        </w:rPr>
        <w:t xml:space="preserve">de </w:t>
      </w:r>
      <w:r w:rsidR="00504D29">
        <w:rPr>
          <w:b w:val="0"/>
          <w:bCs/>
        </w:rPr>
        <w:t xml:space="preserve">la </w:t>
      </w:r>
      <w:r w:rsidR="00EE2109" w:rsidRPr="00B528B3">
        <w:rPr>
          <w:b w:val="0"/>
          <w:bCs/>
        </w:rPr>
        <w:t>calidad del servicio</w:t>
      </w:r>
      <w:r w:rsidR="004C73E6">
        <w:rPr>
          <w:b w:val="0"/>
          <w:bCs/>
        </w:rPr>
        <w:t>,</w:t>
      </w:r>
      <w:r w:rsidR="00EE2109" w:rsidRPr="00B528B3">
        <w:rPr>
          <w:b w:val="0"/>
          <w:bCs/>
        </w:rPr>
        <w:t xml:space="preserve"> pendientes de aplicar a la fecha de entrada en vigencia de la presente resolución</w:t>
      </w:r>
      <w:r w:rsidR="00FC2521">
        <w:rPr>
          <w:b w:val="0"/>
          <w:bCs/>
        </w:rPr>
        <w:t>,</w:t>
      </w:r>
      <w:r w:rsidR="00FD79FF" w:rsidRPr="00FD79FF">
        <w:t xml:space="preserve"> </w:t>
      </w:r>
      <w:r w:rsidR="00FD79FF" w:rsidRPr="00FD79FF">
        <w:rPr>
          <w:b w:val="0"/>
          <w:bCs/>
        </w:rPr>
        <w:t xml:space="preserve">se incluirán en el cargo por desempeño en la calidad del servicio, </w:t>
      </w:r>
      <w:proofErr w:type="spellStart"/>
      <w:proofErr w:type="gramStart"/>
      <w:r w:rsidR="00FD79FF" w:rsidRPr="00CE2455">
        <w:rPr>
          <w:b w:val="0"/>
          <w:bCs/>
          <w:i/>
          <w:iCs/>
        </w:rPr>
        <w:t>Dtcs</w:t>
      </w:r>
      <w:r w:rsidR="00FD79FF" w:rsidRPr="00CE2455">
        <w:rPr>
          <w:b w:val="0"/>
          <w:bCs/>
          <w:i/>
          <w:iCs/>
          <w:vertAlign w:val="subscript"/>
        </w:rPr>
        <w:t>n,j</w:t>
      </w:r>
      <w:proofErr w:type="gramEnd"/>
      <w:r w:rsidR="00FD79FF" w:rsidRPr="00CE2455">
        <w:rPr>
          <w:b w:val="0"/>
          <w:bCs/>
          <w:i/>
          <w:iCs/>
          <w:vertAlign w:val="subscript"/>
        </w:rPr>
        <w:t>,m,t</w:t>
      </w:r>
      <w:proofErr w:type="spellEnd"/>
      <w:r w:rsidR="00ED4DE4">
        <w:rPr>
          <w:b w:val="0"/>
          <w:bCs/>
        </w:rPr>
        <w:t>.</w:t>
      </w:r>
    </w:p>
    <w:p w14:paraId="35972070" w14:textId="51316549" w:rsidR="00130632" w:rsidRPr="00B528B3" w:rsidRDefault="00220230" w:rsidP="00CE2455">
      <w:r w:rsidRPr="00090953">
        <w:t xml:space="preserve">Con este objetivo, desde </w:t>
      </w:r>
      <w:r>
        <w:t>el mes de inicio de aplicación</w:t>
      </w:r>
      <w:r w:rsidRPr="00090953">
        <w:t xml:space="preserve"> de esta resolución y </w:t>
      </w:r>
      <w:r>
        <w:t>durante doce meses</w:t>
      </w:r>
      <w:r w:rsidRPr="00090953">
        <w:t xml:space="preserve">, </w:t>
      </w:r>
      <w:r>
        <w:t>a</w:t>
      </w:r>
      <w:r w:rsidRPr="00090953">
        <w:t xml:space="preserve">l resultado de la fórmula definida en el numeral 1.1.5 del anexo </w:t>
      </w:r>
      <w:r>
        <w:t xml:space="preserve">general </w:t>
      </w:r>
      <w:r w:rsidRPr="00090953">
        <w:t xml:space="preserve">de la Resolución CREG 015 de 2018 se </w:t>
      </w:r>
      <w:r>
        <w:t xml:space="preserve">le adicionará el valor que resulte de dividir entre 12 la suma de los </w:t>
      </w:r>
      <w:proofErr w:type="spellStart"/>
      <w:proofErr w:type="gramStart"/>
      <w:r w:rsidRPr="00090953">
        <w:rPr>
          <w:i/>
          <w:iCs/>
        </w:rPr>
        <w:t>Dtcs</w:t>
      </w:r>
      <w:r w:rsidRPr="00090953">
        <w:rPr>
          <w:i/>
          <w:iCs/>
          <w:vertAlign w:val="subscript"/>
        </w:rPr>
        <w:t>n,j</w:t>
      </w:r>
      <w:proofErr w:type="gramEnd"/>
      <w:r w:rsidRPr="00090953">
        <w:rPr>
          <w:i/>
          <w:iCs/>
          <w:vertAlign w:val="subscript"/>
        </w:rPr>
        <w:t>,m,t</w:t>
      </w:r>
      <w:proofErr w:type="spellEnd"/>
      <w:r>
        <w:t xml:space="preserve"> correspondientes a los meses que transcurran </w:t>
      </w:r>
      <w:r w:rsidRPr="00090953">
        <w:t>entre el 31 de marzo de 202</w:t>
      </w:r>
      <w:r>
        <w:t xml:space="preserve">0 y </w:t>
      </w:r>
      <w:r w:rsidRPr="00090953">
        <w:t xml:space="preserve">el último día calendario del mes anterior al de </w:t>
      </w:r>
      <w:r w:rsidR="00DB5696">
        <w:t>inicio de aplicación</w:t>
      </w:r>
      <w:r w:rsidR="00DB5696" w:rsidRPr="00090953">
        <w:t xml:space="preserve"> </w:t>
      </w:r>
      <w:r w:rsidRPr="00090953">
        <w:t>de la presente resolución.</w:t>
      </w:r>
    </w:p>
    <w:bookmarkEnd w:id="6"/>
    <w:p w14:paraId="2AC4BD28" w14:textId="58410913" w:rsidR="008A2883" w:rsidRPr="0019345E" w:rsidRDefault="008A2883" w:rsidP="0023041A">
      <w:pPr>
        <w:pStyle w:val="Artculo"/>
        <w:spacing w:before="360"/>
        <w:ind w:left="0"/>
        <w:rPr>
          <w:b w:val="0"/>
        </w:rPr>
      </w:pPr>
      <w:r w:rsidRPr="0019345E">
        <w:rPr>
          <w:b w:val="0"/>
        </w:rPr>
        <w:t xml:space="preserve">La presente </w:t>
      </w:r>
      <w:r w:rsidR="00A2249B">
        <w:rPr>
          <w:b w:val="0"/>
        </w:rPr>
        <w:t>r</w:t>
      </w:r>
      <w:r w:rsidRPr="0019345E">
        <w:rPr>
          <w:b w:val="0"/>
        </w:rPr>
        <w:t xml:space="preserve">esolución deberá notificarse a la Empresa de Energía de </w:t>
      </w:r>
      <w:r>
        <w:rPr>
          <w:b w:val="0"/>
        </w:rPr>
        <w:t xml:space="preserve">Boyacá </w:t>
      </w:r>
      <w:r w:rsidRPr="0019345E">
        <w:rPr>
          <w:b w:val="0"/>
        </w:rPr>
        <w:t>S.A. E.S.P.</w:t>
      </w:r>
      <w:r w:rsidR="00EF4497">
        <w:rPr>
          <w:b w:val="0"/>
        </w:rPr>
        <w:t xml:space="preserve"> y a la empresa Diaco S.A.,</w:t>
      </w:r>
      <w:r w:rsidRPr="0019345E">
        <w:rPr>
          <w:b w:val="0"/>
        </w:rPr>
        <w:t xml:space="preserve"> y publicarse en el </w:t>
      </w:r>
      <w:r w:rsidRPr="0019345E">
        <w:rPr>
          <w:b w:val="0"/>
          <w:i/>
        </w:rPr>
        <w:t>Diario Oficial</w:t>
      </w:r>
      <w:r w:rsidRPr="0019345E">
        <w:rPr>
          <w:b w:val="0"/>
        </w:rPr>
        <w:t xml:space="preserve">. Contra lo dispuesto en este acto no procede </w:t>
      </w:r>
      <w:r w:rsidRPr="0019345E">
        <w:rPr>
          <w:b w:val="0"/>
          <w:bCs/>
          <w:lang w:val="es-CO"/>
        </w:rPr>
        <w:t>recurso alguno, toda vez que se entienden agotados todos los recursos que por ley son obligatorios.</w:t>
      </w: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7D01B9DA" w14:textId="77777777" w:rsidR="008B64FE" w:rsidRDefault="008B64FE" w:rsidP="007C127E"/>
    <w:p w14:paraId="6AA84D0C" w14:textId="0E1CAC11" w:rsidR="007C127E" w:rsidRPr="00BF69C9" w:rsidRDefault="003343FE" w:rsidP="007C127E">
      <w:r w:rsidRPr="00BF69C9">
        <w:t xml:space="preserve">Dado en Bogotá D.C., </w:t>
      </w:r>
      <w:r w:rsidR="008B64FE" w:rsidRPr="008B64FE">
        <w:rPr>
          <w:b/>
          <w:bCs/>
        </w:rPr>
        <w:t>12 JUN. 2020</w:t>
      </w:r>
      <w:r w:rsidR="008B64FE">
        <w:t xml:space="preserve"> </w:t>
      </w:r>
    </w:p>
    <w:p w14:paraId="1315BF01" w14:textId="4643CA72" w:rsidR="003343FE" w:rsidRDefault="003343FE" w:rsidP="007C127E"/>
    <w:p w14:paraId="31BA40C5" w14:textId="77777777" w:rsidR="008B64FE" w:rsidRPr="00BF69C9" w:rsidRDefault="008B64FE" w:rsidP="007C127E"/>
    <w:p w14:paraId="444D55B7" w14:textId="77777777"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950BFC" w:rsidRPr="00BF69C9" w14:paraId="0364671F" w14:textId="77777777" w:rsidTr="00222A56">
        <w:trPr>
          <w:tblCellSpacing w:w="0" w:type="dxa"/>
          <w:jc w:val="center"/>
        </w:trPr>
        <w:tc>
          <w:tcPr>
            <w:tcW w:w="4820" w:type="dxa"/>
          </w:tcPr>
          <w:p w14:paraId="65DE2AD7"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678" w:type="dxa"/>
          </w:tcPr>
          <w:p w14:paraId="171E6063" w14:textId="4B4346F1" w:rsidR="00950BFC" w:rsidRPr="00BF69C9" w:rsidRDefault="00842BD5" w:rsidP="00DE7B7E">
            <w:pPr>
              <w:spacing w:before="0" w:after="0"/>
              <w:ind w:left="69"/>
              <w:jc w:val="center"/>
              <w:rPr>
                <w:rFonts w:cs="Arial"/>
                <w:b/>
              </w:rPr>
            </w:pPr>
            <w:r>
              <w:rPr>
                <w:rFonts w:cs="Arial"/>
                <w:b/>
              </w:rPr>
              <w:t>JORGE ALBERTO VALENCIA MARÍN</w:t>
            </w:r>
          </w:p>
        </w:tc>
      </w:tr>
      <w:tr w:rsidR="00950BFC" w:rsidRPr="00BF69C9" w14:paraId="2768DC86" w14:textId="77777777" w:rsidTr="00222A56">
        <w:trPr>
          <w:tblCellSpacing w:w="0" w:type="dxa"/>
          <w:jc w:val="center"/>
        </w:trPr>
        <w:tc>
          <w:tcPr>
            <w:tcW w:w="4820" w:type="dxa"/>
            <w:hideMark/>
          </w:tcPr>
          <w:p w14:paraId="3DD4C9BB" w14:textId="77777777" w:rsidR="00950BFC" w:rsidRPr="00BF69C9" w:rsidRDefault="00950BFC" w:rsidP="00894B89">
            <w:pPr>
              <w:spacing w:before="0" w:after="0"/>
              <w:ind w:left="66"/>
              <w:jc w:val="center"/>
              <w:rPr>
                <w:rFonts w:eastAsia="Arial Unicode MS" w:cs="Arial"/>
                <w:color w:val="000000"/>
              </w:rPr>
            </w:pPr>
            <w:r w:rsidRPr="00BF69C9">
              <w:rPr>
                <w:rFonts w:cs="Arial"/>
              </w:rPr>
              <w:t xml:space="preserve">Viceministro de Energía, delegado de la </w:t>
            </w:r>
            <w:proofErr w:type="gramStart"/>
            <w:r w:rsidRPr="00BF69C9">
              <w:rPr>
                <w:rFonts w:cs="Arial"/>
              </w:rPr>
              <w:t>Ministra</w:t>
            </w:r>
            <w:proofErr w:type="gramEnd"/>
            <w:r w:rsidRPr="00BF69C9">
              <w:rPr>
                <w:rFonts w:cs="Arial"/>
              </w:rPr>
              <w:t xml:space="preserve"> de Minas y Energía</w:t>
            </w:r>
          </w:p>
        </w:tc>
        <w:tc>
          <w:tcPr>
            <w:tcW w:w="4678"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222A56">
        <w:trPr>
          <w:tblCellSpacing w:w="0" w:type="dxa"/>
          <w:jc w:val="center"/>
        </w:trPr>
        <w:tc>
          <w:tcPr>
            <w:tcW w:w="4820"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8"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1B7802A7" w14:textId="77777777" w:rsidR="007C127E" w:rsidRPr="00CF2A2D" w:rsidRDefault="007C127E" w:rsidP="00B43325">
      <w:pPr>
        <w:ind w:left="2127" w:right="425" w:hanging="1418"/>
        <w:rPr>
          <w:i/>
        </w:rPr>
      </w:pPr>
    </w:p>
    <w:sectPr w:rsidR="007C127E" w:rsidRPr="00CF2A2D" w:rsidSect="008B64FE">
      <w:headerReference w:type="default" r:id="rId14"/>
      <w:headerReference w:type="first" r:id="rId15"/>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DFC9F" w14:textId="77777777" w:rsidR="00EF579B" w:rsidRDefault="00EF579B">
      <w:r>
        <w:separator/>
      </w:r>
    </w:p>
    <w:p w14:paraId="44411303" w14:textId="77777777" w:rsidR="00EF579B" w:rsidRDefault="00EF579B"/>
    <w:p w14:paraId="0F833D39" w14:textId="77777777" w:rsidR="00EF579B" w:rsidRDefault="00EF579B" w:rsidP="00C851C0"/>
  </w:endnote>
  <w:endnote w:type="continuationSeparator" w:id="0">
    <w:p w14:paraId="2FDC532F" w14:textId="77777777" w:rsidR="00EF579B" w:rsidRDefault="00EF579B">
      <w:r>
        <w:continuationSeparator/>
      </w:r>
    </w:p>
    <w:p w14:paraId="32700865" w14:textId="77777777" w:rsidR="00EF579B" w:rsidRDefault="00EF579B"/>
    <w:p w14:paraId="0EFEC7C3" w14:textId="77777777" w:rsidR="00EF579B" w:rsidRDefault="00EF579B" w:rsidP="00C851C0"/>
  </w:endnote>
  <w:endnote w:type="continuationNotice" w:id="1">
    <w:p w14:paraId="0A878DA5" w14:textId="77777777" w:rsidR="00EF579B" w:rsidRDefault="00EF57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01A4" w14:textId="77777777" w:rsidR="00EF579B" w:rsidRDefault="00EF579B">
      <w:r>
        <w:separator/>
      </w:r>
    </w:p>
    <w:p w14:paraId="185AB67D" w14:textId="77777777" w:rsidR="00EF579B" w:rsidRDefault="00EF579B"/>
    <w:p w14:paraId="6B179EF1" w14:textId="77777777" w:rsidR="00EF579B" w:rsidRDefault="00EF579B" w:rsidP="00C851C0"/>
  </w:footnote>
  <w:footnote w:type="continuationSeparator" w:id="0">
    <w:p w14:paraId="2AFC71D5" w14:textId="77777777" w:rsidR="00EF579B" w:rsidRDefault="00EF579B">
      <w:r>
        <w:continuationSeparator/>
      </w:r>
    </w:p>
    <w:p w14:paraId="31A7B4C6" w14:textId="77777777" w:rsidR="00EF579B" w:rsidRDefault="00EF579B"/>
    <w:p w14:paraId="09CED2D8" w14:textId="77777777" w:rsidR="00EF579B" w:rsidRDefault="00EF579B" w:rsidP="00C851C0"/>
  </w:footnote>
  <w:footnote w:type="continuationNotice" w:id="1">
    <w:p w14:paraId="3EB0F702" w14:textId="77777777" w:rsidR="00EF579B" w:rsidRDefault="00EF57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D277" w14:textId="05AB20AE" w:rsidR="004D2D7F" w:rsidRPr="002560C5" w:rsidRDefault="004D2D7F"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8B64FE">
      <w:rPr>
        <w:rFonts w:cs="Arial"/>
        <w:b w:val="0"/>
        <w:szCs w:val="24"/>
      </w:rPr>
      <w:t>.</w:t>
    </w:r>
    <w:r w:rsidRPr="008B64FE">
      <w:rPr>
        <w:rFonts w:cs="Arial"/>
        <w:bCs/>
        <w:szCs w:val="24"/>
        <w:u w:val="single"/>
      </w:rPr>
      <w:t xml:space="preserve">  119</w:t>
    </w:r>
    <w:r w:rsidRPr="008B64FE">
      <w:rPr>
        <w:rFonts w:cs="Arial"/>
        <w:b w:val="0"/>
        <w:sz w:val="22"/>
        <w:szCs w:val="22"/>
        <w:u w:val="single"/>
      </w:rPr>
      <w:t xml:space="preserve">   </w:t>
    </w:r>
    <w:r>
      <w:rPr>
        <w:rFonts w:cs="Arial"/>
        <w:b w:val="0"/>
        <w:sz w:val="22"/>
        <w:szCs w:val="22"/>
      </w:rPr>
      <w:t xml:space="preserve">  </w:t>
    </w:r>
    <w:r w:rsidRPr="002560C5">
      <w:rPr>
        <w:rFonts w:cs="Arial"/>
        <w:b w:val="0"/>
        <w:sz w:val="22"/>
        <w:szCs w:val="22"/>
      </w:rPr>
      <w:tab/>
      <w:t xml:space="preserve">DE </w:t>
    </w:r>
    <w:r>
      <w:rPr>
        <w:rFonts w:cs="Arial"/>
        <w:b w:val="0"/>
        <w:sz w:val="22"/>
        <w:szCs w:val="22"/>
      </w:rPr>
      <w:t xml:space="preserve">   </w:t>
    </w:r>
    <w:r w:rsidRPr="008B64FE">
      <w:rPr>
        <w:rFonts w:cs="Arial"/>
        <w:bCs/>
        <w:szCs w:val="24"/>
        <w:u w:val="single"/>
      </w:rPr>
      <w:t>12 JUN. 2020</w:t>
    </w:r>
    <w:r>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3</w:t>
    </w:r>
    <w:r w:rsidRPr="002560C5">
      <w:rPr>
        <w:rFonts w:cs="Arial"/>
        <w:b w:val="0"/>
        <w:sz w:val="22"/>
        <w:szCs w:val="22"/>
      </w:rPr>
      <w:fldChar w:fldCharType="end"/>
    </w:r>
    <w:r w:rsidRPr="002560C5">
      <w:rPr>
        <w:rFonts w:cs="Arial"/>
        <w:b w:val="0"/>
        <w:sz w:val="22"/>
        <w:szCs w:val="22"/>
      </w:rPr>
      <w:t>/</w:t>
    </w:r>
    <w:r w:rsidR="008834A0">
      <w:fldChar w:fldCharType="begin"/>
    </w:r>
    <w:r w:rsidR="008834A0">
      <w:instrText xml:space="preserve"> NUMPAGES  \* MERGEFORMAT </w:instrText>
    </w:r>
    <w:r w:rsidR="008834A0">
      <w:fldChar w:fldCharType="separate"/>
    </w:r>
    <w:r w:rsidRPr="007E6C4A">
      <w:rPr>
        <w:rFonts w:cs="Arial"/>
        <w:b w:val="0"/>
        <w:noProof/>
        <w:sz w:val="22"/>
        <w:szCs w:val="22"/>
      </w:rPr>
      <w:t>7</w:t>
    </w:r>
    <w:r w:rsidR="008834A0">
      <w:rPr>
        <w:rFonts w:cs="Arial"/>
        <w:b w:val="0"/>
        <w:noProof/>
        <w:sz w:val="22"/>
        <w:szCs w:val="22"/>
      </w:rPr>
      <w:fldChar w:fldCharType="end"/>
    </w:r>
  </w:p>
  <w:p w14:paraId="5EEBDD92" w14:textId="77777777" w:rsidR="004D2D7F" w:rsidRDefault="004D2D7F"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2425596"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77DDFEBF" w14:textId="4B233881" w:rsidR="004D2D7F" w:rsidRDefault="004D2D7F" w:rsidP="002B46B7">
    <w:pPr>
      <w:pBdr>
        <w:bottom w:val="single" w:sz="4" w:space="1" w:color="auto"/>
      </w:pBdr>
      <w:spacing w:before="0" w:after="0"/>
      <w:rPr>
        <w:sz w:val="20"/>
        <w:szCs w:val="20"/>
      </w:rPr>
    </w:pPr>
    <w:r w:rsidRPr="008B64FE">
      <w:rPr>
        <w:sz w:val="22"/>
        <w:szCs w:val="22"/>
      </w:rPr>
      <w:t>Por la cual se resuelven los recursos de reposición interpuestos contra la Resolución CREG 177 de 2019 que aprobó las variables requeridas para calcular los ingresos de la actividad de distribución de energía eléctrica de la Empresa de Energía de Boyacá S.A. E.S.P</w:t>
    </w:r>
    <w:r w:rsidRPr="00A335FF">
      <w:rPr>
        <w:sz w:val="20"/>
        <w:szCs w:val="20"/>
      </w:rPr>
      <w:t>.</w:t>
    </w:r>
  </w:p>
  <w:p w14:paraId="29F2E879" w14:textId="325704EB" w:rsidR="004D2D7F" w:rsidRPr="002B46B7" w:rsidRDefault="004D2D7F" w:rsidP="002B46B7">
    <w:pPr>
      <w:spacing w:before="0"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2E89" w14:textId="77777777" w:rsidR="004D2D7F" w:rsidRDefault="004D2D7F"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4D2D7F" w:rsidRDefault="004D2D7F">
    <w:pPr>
      <w:pStyle w:val="Encabezado"/>
      <w:jc w:val="center"/>
      <w:rPr>
        <w:rFonts w:ascii="Arial" w:hAnsi="Arial" w:cs="Arial"/>
        <w:spacing w:val="20"/>
        <w:sz w:val="20"/>
      </w:rPr>
    </w:pPr>
  </w:p>
  <w:p w14:paraId="1A5CD802" w14:textId="77777777" w:rsidR="004D2D7F" w:rsidRDefault="004D2D7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F90E26D"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6853DE"/>
    <w:multiLevelType w:val="hybridMultilevel"/>
    <w:tmpl w:val="81A64FF0"/>
    <w:lvl w:ilvl="0" w:tplc="B76C1F0E">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232442"/>
    <w:multiLevelType w:val="hybridMultilevel"/>
    <w:tmpl w:val="0FC2E4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71F30B1"/>
    <w:multiLevelType w:val="hybridMultilevel"/>
    <w:tmpl w:val="58145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9"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A93FE9"/>
    <w:multiLevelType w:val="hybridMultilevel"/>
    <w:tmpl w:val="B7F0E148"/>
    <w:lvl w:ilvl="0" w:tplc="F5542B3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7EA50BC"/>
    <w:multiLevelType w:val="hybridMultilevel"/>
    <w:tmpl w:val="08946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6B0B3D"/>
    <w:multiLevelType w:val="hybridMultilevel"/>
    <w:tmpl w:val="855220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5E1128"/>
    <w:multiLevelType w:val="hybridMultilevel"/>
    <w:tmpl w:val="FD46104E"/>
    <w:lvl w:ilvl="0" w:tplc="41FEFC8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5" w15:restartNumberingAfterBreak="0">
    <w:nsid w:val="4F471EEB"/>
    <w:multiLevelType w:val="multilevel"/>
    <w:tmpl w:val="7F48610C"/>
    <w:name w:val="Nueva lista 3"/>
    <w:lvl w:ilvl="0">
      <w:start w:val="1"/>
      <w:numFmt w:val="decimal"/>
      <w:pStyle w:val="Artculo"/>
      <w:suff w:val="space"/>
      <w:lvlText w:val="Artículo %1."/>
      <w:lvlJc w:val="left"/>
      <w:pPr>
        <w:ind w:left="142"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1CD7EDD"/>
    <w:multiLevelType w:val="hybridMultilevel"/>
    <w:tmpl w:val="6664666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53203447"/>
    <w:multiLevelType w:val="hybridMultilevel"/>
    <w:tmpl w:val="D07812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A304DC"/>
    <w:multiLevelType w:val="hybridMultilevel"/>
    <w:tmpl w:val="9CCE2A8E"/>
    <w:lvl w:ilvl="0" w:tplc="476EAA52">
      <w:start w:val="14"/>
      <w:numFmt w:val="bullet"/>
      <w:lvlText w:val="-"/>
      <w:lvlJc w:val="left"/>
      <w:pPr>
        <w:ind w:left="720" w:hanging="360"/>
      </w:pPr>
      <w:rPr>
        <w:rFonts w:ascii="Bookman Old Style" w:eastAsiaTheme="minorHAnsi" w:hAnsi="Bookman Old Sty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C14336D"/>
    <w:multiLevelType w:val="hybridMultilevel"/>
    <w:tmpl w:val="4FA618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E52444B"/>
    <w:multiLevelType w:val="hybridMultilevel"/>
    <w:tmpl w:val="6136A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61208C"/>
    <w:multiLevelType w:val="hybridMultilevel"/>
    <w:tmpl w:val="292CEC4E"/>
    <w:lvl w:ilvl="0" w:tplc="3182BD6A">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669B06A2"/>
    <w:multiLevelType w:val="hybridMultilevel"/>
    <w:tmpl w:val="C01A3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4F3830"/>
    <w:multiLevelType w:val="hybridMultilevel"/>
    <w:tmpl w:val="B30A368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8"/>
  </w:num>
  <w:num w:numId="3">
    <w:abstractNumId w:val="20"/>
  </w:num>
  <w:num w:numId="4">
    <w:abstractNumId w:val="15"/>
  </w:num>
  <w:num w:numId="5">
    <w:abstractNumId w:val="25"/>
  </w:num>
  <w:num w:numId="6">
    <w:abstractNumId w:val="5"/>
  </w:num>
  <w:num w:numId="7">
    <w:abstractNumId w:val="9"/>
  </w:num>
  <w:num w:numId="8">
    <w:abstractNumId w:val="26"/>
  </w:num>
  <w:num w:numId="9">
    <w:abstractNumId w:val="2"/>
  </w:num>
  <w:num w:numId="10">
    <w:abstractNumId w:val="21"/>
  </w:num>
  <w:num w:numId="11">
    <w:abstractNumId w:val="16"/>
  </w:num>
  <w:num w:numId="12">
    <w:abstractNumId w:val="3"/>
  </w:num>
  <w:num w:numId="13">
    <w:abstractNumId w:val="11"/>
  </w:num>
  <w:num w:numId="14">
    <w:abstractNumId w:val="19"/>
  </w:num>
  <w:num w:numId="15">
    <w:abstractNumId w:val="25"/>
  </w:num>
  <w:num w:numId="16">
    <w:abstractNumId w:val="25"/>
  </w:num>
  <w:num w:numId="17">
    <w:abstractNumId w:val="25"/>
  </w:num>
  <w:num w:numId="18">
    <w:abstractNumId w:val="25"/>
  </w:num>
  <w:num w:numId="19">
    <w:abstractNumId w:val="6"/>
  </w:num>
  <w:num w:numId="20">
    <w:abstractNumId w:val="13"/>
  </w:num>
  <w:num w:numId="21">
    <w:abstractNumId w:val="22"/>
  </w:num>
  <w:num w:numId="22">
    <w:abstractNumId w:val="27"/>
  </w:num>
  <w:num w:numId="23">
    <w:abstractNumId w:val="17"/>
  </w:num>
  <w:num w:numId="24">
    <w:abstractNumId w:val="23"/>
  </w:num>
  <w:num w:numId="25">
    <w:abstractNumId w:val="10"/>
  </w:num>
  <w:num w:numId="26">
    <w:abstractNumId w:val="18"/>
  </w:num>
  <w:num w:numId="27">
    <w:abstractNumId w:val="4"/>
  </w:num>
  <w:num w:numId="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363"/>
    <w:rsid w:val="000014A8"/>
    <w:rsid w:val="0000191D"/>
    <w:rsid w:val="0000215F"/>
    <w:rsid w:val="00003049"/>
    <w:rsid w:val="00004906"/>
    <w:rsid w:val="00005326"/>
    <w:rsid w:val="000056FB"/>
    <w:rsid w:val="00006585"/>
    <w:rsid w:val="00006AE2"/>
    <w:rsid w:val="00006EF5"/>
    <w:rsid w:val="000076A1"/>
    <w:rsid w:val="00010E4C"/>
    <w:rsid w:val="0001209B"/>
    <w:rsid w:val="00012259"/>
    <w:rsid w:val="00012D6A"/>
    <w:rsid w:val="0001368F"/>
    <w:rsid w:val="00015E99"/>
    <w:rsid w:val="00015F4C"/>
    <w:rsid w:val="000168CF"/>
    <w:rsid w:val="00016B85"/>
    <w:rsid w:val="00017396"/>
    <w:rsid w:val="00020389"/>
    <w:rsid w:val="000203BE"/>
    <w:rsid w:val="0002117B"/>
    <w:rsid w:val="00022832"/>
    <w:rsid w:val="00023841"/>
    <w:rsid w:val="00024EEB"/>
    <w:rsid w:val="00025383"/>
    <w:rsid w:val="00025D05"/>
    <w:rsid w:val="000268D6"/>
    <w:rsid w:val="00027C0A"/>
    <w:rsid w:val="00027C0E"/>
    <w:rsid w:val="00032C8E"/>
    <w:rsid w:val="00034669"/>
    <w:rsid w:val="00034F3C"/>
    <w:rsid w:val="00034F65"/>
    <w:rsid w:val="0003547A"/>
    <w:rsid w:val="0003568E"/>
    <w:rsid w:val="000356FD"/>
    <w:rsid w:val="0003695A"/>
    <w:rsid w:val="00040250"/>
    <w:rsid w:val="00042A98"/>
    <w:rsid w:val="000432E2"/>
    <w:rsid w:val="0004434B"/>
    <w:rsid w:val="000446EC"/>
    <w:rsid w:val="00045094"/>
    <w:rsid w:val="00045D3D"/>
    <w:rsid w:val="0005171B"/>
    <w:rsid w:val="00051D1F"/>
    <w:rsid w:val="000530CD"/>
    <w:rsid w:val="00053BE6"/>
    <w:rsid w:val="00055984"/>
    <w:rsid w:val="00056ECE"/>
    <w:rsid w:val="0005705F"/>
    <w:rsid w:val="0005740C"/>
    <w:rsid w:val="00057D60"/>
    <w:rsid w:val="00063454"/>
    <w:rsid w:val="00063657"/>
    <w:rsid w:val="00063D1D"/>
    <w:rsid w:val="00071482"/>
    <w:rsid w:val="000718BC"/>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58CD"/>
    <w:rsid w:val="00086868"/>
    <w:rsid w:val="0008751B"/>
    <w:rsid w:val="0008776A"/>
    <w:rsid w:val="0009104E"/>
    <w:rsid w:val="0009196C"/>
    <w:rsid w:val="00091CDB"/>
    <w:rsid w:val="000934AA"/>
    <w:rsid w:val="00095EA2"/>
    <w:rsid w:val="000A11FA"/>
    <w:rsid w:val="000A1319"/>
    <w:rsid w:val="000A15B2"/>
    <w:rsid w:val="000A19AC"/>
    <w:rsid w:val="000A38CC"/>
    <w:rsid w:val="000A4691"/>
    <w:rsid w:val="000B20EF"/>
    <w:rsid w:val="000B2EC9"/>
    <w:rsid w:val="000B3688"/>
    <w:rsid w:val="000B511C"/>
    <w:rsid w:val="000B65BD"/>
    <w:rsid w:val="000B7990"/>
    <w:rsid w:val="000C06AF"/>
    <w:rsid w:val="000C1951"/>
    <w:rsid w:val="000C1DE0"/>
    <w:rsid w:val="000C266A"/>
    <w:rsid w:val="000C5DF4"/>
    <w:rsid w:val="000C60CC"/>
    <w:rsid w:val="000C64D6"/>
    <w:rsid w:val="000C6881"/>
    <w:rsid w:val="000C743D"/>
    <w:rsid w:val="000C784A"/>
    <w:rsid w:val="000D08E3"/>
    <w:rsid w:val="000D09C2"/>
    <w:rsid w:val="000D1E36"/>
    <w:rsid w:val="000D26F8"/>
    <w:rsid w:val="000D2A00"/>
    <w:rsid w:val="000D35DA"/>
    <w:rsid w:val="000D3656"/>
    <w:rsid w:val="000D36AF"/>
    <w:rsid w:val="000D3884"/>
    <w:rsid w:val="000D3FC2"/>
    <w:rsid w:val="000D5201"/>
    <w:rsid w:val="000D5A4E"/>
    <w:rsid w:val="000D5B0D"/>
    <w:rsid w:val="000D5C79"/>
    <w:rsid w:val="000E2A42"/>
    <w:rsid w:val="000E3D26"/>
    <w:rsid w:val="000E53CD"/>
    <w:rsid w:val="000E7F3C"/>
    <w:rsid w:val="000F30B5"/>
    <w:rsid w:val="000F3A75"/>
    <w:rsid w:val="000F4463"/>
    <w:rsid w:val="000F47C4"/>
    <w:rsid w:val="000F5392"/>
    <w:rsid w:val="000F563E"/>
    <w:rsid w:val="000F68AA"/>
    <w:rsid w:val="000F7AE9"/>
    <w:rsid w:val="000F7C81"/>
    <w:rsid w:val="001006E8"/>
    <w:rsid w:val="0010087D"/>
    <w:rsid w:val="0010101F"/>
    <w:rsid w:val="00101F35"/>
    <w:rsid w:val="0010333D"/>
    <w:rsid w:val="00105E02"/>
    <w:rsid w:val="0010658E"/>
    <w:rsid w:val="00106654"/>
    <w:rsid w:val="001067D3"/>
    <w:rsid w:val="00110153"/>
    <w:rsid w:val="001106AF"/>
    <w:rsid w:val="00111B3C"/>
    <w:rsid w:val="001129C7"/>
    <w:rsid w:val="00112F16"/>
    <w:rsid w:val="00114298"/>
    <w:rsid w:val="001147FF"/>
    <w:rsid w:val="00115E10"/>
    <w:rsid w:val="001177E6"/>
    <w:rsid w:val="0012205D"/>
    <w:rsid w:val="001226B9"/>
    <w:rsid w:val="00126B7F"/>
    <w:rsid w:val="001271FF"/>
    <w:rsid w:val="0012783F"/>
    <w:rsid w:val="00130632"/>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1F0"/>
    <w:rsid w:val="00145736"/>
    <w:rsid w:val="001459D6"/>
    <w:rsid w:val="00145C66"/>
    <w:rsid w:val="001478B5"/>
    <w:rsid w:val="00151239"/>
    <w:rsid w:val="00151A0F"/>
    <w:rsid w:val="0015228B"/>
    <w:rsid w:val="00152D9A"/>
    <w:rsid w:val="00152E0C"/>
    <w:rsid w:val="0015338C"/>
    <w:rsid w:val="001541F3"/>
    <w:rsid w:val="00154D0C"/>
    <w:rsid w:val="0015510A"/>
    <w:rsid w:val="00155E7D"/>
    <w:rsid w:val="001560A7"/>
    <w:rsid w:val="00157B49"/>
    <w:rsid w:val="00160BCF"/>
    <w:rsid w:val="00161084"/>
    <w:rsid w:val="001638D4"/>
    <w:rsid w:val="00164E00"/>
    <w:rsid w:val="00166AA9"/>
    <w:rsid w:val="00166B53"/>
    <w:rsid w:val="0016742B"/>
    <w:rsid w:val="001710F9"/>
    <w:rsid w:val="00171B59"/>
    <w:rsid w:val="001721C6"/>
    <w:rsid w:val="001762DD"/>
    <w:rsid w:val="00177652"/>
    <w:rsid w:val="001778BC"/>
    <w:rsid w:val="00177D48"/>
    <w:rsid w:val="00181117"/>
    <w:rsid w:val="0018166A"/>
    <w:rsid w:val="0018241F"/>
    <w:rsid w:val="001827DF"/>
    <w:rsid w:val="00184170"/>
    <w:rsid w:val="00185F79"/>
    <w:rsid w:val="001876F9"/>
    <w:rsid w:val="00190C2D"/>
    <w:rsid w:val="0019243F"/>
    <w:rsid w:val="0019255A"/>
    <w:rsid w:val="00192CBF"/>
    <w:rsid w:val="00192FF1"/>
    <w:rsid w:val="00194947"/>
    <w:rsid w:val="001949D2"/>
    <w:rsid w:val="00194C52"/>
    <w:rsid w:val="00194CF7"/>
    <w:rsid w:val="0019667F"/>
    <w:rsid w:val="00196D8C"/>
    <w:rsid w:val="00197EB5"/>
    <w:rsid w:val="00197F32"/>
    <w:rsid w:val="001A066D"/>
    <w:rsid w:val="001A1422"/>
    <w:rsid w:val="001A1C92"/>
    <w:rsid w:val="001A24B1"/>
    <w:rsid w:val="001A2B6E"/>
    <w:rsid w:val="001A3643"/>
    <w:rsid w:val="001A39D5"/>
    <w:rsid w:val="001A44FC"/>
    <w:rsid w:val="001A4D7D"/>
    <w:rsid w:val="001A5F1B"/>
    <w:rsid w:val="001A6488"/>
    <w:rsid w:val="001A6E91"/>
    <w:rsid w:val="001A7613"/>
    <w:rsid w:val="001B03F7"/>
    <w:rsid w:val="001B05A4"/>
    <w:rsid w:val="001B07BA"/>
    <w:rsid w:val="001B1689"/>
    <w:rsid w:val="001B17F4"/>
    <w:rsid w:val="001B1C22"/>
    <w:rsid w:val="001B25DC"/>
    <w:rsid w:val="001B3456"/>
    <w:rsid w:val="001B34C6"/>
    <w:rsid w:val="001B6055"/>
    <w:rsid w:val="001B7111"/>
    <w:rsid w:val="001B7C07"/>
    <w:rsid w:val="001C0464"/>
    <w:rsid w:val="001C0C42"/>
    <w:rsid w:val="001C2018"/>
    <w:rsid w:val="001C36F4"/>
    <w:rsid w:val="001C3877"/>
    <w:rsid w:val="001C4A3C"/>
    <w:rsid w:val="001D0772"/>
    <w:rsid w:val="001D31E0"/>
    <w:rsid w:val="001D3333"/>
    <w:rsid w:val="001D516B"/>
    <w:rsid w:val="001D7832"/>
    <w:rsid w:val="001E3911"/>
    <w:rsid w:val="001E485E"/>
    <w:rsid w:val="001E692F"/>
    <w:rsid w:val="001E7348"/>
    <w:rsid w:val="001F2C5B"/>
    <w:rsid w:val="001F2FD8"/>
    <w:rsid w:val="001F3551"/>
    <w:rsid w:val="001F4256"/>
    <w:rsid w:val="001F5AFE"/>
    <w:rsid w:val="001F780F"/>
    <w:rsid w:val="002012D8"/>
    <w:rsid w:val="002015A0"/>
    <w:rsid w:val="002038CE"/>
    <w:rsid w:val="002039D6"/>
    <w:rsid w:val="00204D82"/>
    <w:rsid w:val="0020533E"/>
    <w:rsid w:val="00207D99"/>
    <w:rsid w:val="00210DC1"/>
    <w:rsid w:val="0021157A"/>
    <w:rsid w:val="00211D34"/>
    <w:rsid w:val="002126A9"/>
    <w:rsid w:val="0021304E"/>
    <w:rsid w:val="002133FA"/>
    <w:rsid w:val="00214328"/>
    <w:rsid w:val="00214F04"/>
    <w:rsid w:val="00217D47"/>
    <w:rsid w:val="00220230"/>
    <w:rsid w:val="00221B7B"/>
    <w:rsid w:val="00221BED"/>
    <w:rsid w:val="00222A56"/>
    <w:rsid w:val="00223E50"/>
    <w:rsid w:val="0022483E"/>
    <w:rsid w:val="0022498D"/>
    <w:rsid w:val="00224FC9"/>
    <w:rsid w:val="00226598"/>
    <w:rsid w:val="00227061"/>
    <w:rsid w:val="00227576"/>
    <w:rsid w:val="00227E1E"/>
    <w:rsid w:val="0023041A"/>
    <w:rsid w:val="00231D67"/>
    <w:rsid w:val="0023338E"/>
    <w:rsid w:val="00233E2E"/>
    <w:rsid w:val="00235105"/>
    <w:rsid w:val="002352B9"/>
    <w:rsid w:val="0023598E"/>
    <w:rsid w:val="0023621E"/>
    <w:rsid w:val="002367F5"/>
    <w:rsid w:val="00237EDC"/>
    <w:rsid w:val="00240640"/>
    <w:rsid w:val="00242A95"/>
    <w:rsid w:val="00242F2B"/>
    <w:rsid w:val="002436B9"/>
    <w:rsid w:val="00243A0A"/>
    <w:rsid w:val="002441CD"/>
    <w:rsid w:val="002444FF"/>
    <w:rsid w:val="00245E5D"/>
    <w:rsid w:val="0025252D"/>
    <w:rsid w:val="00254175"/>
    <w:rsid w:val="0025525F"/>
    <w:rsid w:val="00255960"/>
    <w:rsid w:val="002560C5"/>
    <w:rsid w:val="00256DBC"/>
    <w:rsid w:val="00256EA4"/>
    <w:rsid w:val="002571C8"/>
    <w:rsid w:val="002578B3"/>
    <w:rsid w:val="002579DC"/>
    <w:rsid w:val="00257A41"/>
    <w:rsid w:val="00257C59"/>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5F7E"/>
    <w:rsid w:val="00276059"/>
    <w:rsid w:val="0027649A"/>
    <w:rsid w:val="00280F65"/>
    <w:rsid w:val="00282191"/>
    <w:rsid w:val="002821BE"/>
    <w:rsid w:val="002836E2"/>
    <w:rsid w:val="0028662C"/>
    <w:rsid w:val="002903C0"/>
    <w:rsid w:val="002903D1"/>
    <w:rsid w:val="00291726"/>
    <w:rsid w:val="002922A7"/>
    <w:rsid w:val="00292FE9"/>
    <w:rsid w:val="00294898"/>
    <w:rsid w:val="00295857"/>
    <w:rsid w:val="00295ACD"/>
    <w:rsid w:val="0029698E"/>
    <w:rsid w:val="002A51EF"/>
    <w:rsid w:val="002A782A"/>
    <w:rsid w:val="002A7D62"/>
    <w:rsid w:val="002B11E2"/>
    <w:rsid w:val="002B1B4C"/>
    <w:rsid w:val="002B24B8"/>
    <w:rsid w:val="002B46B7"/>
    <w:rsid w:val="002B5E3C"/>
    <w:rsid w:val="002B71B1"/>
    <w:rsid w:val="002B798E"/>
    <w:rsid w:val="002C01FA"/>
    <w:rsid w:val="002C1CE8"/>
    <w:rsid w:val="002C3488"/>
    <w:rsid w:val="002C5023"/>
    <w:rsid w:val="002C5612"/>
    <w:rsid w:val="002C7252"/>
    <w:rsid w:val="002D12D7"/>
    <w:rsid w:val="002D3AE9"/>
    <w:rsid w:val="002D3CE7"/>
    <w:rsid w:val="002D4510"/>
    <w:rsid w:val="002D49C4"/>
    <w:rsid w:val="002D7D6C"/>
    <w:rsid w:val="002E09F5"/>
    <w:rsid w:val="002E1770"/>
    <w:rsid w:val="002E1AF2"/>
    <w:rsid w:val="002E1F65"/>
    <w:rsid w:val="002E4581"/>
    <w:rsid w:val="002E4ED6"/>
    <w:rsid w:val="002E635C"/>
    <w:rsid w:val="002E68A1"/>
    <w:rsid w:val="002E6A36"/>
    <w:rsid w:val="002E7997"/>
    <w:rsid w:val="002F026E"/>
    <w:rsid w:val="002F0734"/>
    <w:rsid w:val="002F1B65"/>
    <w:rsid w:val="002F22EB"/>
    <w:rsid w:val="002F3712"/>
    <w:rsid w:val="002F46E7"/>
    <w:rsid w:val="002F5958"/>
    <w:rsid w:val="002F72DB"/>
    <w:rsid w:val="002F75C0"/>
    <w:rsid w:val="002F7B19"/>
    <w:rsid w:val="003008A1"/>
    <w:rsid w:val="00302EFB"/>
    <w:rsid w:val="0030336F"/>
    <w:rsid w:val="003040BE"/>
    <w:rsid w:val="0030641B"/>
    <w:rsid w:val="003066B8"/>
    <w:rsid w:val="00306F7F"/>
    <w:rsid w:val="00307625"/>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1D92"/>
    <w:rsid w:val="0032714E"/>
    <w:rsid w:val="00327412"/>
    <w:rsid w:val="00327443"/>
    <w:rsid w:val="00330E17"/>
    <w:rsid w:val="00331C8C"/>
    <w:rsid w:val="003343C8"/>
    <w:rsid w:val="003343FE"/>
    <w:rsid w:val="003344C3"/>
    <w:rsid w:val="0033564E"/>
    <w:rsid w:val="00335EAC"/>
    <w:rsid w:val="0033715F"/>
    <w:rsid w:val="003373A2"/>
    <w:rsid w:val="00337C84"/>
    <w:rsid w:val="00340FAB"/>
    <w:rsid w:val="00341928"/>
    <w:rsid w:val="00341BF1"/>
    <w:rsid w:val="003473A2"/>
    <w:rsid w:val="00350A8C"/>
    <w:rsid w:val="00350DE4"/>
    <w:rsid w:val="00351E6B"/>
    <w:rsid w:val="003527C9"/>
    <w:rsid w:val="00352C2F"/>
    <w:rsid w:val="0035403A"/>
    <w:rsid w:val="00361EF5"/>
    <w:rsid w:val="0036353C"/>
    <w:rsid w:val="0036394B"/>
    <w:rsid w:val="003650A6"/>
    <w:rsid w:val="0036631F"/>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A86"/>
    <w:rsid w:val="0037710B"/>
    <w:rsid w:val="00377FCD"/>
    <w:rsid w:val="00380F32"/>
    <w:rsid w:val="00381AAD"/>
    <w:rsid w:val="00381E04"/>
    <w:rsid w:val="00383AB4"/>
    <w:rsid w:val="00385A73"/>
    <w:rsid w:val="00386A9A"/>
    <w:rsid w:val="00387367"/>
    <w:rsid w:val="00387C27"/>
    <w:rsid w:val="0039127D"/>
    <w:rsid w:val="0039155D"/>
    <w:rsid w:val="0039172F"/>
    <w:rsid w:val="003923CF"/>
    <w:rsid w:val="0039240B"/>
    <w:rsid w:val="00392B03"/>
    <w:rsid w:val="0039337E"/>
    <w:rsid w:val="00393F9F"/>
    <w:rsid w:val="00395DA5"/>
    <w:rsid w:val="00396389"/>
    <w:rsid w:val="0039666B"/>
    <w:rsid w:val="00397365"/>
    <w:rsid w:val="00397DA6"/>
    <w:rsid w:val="003A0389"/>
    <w:rsid w:val="003A09A2"/>
    <w:rsid w:val="003A1451"/>
    <w:rsid w:val="003A1A65"/>
    <w:rsid w:val="003A31F6"/>
    <w:rsid w:val="003A3A6C"/>
    <w:rsid w:val="003A3E98"/>
    <w:rsid w:val="003A4D67"/>
    <w:rsid w:val="003A6FE1"/>
    <w:rsid w:val="003A7C3E"/>
    <w:rsid w:val="003B1627"/>
    <w:rsid w:val="003B2C98"/>
    <w:rsid w:val="003B3EF0"/>
    <w:rsid w:val="003B4485"/>
    <w:rsid w:val="003B534A"/>
    <w:rsid w:val="003B7971"/>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1D30"/>
    <w:rsid w:val="003E3442"/>
    <w:rsid w:val="003E5626"/>
    <w:rsid w:val="003E7112"/>
    <w:rsid w:val="003E7817"/>
    <w:rsid w:val="003E78B5"/>
    <w:rsid w:val="003F03E8"/>
    <w:rsid w:val="003F09A7"/>
    <w:rsid w:val="003F1778"/>
    <w:rsid w:val="003F3C3D"/>
    <w:rsid w:val="003F422C"/>
    <w:rsid w:val="003F481F"/>
    <w:rsid w:val="003F54A4"/>
    <w:rsid w:val="003F65FB"/>
    <w:rsid w:val="003F70F2"/>
    <w:rsid w:val="003F77E3"/>
    <w:rsid w:val="003F7F77"/>
    <w:rsid w:val="004004D3"/>
    <w:rsid w:val="00400A3D"/>
    <w:rsid w:val="0040199C"/>
    <w:rsid w:val="00402C03"/>
    <w:rsid w:val="00402D55"/>
    <w:rsid w:val="00405029"/>
    <w:rsid w:val="0040781C"/>
    <w:rsid w:val="00407A25"/>
    <w:rsid w:val="00407C33"/>
    <w:rsid w:val="00410552"/>
    <w:rsid w:val="00413006"/>
    <w:rsid w:val="004135D1"/>
    <w:rsid w:val="004151D9"/>
    <w:rsid w:val="0041597A"/>
    <w:rsid w:val="00415BAB"/>
    <w:rsid w:val="00415ED2"/>
    <w:rsid w:val="0041670C"/>
    <w:rsid w:val="00420205"/>
    <w:rsid w:val="0042068C"/>
    <w:rsid w:val="0042132B"/>
    <w:rsid w:val="00423679"/>
    <w:rsid w:val="004237FF"/>
    <w:rsid w:val="004255DF"/>
    <w:rsid w:val="00425A70"/>
    <w:rsid w:val="00425E93"/>
    <w:rsid w:val="00425F7D"/>
    <w:rsid w:val="004272FF"/>
    <w:rsid w:val="004308CA"/>
    <w:rsid w:val="004315C7"/>
    <w:rsid w:val="004322CB"/>
    <w:rsid w:val="00432822"/>
    <w:rsid w:val="004334F2"/>
    <w:rsid w:val="004344A3"/>
    <w:rsid w:val="00440840"/>
    <w:rsid w:val="00440DC7"/>
    <w:rsid w:val="00441C8E"/>
    <w:rsid w:val="00441FD9"/>
    <w:rsid w:val="004429D9"/>
    <w:rsid w:val="00442CCF"/>
    <w:rsid w:val="0044318E"/>
    <w:rsid w:val="00443B35"/>
    <w:rsid w:val="00444227"/>
    <w:rsid w:val="004466EE"/>
    <w:rsid w:val="00446813"/>
    <w:rsid w:val="00446BEE"/>
    <w:rsid w:val="00446C55"/>
    <w:rsid w:val="00446F21"/>
    <w:rsid w:val="0045009B"/>
    <w:rsid w:val="004508F2"/>
    <w:rsid w:val="00450A9D"/>
    <w:rsid w:val="00451303"/>
    <w:rsid w:val="0045178C"/>
    <w:rsid w:val="00452577"/>
    <w:rsid w:val="004526AC"/>
    <w:rsid w:val="0045293D"/>
    <w:rsid w:val="0045463B"/>
    <w:rsid w:val="00455DAE"/>
    <w:rsid w:val="00455E26"/>
    <w:rsid w:val="00456622"/>
    <w:rsid w:val="00461628"/>
    <w:rsid w:val="00461D9A"/>
    <w:rsid w:val="00462653"/>
    <w:rsid w:val="004634FC"/>
    <w:rsid w:val="004638BD"/>
    <w:rsid w:val="00466988"/>
    <w:rsid w:val="0047092D"/>
    <w:rsid w:val="0047122B"/>
    <w:rsid w:val="00472125"/>
    <w:rsid w:val="004733A2"/>
    <w:rsid w:val="00473B7A"/>
    <w:rsid w:val="00474922"/>
    <w:rsid w:val="00476E39"/>
    <w:rsid w:val="004771D9"/>
    <w:rsid w:val="0047797D"/>
    <w:rsid w:val="00481F5D"/>
    <w:rsid w:val="0048216C"/>
    <w:rsid w:val="00482D44"/>
    <w:rsid w:val="004836D4"/>
    <w:rsid w:val="00483D96"/>
    <w:rsid w:val="00485CA3"/>
    <w:rsid w:val="00486261"/>
    <w:rsid w:val="00490CC9"/>
    <w:rsid w:val="00492C4A"/>
    <w:rsid w:val="004957FD"/>
    <w:rsid w:val="00495EFD"/>
    <w:rsid w:val="004960E9"/>
    <w:rsid w:val="00497384"/>
    <w:rsid w:val="00497DC9"/>
    <w:rsid w:val="004A2E88"/>
    <w:rsid w:val="004A5305"/>
    <w:rsid w:val="004A6144"/>
    <w:rsid w:val="004A6483"/>
    <w:rsid w:val="004A6B6F"/>
    <w:rsid w:val="004A6D92"/>
    <w:rsid w:val="004B132B"/>
    <w:rsid w:val="004B13C6"/>
    <w:rsid w:val="004B41C9"/>
    <w:rsid w:val="004B63F6"/>
    <w:rsid w:val="004B7FAF"/>
    <w:rsid w:val="004C0257"/>
    <w:rsid w:val="004C0564"/>
    <w:rsid w:val="004C05BC"/>
    <w:rsid w:val="004C1515"/>
    <w:rsid w:val="004C1604"/>
    <w:rsid w:val="004C687E"/>
    <w:rsid w:val="004C73E6"/>
    <w:rsid w:val="004D040D"/>
    <w:rsid w:val="004D182B"/>
    <w:rsid w:val="004D2D7F"/>
    <w:rsid w:val="004D4089"/>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1F2"/>
    <w:rsid w:val="004F5F72"/>
    <w:rsid w:val="004F6360"/>
    <w:rsid w:val="004F6460"/>
    <w:rsid w:val="005010CF"/>
    <w:rsid w:val="005044C6"/>
    <w:rsid w:val="005046DF"/>
    <w:rsid w:val="00504D29"/>
    <w:rsid w:val="00505381"/>
    <w:rsid w:val="00506AFF"/>
    <w:rsid w:val="00506E54"/>
    <w:rsid w:val="00507DC6"/>
    <w:rsid w:val="0051267F"/>
    <w:rsid w:val="0051288E"/>
    <w:rsid w:val="00513153"/>
    <w:rsid w:val="00515D56"/>
    <w:rsid w:val="0051635B"/>
    <w:rsid w:val="00517400"/>
    <w:rsid w:val="00521271"/>
    <w:rsid w:val="0052144F"/>
    <w:rsid w:val="00523A96"/>
    <w:rsid w:val="00525389"/>
    <w:rsid w:val="00525583"/>
    <w:rsid w:val="00525697"/>
    <w:rsid w:val="00525AEE"/>
    <w:rsid w:val="00526330"/>
    <w:rsid w:val="00526A6A"/>
    <w:rsid w:val="00526C8C"/>
    <w:rsid w:val="0052720E"/>
    <w:rsid w:val="0052725A"/>
    <w:rsid w:val="005300D3"/>
    <w:rsid w:val="0053058C"/>
    <w:rsid w:val="0053520D"/>
    <w:rsid w:val="00536925"/>
    <w:rsid w:val="0054109E"/>
    <w:rsid w:val="00542A10"/>
    <w:rsid w:val="00543038"/>
    <w:rsid w:val="0054351D"/>
    <w:rsid w:val="00543B0C"/>
    <w:rsid w:val="00544F82"/>
    <w:rsid w:val="00545DA9"/>
    <w:rsid w:val="005460E7"/>
    <w:rsid w:val="00546568"/>
    <w:rsid w:val="00546CD5"/>
    <w:rsid w:val="005509D2"/>
    <w:rsid w:val="00551C12"/>
    <w:rsid w:val="00552FA7"/>
    <w:rsid w:val="00554C96"/>
    <w:rsid w:val="00554CCF"/>
    <w:rsid w:val="00555BA6"/>
    <w:rsid w:val="00555F0E"/>
    <w:rsid w:val="00557262"/>
    <w:rsid w:val="005575E9"/>
    <w:rsid w:val="00557C8A"/>
    <w:rsid w:val="00560A68"/>
    <w:rsid w:val="005628C1"/>
    <w:rsid w:val="00562EE7"/>
    <w:rsid w:val="00563E79"/>
    <w:rsid w:val="0056428B"/>
    <w:rsid w:val="005646C0"/>
    <w:rsid w:val="00564B67"/>
    <w:rsid w:val="00564B8B"/>
    <w:rsid w:val="00564EDF"/>
    <w:rsid w:val="0056570C"/>
    <w:rsid w:val="00565E90"/>
    <w:rsid w:val="00566685"/>
    <w:rsid w:val="005673AC"/>
    <w:rsid w:val="00567424"/>
    <w:rsid w:val="00570CC7"/>
    <w:rsid w:val="005711EC"/>
    <w:rsid w:val="005714A3"/>
    <w:rsid w:val="00571C46"/>
    <w:rsid w:val="00571D26"/>
    <w:rsid w:val="00573583"/>
    <w:rsid w:val="00573986"/>
    <w:rsid w:val="00574008"/>
    <w:rsid w:val="005750F5"/>
    <w:rsid w:val="005843A4"/>
    <w:rsid w:val="00585A2E"/>
    <w:rsid w:val="00585CF8"/>
    <w:rsid w:val="00585EEC"/>
    <w:rsid w:val="00586CF2"/>
    <w:rsid w:val="00590FA3"/>
    <w:rsid w:val="005912D1"/>
    <w:rsid w:val="0059145D"/>
    <w:rsid w:val="00593C4F"/>
    <w:rsid w:val="005943AA"/>
    <w:rsid w:val="005946A8"/>
    <w:rsid w:val="00595129"/>
    <w:rsid w:val="0059537B"/>
    <w:rsid w:val="005A01FB"/>
    <w:rsid w:val="005A0394"/>
    <w:rsid w:val="005A0ABE"/>
    <w:rsid w:val="005A0E0C"/>
    <w:rsid w:val="005A35ED"/>
    <w:rsid w:val="005A3E1C"/>
    <w:rsid w:val="005A4407"/>
    <w:rsid w:val="005A59EF"/>
    <w:rsid w:val="005A5B8B"/>
    <w:rsid w:val="005A648D"/>
    <w:rsid w:val="005A676C"/>
    <w:rsid w:val="005B1C7E"/>
    <w:rsid w:val="005B2098"/>
    <w:rsid w:val="005B6CB3"/>
    <w:rsid w:val="005B6E70"/>
    <w:rsid w:val="005C00E9"/>
    <w:rsid w:val="005C0168"/>
    <w:rsid w:val="005C0963"/>
    <w:rsid w:val="005C1C67"/>
    <w:rsid w:val="005C2146"/>
    <w:rsid w:val="005C3BAA"/>
    <w:rsid w:val="005C51B8"/>
    <w:rsid w:val="005C65DF"/>
    <w:rsid w:val="005C6976"/>
    <w:rsid w:val="005C7781"/>
    <w:rsid w:val="005C7EEE"/>
    <w:rsid w:val="005D0A73"/>
    <w:rsid w:val="005D1C05"/>
    <w:rsid w:val="005D1DE8"/>
    <w:rsid w:val="005D352F"/>
    <w:rsid w:val="005D533D"/>
    <w:rsid w:val="005D5BC6"/>
    <w:rsid w:val="005E2B7C"/>
    <w:rsid w:val="005E4914"/>
    <w:rsid w:val="005F3416"/>
    <w:rsid w:val="005F39CA"/>
    <w:rsid w:val="005F3CC1"/>
    <w:rsid w:val="005F4F2F"/>
    <w:rsid w:val="005F4F5A"/>
    <w:rsid w:val="005F526D"/>
    <w:rsid w:val="005F6F41"/>
    <w:rsid w:val="005F7013"/>
    <w:rsid w:val="00601DDF"/>
    <w:rsid w:val="0060260C"/>
    <w:rsid w:val="006056FC"/>
    <w:rsid w:val="00605DA0"/>
    <w:rsid w:val="00610A14"/>
    <w:rsid w:val="0061112B"/>
    <w:rsid w:val="00611962"/>
    <w:rsid w:val="00611B5C"/>
    <w:rsid w:val="00614138"/>
    <w:rsid w:val="00614509"/>
    <w:rsid w:val="0061581B"/>
    <w:rsid w:val="00616160"/>
    <w:rsid w:val="006163A0"/>
    <w:rsid w:val="006166B9"/>
    <w:rsid w:val="00616B17"/>
    <w:rsid w:val="00616C5F"/>
    <w:rsid w:val="00617E6D"/>
    <w:rsid w:val="00620164"/>
    <w:rsid w:val="006203E4"/>
    <w:rsid w:val="00620FCF"/>
    <w:rsid w:val="00622B67"/>
    <w:rsid w:val="00623032"/>
    <w:rsid w:val="006236DF"/>
    <w:rsid w:val="00625D9F"/>
    <w:rsid w:val="00625DC6"/>
    <w:rsid w:val="00625FA9"/>
    <w:rsid w:val="00625FAB"/>
    <w:rsid w:val="006263B4"/>
    <w:rsid w:val="0062729D"/>
    <w:rsid w:val="00627335"/>
    <w:rsid w:val="006327E7"/>
    <w:rsid w:val="00632871"/>
    <w:rsid w:val="00635AD7"/>
    <w:rsid w:val="00635B22"/>
    <w:rsid w:val="00636835"/>
    <w:rsid w:val="00637F1B"/>
    <w:rsid w:val="00641554"/>
    <w:rsid w:val="0064343E"/>
    <w:rsid w:val="0064391D"/>
    <w:rsid w:val="0064411A"/>
    <w:rsid w:val="00644E86"/>
    <w:rsid w:val="00645BF9"/>
    <w:rsid w:val="00646756"/>
    <w:rsid w:val="006508AB"/>
    <w:rsid w:val="00650D7D"/>
    <w:rsid w:val="00651154"/>
    <w:rsid w:val="006516F4"/>
    <w:rsid w:val="00651821"/>
    <w:rsid w:val="00651BBF"/>
    <w:rsid w:val="00651C8E"/>
    <w:rsid w:val="006528E5"/>
    <w:rsid w:val="00654384"/>
    <w:rsid w:val="00654E96"/>
    <w:rsid w:val="00661B44"/>
    <w:rsid w:val="006622B2"/>
    <w:rsid w:val="00666A1D"/>
    <w:rsid w:val="006675CD"/>
    <w:rsid w:val="00667AD5"/>
    <w:rsid w:val="00670229"/>
    <w:rsid w:val="0067238D"/>
    <w:rsid w:val="0067251B"/>
    <w:rsid w:val="006740B2"/>
    <w:rsid w:val="00674313"/>
    <w:rsid w:val="006747D5"/>
    <w:rsid w:val="00675985"/>
    <w:rsid w:val="00677E6A"/>
    <w:rsid w:val="00680BFA"/>
    <w:rsid w:val="00683EB3"/>
    <w:rsid w:val="00684D9B"/>
    <w:rsid w:val="0068510A"/>
    <w:rsid w:val="00685BCB"/>
    <w:rsid w:val="00690CEF"/>
    <w:rsid w:val="006916E2"/>
    <w:rsid w:val="0069245B"/>
    <w:rsid w:val="006927B5"/>
    <w:rsid w:val="00694E6C"/>
    <w:rsid w:val="00696F0D"/>
    <w:rsid w:val="00697556"/>
    <w:rsid w:val="0069795D"/>
    <w:rsid w:val="00697DF1"/>
    <w:rsid w:val="006A1CA8"/>
    <w:rsid w:val="006A1EB6"/>
    <w:rsid w:val="006A2EDF"/>
    <w:rsid w:val="006A616B"/>
    <w:rsid w:val="006A72C7"/>
    <w:rsid w:val="006B1712"/>
    <w:rsid w:val="006B1FDF"/>
    <w:rsid w:val="006B4081"/>
    <w:rsid w:val="006B4647"/>
    <w:rsid w:val="006B4993"/>
    <w:rsid w:val="006B4C2B"/>
    <w:rsid w:val="006B55F1"/>
    <w:rsid w:val="006B5DFE"/>
    <w:rsid w:val="006B6139"/>
    <w:rsid w:val="006B6194"/>
    <w:rsid w:val="006B661E"/>
    <w:rsid w:val="006B6AD5"/>
    <w:rsid w:val="006B6D47"/>
    <w:rsid w:val="006B7078"/>
    <w:rsid w:val="006B719A"/>
    <w:rsid w:val="006C0769"/>
    <w:rsid w:val="006C0D43"/>
    <w:rsid w:val="006C1FD7"/>
    <w:rsid w:val="006C3E16"/>
    <w:rsid w:val="006C4912"/>
    <w:rsid w:val="006C5AFE"/>
    <w:rsid w:val="006C6950"/>
    <w:rsid w:val="006C710C"/>
    <w:rsid w:val="006C7715"/>
    <w:rsid w:val="006C7AF6"/>
    <w:rsid w:val="006D2747"/>
    <w:rsid w:val="006D29D4"/>
    <w:rsid w:val="006D2F80"/>
    <w:rsid w:val="006D30B1"/>
    <w:rsid w:val="006D5E04"/>
    <w:rsid w:val="006E0A54"/>
    <w:rsid w:val="006E155D"/>
    <w:rsid w:val="006E1EEA"/>
    <w:rsid w:val="006E3595"/>
    <w:rsid w:val="006E4298"/>
    <w:rsid w:val="006E4C15"/>
    <w:rsid w:val="006E5FC3"/>
    <w:rsid w:val="006E72FE"/>
    <w:rsid w:val="006F0DAD"/>
    <w:rsid w:val="006F268E"/>
    <w:rsid w:val="006F2EC8"/>
    <w:rsid w:val="006F33A3"/>
    <w:rsid w:val="006F3970"/>
    <w:rsid w:val="006F4824"/>
    <w:rsid w:val="006F4C73"/>
    <w:rsid w:val="006F56D0"/>
    <w:rsid w:val="006F5E13"/>
    <w:rsid w:val="006F6D95"/>
    <w:rsid w:val="006F7CFE"/>
    <w:rsid w:val="007019A4"/>
    <w:rsid w:val="00702937"/>
    <w:rsid w:val="00705F85"/>
    <w:rsid w:val="00706054"/>
    <w:rsid w:val="00706F13"/>
    <w:rsid w:val="007072E8"/>
    <w:rsid w:val="007076FB"/>
    <w:rsid w:val="00710FF1"/>
    <w:rsid w:val="007127EF"/>
    <w:rsid w:val="007134B4"/>
    <w:rsid w:val="00714A31"/>
    <w:rsid w:val="007151BD"/>
    <w:rsid w:val="0071618D"/>
    <w:rsid w:val="007200B6"/>
    <w:rsid w:val="0072116F"/>
    <w:rsid w:val="00721534"/>
    <w:rsid w:val="00721A52"/>
    <w:rsid w:val="00721D5B"/>
    <w:rsid w:val="00722B3D"/>
    <w:rsid w:val="00722B74"/>
    <w:rsid w:val="00723CF0"/>
    <w:rsid w:val="0072463D"/>
    <w:rsid w:val="00724792"/>
    <w:rsid w:val="00724A10"/>
    <w:rsid w:val="00724C58"/>
    <w:rsid w:val="00725FA4"/>
    <w:rsid w:val="00727455"/>
    <w:rsid w:val="00727B2C"/>
    <w:rsid w:val="00731449"/>
    <w:rsid w:val="00731511"/>
    <w:rsid w:val="00732E0B"/>
    <w:rsid w:val="00732FDC"/>
    <w:rsid w:val="00733DD7"/>
    <w:rsid w:val="007340CC"/>
    <w:rsid w:val="00734187"/>
    <w:rsid w:val="00734C73"/>
    <w:rsid w:val="007403BE"/>
    <w:rsid w:val="00740446"/>
    <w:rsid w:val="00741ECE"/>
    <w:rsid w:val="007438A9"/>
    <w:rsid w:val="00743E7F"/>
    <w:rsid w:val="0074482F"/>
    <w:rsid w:val="00744832"/>
    <w:rsid w:val="0074491E"/>
    <w:rsid w:val="007455ED"/>
    <w:rsid w:val="00745C85"/>
    <w:rsid w:val="00746CC6"/>
    <w:rsid w:val="00746E56"/>
    <w:rsid w:val="00750F2E"/>
    <w:rsid w:val="007511E4"/>
    <w:rsid w:val="0075578E"/>
    <w:rsid w:val="007602F3"/>
    <w:rsid w:val="00761244"/>
    <w:rsid w:val="0076163F"/>
    <w:rsid w:val="00761D29"/>
    <w:rsid w:val="0076247A"/>
    <w:rsid w:val="00762DA9"/>
    <w:rsid w:val="00762FB0"/>
    <w:rsid w:val="00762FD3"/>
    <w:rsid w:val="00763175"/>
    <w:rsid w:val="00763381"/>
    <w:rsid w:val="00767391"/>
    <w:rsid w:val="007705CD"/>
    <w:rsid w:val="007746C6"/>
    <w:rsid w:val="00774ABE"/>
    <w:rsid w:val="00775964"/>
    <w:rsid w:val="0077639F"/>
    <w:rsid w:val="007765FE"/>
    <w:rsid w:val="00776654"/>
    <w:rsid w:val="007766B3"/>
    <w:rsid w:val="00777163"/>
    <w:rsid w:val="00781282"/>
    <w:rsid w:val="00781E1A"/>
    <w:rsid w:val="00785664"/>
    <w:rsid w:val="00785678"/>
    <w:rsid w:val="00786E0F"/>
    <w:rsid w:val="00787E5A"/>
    <w:rsid w:val="00790375"/>
    <w:rsid w:val="007910F2"/>
    <w:rsid w:val="007928B7"/>
    <w:rsid w:val="00793C5D"/>
    <w:rsid w:val="00794E2E"/>
    <w:rsid w:val="00795373"/>
    <w:rsid w:val="00795BFB"/>
    <w:rsid w:val="00796336"/>
    <w:rsid w:val="007969B5"/>
    <w:rsid w:val="007A02F8"/>
    <w:rsid w:val="007A060C"/>
    <w:rsid w:val="007A5E57"/>
    <w:rsid w:val="007B0112"/>
    <w:rsid w:val="007B0FAC"/>
    <w:rsid w:val="007B100F"/>
    <w:rsid w:val="007B1CF5"/>
    <w:rsid w:val="007B2760"/>
    <w:rsid w:val="007B2802"/>
    <w:rsid w:val="007B357B"/>
    <w:rsid w:val="007B53E9"/>
    <w:rsid w:val="007B5483"/>
    <w:rsid w:val="007B564B"/>
    <w:rsid w:val="007B5CF2"/>
    <w:rsid w:val="007B71EE"/>
    <w:rsid w:val="007B77CE"/>
    <w:rsid w:val="007C127E"/>
    <w:rsid w:val="007C1B10"/>
    <w:rsid w:val="007C2407"/>
    <w:rsid w:val="007C3B22"/>
    <w:rsid w:val="007C585E"/>
    <w:rsid w:val="007C5B24"/>
    <w:rsid w:val="007C6F12"/>
    <w:rsid w:val="007C79E3"/>
    <w:rsid w:val="007D21CD"/>
    <w:rsid w:val="007D458E"/>
    <w:rsid w:val="007D49D7"/>
    <w:rsid w:val="007D5836"/>
    <w:rsid w:val="007D69D2"/>
    <w:rsid w:val="007D6A0A"/>
    <w:rsid w:val="007D6B92"/>
    <w:rsid w:val="007E09A4"/>
    <w:rsid w:val="007E1112"/>
    <w:rsid w:val="007E3D47"/>
    <w:rsid w:val="007E4A8E"/>
    <w:rsid w:val="007E5792"/>
    <w:rsid w:val="007E5B81"/>
    <w:rsid w:val="007E66B1"/>
    <w:rsid w:val="007E6C4A"/>
    <w:rsid w:val="007E71A4"/>
    <w:rsid w:val="007E7A97"/>
    <w:rsid w:val="007F0529"/>
    <w:rsid w:val="007F1280"/>
    <w:rsid w:val="007F2363"/>
    <w:rsid w:val="007F6527"/>
    <w:rsid w:val="007F6C99"/>
    <w:rsid w:val="007F7C1B"/>
    <w:rsid w:val="00800D21"/>
    <w:rsid w:val="00801F33"/>
    <w:rsid w:val="00802E44"/>
    <w:rsid w:val="00803071"/>
    <w:rsid w:val="008034DB"/>
    <w:rsid w:val="0080401E"/>
    <w:rsid w:val="008043BB"/>
    <w:rsid w:val="00804D2E"/>
    <w:rsid w:val="00806C01"/>
    <w:rsid w:val="00810A93"/>
    <w:rsid w:val="00811D3E"/>
    <w:rsid w:val="00812BAE"/>
    <w:rsid w:val="008148CC"/>
    <w:rsid w:val="008167FC"/>
    <w:rsid w:val="0081772D"/>
    <w:rsid w:val="00817731"/>
    <w:rsid w:val="008211A4"/>
    <w:rsid w:val="00821986"/>
    <w:rsid w:val="00822961"/>
    <w:rsid w:val="0082311D"/>
    <w:rsid w:val="008237CA"/>
    <w:rsid w:val="008251BC"/>
    <w:rsid w:val="00826AB2"/>
    <w:rsid w:val="00826E96"/>
    <w:rsid w:val="00827062"/>
    <w:rsid w:val="008276D9"/>
    <w:rsid w:val="008301BF"/>
    <w:rsid w:val="00830FF0"/>
    <w:rsid w:val="00831065"/>
    <w:rsid w:val="0083140E"/>
    <w:rsid w:val="008318F6"/>
    <w:rsid w:val="00831A7D"/>
    <w:rsid w:val="00834EFB"/>
    <w:rsid w:val="00837AD4"/>
    <w:rsid w:val="00841D80"/>
    <w:rsid w:val="00842049"/>
    <w:rsid w:val="00842644"/>
    <w:rsid w:val="00842BD5"/>
    <w:rsid w:val="008434EE"/>
    <w:rsid w:val="00843516"/>
    <w:rsid w:val="00843DAD"/>
    <w:rsid w:val="008444C9"/>
    <w:rsid w:val="00844691"/>
    <w:rsid w:val="00845BAD"/>
    <w:rsid w:val="0084693A"/>
    <w:rsid w:val="008511DC"/>
    <w:rsid w:val="00851CD1"/>
    <w:rsid w:val="00854203"/>
    <w:rsid w:val="008559BE"/>
    <w:rsid w:val="0085640E"/>
    <w:rsid w:val="008567D4"/>
    <w:rsid w:val="00857229"/>
    <w:rsid w:val="00861829"/>
    <w:rsid w:val="008625B3"/>
    <w:rsid w:val="00862E48"/>
    <w:rsid w:val="00863A37"/>
    <w:rsid w:val="00863AB8"/>
    <w:rsid w:val="00864C35"/>
    <w:rsid w:val="00864F48"/>
    <w:rsid w:val="00870417"/>
    <w:rsid w:val="0087143B"/>
    <w:rsid w:val="0087157A"/>
    <w:rsid w:val="00873150"/>
    <w:rsid w:val="00873FF9"/>
    <w:rsid w:val="00874329"/>
    <w:rsid w:val="00874613"/>
    <w:rsid w:val="00875B5E"/>
    <w:rsid w:val="00876557"/>
    <w:rsid w:val="0087657D"/>
    <w:rsid w:val="008807D5"/>
    <w:rsid w:val="00880832"/>
    <w:rsid w:val="00881A25"/>
    <w:rsid w:val="008822EA"/>
    <w:rsid w:val="008834A0"/>
    <w:rsid w:val="00883589"/>
    <w:rsid w:val="0088369F"/>
    <w:rsid w:val="008836A4"/>
    <w:rsid w:val="0088389F"/>
    <w:rsid w:val="00884D80"/>
    <w:rsid w:val="00886D19"/>
    <w:rsid w:val="00886EE1"/>
    <w:rsid w:val="0088727D"/>
    <w:rsid w:val="00887F31"/>
    <w:rsid w:val="008902C7"/>
    <w:rsid w:val="00892F2C"/>
    <w:rsid w:val="0089340F"/>
    <w:rsid w:val="008944D2"/>
    <w:rsid w:val="00894B89"/>
    <w:rsid w:val="00895326"/>
    <w:rsid w:val="00896F62"/>
    <w:rsid w:val="00897C27"/>
    <w:rsid w:val="00897C75"/>
    <w:rsid w:val="008A0F70"/>
    <w:rsid w:val="008A1221"/>
    <w:rsid w:val="008A1461"/>
    <w:rsid w:val="008A1EDB"/>
    <w:rsid w:val="008A2565"/>
    <w:rsid w:val="008A2883"/>
    <w:rsid w:val="008A3B48"/>
    <w:rsid w:val="008A4148"/>
    <w:rsid w:val="008A4BD9"/>
    <w:rsid w:val="008A6101"/>
    <w:rsid w:val="008A66C8"/>
    <w:rsid w:val="008A6BE9"/>
    <w:rsid w:val="008A7669"/>
    <w:rsid w:val="008A76D7"/>
    <w:rsid w:val="008B1869"/>
    <w:rsid w:val="008B21A6"/>
    <w:rsid w:val="008B2CEF"/>
    <w:rsid w:val="008B2EAF"/>
    <w:rsid w:val="008B3AEF"/>
    <w:rsid w:val="008B502D"/>
    <w:rsid w:val="008B5CEB"/>
    <w:rsid w:val="008B61E5"/>
    <w:rsid w:val="008B64FE"/>
    <w:rsid w:val="008B6760"/>
    <w:rsid w:val="008B6CFD"/>
    <w:rsid w:val="008C1097"/>
    <w:rsid w:val="008C1130"/>
    <w:rsid w:val="008C1914"/>
    <w:rsid w:val="008C1A81"/>
    <w:rsid w:val="008C258C"/>
    <w:rsid w:val="008C3591"/>
    <w:rsid w:val="008C3F40"/>
    <w:rsid w:val="008C54CC"/>
    <w:rsid w:val="008C6406"/>
    <w:rsid w:val="008C6D97"/>
    <w:rsid w:val="008C7A64"/>
    <w:rsid w:val="008D0647"/>
    <w:rsid w:val="008D13D1"/>
    <w:rsid w:val="008D18E6"/>
    <w:rsid w:val="008D1DC5"/>
    <w:rsid w:val="008D2566"/>
    <w:rsid w:val="008D2779"/>
    <w:rsid w:val="008D2C6D"/>
    <w:rsid w:val="008D3144"/>
    <w:rsid w:val="008D4760"/>
    <w:rsid w:val="008D6D03"/>
    <w:rsid w:val="008D7A9B"/>
    <w:rsid w:val="008E0060"/>
    <w:rsid w:val="008E0F2A"/>
    <w:rsid w:val="008E121C"/>
    <w:rsid w:val="008E1E53"/>
    <w:rsid w:val="008E3637"/>
    <w:rsid w:val="008E40FE"/>
    <w:rsid w:val="008E4655"/>
    <w:rsid w:val="008E4F4C"/>
    <w:rsid w:val="008E57B9"/>
    <w:rsid w:val="008E6687"/>
    <w:rsid w:val="008E6D31"/>
    <w:rsid w:val="008E7091"/>
    <w:rsid w:val="008E76AC"/>
    <w:rsid w:val="008E76D4"/>
    <w:rsid w:val="008F03AC"/>
    <w:rsid w:val="008F1BAB"/>
    <w:rsid w:val="008F1EB1"/>
    <w:rsid w:val="008F1FDC"/>
    <w:rsid w:val="008F21F6"/>
    <w:rsid w:val="008F2EB0"/>
    <w:rsid w:val="008F44D5"/>
    <w:rsid w:val="008F524B"/>
    <w:rsid w:val="008F6FA2"/>
    <w:rsid w:val="008F72E0"/>
    <w:rsid w:val="008F77A3"/>
    <w:rsid w:val="00900D5E"/>
    <w:rsid w:val="00900E75"/>
    <w:rsid w:val="00901457"/>
    <w:rsid w:val="00901DFC"/>
    <w:rsid w:val="00902F64"/>
    <w:rsid w:val="009030AA"/>
    <w:rsid w:val="00903386"/>
    <w:rsid w:val="009039F8"/>
    <w:rsid w:val="00904082"/>
    <w:rsid w:val="009043F0"/>
    <w:rsid w:val="0090486C"/>
    <w:rsid w:val="009049C5"/>
    <w:rsid w:val="00904A12"/>
    <w:rsid w:val="00906A2D"/>
    <w:rsid w:val="00906C61"/>
    <w:rsid w:val="009113F1"/>
    <w:rsid w:val="00911F4D"/>
    <w:rsid w:val="0091359D"/>
    <w:rsid w:val="00914388"/>
    <w:rsid w:val="00914F06"/>
    <w:rsid w:val="009165C7"/>
    <w:rsid w:val="00917201"/>
    <w:rsid w:val="00917367"/>
    <w:rsid w:val="00920663"/>
    <w:rsid w:val="0092067E"/>
    <w:rsid w:val="009214AC"/>
    <w:rsid w:val="00922533"/>
    <w:rsid w:val="00923B14"/>
    <w:rsid w:val="00924417"/>
    <w:rsid w:val="00925993"/>
    <w:rsid w:val="00926475"/>
    <w:rsid w:val="00930543"/>
    <w:rsid w:val="00931479"/>
    <w:rsid w:val="00931ADD"/>
    <w:rsid w:val="00931E01"/>
    <w:rsid w:val="0093297A"/>
    <w:rsid w:val="00932B77"/>
    <w:rsid w:val="00932D9E"/>
    <w:rsid w:val="00935218"/>
    <w:rsid w:val="00936488"/>
    <w:rsid w:val="009364F2"/>
    <w:rsid w:val="00940DF6"/>
    <w:rsid w:val="0094100A"/>
    <w:rsid w:val="0094147E"/>
    <w:rsid w:val="00942327"/>
    <w:rsid w:val="009427D5"/>
    <w:rsid w:val="0094299F"/>
    <w:rsid w:val="00943CA7"/>
    <w:rsid w:val="00944E53"/>
    <w:rsid w:val="0094513B"/>
    <w:rsid w:val="00946187"/>
    <w:rsid w:val="00946D21"/>
    <w:rsid w:val="00950BFC"/>
    <w:rsid w:val="009511AB"/>
    <w:rsid w:val="0095183F"/>
    <w:rsid w:val="00951925"/>
    <w:rsid w:val="00951F79"/>
    <w:rsid w:val="009529A6"/>
    <w:rsid w:val="00954404"/>
    <w:rsid w:val="00954C36"/>
    <w:rsid w:val="00954EB1"/>
    <w:rsid w:val="00955F64"/>
    <w:rsid w:val="00956377"/>
    <w:rsid w:val="00957503"/>
    <w:rsid w:val="00960324"/>
    <w:rsid w:val="0096146D"/>
    <w:rsid w:val="00961EAC"/>
    <w:rsid w:val="0096279C"/>
    <w:rsid w:val="0096342A"/>
    <w:rsid w:val="00964BE8"/>
    <w:rsid w:val="00966D9F"/>
    <w:rsid w:val="00967498"/>
    <w:rsid w:val="00967D25"/>
    <w:rsid w:val="009703FA"/>
    <w:rsid w:val="00971CC1"/>
    <w:rsid w:val="009733BB"/>
    <w:rsid w:val="00974136"/>
    <w:rsid w:val="0097499D"/>
    <w:rsid w:val="00974AB5"/>
    <w:rsid w:val="00975624"/>
    <w:rsid w:val="00976EC7"/>
    <w:rsid w:val="00976FD7"/>
    <w:rsid w:val="0097795E"/>
    <w:rsid w:val="009820D7"/>
    <w:rsid w:val="00982701"/>
    <w:rsid w:val="0098286E"/>
    <w:rsid w:val="00982A7B"/>
    <w:rsid w:val="00982FE1"/>
    <w:rsid w:val="009843A8"/>
    <w:rsid w:val="009844C9"/>
    <w:rsid w:val="009851BF"/>
    <w:rsid w:val="009851CD"/>
    <w:rsid w:val="00985954"/>
    <w:rsid w:val="00986A5E"/>
    <w:rsid w:val="0098706D"/>
    <w:rsid w:val="0098764A"/>
    <w:rsid w:val="00987BDD"/>
    <w:rsid w:val="00990D70"/>
    <w:rsid w:val="00991B54"/>
    <w:rsid w:val="009935FB"/>
    <w:rsid w:val="00994E30"/>
    <w:rsid w:val="00996E66"/>
    <w:rsid w:val="009971F5"/>
    <w:rsid w:val="00997985"/>
    <w:rsid w:val="00997E69"/>
    <w:rsid w:val="009A0187"/>
    <w:rsid w:val="009A0748"/>
    <w:rsid w:val="009A1DBD"/>
    <w:rsid w:val="009A235E"/>
    <w:rsid w:val="009A3DAA"/>
    <w:rsid w:val="009A4D1C"/>
    <w:rsid w:val="009A4F41"/>
    <w:rsid w:val="009A5C33"/>
    <w:rsid w:val="009A66AB"/>
    <w:rsid w:val="009B079A"/>
    <w:rsid w:val="009B1328"/>
    <w:rsid w:val="009B1C54"/>
    <w:rsid w:val="009B1F0F"/>
    <w:rsid w:val="009B303D"/>
    <w:rsid w:val="009B3A88"/>
    <w:rsid w:val="009B45B2"/>
    <w:rsid w:val="009B4F8D"/>
    <w:rsid w:val="009B509F"/>
    <w:rsid w:val="009B5752"/>
    <w:rsid w:val="009B57F5"/>
    <w:rsid w:val="009C15AD"/>
    <w:rsid w:val="009C167B"/>
    <w:rsid w:val="009C17D3"/>
    <w:rsid w:val="009C1933"/>
    <w:rsid w:val="009C1EF5"/>
    <w:rsid w:val="009C27B4"/>
    <w:rsid w:val="009C2AF0"/>
    <w:rsid w:val="009C3DB8"/>
    <w:rsid w:val="009C422B"/>
    <w:rsid w:val="009C5BC8"/>
    <w:rsid w:val="009C6FF8"/>
    <w:rsid w:val="009C71DA"/>
    <w:rsid w:val="009C7500"/>
    <w:rsid w:val="009C7987"/>
    <w:rsid w:val="009C7F29"/>
    <w:rsid w:val="009D191F"/>
    <w:rsid w:val="009D2A09"/>
    <w:rsid w:val="009D312E"/>
    <w:rsid w:val="009D4626"/>
    <w:rsid w:val="009D5565"/>
    <w:rsid w:val="009D75F9"/>
    <w:rsid w:val="009E06C2"/>
    <w:rsid w:val="009E1320"/>
    <w:rsid w:val="009E1EB8"/>
    <w:rsid w:val="009E3023"/>
    <w:rsid w:val="009E3D1C"/>
    <w:rsid w:val="009E5113"/>
    <w:rsid w:val="009E5378"/>
    <w:rsid w:val="009E5521"/>
    <w:rsid w:val="009E5968"/>
    <w:rsid w:val="009E5BC5"/>
    <w:rsid w:val="009E6C3E"/>
    <w:rsid w:val="009E7922"/>
    <w:rsid w:val="009F0489"/>
    <w:rsid w:val="009F0CEE"/>
    <w:rsid w:val="009F15BD"/>
    <w:rsid w:val="009F17C1"/>
    <w:rsid w:val="009F252B"/>
    <w:rsid w:val="009F457C"/>
    <w:rsid w:val="009F4749"/>
    <w:rsid w:val="009F47F4"/>
    <w:rsid w:val="009F4A54"/>
    <w:rsid w:val="009F4BEC"/>
    <w:rsid w:val="009F4F37"/>
    <w:rsid w:val="009F553B"/>
    <w:rsid w:val="009F5874"/>
    <w:rsid w:val="009F59FE"/>
    <w:rsid w:val="009F7086"/>
    <w:rsid w:val="00A01329"/>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49B"/>
    <w:rsid w:val="00A2261B"/>
    <w:rsid w:val="00A22A04"/>
    <w:rsid w:val="00A22BFB"/>
    <w:rsid w:val="00A23DA6"/>
    <w:rsid w:val="00A240CB"/>
    <w:rsid w:val="00A242DE"/>
    <w:rsid w:val="00A24CB4"/>
    <w:rsid w:val="00A25FD7"/>
    <w:rsid w:val="00A26DEA"/>
    <w:rsid w:val="00A307F8"/>
    <w:rsid w:val="00A335FF"/>
    <w:rsid w:val="00A366F9"/>
    <w:rsid w:val="00A3773C"/>
    <w:rsid w:val="00A40669"/>
    <w:rsid w:val="00A40880"/>
    <w:rsid w:val="00A43041"/>
    <w:rsid w:val="00A43AFF"/>
    <w:rsid w:val="00A454E3"/>
    <w:rsid w:val="00A46303"/>
    <w:rsid w:val="00A473E4"/>
    <w:rsid w:val="00A50F78"/>
    <w:rsid w:val="00A51DA4"/>
    <w:rsid w:val="00A521FB"/>
    <w:rsid w:val="00A52D39"/>
    <w:rsid w:val="00A532D3"/>
    <w:rsid w:val="00A537A1"/>
    <w:rsid w:val="00A55865"/>
    <w:rsid w:val="00A60C76"/>
    <w:rsid w:val="00A60F91"/>
    <w:rsid w:val="00A619C0"/>
    <w:rsid w:val="00A6294F"/>
    <w:rsid w:val="00A62CF6"/>
    <w:rsid w:val="00A6411B"/>
    <w:rsid w:val="00A645DF"/>
    <w:rsid w:val="00A6492A"/>
    <w:rsid w:val="00A66313"/>
    <w:rsid w:val="00A7172C"/>
    <w:rsid w:val="00A731C3"/>
    <w:rsid w:val="00A74AD1"/>
    <w:rsid w:val="00A750BD"/>
    <w:rsid w:val="00A7793A"/>
    <w:rsid w:val="00A80C05"/>
    <w:rsid w:val="00A80C7B"/>
    <w:rsid w:val="00A82091"/>
    <w:rsid w:val="00A827B5"/>
    <w:rsid w:val="00A83B99"/>
    <w:rsid w:val="00A83EE1"/>
    <w:rsid w:val="00A8497A"/>
    <w:rsid w:val="00A85C52"/>
    <w:rsid w:val="00A87A26"/>
    <w:rsid w:val="00A90A5A"/>
    <w:rsid w:val="00A92906"/>
    <w:rsid w:val="00A95099"/>
    <w:rsid w:val="00A956C0"/>
    <w:rsid w:val="00AA0FA8"/>
    <w:rsid w:val="00AA2290"/>
    <w:rsid w:val="00AA2722"/>
    <w:rsid w:val="00AA3F2D"/>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68B"/>
    <w:rsid w:val="00AB6CA7"/>
    <w:rsid w:val="00AB6D57"/>
    <w:rsid w:val="00AB6DD5"/>
    <w:rsid w:val="00AC0BD4"/>
    <w:rsid w:val="00AC3B82"/>
    <w:rsid w:val="00AC3EF0"/>
    <w:rsid w:val="00AC422F"/>
    <w:rsid w:val="00AC45AE"/>
    <w:rsid w:val="00AC45D3"/>
    <w:rsid w:val="00AC5F01"/>
    <w:rsid w:val="00AC6246"/>
    <w:rsid w:val="00AD01E4"/>
    <w:rsid w:val="00AD0858"/>
    <w:rsid w:val="00AD1511"/>
    <w:rsid w:val="00AD17E6"/>
    <w:rsid w:val="00AD1EE5"/>
    <w:rsid w:val="00AD4D6E"/>
    <w:rsid w:val="00AD503B"/>
    <w:rsid w:val="00AD7B3E"/>
    <w:rsid w:val="00AD7D7C"/>
    <w:rsid w:val="00AE00F7"/>
    <w:rsid w:val="00AE02E3"/>
    <w:rsid w:val="00AE1231"/>
    <w:rsid w:val="00AE168C"/>
    <w:rsid w:val="00AE2B11"/>
    <w:rsid w:val="00AE5082"/>
    <w:rsid w:val="00AE5145"/>
    <w:rsid w:val="00AE7340"/>
    <w:rsid w:val="00AF0BB5"/>
    <w:rsid w:val="00AF0C52"/>
    <w:rsid w:val="00AF1BBD"/>
    <w:rsid w:val="00AF246E"/>
    <w:rsid w:val="00AF29D5"/>
    <w:rsid w:val="00AF4052"/>
    <w:rsid w:val="00AF53F4"/>
    <w:rsid w:val="00AF794B"/>
    <w:rsid w:val="00B01A30"/>
    <w:rsid w:val="00B03620"/>
    <w:rsid w:val="00B04948"/>
    <w:rsid w:val="00B052C2"/>
    <w:rsid w:val="00B06FFE"/>
    <w:rsid w:val="00B077F9"/>
    <w:rsid w:val="00B10207"/>
    <w:rsid w:val="00B10C12"/>
    <w:rsid w:val="00B11EAF"/>
    <w:rsid w:val="00B141E7"/>
    <w:rsid w:val="00B15349"/>
    <w:rsid w:val="00B16417"/>
    <w:rsid w:val="00B16B69"/>
    <w:rsid w:val="00B23C0A"/>
    <w:rsid w:val="00B24337"/>
    <w:rsid w:val="00B2435A"/>
    <w:rsid w:val="00B25B86"/>
    <w:rsid w:val="00B26197"/>
    <w:rsid w:val="00B26280"/>
    <w:rsid w:val="00B265A1"/>
    <w:rsid w:val="00B26D5D"/>
    <w:rsid w:val="00B3194B"/>
    <w:rsid w:val="00B31D3C"/>
    <w:rsid w:val="00B3344F"/>
    <w:rsid w:val="00B335A1"/>
    <w:rsid w:val="00B3466A"/>
    <w:rsid w:val="00B351B4"/>
    <w:rsid w:val="00B351FA"/>
    <w:rsid w:val="00B35960"/>
    <w:rsid w:val="00B35ACE"/>
    <w:rsid w:val="00B40D0D"/>
    <w:rsid w:val="00B41DF4"/>
    <w:rsid w:val="00B4232B"/>
    <w:rsid w:val="00B42917"/>
    <w:rsid w:val="00B42993"/>
    <w:rsid w:val="00B43325"/>
    <w:rsid w:val="00B43898"/>
    <w:rsid w:val="00B46BCA"/>
    <w:rsid w:val="00B47528"/>
    <w:rsid w:val="00B478AA"/>
    <w:rsid w:val="00B52415"/>
    <w:rsid w:val="00B52529"/>
    <w:rsid w:val="00B528B3"/>
    <w:rsid w:val="00B554FE"/>
    <w:rsid w:val="00B55692"/>
    <w:rsid w:val="00B56028"/>
    <w:rsid w:val="00B565C7"/>
    <w:rsid w:val="00B5711A"/>
    <w:rsid w:val="00B57D8C"/>
    <w:rsid w:val="00B57E70"/>
    <w:rsid w:val="00B600A4"/>
    <w:rsid w:val="00B600FD"/>
    <w:rsid w:val="00B61D64"/>
    <w:rsid w:val="00B61E17"/>
    <w:rsid w:val="00B63B15"/>
    <w:rsid w:val="00B64F3D"/>
    <w:rsid w:val="00B65F61"/>
    <w:rsid w:val="00B665CD"/>
    <w:rsid w:val="00B669C3"/>
    <w:rsid w:val="00B67FAF"/>
    <w:rsid w:val="00B710D7"/>
    <w:rsid w:val="00B72E5C"/>
    <w:rsid w:val="00B744B8"/>
    <w:rsid w:val="00B75567"/>
    <w:rsid w:val="00B75663"/>
    <w:rsid w:val="00B75CDF"/>
    <w:rsid w:val="00B76A1F"/>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7565"/>
    <w:rsid w:val="00B87806"/>
    <w:rsid w:val="00B87EC9"/>
    <w:rsid w:val="00B91F5D"/>
    <w:rsid w:val="00B93640"/>
    <w:rsid w:val="00B93FF5"/>
    <w:rsid w:val="00B94C9E"/>
    <w:rsid w:val="00B94D33"/>
    <w:rsid w:val="00B9505A"/>
    <w:rsid w:val="00B95B1A"/>
    <w:rsid w:val="00B97D1D"/>
    <w:rsid w:val="00BA070B"/>
    <w:rsid w:val="00BA13ED"/>
    <w:rsid w:val="00BA2E21"/>
    <w:rsid w:val="00BA3864"/>
    <w:rsid w:val="00BA3C8A"/>
    <w:rsid w:val="00BA4149"/>
    <w:rsid w:val="00BA4427"/>
    <w:rsid w:val="00BA5137"/>
    <w:rsid w:val="00BB300D"/>
    <w:rsid w:val="00BB6133"/>
    <w:rsid w:val="00BB6691"/>
    <w:rsid w:val="00BB751A"/>
    <w:rsid w:val="00BB778C"/>
    <w:rsid w:val="00BC24A1"/>
    <w:rsid w:val="00BC38FD"/>
    <w:rsid w:val="00BC3C53"/>
    <w:rsid w:val="00BC4C9E"/>
    <w:rsid w:val="00BC5BEC"/>
    <w:rsid w:val="00BC65D6"/>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10"/>
    <w:rsid w:val="00BE6FCB"/>
    <w:rsid w:val="00BF4A8F"/>
    <w:rsid w:val="00BF5A0E"/>
    <w:rsid w:val="00BF69C9"/>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6B76"/>
    <w:rsid w:val="00C07859"/>
    <w:rsid w:val="00C07D28"/>
    <w:rsid w:val="00C10433"/>
    <w:rsid w:val="00C1142D"/>
    <w:rsid w:val="00C11B7D"/>
    <w:rsid w:val="00C11D4F"/>
    <w:rsid w:val="00C11F53"/>
    <w:rsid w:val="00C12F3B"/>
    <w:rsid w:val="00C14033"/>
    <w:rsid w:val="00C14F98"/>
    <w:rsid w:val="00C158D4"/>
    <w:rsid w:val="00C170C2"/>
    <w:rsid w:val="00C17547"/>
    <w:rsid w:val="00C17897"/>
    <w:rsid w:val="00C202E9"/>
    <w:rsid w:val="00C2199B"/>
    <w:rsid w:val="00C21A7C"/>
    <w:rsid w:val="00C22ACF"/>
    <w:rsid w:val="00C23D5E"/>
    <w:rsid w:val="00C24B30"/>
    <w:rsid w:val="00C24D55"/>
    <w:rsid w:val="00C273C7"/>
    <w:rsid w:val="00C30D93"/>
    <w:rsid w:val="00C312D2"/>
    <w:rsid w:val="00C3136D"/>
    <w:rsid w:val="00C32B95"/>
    <w:rsid w:val="00C32CD4"/>
    <w:rsid w:val="00C357DB"/>
    <w:rsid w:val="00C362A6"/>
    <w:rsid w:val="00C367C9"/>
    <w:rsid w:val="00C36AE6"/>
    <w:rsid w:val="00C40052"/>
    <w:rsid w:val="00C409D5"/>
    <w:rsid w:val="00C40B13"/>
    <w:rsid w:val="00C41CD2"/>
    <w:rsid w:val="00C435C3"/>
    <w:rsid w:val="00C43FAE"/>
    <w:rsid w:val="00C44133"/>
    <w:rsid w:val="00C4460E"/>
    <w:rsid w:val="00C44B9B"/>
    <w:rsid w:val="00C44CC9"/>
    <w:rsid w:val="00C44E5F"/>
    <w:rsid w:val="00C46B05"/>
    <w:rsid w:val="00C4722C"/>
    <w:rsid w:val="00C50334"/>
    <w:rsid w:val="00C51595"/>
    <w:rsid w:val="00C51B7C"/>
    <w:rsid w:val="00C52727"/>
    <w:rsid w:val="00C60976"/>
    <w:rsid w:val="00C60C51"/>
    <w:rsid w:val="00C61B63"/>
    <w:rsid w:val="00C6234B"/>
    <w:rsid w:val="00C639EB"/>
    <w:rsid w:val="00C63EAE"/>
    <w:rsid w:val="00C656EE"/>
    <w:rsid w:val="00C676CE"/>
    <w:rsid w:val="00C70702"/>
    <w:rsid w:val="00C70E01"/>
    <w:rsid w:val="00C73260"/>
    <w:rsid w:val="00C74B5F"/>
    <w:rsid w:val="00C7540C"/>
    <w:rsid w:val="00C7544F"/>
    <w:rsid w:val="00C7629F"/>
    <w:rsid w:val="00C771BE"/>
    <w:rsid w:val="00C823AC"/>
    <w:rsid w:val="00C83796"/>
    <w:rsid w:val="00C851C0"/>
    <w:rsid w:val="00C8531E"/>
    <w:rsid w:val="00C856E8"/>
    <w:rsid w:val="00C85990"/>
    <w:rsid w:val="00C8661B"/>
    <w:rsid w:val="00C87DC1"/>
    <w:rsid w:val="00C87F56"/>
    <w:rsid w:val="00C939C5"/>
    <w:rsid w:val="00C93C63"/>
    <w:rsid w:val="00C94925"/>
    <w:rsid w:val="00C94A3A"/>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025"/>
    <w:rsid w:val="00CA77FB"/>
    <w:rsid w:val="00CA793D"/>
    <w:rsid w:val="00CA7942"/>
    <w:rsid w:val="00CB026C"/>
    <w:rsid w:val="00CB0C67"/>
    <w:rsid w:val="00CB0FAB"/>
    <w:rsid w:val="00CB2886"/>
    <w:rsid w:val="00CB3293"/>
    <w:rsid w:val="00CB379B"/>
    <w:rsid w:val="00CB3BF4"/>
    <w:rsid w:val="00CB4074"/>
    <w:rsid w:val="00CB454A"/>
    <w:rsid w:val="00CB4F88"/>
    <w:rsid w:val="00CB59D1"/>
    <w:rsid w:val="00CB5DD0"/>
    <w:rsid w:val="00CC06BA"/>
    <w:rsid w:val="00CC269A"/>
    <w:rsid w:val="00CC4AD9"/>
    <w:rsid w:val="00CC51D4"/>
    <w:rsid w:val="00CC65DA"/>
    <w:rsid w:val="00CC6C62"/>
    <w:rsid w:val="00CC794C"/>
    <w:rsid w:val="00CD0A83"/>
    <w:rsid w:val="00CD1043"/>
    <w:rsid w:val="00CD13F3"/>
    <w:rsid w:val="00CD14B9"/>
    <w:rsid w:val="00CD1609"/>
    <w:rsid w:val="00CD1962"/>
    <w:rsid w:val="00CD2555"/>
    <w:rsid w:val="00CD46B3"/>
    <w:rsid w:val="00CD692C"/>
    <w:rsid w:val="00CD6C8C"/>
    <w:rsid w:val="00CE11CC"/>
    <w:rsid w:val="00CE18A4"/>
    <w:rsid w:val="00CE2455"/>
    <w:rsid w:val="00CE2AA7"/>
    <w:rsid w:val="00CE31D4"/>
    <w:rsid w:val="00CE3F87"/>
    <w:rsid w:val="00CE4916"/>
    <w:rsid w:val="00CE5AA0"/>
    <w:rsid w:val="00CE5F65"/>
    <w:rsid w:val="00CE7ACC"/>
    <w:rsid w:val="00CF0103"/>
    <w:rsid w:val="00CF1006"/>
    <w:rsid w:val="00CF1235"/>
    <w:rsid w:val="00CF174F"/>
    <w:rsid w:val="00CF18FA"/>
    <w:rsid w:val="00CF1921"/>
    <w:rsid w:val="00CF21B9"/>
    <w:rsid w:val="00CF2A2D"/>
    <w:rsid w:val="00CF43EE"/>
    <w:rsid w:val="00CF581F"/>
    <w:rsid w:val="00CF6950"/>
    <w:rsid w:val="00CF6BF9"/>
    <w:rsid w:val="00D00748"/>
    <w:rsid w:val="00D02A5C"/>
    <w:rsid w:val="00D03800"/>
    <w:rsid w:val="00D05441"/>
    <w:rsid w:val="00D065D3"/>
    <w:rsid w:val="00D10DD2"/>
    <w:rsid w:val="00D117A9"/>
    <w:rsid w:val="00D11C4B"/>
    <w:rsid w:val="00D12AEC"/>
    <w:rsid w:val="00D13799"/>
    <w:rsid w:val="00D14142"/>
    <w:rsid w:val="00D14A27"/>
    <w:rsid w:val="00D14C94"/>
    <w:rsid w:val="00D1675F"/>
    <w:rsid w:val="00D20C48"/>
    <w:rsid w:val="00D215E1"/>
    <w:rsid w:val="00D21881"/>
    <w:rsid w:val="00D21DF3"/>
    <w:rsid w:val="00D22066"/>
    <w:rsid w:val="00D231C8"/>
    <w:rsid w:val="00D256FA"/>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378FF"/>
    <w:rsid w:val="00D400F9"/>
    <w:rsid w:val="00D41024"/>
    <w:rsid w:val="00D428AA"/>
    <w:rsid w:val="00D43825"/>
    <w:rsid w:val="00D443BE"/>
    <w:rsid w:val="00D44FAA"/>
    <w:rsid w:val="00D45CA6"/>
    <w:rsid w:val="00D464BF"/>
    <w:rsid w:val="00D46635"/>
    <w:rsid w:val="00D467D9"/>
    <w:rsid w:val="00D52BDB"/>
    <w:rsid w:val="00D52C12"/>
    <w:rsid w:val="00D5356B"/>
    <w:rsid w:val="00D53E26"/>
    <w:rsid w:val="00D553D3"/>
    <w:rsid w:val="00D557EE"/>
    <w:rsid w:val="00D564D2"/>
    <w:rsid w:val="00D57074"/>
    <w:rsid w:val="00D60EE3"/>
    <w:rsid w:val="00D60EE7"/>
    <w:rsid w:val="00D62143"/>
    <w:rsid w:val="00D62F75"/>
    <w:rsid w:val="00D630BE"/>
    <w:rsid w:val="00D6322D"/>
    <w:rsid w:val="00D65EBE"/>
    <w:rsid w:val="00D70E31"/>
    <w:rsid w:val="00D711B2"/>
    <w:rsid w:val="00D72DA3"/>
    <w:rsid w:val="00D73F95"/>
    <w:rsid w:val="00D755F8"/>
    <w:rsid w:val="00D76752"/>
    <w:rsid w:val="00D77688"/>
    <w:rsid w:val="00D802A1"/>
    <w:rsid w:val="00D8159D"/>
    <w:rsid w:val="00D816AC"/>
    <w:rsid w:val="00D829B1"/>
    <w:rsid w:val="00D8377A"/>
    <w:rsid w:val="00D84D15"/>
    <w:rsid w:val="00D85297"/>
    <w:rsid w:val="00D85B77"/>
    <w:rsid w:val="00D87054"/>
    <w:rsid w:val="00D87308"/>
    <w:rsid w:val="00D9080F"/>
    <w:rsid w:val="00D913A7"/>
    <w:rsid w:val="00D94CCE"/>
    <w:rsid w:val="00D95055"/>
    <w:rsid w:val="00D95AA4"/>
    <w:rsid w:val="00D97194"/>
    <w:rsid w:val="00D979E4"/>
    <w:rsid w:val="00DA0339"/>
    <w:rsid w:val="00DA61BD"/>
    <w:rsid w:val="00DA653F"/>
    <w:rsid w:val="00DA6EF0"/>
    <w:rsid w:val="00DA78EC"/>
    <w:rsid w:val="00DB020A"/>
    <w:rsid w:val="00DB0EF5"/>
    <w:rsid w:val="00DB182C"/>
    <w:rsid w:val="00DB2582"/>
    <w:rsid w:val="00DB390F"/>
    <w:rsid w:val="00DB5402"/>
    <w:rsid w:val="00DB55BA"/>
    <w:rsid w:val="00DB5696"/>
    <w:rsid w:val="00DB62A2"/>
    <w:rsid w:val="00DC02C0"/>
    <w:rsid w:val="00DC0DE6"/>
    <w:rsid w:val="00DC0F46"/>
    <w:rsid w:val="00DC1AB9"/>
    <w:rsid w:val="00DC22D8"/>
    <w:rsid w:val="00DC2477"/>
    <w:rsid w:val="00DC2DB9"/>
    <w:rsid w:val="00DC30E6"/>
    <w:rsid w:val="00DC32A9"/>
    <w:rsid w:val="00DC3445"/>
    <w:rsid w:val="00DC3BD1"/>
    <w:rsid w:val="00DC4047"/>
    <w:rsid w:val="00DC4616"/>
    <w:rsid w:val="00DC4BB6"/>
    <w:rsid w:val="00DC61DA"/>
    <w:rsid w:val="00DC756E"/>
    <w:rsid w:val="00DC75EF"/>
    <w:rsid w:val="00DC7B09"/>
    <w:rsid w:val="00DD096C"/>
    <w:rsid w:val="00DD236B"/>
    <w:rsid w:val="00DD3302"/>
    <w:rsid w:val="00DD3943"/>
    <w:rsid w:val="00DD4F0E"/>
    <w:rsid w:val="00DD54ED"/>
    <w:rsid w:val="00DD5F22"/>
    <w:rsid w:val="00DD763B"/>
    <w:rsid w:val="00DE0C49"/>
    <w:rsid w:val="00DE1D45"/>
    <w:rsid w:val="00DE2E3D"/>
    <w:rsid w:val="00DE3B5A"/>
    <w:rsid w:val="00DE4ACD"/>
    <w:rsid w:val="00DE74ED"/>
    <w:rsid w:val="00DE7B7E"/>
    <w:rsid w:val="00DF0BF0"/>
    <w:rsid w:val="00DF1CB4"/>
    <w:rsid w:val="00DF3CA2"/>
    <w:rsid w:val="00DF5747"/>
    <w:rsid w:val="00DF69AA"/>
    <w:rsid w:val="00DF6A7B"/>
    <w:rsid w:val="00DF71DC"/>
    <w:rsid w:val="00DF753B"/>
    <w:rsid w:val="00DF7651"/>
    <w:rsid w:val="00DF78A4"/>
    <w:rsid w:val="00DF7E9D"/>
    <w:rsid w:val="00E002F6"/>
    <w:rsid w:val="00E01375"/>
    <w:rsid w:val="00E01463"/>
    <w:rsid w:val="00E01476"/>
    <w:rsid w:val="00E01A6B"/>
    <w:rsid w:val="00E0206C"/>
    <w:rsid w:val="00E02991"/>
    <w:rsid w:val="00E03B99"/>
    <w:rsid w:val="00E04DD8"/>
    <w:rsid w:val="00E04F2F"/>
    <w:rsid w:val="00E052C8"/>
    <w:rsid w:val="00E05E0A"/>
    <w:rsid w:val="00E060BE"/>
    <w:rsid w:val="00E062E2"/>
    <w:rsid w:val="00E10452"/>
    <w:rsid w:val="00E10E29"/>
    <w:rsid w:val="00E13241"/>
    <w:rsid w:val="00E154C3"/>
    <w:rsid w:val="00E16AAC"/>
    <w:rsid w:val="00E24857"/>
    <w:rsid w:val="00E25479"/>
    <w:rsid w:val="00E254B9"/>
    <w:rsid w:val="00E26F95"/>
    <w:rsid w:val="00E27337"/>
    <w:rsid w:val="00E27608"/>
    <w:rsid w:val="00E30423"/>
    <w:rsid w:val="00E3092E"/>
    <w:rsid w:val="00E3419F"/>
    <w:rsid w:val="00E348B6"/>
    <w:rsid w:val="00E36456"/>
    <w:rsid w:val="00E3651B"/>
    <w:rsid w:val="00E40697"/>
    <w:rsid w:val="00E40B05"/>
    <w:rsid w:val="00E41C8B"/>
    <w:rsid w:val="00E4302C"/>
    <w:rsid w:val="00E43795"/>
    <w:rsid w:val="00E442C8"/>
    <w:rsid w:val="00E44594"/>
    <w:rsid w:val="00E44D6B"/>
    <w:rsid w:val="00E451E6"/>
    <w:rsid w:val="00E45320"/>
    <w:rsid w:val="00E46FD6"/>
    <w:rsid w:val="00E474A8"/>
    <w:rsid w:val="00E47A98"/>
    <w:rsid w:val="00E5113B"/>
    <w:rsid w:val="00E512DA"/>
    <w:rsid w:val="00E5201F"/>
    <w:rsid w:val="00E521C9"/>
    <w:rsid w:val="00E534CF"/>
    <w:rsid w:val="00E538D3"/>
    <w:rsid w:val="00E54130"/>
    <w:rsid w:val="00E553F7"/>
    <w:rsid w:val="00E56D4F"/>
    <w:rsid w:val="00E57794"/>
    <w:rsid w:val="00E609EA"/>
    <w:rsid w:val="00E61918"/>
    <w:rsid w:val="00E65533"/>
    <w:rsid w:val="00E66A24"/>
    <w:rsid w:val="00E66EF8"/>
    <w:rsid w:val="00E6757C"/>
    <w:rsid w:val="00E70525"/>
    <w:rsid w:val="00E71517"/>
    <w:rsid w:val="00E72226"/>
    <w:rsid w:val="00E73CF4"/>
    <w:rsid w:val="00E759AB"/>
    <w:rsid w:val="00E75A8D"/>
    <w:rsid w:val="00E76552"/>
    <w:rsid w:val="00E77C52"/>
    <w:rsid w:val="00E80AA0"/>
    <w:rsid w:val="00E81AA5"/>
    <w:rsid w:val="00E81CB4"/>
    <w:rsid w:val="00E82735"/>
    <w:rsid w:val="00E82A33"/>
    <w:rsid w:val="00E8393E"/>
    <w:rsid w:val="00E83DD8"/>
    <w:rsid w:val="00E83F58"/>
    <w:rsid w:val="00E8585B"/>
    <w:rsid w:val="00E86C55"/>
    <w:rsid w:val="00E87CCE"/>
    <w:rsid w:val="00E87F41"/>
    <w:rsid w:val="00E90E21"/>
    <w:rsid w:val="00E91B27"/>
    <w:rsid w:val="00E92880"/>
    <w:rsid w:val="00E9330F"/>
    <w:rsid w:val="00E97083"/>
    <w:rsid w:val="00E973B0"/>
    <w:rsid w:val="00EA1225"/>
    <w:rsid w:val="00EA20BE"/>
    <w:rsid w:val="00EA396E"/>
    <w:rsid w:val="00EA3F15"/>
    <w:rsid w:val="00EA4C8C"/>
    <w:rsid w:val="00EA69C9"/>
    <w:rsid w:val="00EA7847"/>
    <w:rsid w:val="00EA7BB7"/>
    <w:rsid w:val="00EB16F4"/>
    <w:rsid w:val="00EB1CDF"/>
    <w:rsid w:val="00EB29E1"/>
    <w:rsid w:val="00EB2AD3"/>
    <w:rsid w:val="00EB2F92"/>
    <w:rsid w:val="00EB352A"/>
    <w:rsid w:val="00EB3D1E"/>
    <w:rsid w:val="00EB432F"/>
    <w:rsid w:val="00EB4C2F"/>
    <w:rsid w:val="00EB5054"/>
    <w:rsid w:val="00EC0085"/>
    <w:rsid w:val="00EC24EC"/>
    <w:rsid w:val="00EC40A1"/>
    <w:rsid w:val="00EC5748"/>
    <w:rsid w:val="00EC5A4B"/>
    <w:rsid w:val="00EC688C"/>
    <w:rsid w:val="00ED0150"/>
    <w:rsid w:val="00ED0D19"/>
    <w:rsid w:val="00ED130C"/>
    <w:rsid w:val="00ED2AFF"/>
    <w:rsid w:val="00ED2BDB"/>
    <w:rsid w:val="00ED4DE4"/>
    <w:rsid w:val="00ED5D82"/>
    <w:rsid w:val="00ED5F4D"/>
    <w:rsid w:val="00ED5FF2"/>
    <w:rsid w:val="00ED7DB3"/>
    <w:rsid w:val="00EE14D6"/>
    <w:rsid w:val="00EE1951"/>
    <w:rsid w:val="00EE1A46"/>
    <w:rsid w:val="00EE2109"/>
    <w:rsid w:val="00EE259D"/>
    <w:rsid w:val="00EE2E6E"/>
    <w:rsid w:val="00EE36B2"/>
    <w:rsid w:val="00EE3D03"/>
    <w:rsid w:val="00EE3FCD"/>
    <w:rsid w:val="00EE4FE4"/>
    <w:rsid w:val="00EE5E86"/>
    <w:rsid w:val="00EE5F87"/>
    <w:rsid w:val="00EE5FCC"/>
    <w:rsid w:val="00EE62C0"/>
    <w:rsid w:val="00EE64AA"/>
    <w:rsid w:val="00EE76C0"/>
    <w:rsid w:val="00EF3279"/>
    <w:rsid w:val="00EF4497"/>
    <w:rsid w:val="00EF579B"/>
    <w:rsid w:val="00F0030B"/>
    <w:rsid w:val="00F0035C"/>
    <w:rsid w:val="00F00B67"/>
    <w:rsid w:val="00F00C90"/>
    <w:rsid w:val="00F01EB4"/>
    <w:rsid w:val="00F02577"/>
    <w:rsid w:val="00F02C0E"/>
    <w:rsid w:val="00F044B6"/>
    <w:rsid w:val="00F04810"/>
    <w:rsid w:val="00F04C88"/>
    <w:rsid w:val="00F04C90"/>
    <w:rsid w:val="00F04E3E"/>
    <w:rsid w:val="00F04F0D"/>
    <w:rsid w:val="00F0759E"/>
    <w:rsid w:val="00F0789E"/>
    <w:rsid w:val="00F11188"/>
    <w:rsid w:val="00F11688"/>
    <w:rsid w:val="00F13E43"/>
    <w:rsid w:val="00F16A43"/>
    <w:rsid w:val="00F178D8"/>
    <w:rsid w:val="00F17914"/>
    <w:rsid w:val="00F17B18"/>
    <w:rsid w:val="00F20574"/>
    <w:rsid w:val="00F224BD"/>
    <w:rsid w:val="00F231C2"/>
    <w:rsid w:val="00F2375C"/>
    <w:rsid w:val="00F246AE"/>
    <w:rsid w:val="00F270E9"/>
    <w:rsid w:val="00F2718C"/>
    <w:rsid w:val="00F304FE"/>
    <w:rsid w:val="00F30572"/>
    <w:rsid w:val="00F3147E"/>
    <w:rsid w:val="00F3199B"/>
    <w:rsid w:val="00F33C91"/>
    <w:rsid w:val="00F35F07"/>
    <w:rsid w:val="00F35F1B"/>
    <w:rsid w:val="00F37A1B"/>
    <w:rsid w:val="00F40882"/>
    <w:rsid w:val="00F42E5E"/>
    <w:rsid w:val="00F43453"/>
    <w:rsid w:val="00F46780"/>
    <w:rsid w:val="00F50305"/>
    <w:rsid w:val="00F508BA"/>
    <w:rsid w:val="00F50AC4"/>
    <w:rsid w:val="00F51218"/>
    <w:rsid w:val="00F5126C"/>
    <w:rsid w:val="00F51A86"/>
    <w:rsid w:val="00F51C53"/>
    <w:rsid w:val="00F5250B"/>
    <w:rsid w:val="00F52701"/>
    <w:rsid w:val="00F532BA"/>
    <w:rsid w:val="00F54493"/>
    <w:rsid w:val="00F5566F"/>
    <w:rsid w:val="00F559EF"/>
    <w:rsid w:val="00F55A19"/>
    <w:rsid w:val="00F56125"/>
    <w:rsid w:val="00F57709"/>
    <w:rsid w:val="00F57CCB"/>
    <w:rsid w:val="00F6105A"/>
    <w:rsid w:val="00F6205E"/>
    <w:rsid w:val="00F62A1B"/>
    <w:rsid w:val="00F64373"/>
    <w:rsid w:val="00F678DC"/>
    <w:rsid w:val="00F70043"/>
    <w:rsid w:val="00F72B25"/>
    <w:rsid w:val="00F72B61"/>
    <w:rsid w:val="00F73E95"/>
    <w:rsid w:val="00F74C38"/>
    <w:rsid w:val="00F7510F"/>
    <w:rsid w:val="00F7693A"/>
    <w:rsid w:val="00F76BB6"/>
    <w:rsid w:val="00F76C1D"/>
    <w:rsid w:val="00F7760D"/>
    <w:rsid w:val="00F77B04"/>
    <w:rsid w:val="00F77D2D"/>
    <w:rsid w:val="00F800C1"/>
    <w:rsid w:val="00F80317"/>
    <w:rsid w:val="00F821A3"/>
    <w:rsid w:val="00F84552"/>
    <w:rsid w:val="00F85672"/>
    <w:rsid w:val="00F86028"/>
    <w:rsid w:val="00F86162"/>
    <w:rsid w:val="00F8748F"/>
    <w:rsid w:val="00F91043"/>
    <w:rsid w:val="00F91C11"/>
    <w:rsid w:val="00F9246F"/>
    <w:rsid w:val="00F9309A"/>
    <w:rsid w:val="00F9314A"/>
    <w:rsid w:val="00F940B2"/>
    <w:rsid w:val="00F94E61"/>
    <w:rsid w:val="00F95AF6"/>
    <w:rsid w:val="00F95D08"/>
    <w:rsid w:val="00F97186"/>
    <w:rsid w:val="00F9742E"/>
    <w:rsid w:val="00FA0E1E"/>
    <w:rsid w:val="00FA0E60"/>
    <w:rsid w:val="00FA11C5"/>
    <w:rsid w:val="00FA1462"/>
    <w:rsid w:val="00FA5808"/>
    <w:rsid w:val="00FA5BD7"/>
    <w:rsid w:val="00FA6880"/>
    <w:rsid w:val="00FA75EC"/>
    <w:rsid w:val="00FB19E8"/>
    <w:rsid w:val="00FB1DA9"/>
    <w:rsid w:val="00FB24A5"/>
    <w:rsid w:val="00FB2A38"/>
    <w:rsid w:val="00FB34B6"/>
    <w:rsid w:val="00FB397E"/>
    <w:rsid w:val="00FB41DE"/>
    <w:rsid w:val="00FB4D42"/>
    <w:rsid w:val="00FB5157"/>
    <w:rsid w:val="00FB5674"/>
    <w:rsid w:val="00FB5CA9"/>
    <w:rsid w:val="00FB5EC8"/>
    <w:rsid w:val="00FB61D1"/>
    <w:rsid w:val="00FB6C27"/>
    <w:rsid w:val="00FB7A02"/>
    <w:rsid w:val="00FC2521"/>
    <w:rsid w:val="00FC4B39"/>
    <w:rsid w:val="00FC4BFD"/>
    <w:rsid w:val="00FC524D"/>
    <w:rsid w:val="00FC5798"/>
    <w:rsid w:val="00FC58EF"/>
    <w:rsid w:val="00FC5ADC"/>
    <w:rsid w:val="00FC64D4"/>
    <w:rsid w:val="00FC783B"/>
    <w:rsid w:val="00FD0C28"/>
    <w:rsid w:val="00FD1049"/>
    <w:rsid w:val="00FD1785"/>
    <w:rsid w:val="00FD1A6C"/>
    <w:rsid w:val="00FD30C0"/>
    <w:rsid w:val="00FD33DF"/>
    <w:rsid w:val="00FD3CBE"/>
    <w:rsid w:val="00FD6E14"/>
    <w:rsid w:val="00FD79FF"/>
    <w:rsid w:val="00FE0EDE"/>
    <w:rsid w:val="00FE304A"/>
    <w:rsid w:val="00FE38A0"/>
    <w:rsid w:val="00FE39D7"/>
    <w:rsid w:val="00FE460F"/>
    <w:rsid w:val="00FE4ECD"/>
    <w:rsid w:val="00FE5A08"/>
    <w:rsid w:val="00FE6205"/>
    <w:rsid w:val="00FE771C"/>
    <w:rsid w:val="00FE7EAA"/>
    <w:rsid w:val="00FF0A41"/>
    <w:rsid w:val="00FF2D46"/>
    <w:rsid w:val="00FF4689"/>
    <w:rsid w:val="00FF75C5"/>
    <w:rsid w:val="00FF7A97"/>
    <w:rsid w:val="00FF7C1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A36EEE26-5C4B-4588-A842-BA28EB1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12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unhideWhenUsed/>
    <w:rsid w:val="003F09A7"/>
    <w:rPr>
      <w:color w:val="605E5C"/>
      <w:shd w:val="clear" w:color="auto" w:fill="E1DFDD"/>
    </w:rPr>
  </w:style>
  <w:style w:type="character" w:styleId="Mencionar">
    <w:name w:val="Mention"/>
    <w:basedOn w:val="Fuentedeprrafopredeter"/>
    <w:uiPriority w:val="99"/>
    <w:unhideWhenUsed/>
    <w:rsid w:val="003F09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569321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67097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7944097">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3727380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58165892">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0366667">
      <w:bodyDiv w:val="1"/>
      <w:marLeft w:val="0"/>
      <w:marRight w:val="0"/>
      <w:marTop w:val="0"/>
      <w:marBottom w:val="0"/>
      <w:divBdr>
        <w:top w:val="none" w:sz="0" w:space="0" w:color="auto"/>
        <w:left w:val="none" w:sz="0" w:space="0" w:color="auto"/>
        <w:bottom w:val="none" w:sz="0" w:space="0" w:color="auto"/>
        <w:right w:val="none" w:sz="0" w:space="0" w:color="auto"/>
      </w:divBdr>
    </w:div>
    <w:div w:id="461198070">
      <w:bodyDiv w:val="1"/>
      <w:marLeft w:val="0"/>
      <w:marRight w:val="0"/>
      <w:marTop w:val="0"/>
      <w:marBottom w:val="0"/>
      <w:divBdr>
        <w:top w:val="none" w:sz="0" w:space="0" w:color="auto"/>
        <w:left w:val="none" w:sz="0" w:space="0" w:color="auto"/>
        <w:bottom w:val="none" w:sz="0" w:space="0" w:color="auto"/>
        <w:right w:val="none" w:sz="0" w:space="0" w:color="auto"/>
      </w:divBdr>
    </w:div>
    <w:div w:id="47298351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50922026">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86280920">
      <w:bodyDiv w:val="1"/>
      <w:marLeft w:val="0"/>
      <w:marRight w:val="0"/>
      <w:marTop w:val="0"/>
      <w:marBottom w:val="0"/>
      <w:divBdr>
        <w:top w:val="none" w:sz="0" w:space="0" w:color="auto"/>
        <w:left w:val="none" w:sz="0" w:space="0" w:color="auto"/>
        <w:bottom w:val="none" w:sz="0" w:space="0" w:color="auto"/>
        <w:right w:val="none" w:sz="0" w:space="0" w:color="auto"/>
      </w:divBdr>
    </w:div>
    <w:div w:id="1004743096">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8627820">
      <w:bodyDiv w:val="1"/>
      <w:marLeft w:val="0"/>
      <w:marRight w:val="0"/>
      <w:marTop w:val="0"/>
      <w:marBottom w:val="0"/>
      <w:divBdr>
        <w:top w:val="none" w:sz="0" w:space="0" w:color="auto"/>
        <w:left w:val="none" w:sz="0" w:space="0" w:color="auto"/>
        <w:bottom w:val="none" w:sz="0" w:space="0" w:color="auto"/>
        <w:right w:val="none" w:sz="0" w:space="0" w:color="auto"/>
      </w:divBdr>
    </w:div>
    <w:div w:id="1230994967">
      <w:bodyDiv w:val="1"/>
      <w:marLeft w:val="0"/>
      <w:marRight w:val="0"/>
      <w:marTop w:val="0"/>
      <w:marBottom w:val="0"/>
      <w:divBdr>
        <w:top w:val="none" w:sz="0" w:space="0" w:color="auto"/>
        <w:left w:val="none" w:sz="0" w:space="0" w:color="auto"/>
        <w:bottom w:val="none" w:sz="0" w:space="0" w:color="auto"/>
        <w:right w:val="none" w:sz="0" w:space="0" w:color="auto"/>
      </w:divBdr>
    </w:div>
    <w:div w:id="1236628956">
      <w:bodyDiv w:val="1"/>
      <w:marLeft w:val="0"/>
      <w:marRight w:val="0"/>
      <w:marTop w:val="0"/>
      <w:marBottom w:val="0"/>
      <w:divBdr>
        <w:top w:val="none" w:sz="0" w:space="0" w:color="auto"/>
        <w:left w:val="none" w:sz="0" w:space="0" w:color="auto"/>
        <w:bottom w:val="none" w:sz="0" w:space="0" w:color="auto"/>
        <w:right w:val="none" w:sz="0" w:space="0" w:color="auto"/>
      </w:divBdr>
    </w:div>
    <w:div w:id="1348947991">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3179276">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91027280">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16921">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055969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55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8" ma:contentTypeDescription="Crear nuevo documento." ma:contentTypeScope="" ma:versionID="0dc4156ea24e0361ac8a371f9ee83c5c">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fde1f4b75f142420b92f4baccda7bbd4"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B3C1-4BCE-4A13-8658-9790EDED109D}">
  <ds:schemaRefs>
    <ds:schemaRef ds:uri="http://schemas.microsoft.com/sharepoint/v3/contenttype/forms"/>
  </ds:schemaRefs>
</ds:datastoreItem>
</file>

<file path=customXml/itemProps2.xml><?xml version="1.0" encoding="utf-8"?>
<ds:datastoreItem xmlns:ds="http://schemas.openxmlformats.org/officeDocument/2006/customXml" ds:itemID="{7C1005D3-FF25-4B82-BF77-DFBD6917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F547E-A18F-4A96-8DA9-839905C621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565907-F772-4BD1-BBB2-2A7DD8C2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35</Pages>
  <Words>17386</Words>
  <Characters>95629</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2020-06-17T17:59:00Z</cp:lastPrinted>
  <dcterms:created xsi:type="dcterms:W3CDTF">2020-06-18T17:30:00Z</dcterms:created>
  <dcterms:modified xsi:type="dcterms:W3CDTF">2020-06-18T17:30:00Z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