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562E" w14:textId="77777777" w:rsidR="00625DC6" w:rsidRPr="00026F1E" w:rsidRDefault="00A36679"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50657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70541962" r:id="rId9"/>
        </w:object>
      </w:r>
    </w:p>
    <w:p w14:paraId="6F688E5B" w14:textId="77777777" w:rsidR="00CA77FB" w:rsidRPr="00026F1E" w:rsidRDefault="00CA77FB" w:rsidP="005E0A2A">
      <w:pPr>
        <w:jc w:val="center"/>
        <w:rPr>
          <w:noProof/>
        </w:rPr>
      </w:pPr>
      <w:r w:rsidRPr="00026F1E">
        <w:t>Ministerio de Minas y Energía</w:t>
      </w:r>
    </w:p>
    <w:p w14:paraId="192A22B6" w14:textId="77777777" w:rsidR="00CA77FB" w:rsidRPr="00026F1E" w:rsidRDefault="00CA77FB" w:rsidP="005E0A2A"/>
    <w:p w14:paraId="00825818" w14:textId="77777777" w:rsidR="00CA77FB" w:rsidRPr="00026F1E" w:rsidRDefault="00CA77FB" w:rsidP="005E0A2A">
      <w:pPr>
        <w:jc w:val="center"/>
        <w:rPr>
          <w:b/>
        </w:rPr>
      </w:pPr>
      <w:r w:rsidRPr="00026F1E">
        <w:rPr>
          <w:b/>
        </w:rPr>
        <w:t>COMISIÓN DE REGULACIÓN DE ENERGÍA Y GAS</w:t>
      </w:r>
    </w:p>
    <w:p w14:paraId="237A3822" w14:textId="77777777" w:rsidR="00CA77FB" w:rsidRPr="00026F1E" w:rsidRDefault="00CA77FB" w:rsidP="005E0A2A"/>
    <w:p w14:paraId="22C838A9" w14:textId="77777777" w:rsidR="00CA77FB" w:rsidRPr="00026F1E" w:rsidRDefault="00CA77FB" w:rsidP="005E0A2A"/>
    <w:p w14:paraId="7632753C" w14:textId="1AB4E0FF" w:rsidR="00CA77FB" w:rsidRPr="00026F1E" w:rsidRDefault="00CA77FB" w:rsidP="005E0A2A">
      <w:pPr>
        <w:jc w:val="center"/>
        <w:rPr>
          <w:b/>
        </w:rPr>
      </w:pPr>
      <w:r w:rsidRPr="00026F1E">
        <w:rPr>
          <w:b/>
        </w:rPr>
        <w:t xml:space="preserve">RESOLUCIÓN No. </w:t>
      </w:r>
      <w:r w:rsidR="00795BFB" w:rsidRPr="00026F1E">
        <w:rPr>
          <w:b/>
        </w:rPr>
        <w:t xml:space="preserve">                  </w:t>
      </w:r>
      <w:r w:rsidRPr="00026F1E">
        <w:rPr>
          <w:b/>
        </w:rPr>
        <w:t>DE 20</w:t>
      </w:r>
      <w:r w:rsidR="00795BFB" w:rsidRPr="00026F1E">
        <w:rPr>
          <w:b/>
        </w:rPr>
        <w:t>1</w:t>
      </w:r>
      <w:r w:rsidR="005C2084">
        <w:rPr>
          <w:b/>
        </w:rPr>
        <w:t>7</w:t>
      </w:r>
    </w:p>
    <w:p w14:paraId="08C86C15" w14:textId="77777777" w:rsidR="00CA77FB" w:rsidRPr="00026F1E" w:rsidRDefault="00CA77FB" w:rsidP="00012259">
      <w:pPr>
        <w:tabs>
          <w:tab w:val="left" w:pos="0"/>
          <w:tab w:val="right" w:pos="9356"/>
        </w:tabs>
        <w:ind w:left="0"/>
        <w:jc w:val="center"/>
        <w:rPr>
          <w:rFonts w:cs="Arial"/>
          <w:b/>
          <w:snapToGrid w:val="0"/>
          <w:color w:val="000000"/>
          <w:lang w:val="es-ES_tradnl"/>
        </w:rPr>
      </w:pPr>
    </w:p>
    <w:p w14:paraId="0BE72571" w14:textId="77777777" w:rsidR="00CA77FB" w:rsidRPr="00026F1E" w:rsidRDefault="00CA77FB" w:rsidP="005E0A2A">
      <w:pPr>
        <w:jc w:val="center"/>
        <w:rPr>
          <w:b/>
        </w:rPr>
      </w:pPr>
      <w:r w:rsidRPr="00026F1E">
        <w:rPr>
          <w:b/>
        </w:rPr>
        <w:t>(                                  )</w:t>
      </w:r>
    </w:p>
    <w:p w14:paraId="3D94224A" w14:textId="77777777" w:rsidR="00CA77FB" w:rsidRPr="00026F1E" w:rsidRDefault="00CA77FB" w:rsidP="00012259">
      <w:pPr>
        <w:tabs>
          <w:tab w:val="left" w:pos="0"/>
          <w:tab w:val="right" w:pos="9356"/>
        </w:tabs>
        <w:ind w:left="0"/>
        <w:jc w:val="center"/>
        <w:rPr>
          <w:lang w:val="es-ES_tradnl"/>
        </w:rPr>
      </w:pPr>
    </w:p>
    <w:p w14:paraId="76F43A3C" w14:textId="77777777" w:rsidR="00C034CB" w:rsidRPr="00026F1E" w:rsidRDefault="00C034CB" w:rsidP="005E0A2A">
      <w:pPr>
        <w:rPr>
          <w:lang w:val="es-CO"/>
        </w:rPr>
      </w:pPr>
    </w:p>
    <w:p w14:paraId="126B0955" w14:textId="77777777" w:rsidR="00B351B4" w:rsidRPr="00026F1E" w:rsidRDefault="00B351B4" w:rsidP="005E0A2A">
      <w:pPr>
        <w:rPr>
          <w:lang w:val="es-CO"/>
        </w:rPr>
      </w:pPr>
    </w:p>
    <w:p w14:paraId="2F51CD55" w14:textId="71AB53B3" w:rsidR="00045D3D" w:rsidRPr="00026F1E" w:rsidRDefault="00045D3D" w:rsidP="00045D3D">
      <w:pPr>
        <w:ind w:left="0"/>
        <w:jc w:val="center"/>
      </w:pPr>
      <w:r w:rsidRPr="00026F1E">
        <w:t xml:space="preserve">Por </w:t>
      </w:r>
      <w:r w:rsidR="0035377C" w:rsidRPr="00026F1E">
        <w:rPr>
          <w:rFonts w:cs="Arial"/>
        </w:rPr>
        <w:t>la cual se ordena hacer público un proyecto de resolución de carácter general, “</w:t>
      </w:r>
      <w:r w:rsidR="0035377C" w:rsidRPr="00026F1E">
        <w:rPr>
          <w:rFonts w:cs="Arial"/>
          <w:lang w:val="es-ES_tradnl"/>
        </w:rPr>
        <w:t>P</w:t>
      </w:r>
      <w:proofErr w:type="spellStart"/>
      <w:r w:rsidR="0035377C" w:rsidRPr="00026F1E">
        <w:rPr>
          <w:rFonts w:cs="Arial"/>
        </w:rPr>
        <w:t>or</w:t>
      </w:r>
      <w:proofErr w:type="spellEnd"/>
      <w:r w:rsidR="0035377C" w:rsidRPr="00026F1E">
        <w:rPr>
          <w:rFonts w:cs="Arial"/>
        </w:rPr>
        <w:t xml:space="preserve"> la cual se modifica el Reglamento Único de Transporte de Gas Natural - RUT – adoptado mediante Resolución CREG 071 de 1999”</w:t>
      </w:r>
    </w:p>
    <w:p w14:paraId="703F0C58" w14:textId="77777777" w:rsidR="00045D3D" w:rsidRPr="005C2084" w:rsidRDefault="00045D3D" w:rsidP="00045D3D">
      <w:pPr>
        <w:ind w:right="51"/>
        <w:rPr>
          <w:sz w:val="20"/>
        </w:rPr>
      </w:pPr>
    </w:p>
    <w:p w14:paraId="28285D12" w14:textId="77777777" w:rsidR="005C2084" w:rsidRPr="00026F1E" w:rsidRDefault="005C2084" w:rsidP="00045D3D">
      <w:pPr>
        <w:ind w:right="51"/>
      </w:pPr>
    </w:p>
    <w:p w14:paraId="3DC97D56" w14:textId="79A675AB" w:rsidR="00045D3D" w:rsidRPr="00026F1E" w:rsidRDefault="00DB3E34" w:rsidP="00045D3D">
      <w:pPr>
        <w:ind w:right="51"/>
        <w:jc w:val="center"/>
        <w:rPr>
          <w:b/>
        </w:rPr>
      </w:pPr>
      <w:r>
        <w:rPr>
          <w:b/>
        </w:rPr>
        <w:t xml:space="preserve">LA COMISIÓN DE REGULACIÓN DE </w:t>
      </w:r>
      <w:r w:rsidR="00045D3D" w:rsidRPr="00026F1E">
        <w:rPr>
          <w:b/>
        </w:rPr>
        <w:t>ENERGÍA Y GAS</w:t>
      </w:r>
    </w:p>
    <w:p w14:paraId="75DA1F56" w14:textId="77777777" w:rsidR="00045D3D" w:rsidRPr="00026F1E" w:rsidRDefault="00045D3D" w:rsidP="00045D3D">
      <w:pPr>
        <w:ind w:left="0" w:right="51"/>
      </w:pPr>
    </w:p>
    <w:p w14:paraId="4BF110F1" w14:textId="77777777" w:rsidR="00045D3D" w:rsidRPr="00026F1E" w:rsidRDefault="00045D3D" w:rsidP="00045D3D">
      <w:pPr>
        <w:ind w:left="0" w:right="51"/>
      </w:pPr>
    </w:p>
    <w:p w14:paraId="7A23BA33" w14:textId="0FD4803F" w:rsidR="00045D3D" w:rsidRPr="00026F1E" w:rsidRDefault="00045D3D" w:rsidP="005E0A2A">
      <w:pPr>
        <w:jc w:val="center"/>
      </w:pPr>
      <w:r w:rsidRPr="00026F1E">
        <w:t xml:space="preserve">En ejercicio de sus atribuciones constitucionales y legales, en especial las conferidas por las </w:t>
      </w:r>
      <w:r w:rsidR="002352B9" w:rsidRPr="00026F1E">
        <w:t>l</w:t>
      </w:r>
      <w:r w:rsidRPr="00026F1E">
        <w:t xml:space="preserve">eyes 142 </w:t>
      </w:r>
      <w:r w:rsidR="00417F13" w:rsidRPr="00026F1E">
        <w:t>de 1994</w:t>
      </w:r>
      <w:r w:rsidRPr="00026F1E">
        <w:t xml:space="preserve"> y en desarrollo de los </w:t>
      </w:r>
      <w:r w:rsidR="00BC157A">
        <w:t>D</w:t>
      </w:r>
      <w:r w:rsidRPr="00026F1E">
        <w:t>ecretos 1524 y 2253 de 1994</w:t>
      </w:r>
      <w:r w:rsidR="00E26EB5" w:rsidRPr="00026F1E">
        <w:t xml:space="preserve"> y 1260 de 2013, y</w:t>
      </w:r>
    </w:p>
    <w:p w14:paraId="47AB2FC3" w14:textId="77777777" w:rsidR="00045D3D" w:rsidRPr="00026F1E" w:rsidRDefault="00045D3D" w:rsidP="00045D3D">
      <w:pPr>
        <w:ind w:right="51"/>
      </w:pPr>
    </w:p>
    <w:p w14:paraId="0D5421C9" w14:textId="77777777" w:rsidR="00045D3D" w:rsidRPr="00026F1E" w:rsidRDefault="00045D3D" w:rsidP="00045D3D">
      <w:pPr>
        <w:ind w:right="51"/>
      </w:pPr>
    </w:p>
    <w:p w14:paraId="6FA0DC9B" w14:textId="77777777" w:rsidR="00045D3D" w:rsidRPr="00026F1E" w:rsidRDefault="00045D3D" w:rsidP="00045D3D">
      <w:pPr>
        <w:ind w:right="51"/>
        <w:jc w:val="center"/>
        <w:rPr>
          <w:b/>
        </w:rPr>
      </w:pPr>
      <w:r w:rsidRPr="00026F1E">
        <w:rPr>
          <w:b/>
        </w:rPr>
        <w:t xml:space="preserve">C O N S I D E R A N D </w:t>
      </w:r>
      <w:proofErr w:type="gramStart"/>
      <w:r w:rsidRPr="00026F1E">
        <w:rPr>
          <w:b/>
        </w:rPr>
        <w:t>O  Q</w:t>
      </w:r>
      <w:proofErr w:type="gramEnd"/>
      <w:r w:rsidRPr="00026F1E">
        <w:rPr>
          <w:b/>
        </w:rPr>
        <w:t xml:space="preserve"> U E:</w:t>
      </w:r>
    </w:p>
    <w:p w14:paraId="093C162E" w14:textId="77777777" w:rsidR="00045D3D" w:rsidRPr="005C2084" w:rsidRDefault="00045D3D" w:rsidP="00045D3D">
      <w:pPr>
        <w:ind w:right="51"/>
        <w:jc w:val="center"/>
        <w:rPr>
          <w:b/>
          <w:sz w:val="20"/>
        </w:rPr>
      </w:pPr>
    </w:p>
    <w:p w14:paraId="612B9D87" w14:textId="77777777" w:rsidR="00045D3D" w:rsidRPr="00026F1E" w:rsidRDefault="00045D3D" w:rsidP="00045D3D">
      <w:pPr>
        <w:rPr>
          <w:b/>
        </w:rPr>
      </w:pPr>
    </w:p>
    <w:p w14:paraId="03B371DA" w14:textId="7DAF3425" w:rsidR="0035377C" w:rsidRPr="00026F1E" w:rsidRDefault="0035377C" w:rsidP="0035377C">
      <w:pPr>
        <w:widowControl w:val="0"/>
        <w:adjustRightInd w:val="0"/>
        <w:ind w:left="0"/>
        <w:jc w:val="both"/>
        <w:textAlignment w:val="baseline"/>
        <w:rPr>
          <w:spacing w:val="-3"/>
          <w:lang w:val="es-ES_tradnl" w:eastAsia="x-none"/>
        </w:rPr>
      </w:pPr>
      <w:r w:rsidRPr="00026F1E">
        <w:rPr>
          <w:spacing w:val="-3"/>
          <w:lang w:val="es-ES_tradnl" w:eastAsia="x-none"/>
        </w:rPr>
        <w:t>Conforme a lo dispuesto en el Decreto 1078 de 2015, concordante con el artículo 8 del Código de Procedimiento Administrativo</w:t>
      </w:r>
      <w:r w:rsidR="00CE0C60" w:rsidRPr="00026F1E">
        <w:rPr>
          <w:spacing w:val="-3"/>
          <w:lang w:val="es-ES_tradnl" w:eastAsia="x-none"/>
        </w:rPr>
        <w:t xml:space="preserve"> y</w:t>
      </w:r>
      <w:r w:rsidRPr="00026F1E">
        <w:rPr>
          <w:spacing w:val="-3"/>
          <w:lang w:val="es-ES_tradnl" w:eastAsia="x-none"/>
        </w:rPr>
        <w:t xml:space="preserve"> de lo Contencioso Administrativo, la Comisión debe hacer público en su página web todos los proyectos de resolución de carácter general que pretenda adoptar.</w:t>
      </w:r>
    </w:p>
    <w:p w14:paraId="16235E69" w14:textId="77777777" w:rsidR="0035377C" w:rsidRPr="00026F1E" w:rsidRDefault="0035377C" w:rsidP="0035377C">
      <w:pPr>
        <w:ind w:left="0"/>
        <w:jc w:val="both"/>
      </w:pPr>
    </w:p>
    <w:p w14:paraId="65E9AE0B" w14:textId="5CF0F244" w:rsidR="0035377C" w:rsidRPr="00026F1E" w:rsidRDefault="0035377C" w:rsidP="0035377C">
      <w:pPr>
        <w:ind w:left="0"/>
        <w:jc w:val="both"/>
        <w:rPr>
          <w:rFonts w:cs="Arial"/>
          <w:lang w:val="es-CO"/>
        </w:rPr>
      </w:pPr>
      <w:r w:rsidRPr="00026F1E">
        <w:t xml:space="preserve">La Comisión de Regulación de Energía y Gas, en su Sesión </w:t>
      </w:r>
      <w:r w:rsidR="002D1611" w:rsidRPr="00577C9D">
        <w:t>799</w:t>
      </w:r>
      <w:r w:rsidRPr="00026F1E">
        <w:t xml:space="preserve"> del </w:t>
      </w:r>
      <w:r w:rsidR="002D1611">
        <w:t>4</w:t>
      </w:r>
      <w:r w:rsidRPr="00026F1E">
        <w:t xml:space="preserve"> de </w:t>
      </w:r>
      <w:r w:rsidR="002D1611">
        <w:t>septiembre</w:t>
      </w:r>
      <w:r w:rsidRPr="00026F1E">
        <w:t xml:space="preserve"> de 201</w:t>
      </w:r>
      <w:r w:rsidR="001E69F7">
        <w:t>7</w:t>
      </w:r>
      <w:r w:rsidRPr="00026F1E">
        <w:t xml:space="preserve">, acordó </w:t>
      </w:r>
      <w:r w:rsidRPr="00026F1E">
        <w:rPr>
          <w:spacing w:val="-3"/>
          <w:lang w:val="es-ES_tradnl" w:eastAsia="x-none"/>
        </w:rPr>
        <w:t>hacer público el proyecto de resolución</w:t>
      </w:r>
      <w:r w:rsidRPr="00026F1E">
        <w:rPr>
          <w:rFonts w:cs="Arial"/>
          <w:color w:val="000000"/>
          <w:lang w:eastAsia="es-CO"/>
        </w:rPr>
        <w:t xml:space="preserve"> </w:t>
      </w:r>
      <w:r w:rsidRPr="00026F1E">
        <w:rPr>
          <w:rFonts w:cs="Arial"/>
        </w:rPr>
        <w:t>“</w:t>
      </w:r>
      <w:r w:rsidRPr="00026F1E">
        <w:rPr>
          <w:rFonts w:cs="Arial"/>
          <w:lang w:val="es-ES_tradnl"/>
        </w:rPr>
        <w:t>P</w:t>
      </w:r>
      <w:proofErr w:type="spellStart"/>
      <w:r w:rsidRPr="00026F1E">
        <w:rPr>
          <w:rFonts w:cs="Arial"/>
        </w:rPr>
        <w:t>or</w:t>
      </w:r>
      <w:proofErr w:type="spellEnd"/>
      <w:r w:rsidRPr="00026F1E">
        <w:rPr>
          <w:rFonts w:cs="Arial"/>
        </w:rPr>
        <w:t xml:space="preserve"> la cual se modifica el Reglamento Único de Transporte de Gas Natural  - RUT – adoptado mediante Resolución CREG 071 de 1999”</w:t>
      </w:r>
      <w:r w:rsidRPr="00026F1E">
        <w:rPr>
          <w:rFonts w:cs="Arial"/>
          <w:lang w:val="es-CO"/>
        </w:rPr>
        <w:t>.</w:t>
      </w:r>
    </w:p>
    <w:p w14:paraId="50C6DC46" w14:textId="77777777" w:rsidR="00045D3D" w:rsidRPr="005C2084" w:rsidRDefault="00045D3D" w:rsidP="00045D3D">
      <w:pPr>
        <w:ind w:left="0"/>
        <w:rPr>
          <w:sz w:val="18"/>
        </w:rPr>
      </w:pPr>
    </w:p>
    <w:p w14:paraId="77FD4211" w14:textId="77777777" w:rsidR="00045D3D" w:rsidRPr="00026F1E" w:rsidRDefault="00045D3D" w:rsidP="00045D3D">
      <w:pPr>
        <w:suppressAutoHyphens/>
        <w:jc w:val="center"/>
        <w:rPr>
          <w:b/>
          <w:spacing w:val="-3"/>
        </w:rPr>
      </w:pPr>
    </w:p>
    <w:p w14:paraId="49DC81CF" w14:textId="77777777" w:rsidR="00045D3D" w:rsidRPr="00026F1E" w:rsidRDefault="00045D3D" w:rsidP="00045D3D">
      <w:pPr>
        <w:suppressAutoHyphens/>
        <w:jc w:val="center"/>
        <w:rPr>
          <w:spacing w:val="-3"/>
        </w:rPr>
      </w:pPr>
      <w:r w:rsidRPr="00026F1E">
        <w:rPr>
          <w:b/>
          <w:spacing w:val="-3"/>
        </w:rPr>
        <w:t>R E S U E L V E:</w:t>
      </w:r>
    </w:p>
    <w:p w14:paraId="2B6CB0F3" w14:textId="77777777" w:rsidR="00045D3D" w:rsidRPr="005C2084" w:rsidRDefault="00045D3D" w:rsidP="00045D3D">
      <w:pPr>
        <w:jc w:val="center"/>
        <w:rPr>
          <w:sz w:val="32"/>
        </w:rPr>
      </w:pPr>
    </w:p>
    <w:p w14:paraId="03CD3073" w14:textId="77777777" w:rsidR="00817F21" w:rsidRPr="00026F1E" w:rsidRDefault="00817F21" w:rsidP="00817F21">
      <w:pPr>
        <w:pStyle w:val="ARTICULOS"/>
        <w:keepNext/>
        <w:ind w:left="0" w:firstLine="0"/>
        <w:outlineLvl w:val="0"/>
        <w:rPr>
          <w:bCs w:val="0"/>
          <w:color w:val="000000"/>
          <w:lang w:val="es-ES_tradnl" w:eastAsia="es-CO"/>
        </w:rPr>
      </w:pPr>
      <w:r w:rsidRPr="00026F1E">
        <w:t>Hágase público el proyecto de resolución “</w:t>
      </w:r>
      <w:r w:rsidRPr="00026F1E">
        <w:rPr>
          <w:lang w:val="es-ES_tradnl"/>
        </w:rPr>
        <w:t>P</w:t>
      </w:r>
      <w:proofErr w:type="spellStart"/>
      <w:r w:rsidRPr="00026F1E">
        <w:t>or</w:t>
      </w:r>
      <w:proofErr w:type="spellEnd"/>
      <w:r w:rsidRPr="00026F1E">
        <w:t xml:space="preserve"> la cual se modifica el Reglamento Único de Transporte de Gas Natural  - RUT – adoptado mediante Resolución CREG 071 de 1999”</w:t>
      </w:r>
      <w:r w:rsidRPr="00026F1E">
        <w:rPr>
          <w:lang w:val="es-CO"/>
        </w:rPr>
        <w:t>.</w:t>
      </w:r>
    </w:p>
    <w:p w14:paraId="71C85AE8" w14:textId="77777777" w:rsidR="00045D3D" w:rsidRPr="00026F1E" w:rsidRDefault="00045D3D" w:rsidP="00817F21">
      <w:pPr>
        <w:ind w:left="0"/>
        <w:rPr>
          <w:lang w:val="x-none"/>
        </w:rPr>
      </w:pPr>
    </w:p>
    <w:p w14:paraId="2E5459CA" w14:textId="1F554BF6" w:rsidR="0035377C" w:rsidRPr="00026F1E" w:rsidRDefault="0035377C" w:rsidP="00817F21">
      <w:pPr>
        <w:pStyle w:val="ARTICULOS"/>
        <w:keepNext/>
        <w:ind w:left="0" w:firstLine="0"/>
        <w:outlineLvl w:val="0"/>
      </w:pPr>
      <w:r w:rsidRPr="00026F1E">
        <w:t xml:space="preserve">Se invita a los agentes, a los usuarios, a las Autoridades Locales Municipales y Departamentales competentes, a la Superintendencia de Servicios Públicos Domiciliarios y a la Superintendencia de Industria y Comercio para que remitan sus observaciones o sugerencias dentro de los </w:t>
      </w:r>
      <w:r w:rsidR="00DB3E34">
        <w:rPr>
          <w:lang w:val="es-CO"/>
        </w:rPr>
        <w:t>quince</w:t>
      </w:r>
      <w:r w:rsidR="00EE55B5" w:rsidRPr="00026F1E">
        <w:t xml:space="preserve"> (</w:t>
      </w:r>
      <w:r w:rsidR="00DB3E34">
        <w:rPr>
          <w:lang w:val="es-CO"/>
        </w:rPr>
        <w:t>15</w:t>
      </w:r>
      <w:r w:rsidRPr="00026F1E">
        <w:t xml:space="preserve">) días </w:t>
      </w:r>
      <w:r w:rsidR="00DB3E34">
        <w:rPr>
          <w:lang w:val="es-CO"/>
        </w:rPr>
        <w:t>hábiles</w:t>
      </w:r>
      <w:r w:rsidRPr="00026F1E">
        <w:t xml:space="preserve"> siguientes a la publicación de la presente resolución en la página Web de la Comisión de Regulación de Energía y Gas.</w:t>
      </w:r>
    </w:p>
    <w:p w14:paraId="7505563F" w14:textId="77777777" w:rsidR="0035377C" w:rsidRPr="00026F1E" w:rsidRDefault="0035377C" w:rsidP="00DF3CA2">
      <w:pPr>
        <w:ind w:left="0"/>
        <w:jc w:val="both"/>
      </w:pPr>
    </w:p>
    <w:p w14:paraId="7467CCFA" w14:textId="77777777" w:rsidR="005C2084" w:rsidRDefault="005C2084" w:rsidP="005C2084">
      <w:pPr>
        <w:pStyle w:val="Prrafodelista"/>
      </w:pPr>
    </w:p>
    <w:p w14:paraId="68CAB41B" w14:textId="0CD4CA26" w:rsidR="004C1C9B" w:rsidRPr="00026F1E" w:rsidRDefault="004C1C9B" w:rsidP="00817F21">
      <w:pPr>
        <w:pStyle w:val="ARTICULOS"/>
        <w:keepNext/>
        <w:ind w:left="0" w:firstLine="0"/>
        <w:outlineLvl w:val="0"/>
      </w:pPr>
      <w:r w:rsidRPr="00026F1E">
        <w:t>Las observaciones y sugerencias sobre el proyecto deberán dirigirse en formato Excel “</w:t>
      </w:r>
      <w:proofErr w:type="spellStart"/>
      <w:r w:rsidRPr="00026F1E">
        <w:t>comentarios_</w:t>
      </w:r>
      <w:r w:rsidRPr="00026F1E">
        <w:rPr>
          <w:lang w:val="es-CO"/>
        </w:rPr>
        <w:t>mod_RUT</w:t>
      </w:r>
      <w:proofErr w:type="spellEnd"/>
      <w:r w:rsidRPr="00026F1E">
        <w:t>.</w:t>
      </w:r>
      <w:proofErr w:type="spellStart"/>
      <w:r w:rsidRPr="00026F1E">
        <w:t>xlsm</w:t>
      </w:r>
      <w:proofErr w:type="spellEnd"/>
      <w:r w:rsidRPr="00026F1E">
        <w:t xml:space="preserve">” anexo a esta resolución a </w:t>
      </w:r>
      <w:r w:rsidR="00BF3717" w:rsidRPr="00026F1E">
        <w:rPr>
          <w:lang w:val="es-MX"/>
        </w:rPr>
        <w:t>Germán Castro Ferreira</w:t>
      </w:r>
      <w:r w:rsidRPr="00026F1E">
        <w:t xml:space="preserve">, Director Ejecutivo de la Comisión, a la siguiente dirección: Avenida Calle 116 No. 7-15, Edificio Torre </w:t>
      </w:r>
      <w:proofErr w:type="spellStart"/>
      <w:r w:rsidRPr="00026F1E">
        <w:t>Cusezar</w:t>
      </w:r>
      <w:proofErr w:type="spellEnd"/>
      <w:r w:rsidRPr="00026F1E">
        <w:t xml:space="preserve">, Interior 2, Oficina 901 o al correo electrónico </w:t>
      </w:r>
      <w:hyperlink r:id="rId10" w:history="1">
        <w:r w:rsidRPr="00026F1E">
          <w:rPr>
            <w:rStyle w:val="Hipervnculo"/>
            <w:rFonts w:cs="Arial"/>
          </w:rPr>
          <w:t>creg@creg.gov.co</w:t>
        </w:r>
      </w:hyperlink>
      <w:r w:rsidR="00A76B85" w:rsidRPr="00026F1E">
        <w:rPr>
          <w:lang w:val="es-MX"/>
        </w:rPr>
        <w:t xml:space="preserve"> </w:t>
      </w:r>
      <w:r w:rsidRPr="00026F1E">
        <w:t>con asunto: “</w:t>
      </w:r>
      <w:r w:rsidR="001E69F7">
        <w:t xml:space="preserve">comentarios </w:t>
      </w:r>
      <w:r w:rsidR="00EE55B5" w:rsidRPr="00026F1E">
        <w:rPr>
          <w:lang w:val="es-CO"/>
        </w:rPr>
        <w:t>mod</w:t>
      </w:r>
      <w:r w:rsidR="0092162D" w:rsidRPr="00026F1E">
        <w:rPr>
          <w:lang w:val="es-CO"/>
        </w:rPr>
        <w:t>ificación</w:t>
      </w:r>
      <w:r w:rsidR="001E69F7">
        <w:rPr>
          <w:lang w:val="es-CO"/>
        </w:rPr>
        <w:t xml:space="preserve"> </w:t>
      </w:r>
      <w:r w:rsidR="00EE55B5" w:rsidRPr="00026F1E">
        <w:rPr>
          <w:lang w:val="es-CO"/>
        </w:rPr>
        <w:t>RUT</w:t>
      </w:r>
      <w:r w:rsidR="001E69F7">
        <w:rPr>
          <w:lang w:val="es-CO"/>
        </w:rPr>
        <w:t xml:space="preserve"> Res</w:t>
      </w:r>
      <w:r w:rsidR="00A86E49">
        <w:rPr>
          <w:lang w:val="es-CO"/>
        </w:rPr>
        <w:t xml:space="preserve">olución </w:t>
      </w:r>
      <w:r w:rsidR="00965672" w:rsidRPr="00026F1E">
        <w:rPr>
          <w:lang w:val="es-CO"/>
        </w:rPr>
        <w:t xml:space="preserve">CREG </w:t>
      </w:r>
      <w:r w:rsidR="002D1611">
        <w:rPr>
          <w:lang w:val="es-CO"/>
        </w:rPr>
        <w:t>123</w:t>
      </w:r>
      <w:r w:rsidR="00965672" w:rsidRPr="00026F1E">
        <w:rPr>
          <w:lang w:val="es-CO"/>
        </w:rPr>
        <w:t>-2017</w:t>
      </w:r>
      <w:r w:rsidRPr="00026F1E">
        <w:t>”</w:t>
      </w:r>
      <w:r w:rsidR="00417F13" w:rsidRPr="00026F1E">
        <w:rPr>
          <w:lang w:val="es-CO"/>
        </w:rPr>
        <w:t>.</w:t>
      </w:r>
    </w:p>
    <w:p w14:paraId="436C6E83" w14:textId="77777777" w:rsidR="0035377C" w:rsidRPr="00026F1E" w:rsidRDefault="0035377C" w:rsidP="0035377C">
      <w:pPr>
        <w:jc w:val="both"/>
        <w:rPr>
          <w:lang w:val="x-none"/>
        </w:rPr>
      </w:pPr>
    </w:p>
    <w:p w14:paraId="31D87759" w14:textId="5649FC5F" w:rsidR="00045D3D" w:rsidRPr="00026F1E" w:rsidRDefault="001E69F7" w:rsidP="00817F21">
      <w:pPr>
        <w:pStyle w:val="ARTICULOS"/>
        <w:keepNext/>
        <w:ind w:left="0" w:firstLine="0"/>
        <w:outlineLvl w:val="0"/>
        <w:rPr>
          <w:i/>
        </w:rPr>
      </w:pPr>
      <w:r>
        <w:t>La presente r</w:t>
      </w:r>
      <w:r w:rsidR="0035377C" w:rsidRPr="00026F1E">
        <w:t>esolución no deroga ni modifica disposiciones vigentes por tratarse de un acto de trámite.</w:t>
      </w:r>
      <w:r w:rsidR="00045D3D" w:rsidRPr="00026F1E">
        <w:rPr>
          <w:i/>
        </w:rPr>
        <w:t xml:space="preserve"> </w:t>
      </w:r>
    </w:p>
    <w:p w14:paraId="5867706A" w14:textId="77777777" w:rsidR="00045D3D" w:rsidRPr="00026F1E" w:rsidRDefault="00045D3D" w:rsidP="00045D3D">
      <w:pPr>
        <w:jc w:val="both"/>
        <w:rPr>
          <w:i/>
        </w:rPr>
      </w:pPr>
    </w:p>
    <w:p w14:paraId="13507F9B" w14:textId="77777777" w:rsidR="00045D3D" w:rsidRPr="00026F1E" w:rsidRDefault="00045D3D" w:rsidP="00045D3D">
      <w:pPr>
        <w:ind w:left="0"/>
      </w:pPr>
    </w:p>
    <w:p w14:paraId="123C22C5" w14:textId="77777777" w:rsidR="00045D3D" w:rsidRPr="00026F1E" w:rsidRDefault="00045D3D" w:rsidP="00045D3D">
      <w:pPr>
        <w:jc w:val="center"/>
        <w:rPr>
          <w:b/>
        </w:rPr>
      </w:pPr>
      <w:r w:rsidRPr="00026F1E">
        <w:rPr>
          <w:b/>
        </w:rPr>
        <w:t>PU</w:t>
      </w:r>
      <w:r w:rsidR="00CA03C8" w:rsidRPr="00026F1E">
        <w:rPr>
          <w:b/>
        </w:rPr>
        <w:t>B</w:t>
      </w:r>
      <w:r w:rsidRPr="00026F1E">
        <w:rPr>
          <w:b/>
        </w:rPr>
        <w:t>LÍQUESE Y CÚMPLASE</w:t>
      </w:r>
    </w:p>
    <w:p w14:paraId="280EA1A8" w14:textId="77777777" w:rsidR="00045D3D" w:rsidRPr="00026F1E" w:rsidRDefault="00045D3D" w:rsidP="00045D3D"/>
    <w:p w14:paraId="545C6573" w14:textId="77777777" w:rsidR="0035377C" w:rsidRPr="00026F1E" w:rsidRDefault="0035377C" w:rsidP="00045D3D"/>
    <w:p w14:paraId="77ACC830" w14:textId="77777777" w:rsidR="00045D3D" w:rsidRPr="00026F1E" w:rsidRDefault="00045D3D" w:rsidP="00045D3D">
      <w:pPr>
        <w:ind w:left="0"/>
      </w:pPr>
      <w:r w:rsidRPr="00026F1E">
        <w:t>Dada en Bogotá, D.C.</w:t>
      </w:r>
      <w:r w:rsidR="00CA3AA6" w:rsidRPr="00026F1E">
        <w:t xml:space="preserve"> a</w:t>
      </w:r>
    </w:p>
    <w:p w14:paraId="3A88CA5B" w14:textId="77777777" w:rsidR="00045D3D" w:rsidRDefault="00045D3D" w:rsidP="00045D3D">
      <w:pPr>
        <w:ind w:left="0"/>
      </w:pPr>
    </w:p>
    <w:p w14:paraId="1BCCA8D1" w14:textId="77777777" w:rsidR="005C2084" w:rsidRDefault="005C2084" w:rsidP="00045D3D">
      <w:pPr>
        <w:ind w:left="0"/>
      </w:pPr>
    </w:p>
    <w:p w14:paraId="157522D5" w14:textId="77777777" w:rsidR="005C2084" w:rsidRDefault="005C2084" w:rsidP="00045D3D">
      <w:pPr>
        <w:ind w:left="0"/>
      </w:pPr>
    </w:p>
    <w:p w14:paraId="49C6151A" w14:textId="77777777" w:rsidR="005C2084" w:rsidRPr="00026F1E" w:rsidRDefault="005C2084" w:rsidP="00045D3D">
      <w:pPr>
        <w:ind w:left="0"/>
      </w:pPr>
    </w:p>
    <w:p w14:paraId="2CC7D4B5" w14:textId="77777777" w:rsidR="0035377C" w:rsidRPr="00026F1E" w:rsidRDefault="0035377C" w:rsidP="0035377C">
      <w:pPr>
        <w:rPr>
          <w:rFonts w:cs="Arial"/>
        </w:rPr>
      </w:pPr>
    </w:p>
    <w:tbl>
      <w:tblPr>
        <w:tblW w:w="9498" w:type="dxa"/>
        <w:tblInd w:w="-142" w:type="dxa"/>
        <w:tblLayout w:type="fixed"/>
        <w:tblCellMar>
          <w:left w:w="0" w:type="dxa"/>
          <w:right w:w="0" w:type="dxa"/>
        </w:tblCellMar>
        <w:tblLook w:val="04A0" w:firstRow="1" w:lastRow="0" w:firstColumn="1" w:lastColumn="0" w:noHBand="0" w:noVBand="1"/>
      </w:tblPr>
      <w:tblGrid>
        <w:gridCol w:w="4962"/>
        <w:gridCol w:w="4536"/>
      </w:tblGrid>
      <w:tr w:rsidR="005C2084" w:rsidRPr="00C2343E" w14:paraId="243D979F" w14:textId="77777777" w:rsidTr="002F06CE">
        <w:tc>
          <w:tcPr>
            <w:tcW w:w="4962" w:type="dxa"/>
            <w:hideMark/>
          </w:tcPr>
          <w:p w14:paraId="1D1B5F69" w14:textId="77777777" w:rsidR="005C2084" w:rsidRDefault="005C2084" w:rsidP="002F06CE">
            <w:pPr>
              <w:snapToGrid w:val="0"/>
              <w:ind w:left="0"/>
              <w:jc w:val="center"/>
              <w:rPr>
                <w:rFonts w:cs="Arial"/>
                <w:b/>
                <w:bCs/>
              </w:rPr>
            </w:pPr>
            <w:r w:rsidRPr="00B12332">
              <w:rPr>
                <w:rFonts w:cs="Arial"/>
                <w:b/>
                <w:bCs/>
              </w:rPr>
              <w:t>RUTTY PAOLA ORTIZ JARA</w:t>
            </w:r>
            <w:r>
              <w:rPr>
                <w:rFonts w:cs="Arial"/>
                <w:b/>
                <w:bCs/>
              </w:rPr>
              <w:t xml:space="preserve"> </w:t>
            </w:r>
          </w:p>
          <w:p w14:paraId="3E27FB16" w14:textId="77777777" w:rsidR="005C2084" w:rsidRPr="00C2343E" w:rsidRDefault="005C2084" w:rsidP="002F06CE">
            <w:pPr>
              <w:snapToGrid w:val="0"/>
              <w:ind w:left="0"/>
              <w:jc w:val="center"/>
              <w:rPr>
                <w:rFonts w:cs="Arial"/>
                <w:b/>
                <w:bCs/>
              </w:rPr>
            </w:pPr>
            <w:r>
              <w:rPr>
                <w:rFonts w:cs="Arial"/>
              </w:rPr>
              <w:t>Viceministra de Energía</w:t>
            </w:r>
          </w:p>
        </w:tc>
        <w:tc>
          <w:tcPr>
            <w:tcW w:w="4536" w:type="dxa"/>
            <w:hideMark/>
          </w:tcPr>
          <w:p w14:paraId="1ED860D2" w14:textId="77777777" w:rsidR="005C2084" w:rsidRDefault="005C2084" w:rsidP="002F06CE">
            <w:pPr>
              <w:snapToGrid w:val="0"/>
              <w:ind w:left="0"/>
              <w:jc w:val="center"/>
              <w:rPr>
                <w:rFonts w:cs="Arial"/>
                <w:b/>
                <w:bCs/>
              </w:rPr>
            </w:pPr>
            <w:r>
              <w:rPr>
                <w:rFonts w:cs="Arial"/>
                <w:b/>
                <w:bCs/>
              </w:rPr>
              <w:t>GERMÁN CASTRO FERREIRA</w:t>
            </w:r>
          </w:p>
          <w:p w14:paraId="6E072C5B" w14:textId="77777777" w:rsidR="005C2084" w:rsidRPr="00C2343E" w:rsidRDefault="005C2084" w:rsidP="002F06CE">
            <w:pPr>
              <w:snapToGrid w:val="0"/>
              <w:ind w:left="0"/>
              <w:jc w:val="center"/>
              <w:rPr>
                <w:rFonts w:cs="Arial"/>
                <w:b/>
                <w:bCs/>
              </w:rPr>
            </w:pPr>
            <w:r w:rsidRPr="00C2343E">
              <w:rPr>
                <w:rFonts w:cs="Arial"/>
              </w:rPr>
              <w:t>Director Ejecutivo</w:t>
            </w:r>
          </w:p>
        </w:tc>
      </w:tr>
      <w:tr w:rsidR="005C2084" w:rsidRPr="00C2343E" w14:paraId="32CDCA0A" w14:textId="77777777" w:rsidTr="002F06CE">
        <w:tc>
          <w:tcPr>
            <w:tcW w:w="4962" w:type="dxa"/>
            <w:hideMark/>
          </w:tcPr>
          <w:p w14:paraId="69EE6C47" w14:textId="77777777" w:rsidR="005C2084" w:rsidRDefault="005C2084" w:rsidP="002F06CE">
            <w:pPr>
              <w:snapToGrid w:val="0"/>
              <w:ind w:left="0"/>
              <w:jc w:val="center"/>
              <w:rPr>
                <w:rFonts w:cs="Arial"/>
              </w:rPr>
            </w:pPr>
            <w:r>
              <w:rPr>
                <w:rFonts w:cs="Arial"/>
              </w:rPr>
              <w:t>Delegada del Ministro de Minas y Energía</w:t>
            </w:r>
          </w:p>
          <w:p w14:paraId="7ABCBE80" w14:textId="77777777" w:rsidR="005C2084" w:rsidRPr="00C2343E" w:rsidRDefault="005C2084" w:rsidP="002F06CE">
            <w:pPr>
              <w:snapToGrid w:val="0"/>
              <w:ind w:left="0"/>
              <w:jc w:val="center"/>
              <w:rPr>
                <w:rFonts w:cs="Arial"/>
              </w:rPr>
            </w:pPr>
            <w:r>
              <w:rPr>
                <w:rFonts w:cs="Arial"/>
              </w:rPr>
              <w:t>Presidente</w:t>
            </w:r>
          </w:p>
        </w:tc>
        <w:tc>
          <w:tcPr>
            <w:tcW w:w="4536" w:type="dxa"/>
            <w:hideMark/>
          </w:tcPr>
          <w:p w14:paraId="35E5251E" w14:textId="77777777" w:rsidR="005C2084" w:rsidRPr="00C2343E" w:rsidRDefault="005C2084" w:rsidP="002F06CE">
            <w:pPr>
              <w:snapToGrid w:val="0"/>
              <w:jc w:val="both"/>
              <w:rPr>
                <w:rFonts w:cs="Arial"/>
              </w:rPr>
            </w:pPr>
            <w:r w:rsidRPr="00C2343E">
              <w:rPr>
                <w:rFonts w:cs="Arial"/>
              </w:rPr>
              <w:t xml:space="preserve">          </w:t>
            </w:r>
          </w:p>
        </w:tc>
      </w:tr>
    </w:tbl>
    <w:p w14:paraId="093800D2" w14:textId="77777777" w:rsidR="0035377C" w:rsidRPr="00026F1E" w:rsidRDefault="0035377C" w:rsidP="0035377C">
      <w:pPr>
        <w:rPr>
          <w:rFonts w:cs="Arial"/>
        </w:rPr>
      </w:pPr>
    </w:p>
    <w:p w14:paraId="6FBC6F13" w14:textId="77777777" w:rsidR="00045D3D" w:rsidRPr="00026F1E" w:rsidRDefault="00045D3D" w:rsidP="00045D3D">
      <w:pPr>
        <w:ind w:left="0"/>
      </w:pPr>
    </w:p>
    <w:tbl>
      <w:tblPr>
        <w:tblW w:w="10129" w:type="dxa"/>
        <w:jc w:val="right"/>
        <w:tblLayout w:type="fixed"/>
        <w:tblCellMar>
          <w:left w:w="70" w:type="dxa"/>
          <w:right w:w="70" w:type="dxa"/>
        </w:tblCellMar>
        <w:tblLook w:val="0000" w:firstRow="0" w:lastRow="0" w:firstColumn="0" w:lastColumn="0" w:noHBand="0" w:noVBand="0"/>
      </w:tblPr>
      <w:tblGrid>
        <w:gridCol w:w="4871"/>
        <w:gridCol w:w="5258"/>
      </w:tblGrid>
      <w:tr w:rsidR="00045D3D" w:rsidRPr="00026F1E" w14:paraId="553A9CE8" w14:textId="77777777" w:rsidTr="00F77D2D">
        <w:trPr>
          <w:jc w:val="right"/>
        </w:trPr>
        <w:tc>
          <w:tcPr>
            <w:tcW w:w="4871" w:type="dxa"/>
          </w:tcPr>
          <w:p w14:paraId="2AFE0F42" w14:textId="77777777" w:rsidR="00045D3D" w:rsidRPr="00026F1E" w:rsidRDefault="00045D3D" w:rsidP="00F77D2D">
            <w:pPr>
              <w:ind w:left="0"/>
              <w:rPr>
                <w:rFonts w:cs="Arial"/>
                <w:spacing w:val="-3"/>
                <w:lang w:val="es-ES_tradnl"/>
              </w:rPr>
            </w:pPr>
          </w:p>
        </w:tc>
        <w:tc>
          <w:tcPr>
            <w:tcW w:w="5258" w:type="dxa"/>
          </w:tcPr>
          <w:p w14:paraId="6F9C2B6B" w14:textId="77777777" w:rsidR="00045D3D" w:rsidRPr="00026F1E" w:rsidRDefault="00045D3D" w:rsidP="006B6194">
            <w:pPr>
              <w:rPr>
                <w:rFonts w:cs="Arial"/>
                <w:spacing w:val="-3"/>
                <w:lang w:val="es-ES_tradnl"/>
              </w:rPr>
            </w:pPr>
          </w:p>
        </w:tc>
      </w:tr>
    </w:tbl>
    <w:p w14:paraId="44A265FE" w14:textId="77777777" w:rsidR="003B3FFE" w:rsidRPr="00026F1E" w:rsidRDefault="003B3FFE" w:rsidP="00F77D2D">
      <w:pPr>
        <w:ind w:left="0"/>
        <w:rPr>
          <w:rFonts w:cs="Arial"/>
        </w:rPr>
      </w:pPr>
    </w:p>
    <w:p w14:paraId="252FA8D4" w14:textId="77777777" w:rsidR="00E060BE" w:rsidRPr="00026F1E" w:rsidRDefault="003B3FFE" w:rsidP="00F77D2D">
      <w:pPr>
        <w:ind w:left="0"/>
        <w:rPr>
          <w:rFonts w:cs="Arial"/>
        </w:rPr>
      </w:pPr>
      <w:r w:rsidRPr="00026F1E">
        <w:rPr>
          <w:rFonts w:cs="Arial"/>
        </w:rPr>
        <w:br w:type="page"/>
      </w:r>
    </w:p>
    <w:p w14:paraId="4F246A79" w14:textId="77777777" w:rsidR="005C2084" w:rsidRDefault="005C2084" w:rsidP="00817F21">
      <w:pPr>
        <w:pStyle w:val="Ttulo7"/>
        <w:spacing w:before="0" w:after="0"/>
        <w:ind w:left="0"/>
        <w:jc w:val="center"/>
        <w:rPr>
          <w:rFonts w:ascii="Bookman Old Style" w:hAnsi="Bookman Old Style"/>
          <w:b/>
        </w:rPr>
      </w:pPr>
    </w:p>
    <w:p w14:paraId="306C818B" w14:textId="77777777" w:rsidR="003B3FFE" w:rsidRPr="00026F1E" w:rsidRDefault="003B3FFE" w:rsidP="00817F21">
      <w:pPr>
        <w:pStyle w:val="Ttulo7"/>
        <w:spacing w:before="0" w:after="0"/>
        <w:ind w:left="0"/>
        <w:jc w:val="center"/>
        <w:rPr>
          <w:rFonts w:ascii="Bookman Old Style" w:hAnsi="Bookman Old Style"/>
          <w:b/>
        </w:rPr>
      </w:pPr>
      <w:r w:rsidRPr="00026F1E">
        <w:rPr>
          <w:rFonts w:ascii="Bookman Old Style" w:hAnsi="Bookman Old Style"/>
          <w:b/>
        </w:rPr>
        <w:t>PROYECTO DE RESOLUCIÓN</w:t>
      </w:r>
    </w:p>
    <w:p w14:paraId="4DB271A2" w14:textId="77777777" w:rsidR="003B3FFE" w:rsidRPr="00673C7D" w:rsidRDefault="003B3FFE" w:rsidP="003B3FFE">
      <w:pPr>
        <w:ind w:left="0"/>
        <w:jc w:val="center"/>
        <w:rPr>
          <w:rFonts w:cs="Arial"/>
          <w:sz w:val="10"/>
        </w:rPr>
      </w:pPr>
    </w:p>
    <w:p w14:paraId="4315909A" w14:textId="77777777" w:rsidR="005C2084" w:rsidRPr="00026F1E" w:rsidRDefault="005C2084" w:rsidP="003B3FFE">
      <w:pPr>
        <w:ind w:left="0"/>
        <w:jc w:val="center"/>
        <w:rPr>
          <w:rFonts w:cs="Arial"/>
        </w:rPr>
      </w:pPr>
    </w:p>
    <w:p w14:paraId="51BE4046" w14:textId="23242C2C" w:rsidR="003B3FFE" w:rsidRPr="00026F1E" w:rsidRDefault="003B3FFE" w:rsidP="003B3FFE">
      <w:pPr>
        <w:ind w:left="0"/>
        <w:jc w:val="center"/>
        <w:rPr>
          <w:rFonts w:cs="Arial"/>
        </w:rPr>
      </w:pPr>
      <w:r w:rsidRPr="00026F1E">
        <w:rPr>
          <w:rFonts w:cs="Arial"/>
          <w:lang w:val="es-ES_tradnl"/>
        </w:rPr>
        <w:t>P</w:t>
      </w:r>
      <w:proofErr w:type="spellStart"/>
      <w:r w:rsidRPr="00026F1E">
        <w:rPr>
          <w:rFonts w:cs="Arial"/>
        </w:rPr>
        <w:t>or</w:t>
      </w:r>
      <w:proofErr w:type="spellEnd"/>
      <w:r w:rsidRPr="00026F1E">
        <w:rPr>
          <w:rFonts w:cs="Arial"/>
        </w:rPr>
        <w:t xml:space="preserve"> la cual se modifica el Reglamento Único </w:t>
      </w:r>
      <w:r w:rsidR="00EE55B5" w:rsidRPr="00026F1E">
        <w:rPr>
          <w:rFonts w:cs="Arial"/>
        </w:rPr>
        <w:t xml:space="preserve">de Transporte de Gas Natural </w:t>
      </w:r>
      <w:r w:rsidRPr="00026F1E">
        <w:rPr>
          <w:rFonts w:cs="Arial"/>
        </w:rPr>
        <w:t xml:space="preserve">RUT – adoptado mediante </w:t>
      </w:r>
      <w:r w:rsidR="006B7693">
        <w:rPr>
          <w:rFonts w:cs="Arial"/>
        </w:rPr>
        <w:t>Resolución CREG 071 de 1999</w:t>
      </w:r>
    </w:p>
    <w:p w14:paraId="0AB490E7" w14:textId="77777777" w:rsidR="003B3FFE" w:rsidRPr="00026F1E" w:rsidRDefault="003B3FFE" w:rsidP="003B3FFE">
      <w:pPr>
        <w:ind w:left="0"/>
        <w:jc w:val="center"/>
        <w:rPr>
          <w:rFonts w:cs="Arial"/>
        </w:rPr>
      </w:pPr>
    </w:p>
    <w:p w14:paraId="4C27AEBB" w14:textId="77777777" w:rsidR="003B3FFE" w:rsidRPr="00026F1E" w:rsidRDefault="003B3FFE" w:rsidP="003B3FFE">
      <w:pPr>
        <w:ind w:right="51"/>
        <w:jc w:val="center"/>
        <w:rPr>
          <w:b/>
        </w:rPr>
      </w:pPr>
    </w:p>
    <w:p w14:paraId="29671A58" w14:textId="77777777" w:rsidR="003B3FFE" w:rsidRPr="00026F1E" w:rsidRDefault="005E0A2A" w:rsidP="003B3FFE">
      <w:pPr>
        <w:ind w:right="51"/>
        <w:jc w:val="center"/>
        <w:rPr>
          <w:b/>
        </w:rPr>
      </w:pPr>
      <w:r w:rsidRPr="00026F1E">
        <w:rPr>
          <w:b/>
        </w:rPr>
        <w:t>LA COMISIÓN DE REGULACIÓN DE</w:t>
      </w:r>
      <w:r w:rsidR="003B3FFE" w:rsidRPr="00026F1E">
        <w:rPr>
          <w:b/>
        </w:rPr>
        <w:t xml:space="preserve"> ENERGÍA Y GAS</w:t>
      </w:r>
    </w:p>
    <w:p w14:paraId="736A76B6" w14:textId="77777777" w:rsidR="003B3FFE" w:rsidRPr="00026F1E" w:rsidRDefault="003B3FFE" w:rsidP="003B3FFE">
      <w:pPr>
        <w:ind w:left="0" w:right="51"/>
      </w:pPr>
    </w:p>
    <w:p w14:paraId="56590EAA" w14:textId="54DD114F" w:rsidR="003B3FFE" w:rsidRPr="00026F1E" w:rsidRDefault="003B3FFE" w:rsidP="003B3FFE">
      <w:pPr>
        <w:widowControl w:val="0"/>
        <w:adjustRightInd w:val="0"/>
        <w:ind w:left="0" w:right="-133"/>
        <w:jc w:val="both"/>
        <w:textAlignment w:val="baseline"/>
        <w:rPr>
          <w:rFonts w:cs="Arial"/>
          <w:lang w:val="es-ES_tradnl"/>
        </w:rPr>
      </w:pPr>
      <w:r w:rsidRPr="00026F1E">
        <w:rPr>
          <w:rFonts w:cs="Arial"/>
          <w:lang w:val="es-ES_tradnl"/>
        </w:rPr>
        <w:t>En ejercicio de sus atribuciones legales, en especial las conferidas por la Ley 142 de 1994 y en desarrollo de los Decre</w:t>
      </w:r>
      <w:r w:rsidR="001E69F7">
        <w:rPr>
          <w:rFonts w:cs="Arial"/>
          <w:lang w:val="es-ES_tradnl"/>
        </w:rPr>
        <w:t>tos 2253 de 1994 y 1260 de 2013.</w:t>
      </w:r>
    </w:p>
    <w:p w14:paraId="319474FD" w14:textId="1B289C01" w:rsidR="003B3FFE" w:rsidRPr="00026F1E" w:rsidRDefault="003B3FFE" w:rsidP="0093379F">
      <w:pPr>
        <w:ind w:left="0" w:right="51"/>
        <w:rPr>
          <w:lang w:val="es-ES_tradnl"/>
        </w:rPr>
      </w:pPr>
    </w:p>
    <w:p w14:paraId="2758D099" w14:textId="77777777" w:rsidR="003B3FFE" w:rsidRPr="00026F1E" w:rsidRDefault="003B3FFE" w:rsidP="0093379F">
      <w:pPr>
        <w:ind w:left="0" w:right="51"/>
      </w:pPr>
    </w:p>
    <w:p w14:paraId="15474A63" w14:textId="77777777" w:rsidR="003B3FFE" w:rsidRPr="00026F1E" w:rsidRDefault="003B3FFE" w:rsidP="003B3FFE">
      <w:pPr>
        <w:ind w:right="51"/>
        <w:jc w:val="center"/>
        <w:rPr>
          <w:b/>
        </w:rPr>
      </w:pPr>
      <w:r w:rsidRPr="00026F1E">
        <w:rPr>
          <w:b/>
        </w:rPr>
        <w:t xml:space="preserve">C O N S I D E R A N D </w:t>
      </w:r>
      <w:proofErr w:type="gramStart"/>
      <w:r w:rsidRPr="00026F1E">
        <w:rPr>
          <w:b/>
        </w:rPr>
        <w:t>O  Q</w:t>
      </w:r>
      <w:proofErr w:type="gramEnd"/>
      <w:r w:rsidRPr="00026F1E">
        <w:rPr>
          <w:b/>
        </w:rPr>
        <w:t xml:space="preserve"> U E:</w:t>
      </w:r>
    </w:p>
    <w:p w14:paraId="6AFD7268" w14:textId="77777777" w:rsidR="003B3FFE" w:rsidRDefault="003B3FFE" w:rsidP="003B3FFE">
      <w:pPr>
        <w:ind w:left="0"/>
        <w:jc w:val="center"/>
        <w:rPr>
          <w:rFonts w:cs="Arial"/>
        </w:rPr>
      </w:pPr>
    </w:p>
    <w:p w14:paraId="2D594C52" w14:textId="77777777" w:rsidR="005C2084" w:rsidRPr="00673C7D" w:rsidRDefault="005C2084" w:rsidP="003B3FFE">
      <w:pPr>
        <w:ind w:left="0"/>
        <w:jc w:val="center"/>
        <w:rPr>
          <w:rFonts w:cs="Arial"/>
          <w:sz w:val="10"/>
        </w:rPr>
      </w:pPr>
    </w:p>
    <w:p w14:paraId="181AF3B3" w14:textId="22DFAF63" w:rsidR="00371DF0" w:rsidRPr="00026F1E" w:rsidRDefault="00371DF0" w:rsidP="00371DF0">
      <w:pPr>
        <w:ind w:left="0"/>
        <w:jc w:val="both"/>
        <w:rPr>
          <w:rFonts w:cs="Arial"/>
          <w:spacing w:val="-3"/>
        </w:rPr>
      </w:pPr>
      <w:r w:rsidRPr="00026F1E">
        <w:rPr>
          <w:rFonts w:cs="Arial"/>
        </w:rPr>
        <w:t xml:space="preserve">De acuerdo con lo establecido en el </w:t>
      </w:r>
      <w:r w:rsidR="0092162D" w:rsidRPr="00026F1E">
        <w:rPr>
          <w:rFonts w:cs="Arial"/>
        </w:rPr>
        <w:t xml:space="preserve">artículo </w:t>
      </w:r>
      <w:r w:rsidRPr="00026F1E">
        <w:rPr>
          <w:rFonts w:cs="Arial"/>
        </w:rPr>
        <w:t>14 de la Ley 142 de 1994, la actividad de transporte de gas natural es una actividad complementaria del servicio público domiciliario de gas natural</w:t>
      </w:r>
      <w:r w:rsidRPr="00026F1E">
        <w:rPr>
          <w:rFonts w:cs="Arial"/>
          <w:spacing w:val="-3"/>
        </w:rPr>
        <w:t>.</w:t>
      </w:r>
    </w:p>
    <w:p w14:paraId="5D03CD80" w14:textId="77777777" w:rsidR="00371DF0" w:rsidRPr="00026F1E" w:rsidRDefault="00371DF0" w:rsidP="00371DF0">
      <w:pPr>
        <w:rPr>
          <w:rFonts w:cs="Arial"/>
          <w:spacing w:val="-3"/>
        </w:rPr>
      </w:pPr>
    </w:p>
    <w:p w14:paraId="75EF9F88" w14:textId="7A58202F" w:rsidR="00371DF0" w:rsidRPr="00026F1E" w:rsidRDefault="00371DF0" w:rsidP="00371DF0">
      <w:pPr>
        <w:pStyle w:val="Textoindependiente21"/>
        <w:tabs>
          <w:tab w:val="left" w:pos="-720"/>
        </w:tabs>
        <w:rPr>
          <w:rFonts w:ascii="Bookman Old Style" w:hAnsi="Bookman Old Style" w:cs="Arial"/>
          <w:spacing w:val="-3"/>
          <w:sz w:val="24"/>
          <w:szCs w:val="24"/>
        </w:rPr>
      </w:pPr>
      <w:r w:rsidRPr="00026F1E">
        <w:rPr>
          <w:rFonts w:ascii="Bookman Old Style" w:hAnsi="Bookman Old Style" w:cs="Arial"/>
          <w:spacing w:val="-3"/>
          <w:sz w:val="24"/>
          <w:szCs w:val="24"/>
        </w:rPr>
        <w:t>S</w:t>
      </w:r>
      <w:r w:rsidR="00EE55B5" w:rsidRPr="00026F1E">
        <w:rPr>
          <w:rFonts w:ascii="Bookman Old Style" w:hAnsi="Bookman Old Style" w:cs="Arial"/>
          <w:spacing w:val="-3"/>
          <w:sz w:val="24"/>
          <w:szCs w:val="24"/>
        </w:rPr>
        <w:t>egún lo dispuesto</w:t>
      </w:r>
      <w:r w:rsidRPr="00026F1E">
        <w:rPr>
          <w:rFonts w:ascii="Bookman Old Style" w:hAnsi="Bookman Old Style" w:cs="Arial"/>
          <w:spacing w:val="-3"/>
          <w:sz w:val="24"/>
          <w:szCs w:val="24"/>
        </w:rPr>
        <w:t xml:space="preserve"> en el </w:t>
      </w:r>
      <w:r w:rsidR="0092162D" w:rsidRPr="00026F1E">
        <w:rPr>
          <w:rFonts w:ascii="Bookman Old Style" w:hAnsi="Bookman Old Style" w:cs="Arial"/>
          <w:spacing w:val="-3"/>
          <w:sz w:val="24"/>
          <w:szCs w:val="24"/>
        </w:rPr>
        <w:t>a</w:t>
      </w:r>
      <w:r w:rsidRPr="00026F1E">
        <w:rPr>
          <w:rFonts w:ascii="Bookman Old Style" w:hAnsi="Bookman Old Style" w:cs="Arial"/>
          <w:spacing w:val="-3"/>
          <w:sz w:val="24"/>
          <w:szCs w:val="24"/>
        </w:rPr>
        <w:t>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04C8242A" w14:textId="77777777" w:rsidR="00371DF0" w:rsidRPr="00026F1E" w:rsidRDefault="00371DF0" w:rsidP="00371DF0">
      <w:pPr>
        <w:pStyle w:val="Textoindependiente21"/>
        <w:tabs>
          <w:tab w:val="left" w:pos="-720"/>
        </w:tabs>
        <w:rPr>
          <w:rFonts w:ascii="Bookman Old Style" w:hAnsi="Bookman Old Style" w:cs="Arial"/>
          <w:spacing w:val="-3"/>
          <w:sz w:val="24"/>
          <w:szCs w:val="24"/>
        </w:rPr>
      </w:pPr>
    </w:p>
    <w:p w14:paraId="0D200733" w14:textId="21D7A642" w:rsidR="00371DF0" w:rsidRPr="00026F1E" w:rsidRDefault="00371DF0" w:rsidP="00F04640">
      <w:pPr>
        <w:pStyle w:val="Textoindependiente2"/>
        <w:spacing w:after="0" w:line="240" w:lineRule="auto"/>
        <w:ind w:left="0"/>
        <w:jc w:val="both"/>
        <w:rPr>
          <w:spacing w:val="-3"/>
        </w:rPr>
      </w:pPr>
      <w:r w:rsidRPr="00026F1E">
        <w:rPr>
          <w:spacing w:val="-3"/>
        </w:rPr>
        <w:t xml:space="preserve">Según el </w:t>
      </w:r>
      <w:r w:rsidR="0092162D" w:rsidRPr="00026F1E">
        <w:rPr>
          <w:spacing w:val="-3"/>
        </w:rPr>
        <w:t>parágrafo 3 del a</w:t>
      </w:r>
      <w:r w:rsidRPr="00026F1E">
        <w:rPr>
          <w:spacing w:val="-3"/>
        </w:rPr>
        <w:t>rtículo 3º de la Ley 401 de 1997, es función de la CREG establecer las reglas y condiciones operativas que debe cumplir toda la infraestructura del Sistema Nacional de Transporte a través del Reglamento Úni</w:t>
      </w:r>
      <w:r w:rsidR="00F04640" w:rsidRPr="00026F1E">
        <w:rPr>
          <w:spacing w:val="-3"/>
        </w:rPr>
        <w:t>co de Transporte de Gas Natural.</w:t>
      </w:r>
    </w:p>
    <w:p w14:paraId="6B7C3A0B" w14:textId="77777777" w:rsidR="00F45C7B" w:rsidRPr="00026F1E" w:rsidRDefault="00F45C7B" w:rsidP="00371DF0">
      <w:pPr>
        <w:pStyle w:val="Textoindependiente21"/>
        <w:tabs>
          <w:tab w:val="left" w:pos="-720"/>
        </w:tabs>
        <w:rPr>
          <w:rFonts w:ascii="Bookman Old Style" w:hAnsi="Bookman Old Style" w:cs="Arial"/>
          <w:spacing w:val="-3"/>
          <w:sz w:val="24"/>
          <w:szCs w:val="24"/>
        </w:rPr>
      </w:pPr>
    </w:p>
    <w:p w14:paraId="17CBAF5C" w14:textId="77777777" w:rsidR="00371DF0" w:rsidRPr="00026F1E" w:rsidRDefault="00F04640" w:rsidP="00371DF0">
      <w:pPr>
        <w:pStyle w:val="Textoindependiente21"/>
        <w:tabs>
          <w:tab w:val="left" w:pos="-720"/>
        </w:tabs>
        <w:rPr>
          <w:rFonts w:ascii="Bookman Old Style" w:hAnsi="Bookman Old Style" w:cs="Arial"/>
          <w:spacing w:val="-3"/>
          <w:sz w:val="24"/>
          <w:szCs w:val="24"/>
        </w:rPr>
      </w:pPr>
      <w:r w:rsidRPr="00026F1E">
        <w:rPr>
          <w:rFonts w:ascii="Bookman Old Style" w:hAnsi="Bookman Old Style" w:cs="Arial"/>
          <w:spacing w:val="-3"/>
          <w:sz w:val="24"/>
          <w:szCs w:val="24"/>
        </w:rPr>
        <w:t>M</w:t>
      </w:r>
      <w:r w:rsidR="00371DF0" w:rsidRPr="00026F1E">
        <w:rPr>
          <w:rFonts w:ascii="Bookman Old Style" w:hAnsi="Bookman Old Style" w:cs="Arial"/>
          <w:spacing w:val="-3"/>
          <w:sz w:val="24"/>
          <w:szCs w:val="24"/>
        </w:rPr>
        <w:t>ediante la Resolución CREG 071 de 1999 la CREG adoptó el Reglamento Único de Transporte de Gas Natural – RUT-</w:t>
      </w:r>
      <w:r w:rsidR="006C5607" w:rsidRPr="00026F1E">
        <w:rPr>
          <w:rFonts w:ascii="Bookman Old Style" w:hAnsi="Bookman Old Style" w:cs="Arial"/>
          <w:spacing w:val="-3"/>
          <w:sz w:val="24"/>
          <w:szCs w:val="24"/>
        </w:rPr>
        <w:t>.</w:t>
      </w:r>
    </w:p>
    <w:p w14:paraId="7C131D88" w14:textId="77777777" w:rsidR="00371DF0" w:rsidRDefault="00371DF0" w:rsidP="00371DF0">
      <w:pPr>
        <w:pStyle w:val="Textoindependiente21"/>
        <w:tabs>
          <w:tab w:val="left" w:pos="-720"/>
        </w:tabs>
        <w:rPr>
          <w:rFonts w:ascii="Bookman Old Style" w:hAnsi="Bookman Old Style" w:cs="Arial"/>
          <w:spacing w:val="-3"/>
          <w:sz w:val="24"/>
          <w:szCs w:val="24"/>
        </w:rPr>
      </w:pPr>
    </w:p>
    <w:p w14:paraId="1B8C8088" w14:textId="0C967F1A" w:rsidR="008013E3" w:rsidRPr="00026F1E" w:rsidRDefault="008013E3" w:rsidP="008013E3">
      <w:pPr>
        <w:pStyle w:val="Textoindependiente21"/>
        <w:tabs>
          <w:tab w:val="left" w:pos="-720"/>
        </w:tabs>
        <w:rPr>
          <w:rFonts w:ascii="Bookman Old Style" w:hAnsi="Bookman Old Style" w:cs="Arial"/>
          <w:sz w:val="24"/>
          <w:szCs w:val="24"/>
        </w:rPr>
      </w:pPr>
      <w:r w:rsidRPr="00026F1E">
        <w:rPr>
          <w:rFonts w:ascii="Bookman Old Style" w:hAnsi="Bookman Old Style" w:cs="Arial"/>
          <w:sz w:val="24"/>
          <w:szCs w:val="24"/>
        </w:rPr>
        <w:t>Mediante la Ley 401 de 1997 se creó el Consejo Nacional de Ope</w:t>
      </w:r>
      <w:r w:rsidR="00094810">
        <w:rPr>
          <w:rFonts w:ascii="Bookman Old Style" w:hAnsi="Bookman Old Style" w:cs="Arial"/>
          <w:sz w:val="24"/>
          <w:szCs w:val="24"/>
        </w:rPr>
        <w:t>ración de Gas Natural–CNO-Gas-</w:t>
      </w:r>
      <w:r w:rsidRPr="00026F1E">
        <w:rPr>
          <w:rFonts w:ascii="Bookman Old Style" w:hAnsi="Bookman Old Style" w:cs="Arial"/>
          <w:sz w:val="24"/>
          <w:szCs w:val="24"/>
        </w:rPr>
        <w:t>como un cuerpo asesor cuyas funciones de asesoría se definen en el numeral 1.4 del RUT.</w:t>
      </w:r>
    </w:p>
    <w:p w14:paraId="4FEB93A8" w14:textId="77777777" w:rsidR="008013E3" w:rsidRPr="00026F1E" w:rsidRDefault="008013E3" w:rsidP="00371DF0">
      <w:pPr>
        <w:pStyle w:val="Textoindependiente21"/>
        <w:tabs>
          <w:tab w:val="left" w:pos="-720"/>
        </w:tabs>
        <w:rPr>
          <w:rFonts w:ascii="Bookman Old Style" w:hAnsi="Bookman Old Style" w:cs="Arial"/>
          <w:spacing w:val="-3"/>
          <w:sz w:val="24"/>
          <w:szCs w:val="24"/>
        </w:rPr>
      </w:pPr>
    </w:p>
    <w:p w14:paraId="0460E4B1" w14:textId="3B1272BD" w:rsidR="00371DF0" w:rsidRPr="00026F1E" w:rsidRDefault="00F04640" w:rsidP="00F04640">
      <w:pPr>
        <w:pStyle w:val="Textoindependiente2"/>
        <w:spacing w:after="0" w:line="240" w:lineRule="auto"/>
        <w:ind w:left="0"/>
        <w:jc w:val="both"/>
      </w:pPr>
      <w:r w:rsidRPr="00026F1E">
        <w:t>E</w:t>
      </w:r>
      <w:r w:rsidR="00371DF0" w:rsidRPr="00026F1E">
        <w:t>n el numeral 1.3 del RUT se estipula que “Cuando lo considere conveniente el Consejo Nacional de Operación de Gas Natural revisará la experiencia en la aplicación de los aspectos operativos, y comerciales del RUT, y enviará a la Comisión un informe sobre el resultado de las revisiones, las propuestas de reforma, si las hubiere, y cualquier observación o sugerencia presentada por</w:t>
      </w:r>
      <w:r w:rsidR="008013E3">
        <w:t xml:space="preserve"> escrito por cualquiera de los a</w:t>
      </w:r>
      <w:r w:rsidR="00371DF0" w:rsidRPr="00026F1E">
        <w:t>gentes, y que no haya sido incluid</w:t>
      </w:r>
      <w:r w:rsidRPr="00026F1E">
        <w:t>a en las propuestas de reforma”.</w:t>
      </w:r>
    </w:p>
    <w:p w14:paraId="14321E90" w14:textId="77777777" w:rsidR="00F04640" w:rsidRPr="00026F1E" w:rsidRDefault="00F04640" w:rsidP="00F04640">
      <w:pPr>
        <w:pStyle w:val="Textoindependiente2"/>
        <w:spacing w:after="0" w:line="240" w:lineRule="auto"/>
      </w:pPr>
    </w:p>
    <w:p w14:paraId="61CB3FFE" w14:textId="27F8C449" w:rsidR="00371DF0" w:rsidRPr="00026F1E" w:rsidRDefault="006C5607" w:rsidP="00F04640">
      <w:pPr>
        <w:pStyle w:val="Textoindependiente2"/>
        <w:spacing w:after="0" w:line="240" w:lineRule="auto"/>
        <w:ind w:left="0"/>
        <w:jc w:val="both"/>
      </w:pPr>
      <w:r w:rsidRPr="00026F1E">
        <w:t xml:space="preserve">Así mismo en el </w:t>
      </w:r>
      <w:r w:rsidR="00371DF0" w:rsidRPr="00026F1E">
        <w:t xml:space="preserve">numeral </w:t>
      </w:r>
      <w:r w:rsidRPr="00026F1E">
        <w:t xml:space="preserve">en mención </w:t>
      </w:r>
      <w:r w:rsidR="00371DF0" w:rsidRPr="00026F1E">
        <w:t xml:space="preserve">se establece que “La Comisión examinará las propuestas y las demás observaciones e iniciativas y, en la medida en que las considere convenientes, o de oficio, modificará el RUT después de haber oído </w:t>
      </w:r>
      <w:r w:rsidR="00371DF0" w:rsidRPr="00026F1E">
        <w:lastRenderedPageBreak/>
        <w:t>al Consejo Nacional de Operación de Gas Natural sobre las modificaciones propuestas. La iniciativa para la reforma del Reglamento también será de la Comisión si esta estima que debe adecuarse a la evolución de la industria, que contraría las regulaciones generales sobre el servicio, que va en detrimento de mayor concurrencia entre oferentes y demandantes del suministro o del libre acceso y uso del servicio de transporte y otros servicios asociados”</w:t>
      </w:r>
      <w:r w:rsidR="00094810">
        <w:t>.</w:t>
      </w:r>
    </w:p>
    <w:p w14:paraId="4D62F0A1" w14:textId="77777777" w:rsidR="00F04640" w:rsidRPr="00026F1E" w:rsidRDefault="00F04640" w:rsidP="00F04640">
      <w:pPr>
        <w:pStyle w:val="Textoindependiente2"/>
        <w:spacing w:after="0" w:line="240" w:lineRule="auto"/>
        <w:ind w:left="0"/>
        <w:jc w:val="both"/>
      </w:pPr>
    </w:p>
    <w:p w14:paraId="67B625E8" w14:textId="77777777" w:rsidR="001A5111" w:rsidRPr="00026F1E" w:rsidRDefault="00971734" w:rsidP="00F04640">
      <w:pPr>
        <w:pStyle w:val="Textoindependiente2"/>
        <w:spacing w:after="0" w:line="240" w:lineRule="auto"/>
        <w:ind w:left="0"/>
        <w:jc w:val="both"/>
      </w:pPr>
      <w:r w:rsidRPr="00026F1E">
        <w:t xml:space="preserve">En 2007, la Organización Internacional de Metrología Legal - OIML – publicó </w:t>
      </w:r>
      <w:r w:rsidR="004E78B3" w:rsidRPr="00026F1E">
        <w:t>la Recomendación OIML R 140 “</w:t>
      </w:r>
      <w:proofErr w:type="spellStart"/>
      <w:r w:rsidR="004E78B3" w:rsidRPr="00026F1E">
        <w:rPr>
          <w:i/>
        </w:rPr>
        <w:t>Measuring</w:t>
      </w:r>
      <w:proofErr w:type="spellEnd"/>
      <w:r w:rsidR="004E78B3" w:rsidRPr="00026F1E">
        <w:rPr>
          <w:i/>
        </w:rPr>
        <w:t xml:space="preserve"> </w:t>
      </w:r>
      <w:proofErr w:type="spellStart"/>
      <w:r w:rsidR="004E78B3" w:rsidRPr="00026F1E">
        <w:rPr>
          <w:i/>
        </w:rPr>
        <w:t>Systems</w:t>
      </w:r>
      <w:proofErr w:type="spellEnd"/>
      <w:r w:rsidR="004E78B3" w:rsidRPr="00026F1E">
        <w:rPr>
          <w:i/>
        </w:rPr>
        <w:t xml:space="preserve"> </w:t>
      </w:r>
      <w:proofErr w:type="spellStart"/>
      <w:r w:rsidR="004E78B3" w:rsidRPr="00026F1E">
        <w:rPr>
          <w:i/>
        </w:rPr>
        <w:t>for</w:t>
      </w:r>
      <w:proofErr w:type="spellEnd"/>
      <w:r w:rsidR="004E78B3" w:rsidRPr="00026F1E">
        <w:rPr>
          <w:i/>
        </w:rPr>
        <w:t xml:space="preserve"> </w:t>
      </w:r>
      <w:proofErr w:type="spellStart"/>
      <w:r w:rsidR="004E78B3" w:rsidRPr="00026F1E">
        <w:rPr>
          <w:i/>
        </w:rPr>
        <w:t>Gaseous</w:t>
      </w:r>
      <w:proofErr w:type="spellEnd"/>
      <w:r w:rsidR="004E78B3" w:rsidRPr="00026F1E">
        <w:rPr>
          <w:i/>
        </w:rPr>
        <w:t xml:space="preserve"> Fuel”</w:t>
      </w:r>
      <w:r w:rsidR="004E78B3" w:rsidRPr="00026F1E">
        <w:t>.</w:t>
      </w:r>
    </w:p>
    <w:p w14:paraId="51D911D1" w14:textId="77777777" w:rsidR="001A5111" w:rsidRPr="00026F1E" w:rsidRDefault="001A5111" w:rsidP="00F04640">
      <w:pPr>
        <w:pStyle w:val="Textoindependiente2"/>
        <w:spacing w:after="0" w:line="240" w:lineRule="auto"/>
        <w:ind w:left="0"/>
        <w:jc w:val="both"/>
      </w:pPr>
    </w:p>
    <w:p w14:paraId="0F8D6548" w14:textId="53699EE8" w:rsidR="006C5607" w:rsidRPr="00094810" w:rsidRDefault="006C5607" w:rsidP="006C5607">
      <w:pPr>
        <w:ind w:left="0"/>
        <w:jc w:val="both"/>
        <w:rPr>
          <w:rFonts w:cs="Arial"/>
        </w:rPr>
      </w:pPr>
      <w:r w:rsidRPr="00026F1E">
        <w:rPr>
          <w:rFonts w:cs="Arial"/>
        </w:rPr>
        <w:t xml:space="preserve">El Gobierno Nacional expidió en junio de 2011 el Decreto 2100 </w:t>
      </w:r>
      <w:r w:rsidRPr="00026F1E">
        <w:rPr>
          <w:rFonts w:cs="Arial"/>
          <w:i/>
        </w:rPr>
        <w:t>“Por el cual se establecen mecanismos para promover el aseguramiento del desabastec</w:t>
      </w:r>
      <w:r w:rsidR="005F070B">
        <w:rPr>
          <w:rFonts w:cs="Arial"/>
          <w:i/>
        </w:rPr>
        <w:t>imiento nacional de gas natural</w:t>
      </w:r>
      <w:r w:rsidRPr="00026F1E">
        <w:rPr>
          <w:rFonts w:cs="Arial"/>
          <w:i/>
        </w:rPr>
        <w:t xml:space="preserve"> y se dictan otras disposiciones”</w:t>
      </w:r>
      <w:r w:rsidRPr="00026F1E">
        <w:rPr>
          <w:rFonts w:cs="Arial"/>
        </w:rPr>
        <w:t>, el cual fue compilado en el Decreto 1073 de 2015</w:t>
      </w:r>
      <w:r w:rsidR="00BF37FE" w:rsidRPr="00026F1E">
        <w:rPr>
          <w:rFonts w:cs="Arial"/>
        </w:rPr>
        <w:t xml:space="preserve"> “</w:t>
      </w:r>
      <w:r w:rsidR="00BF37FE" w:rsidRPr="00026F1E">
        <w:rPr>
          <w:i/>
        </w:rPr>
        <w:t>Por medio del cual se expide el Decreto Único Reglamentario del sector administrativo de minas y energía”</w:t>
      </w:r>
      <w:r w:rsidR="00094810">
        <w:rPr>
          <w:i/>
        </w:rPr>
        <w:t xml:space="preserve"> </w:t>
      </w:r>
      <w:r w:rsidR="00094810">
        <w:t xml:space="preserve">y </w:t>
      </w:r>
      <w:r w:rsidR="00094810" w:rsidRPr="00094810">
        <w:t>modificado parcialmente por el Decreto 2345 de 2013</w:t>
      </w:r>
      <w:r w:rsidRPr="00094810">
        <w:rPr>
          <w:rFonts w:cs="Arial"/>
        </w:rPr>
        <w:t xml:space="preserve">. </w:t>
      </w:r>
    </w:p>
    <w:p w14:paraId="3E733347" w14:textId="77777777" w:rsidR="006C5607" w:rsidRPr="00026F1E" w:rsidRDefault="006C5607" w:rsidP="006C5607">
      <w:pPr>
        <w:ind w:left="0"/>
        <w:jc w:val="both"/>
        <w:rPr>
          <w:rFonts w:cs="Arial"/>
        </w:rPr>
      </w:pPr>
    </w:p>
    <w:p w14:paraId="64830681" w14:textId="6736C17E" w:rsidR="006C5607" w:rsidRPr="00026F1E" w:rsidRDefault="006C5607" w:rsidP="006C5607">
      <w:pPr>
        <w:ind w:left="0"/>
        <w:jc w:val="both"/>
        <w:rPr>
          <w:color w:val="000000"/>
        </w:rPr>
      </w:pPr>
      <w:r w:rsidRPr="00026F1E">
        <w:rPr>
          <w:rFonts w:cs="Arial"/>
        </w:rPr>
        <w:t xml:space="preserve">El artículo 2 del Decreto </w:t>
      </w:r>
      <w:r w:rsidR="00094810">
        <w:rPr>
          <w:rFonts w:cs="Arial"/>
        </w:rPr>
        <w:t>2100 de 2011</w:t>
      </w:r>
      <w:r w:rsidRPr="00026F1E">
        <w:rPr>
          <w:rFonts w:cs="Arial"/>
        </w:rPr>
        <w:t xml:space="preserve"> definió protocolo </w:t>
      </w:r>
      <w:r w:rsidRPr="00026F1E">
        <w:rPr>
          <w:color w:val="000000"/>
        </w:rPr>
        <w:t xml:space="preserve">operativo como el </w:t>
      </w:r>
      <w:r w:rsidRPr="00026F1E">
        <w:rPr>
          <w:i/>
          <w:color w:val="000000"/>
        </w:rPr>
        <w:t>“Plan escrito y detallado que establece objetivos, guías y procedimientos de carácter técnico para el desarrollo de un proceso operativo específico, de acuerdo con las mejores prácticas generalmente aceptadas a nivel nacional e internacional”.</w:t>
      </w:r>
      <w:r w:rsidRPr="00026F1E">
        <w:rPr>
          <w:color w:val="000000"/>
        </w:rPr>
        <w:t xml:space="preserve"> </w:t>
      </w:r>
    </w:p>
    <w:p w14:paraId="119D694B" w14:textId="77777777" w:rsidR="006C5607" w:rsidRPr="00026F1E" w:rsidRDefault="006C5607" w:rsidP="006C5607">
      <w:pPr>
        <w:ind w:left="0"/>
        <w:jc w:val="both"/>
        <w:rPr>
          <w:rFonts w:cs="Arial"/>
          <w:lang w:eastAsia="es-CO"/>
        </w:rPr>
      </w:pPr>
    </w:p>
    <w:p w14:paraId="5EDD2156" w14:textId="77777777" w:rsidR="006C5607" w:rsidRPr="00026F1E" w:rsidRDefault="006C5607" w:rsidP="006C5607">
      <w:pPr>
        <w:pStyle w:val="Default"/>
        <w:jc w:val="both"/>
        <w:rPr>
          <w:rFonts w:ascii="Bookman Old Style" w:hAnsi="Bookman Old Style" w:cs="Arial"/>
          <w:i/>
          <w:color w:val="auto"/>
        </w:rPr>
      </w:pPr>
      <w:r w:rsidRPr="00026F1E">
        <w:rPr>
          <w:rFonts w:ascii="Bookman Old Style" w:hAnsi="Bookman Old Style" w:cs="Arial"/>
          <w:color w:val="auto"/>
        </w:rPr>
        <w:t>La citada norma dispuso así mismo, en su artículo 21 que, “</w:t>
      </w:r>
      <w:r w:rsidRPr="00026F1E">
        <w:rPr>
          <w:rFonts w:ascii="Bookman Old Style" w:hAnsi="Bookman Old Style" w:cs="Arial"/>
          <w:i/>
          <w:color w:val="auto"/>
        </w:rPr>
        <w:t>Cuando la CREG lo solicite, el CNO</w:t>
      </w:r>
      <w:r w:rsidR="00BF37FE" w:rsidRPr="00026F1E">
        <w:rPr>
          <w:rFonts w:ascii="Bookman Old Style" w:hAnsi="Bookman Old Style" w:cs="Arial"/>
          <w:i/>
          <w:color w:val="auto"/>
        </w:rPr>
        <w:t xml:space="preserve"> </w:t>
      </w:r>
      <w:r w:rsidRPr="00026F1E">
        <w:rPr>
          <w:rFonts w:ascii="Bookman Old Style" w:hAnsi="Bookman Old Style" w:cs="Arial"/>
          <w:i/>
          <w:color w:val="auto"/>
        </w:rPr>
        <w:t>G</w:t>
      </w:r>
      <w:r w:rsidR="00BF37FE" w:rsidRPr="00026F1E">
        <w:rPr>
          <w:rFonts w:ascii="Bookman Old Style" w:hAnsi="Bookman Old Style" w:cs="Arial"/>
          <w:i/>
          <w:color w:val="auto"/>
        </w:rPr>
        <w:t>as</w:t>
      </w:r>
      <w:r w:rsidRPr="00026F1E">
        <w:rPr>
          <w:rFonts w:ascii="Bookman Old Style" w:hAnsi="Bookman Old Style" w:cs="Arial"/>
          <w:i/>
          <w:color w:val="auto"/>
        </w:rPr>
        <w:t xml:space="preserve"> expedirá los Acuerdos y Protocolos Operativos que se requieran con el fin de establecer los procedimientos, definiciones y parámetros básicos que deben regir para: (i) la operación del SNT; (ii) la programación de mantenimientos y/o intervenciones a la infraestructura de suministro y</w:t>
      </w:r>
      <w:r w:rsidRPr="00026F1E">
        <w:rPr>
          <w:rFonts w:ascii="Bookman Old Style" w:hAnsi="Bookman Old Style"/>
          <w:i/>
          <w:color w:val="auto"/>
        </w:rPr>
        <w:t xml:space="preserve"> </w:t>
      </w:r>
      <w:r w:rsidRPr="00026F1E">
        <w:rPr>
          <w:rFonts w:ascii="Bookman Old Style" w:hAnsi="Bookman Old Style" w:cs="Arial"/>
          <w:i/>
          <w:color w:val="auto"/>
        </w:rPr>
        <w:t xml:space="preserve">transporte de gas natural, que impliquen suspensión o pongan en riesgo la continuidad del servicio público; y, (iii) la </w:t>
      </w:r>
      <w:r w:rsidRPr="00026F1E">
        <w:rPr>
          <w:rFonts w:ascii="Bookman Old Style" w:hAnsi="Bookman Old Style" w:cs="HiddenHorzOCl"/>
          <w:i/>
          <w:color w:val="auto"/>
        </w:rPr>
        <w:t xml:space="preserve">coordinación de los </w:t>
      </w:r>
      <w:r w:rsidRPr="00026F1E">
        <w:rPr>
          <w:rFonts w:ascii="Bookman Old Style" w:hAnsi="Bookman Old Style" w:cs="Arial"/>
          <w:i/>
          <w:color w:val="auto"/>
        </w:rPr>
        <w:t xml:space="preserve">Agentes que utilicen el SNT cuando se presenten Insalvables </w:t>
      </w:r>
      <w:r w:rsidRPr="00026F1E">
        <w:rPr>
          <w:rFonts w:ascii="Bookman Old Style" w:hAnsi="Bookman Old Style" w:cs="HiddenHorzOCl"/>
          <w:i/>
          <w:color w:val="auto"/>
        </w:rPr>
        <w:t xml:space="preserve">Restricciones </w:t>
      </w:r>
      <w:r w:rsidRPr="00026F1E">
        <w:rPr>
          <w:rFonts w:ascii="Bookman Old Style" w:hAnsi="Bookman Old Style" w:cs="Arial"/>
          <w:i/>
          <w:color w:val="auto"/>
        </w:rPr>
        <w:t>en la Oferta de Gas Natural o Situaciones de Grave Emergencia Transitorias y No Transitorias o Racionamiento Programado de gas natural de que trata el Decreto 880 de 2007.</w:t>
      </w:r>
    </w:p>
    <w:p w14:paraId="6454B7D5" w14:textId="77777777" w:rsidR="006C5607" w:rsidRPr="00026F1E" w:rsidRDefault="006C5607" w:rsidP="006C5607">
      <w:pPr>
        <w:pStyle w:val="Default"/>
        <w:jc w:val="both"/>
        <w:rPr>
          <w:rFonts w:ascii="Bookman Old Style" w:hAnsi="Bookman Old Style" w:cs="Arial"/>
          <w:i/>
          <w:color w:val="auto"/>
        </w:rPr>
      </w:pPr>
    </w:p>
    <w:p w14:paraId="211D4D2F" w14:textId="77777777" w:rsidR="006C5607" w:rsidRPr="00026F1E" w:rsidRDefault="006C5607" w:rsidP="006C5607">
      <w:pPr>
        <w:pStyle w:val="Default"/>
        <w:jc w:val="both"/>
        <w:rPr>
          <w:rFonts w:ascii="Bookman Old Style" w:hAnsi="Bookman Old Style" w:cs="Arial"/>
          <w:i/>
          <w:color w:val="auto"/>
        </w:rPr>
      </w:pPr>
      <w:r w:rsidRPr="00026F1E">
        <w:rPr>
          <w:rFonts w:ascii="Bookman Old Style" w:hAnsi="Bookman Old Style" w:cs="Arial"/>
          <w:i/>
          <w:color w:val="auto"/>
        </w:rPr>
        <w:t>El CNO</w:t>
      </w:r>
      <w:r w:rsidR="00BF37FE" w:rsidRPr="00026F1E">
        <w:rPr>
          <w:rFonts w:ascii="Bookman Old Style" w:hAnsi="Bookman Old Style" w:cs="Arial"/>
          <w:i/>
          <w:color w:val="auto"/>
        </w:rPr>
        <w:t xml:space="preserve"> </w:t>
      </w:r>
      <w:r w:rsidRPr="00026F1E">
        <w:rPr>
          <w:rFonts w:ascii="Bookman Old Style" w:hAnsi="Bookman Old Style" w:cs="Arial"/>
          <w:i/>
          <w:color w:val="auto"/>
        </w:rPr>
        <w:t>G</w:t>
      </w:r>
      <w:r w:rsidR="00BF37FE" w:rsidRPr="00026F1E">
        <w:rPr>
          <w:rFonts w:ascii="Bookman Old Style" w:hAnsi="Bookman Old Style" w:cs="Arial"/>
          <w:i/>
          <w:color w:val="auto"/>
        </w:rPr>
        <w:t>as</w:t>
      </w:r>
      <w:r w:rsidRPr="00026F1E">
        <w:rPr>
          <w:rFonts w:ascii="Bookman Old Style" w:hAnsi="Bookman Old Style" w:cs="Arial"/>
          <w:i/>
          <w:color w:val="auto"/>
        </w:rPr>
        <w:t>, por su propia iniciativa, podrá someter a consideración de la CREG los Protocolos y Acuerdos operativos que considere necesarios para lograr una operación segura, confiable y económica del SNT. La CREG contará con noventa (90) días para pronunciarse y, si es pertinente, adoptarlo mediante acto administrativo”.</w:t>
      </w:r>
    </w:p>
    <w:p w14:paraId="7C26BFA4" w14:textId="77777777" w:rsidR="006C5607" w:rsidRPr="00026F1E" w:rsidRDefault="006C5607" w:rsidP="00F04640">
      <w:pPr>
        <w:pStyle w:val="Textoindependiente2"/>
        <w:spacing w:after="0" w:line="240" w:lineRule="auto"/>
        <w:ind w:left="0"/>
        <w:jc w:val="both"/>
      </w:pPr>
    </w:p>
    <w:p w14:paraId="4BC38F12" w14:textId="124F06E1" w:rsidR="00766199" w:rsidRPr="00026F1E" w:rsidRDefault="00766199" w:rsidP="00F04640">
      <w:pPr>
        <w:pStyle w:val="Textoindependiente2"/>
        <w:spacing w:after="0" w:line="240" w:lineRule="auto"/>
        <w:ind w:left="0"/>
        <w:jc w:val="both"/>
      </w:pPr>
      <w:r w:rsidRPr="00026F1E">
        <w:t xml:space="preserve">La </w:t>
      </w:r>
      <w:r w:rsidR="00BF37FE" w:rsidRPr="00026F1E">
        <w:t xml:space="preserve">Comisión </w:t>
      </w:r>
      <w:r w:rsidRPr="00026F1E">
        <w:t xml:space="preserve">mediante </w:t>
      </w:r>
      <w:r w:rsidR="00817F21" w:rsidRPr="00026F1E">
        <w:t>Resoluciones</w:t>
      </w:r>
      <w:r w:rsidRPr="00026F1E">
        <w:t xml:space="preserve"> CREG 041 de 2008 </w:t>
      </w:r>
      <w:r w:rsidR="00817F21" w:rsidRPr="00026F1E">
        <w:t>y 126 de 2013</w:t>
      </w:r>
      <w:r w:rsidRPr="00026F1E">
        <w:t xml:space="preserve"> modificó </w:t>
      </w:r>
      <w:r w:rsidRPr="00026F1E">
        <w:rPr>
          <w:rFonts w:cs="Arial"/>
        </w:rPr>
        <w:t>y complement</w:t>
      </w:r>
      <w:r w:rsidR="00817F21" w:rsidRPr="00026F1E">
        <w:rPr>
          <w:rFonts w:cs="Arial"/>
        </w:rPr>
        <w:t>ó</w:t>
      </w:r>
      <w:r w:rsidRPr="00026F1E">
        <w:rPr>
          <w:rFonts w:cs="Arial"/>
        </w:rPr>
        <w:t xml:space="preserve"> el Reglamento Únic</w:t>
      </w:r>
      <w:r w:rsidR="00817F21" w:rsidRPr="00026F1E">
        <w:rPr>
          <w:rFonts w:cs="Arial"/>
        </w:rPr>
        <w:t>o de Transporte de Gas Natural</w:t>
      </w:r>
      <w:r w:rsidRPr="00026F1E">
        <w:rPr>
          <w:rFonts w:cs="Arial"/>
        </w:rPr>
        <w:t xml:space="preserve">- RUT – </w:t>
      </w:r>
      <w:r w:rsidR="00817F21" w:rsidRPr="00026F1E">
        <w:rPr>
          <w:rFonts w:cs="Arial"/>
        </w:rPr>
        <w:t xml:space="preserve">donde </w:t>
      </w:r>
      <w:r w:rsidRPr="00026F1E">
        <w:rPr>
          <w:rFonts w:cs="Arial"/>
        </w:rPr>
        <w:t>se incluyeron aspectos asociados a temas de metrología</w:t>
      </w:r>
      <w:r w:rsidR="00817F21" w:rsidRPr="00026F1E">
        <w:t>.</w:t>
      </w:r>
    </w:p>
    <w:p w14:paraId="28547351" w14:textId="77777777" w:rsidR="00817F21" w:rsidRPr="00026F1E" w:rsidRDefault="00817F21" w:rsidP="00F04640">
      <w:pPr>
        <w:pStyle w:val="Textoindependiente2"/>
        <w:spacing w:after="0" w:line="240" w:lineRule="auto"/>
        <w:ind w:left="0"/>
        <w:jc w:val="both"/>
      </w:pPr>
    </w:p>
    <w:p w14:paraId="4AD8B2BB" w14:textId="77777777" w:rsidR="007B3524" w:rsidRPr="00026F1E" w:rsidRDefault="001A5111" w:rsidP="00F04640">
      <w:pPr>
        <w:pStyle w:val="Textoindependiente2"/>
        <w:spacing w:after="0" w:line="240" w:lineRule="auto"/>
        <w:ind w:left="0"/>
        <w:jc w:val="both"/>
      </w:pPr>
      <w:r w:rsidRPr="00026F1E">
        <w:t>El CNO</w:t>
      </w:r>
      <w:r w:rsidR="00C66953" w:rsidRPr="00026F1E">
        <w:t xml:space="preserve"> </w:t>
      </w:r>
      <w:r w:rsidRPr="00026F1E">
        <w:t>G</w:t>
      </w:r>
      <w:r w:rsidR="00C66953" w:rsidRPr="00026F1E">
        <w:t>as</w:t>
      </w:r>
      <w:r w:rsidRPr="00026F1E">
        <w:t xml:space="preserve"> creó en 2012 un Comité Técnico de Medición con el fin de estudiar y analizar la Recomendación OIML R 140 para su implementación en el sector de transporte de Gas Natural en Colombia. A partir de este estudio, el CNO</w:t>
      </w:r>
      <w:r w:rsidR="00C66953" w:rsidRPr="00026F1E">
        <w:t xml:space="preserve"> </w:t>
      </w:r>
      <w:r w:rsidRPr="00026F1E">
        <w:t>G</w:t>
      </w:r>
      <w:r w:rsidR="00C66953" w:rsidRPr="00026F1E">
        <w:t>as</w:t>
      </w:r>
      <w:r w:rsidRPr="00026F1E">
        <w:t xml:space="preserve"> publicó en 2014 el Protocolo Operativo de Medición.</w:t>
      </w:r>
    </w:p>
    <w:p w14:paraId="764D94A2" w14:textId="77777777" w:rsidR="007B3524" w:rsidRPr="00026F1E" w:rsidRDefault="007B3524" w:rsidP="00F04640">
      <w:pPr>
        <w:pStyle w:val="Textoindependiente2"/>
        <w:spacing w:after="0" w:line="240" w:lineRule="auto"/>
        <w:ind w:left="0"/>
        <w:jc w:val="both"/>
      </w:pPr>
    </w:p>
    <w:p w14:paraId="194C0FDA" w14:textId="77777777" w:rsidR="00AE42D3" w:rsidRPr="00026F1E" w:rsidRDefault="00AE42D3" w:rsidP="00AE42D3">
      <w:pPr>
        <w:pStyle w:val="Textoindependiente2"/>
        <w:spacing w:after="0" w:line="240" w:lineRule="auto"/>
        <w:ind w:left="0"/>
        <w:jc w:val="both"/>
      </w:pPr>
      <w:r w:rsidRPr="00026F1E">
        <w:t>Mediante radicado CREG E-2014-009778, el CNO</w:t>
      </w:r>
      <w:r w:rsidR="00C66953" w:rsidRPr="00026F1E">
        <w:t xml:space="preserve"> </w:t>
      </w:r>
      <w:r w:rsidRPr="00026F1E">
        <w:t>G</w:t>
      </w:r>
      <w:r w:rsidR="00C66953" w:rsidRPr="00026F1E">
        <w:t>as</w:t>
      </w:r>
      <w:r w:rsidRPr="00026F1E">
        <w:t xml:space="preserve"> remitió a la CREG el Protocolo Operativo de Medición a través del cual se propone a la Comisión </w:t>
      </w:r>
      <w:r w:rsidRPr="00026F1E">
        <w:lastRenderedPageBreak/>
        <w:t>actualizar el Reglamento Único de Transporte en los temas relacionados con la medición de gas natural.</w:t>
      </w:r>
    </w:p>
    <w:p w14:paraId="1608E18F" w14:textId="77777777" w:rsidR="00B87ACA" w:rsidRPr="00026F1E" w:rsidRDefault="00B87ACA" w:rsidP="00AE42D3">
      <w:pPr>
        <w:pStyle w:val="Textoindependiente2"/>
        <w:spacing w:after="0" w:line="240" w:lineRule="auto"/>
        <w:ind w:left="0"/>
        <w:jc w:val="both"/>
      </w:pPr>
    </w:p>
    <w:p w14:paraId="6DC1E9BD" w14:textId="35586456" w:rsidR="00EE55B5" w:rsidRPr="00026F1E" w:rsidRDefault="00C66953" w:rsidP="00EE55B5">
      <w:pPr>
        <w:pStyle w:val="Textoindependiente2"/>
        <w:spacing w:after="0" w:line="240" w:lineRule="auto"/>
        <w:ind w:left="0"/>
        <w:jc w:val="both"/>
      </w:pPr>
      <w:r w:rsidRPr="00026F1E">
        <w:t xml:space="preserve">Mediante norma técnica NTC 6167 de 2016 el </w:t>
      </w:r>
      <w:r w:rsidR="00EE55B5" w:rsidRPr="00026F1E">
        <w:t xml:space="preserve">Icontec expidió </w:t>
      </w:r>
      <w:r w:rsidR="00CB2E56">
        <w:t>la</w:t>
      </w:r>
      <w:r w:rsidR="00094810">
        <w:t xml:space="preserve">s disposiciones sobre </w:t>
      </w:r>
      <w:r w:rsidRPr="00026F1E">
        <w:t xml:space="preserve">medición </w:t>
      </w:r>
      <w:r w:rsidR="00EE55B5" w:rsidRPr="00026F1E">
        <w:t>de transferencia de custodia de gas natural en gasoductos</w:t>
      </w:r>
      <w:r w:rsidR="00F45C7B" w:rsidRPr="00026F1E">
        <w:t>.</w:t>
      </w:r>
    </w:p>
    <w:p w14:paraId="4330D9BE" w14:textId="77777777" w:rsidR="007B3524" w:rsidRPr="00026F1E" w:rsidRDefault="007B3524" w:rsidP="00F04640">
      <w:pPr>
        <w:ind w:left="0"/>
        <w:jc w:val="center"/>
      </w:pPr>
    </w:p>
    <w:p w14:paraId="441E1F05" w14:textId="04CF0E85" w:rsidR="00BA5F89" w:rsidRDefault="00BA5F89" w:rsidP="00256671">
      <w:pPr>
        <w:ind w:left="0"/>
        <w:jc w:val="both"/>
      </w:pPr>
      <w:r w:rsidRPr="00026F1E">
        <w:t>Mediante radicado CREG E-2016-006743, el CNO Gas remitió a la CREG propuesta de modificación del RUT según lo previsto en la</w:t>
      </w:r>
      <w:r w:rsidR="00094810">
        <w:t xml:space="preserve"> norma técnica</w:t>
      </w:r>
      <w:r w:rsidRPr="00026F1E">
        <w:t xml:space="preserve"> NTC 6167 de 2016. </w:t>
      </w:r>
    </w:p>
    <w:p w14:paraId="7507699F" w14:textId="77777777" w:rsidR="005508F5" w:rsidRPr="00026F1E" w:rsidRDefault="005508F5" w:rsidP="00256671">
      <w:pPr>
        <w:ind w:left="0"/>
        <w:jc w:val="both"/>
      </w:pPr>
    </w:p>
    <w:p w14:paraId="028AD20C" w14:textId="668E38FD" w:rsidR="00B04096" w:rsidRPr="005C693E" w:rsidRDefault="005508F5" w:rsidP="002D1611">
      <w:pPr>
        <w:ind w:left="0"/>
        <w:jc w:val="both"/>
      </w:pPr>
      <w:r w:rsidRPr="005C693E">
        <w:t>Mediante radicado CREG E-2016-013681, el CNO Gas remitió a la C</w:t>
      </w:r>
      <w:r w:rsidR="00B04096" w:rsidRPr="005C693E">
        <w:t>omisión</w:t>
      </w:r>
      <w:r w:rsidRPr="005C693E">
        <w:t xml:space="preserve"> la respuesta a las inquietudes planteadas en</w:t>
      </w:r>
      <w:r w:rsidR="00B04096" w:rsidRPr="005C693E">
        <w:t xml:space="preserve"> comunicación con radicado CREG</w:t>
      </w:r>
      <w:r w:rsidRPr="005C693E">
        <w:t xml:space="preserve"> S-2016-005999 </w:t>
      </w:r>
      <w:r w:rsidR="00B04096" w:rsidRPr="005C693E">
        <w:t>sobre el requerimiento de análisis de impacto de incluir la modificación propuesta por el órgano asesor. En ese sentido, el CNO</w:t>
      </w:r>
      <w:r w:rsidR="00094810" w:rsidRPr="005C693E">
        <w:t xml:space="preserve"> </w:t>
      </w:r>
      <w:r w:rsidR="00B04096" w:rsidRPr="005C693E">
        <w:t>Gas afirmó:</w:t>
      </w:r>
    </w:p>
    <w:p w14:paraId="446568F1" w14:textId="50C60F4D" w:rsidR="002D1611" w:rsidRPr="005C693E" w:rsidRDefault="00B04096" w:rsidP="00B04096">
      <w:pPr>
        <w:ind w:left="0"/>
        <w:jc w:val="both"/>
      </w:pPr>
      <w:r w:rsidRPr="005C693E">
        <w:t xml:space="preserve"> </w:t>
      </w:r>
    </w:p>
    <w:p w14:paraId="48741311" w14:textId="75E4F267" w:rsidR="005508F5" w:rsidRPr="005C693E" w:rsidRDefault="00B04096" w:rsidP="005508F5">
      <w:pPr>
        <w:ind w:left="708"/>
        <w:jc w:val="both"/>
        <w:rPr>
          <w:i/>
          <w:sz w:val="20"/>
        </w:rPr>
      </w:pPr>
      <w:r w:rsidRPr="005C693E">
        <w:rPr>
          <w:i/>
          <w:sz w:val="20"/>
        </w:rPr>
        <w:t>“</w:t>
      </w:r>
      <w:r w:rsidR="005508F5" w:rsidRPr="005C693E">
        <w:rPr>
          <w:i/>
          <w:sz w:val="20"/>
        </w:rPr>
        <w:t>Análisis de impacto al sistema de transporte y a los agentes desde el punto de vista operativo y económico de incluir las propuestas en el RUT realizado por el CNOG.</w:t>
      </w:r>
    </w:p>
    <w:p w14:paraId="0ECE01C0" w14:textId="39A070B9" w:rsidR="005508F5" w:rsidRPr="005C693E" w:rsidRDefault="005508F5" w:rsidP="005508F5">
      <w:pPr>
        <w:ind w:left="708"/>
        <w:jc w:val="both"/>
        <w:rPr>
          <w:i/>
          <w:sz w:val="20"/>
        </w:rPr>
      </w:pPr>
      <w:r w:rsidRPr="005C693E">
        <w:rPr>
          <w:i/>
          <w:sz w:val="20"/>
        </w:rPr>
        <w:t xml:space="preserve">Comentario </w:t>
      </w:r>
      <w:proofErr w:type="spellStart"/>
      <w:r w:rsidRPr="005C693E">
        <w:rPr>
          <w:i/>
          <w:sz w:val="20"/>
        </w:rPr>
        <w:t>CNOGas</w:t>
      </w:r>
      <w:proofErr w:type="spellEnd"/>
      <w:r w:rsidRPr="005C693E">
        <w:rPr>
          <w:i/>
          <w:sz w:val="20"/>
        </w:rPr>
        <w:t xml:space="preserve">. El impacto es positivo por cuanto se amplían los criterios técnicos de aceptación de los puntos de transferencia de custodia relacionados con: (i) Alternativas para nuevas tecnologías, (ii) </w:t>
      </w:r>
      <w:proofErr w:type="spellStart"/>
      <w:r w:rsidRPr="005C693E">
        <w:rPr>
          <w:i/>
          <w:sz w:val="20"/>
        </w:rPr>
        <w:t>Viabilización</w:t>
      </w:r>
      <w:proofErr w:type="spellEnd"/>
      <w:r w:rsidRPr="005C693E">
        <w:rPr>
          <w:i/>
          <w:sz w:val="20"/>
        </w:rPr>
        <w:t xml:space="preserve"> de proyectos de nuevos puntos de transferencia de custodia en lo referente a costo-beneficio asociado con el volumen y energía a medir, (iii) Mejoras en los sistemas de gestión referidos al aseguramiento metrológico y (iv)Armonización de los sistemas de transferencia de custodia actuales con errores máximos</w:t>
      </w:r>
    </w:p>
    <w:p w14:paraId="72F97F94" w14:textId="0D5DCD93" w:rsidR="00BA5F89" w:rsidRPr="005C693E" w:rsidRDefault="005508F5" w:rsidP="005508F5">
      <w:pPr>
        <w:ind w:left="708"/>
        <w:jc w:val="both"/>
        <w:rPr>
          <w:i/>
          <w:sz w:val="20"/>
        </w:rPr>
      </w:pPr>
      <w:r w:rsidRPr="005C693E">
        <w:rPr>
          <w:i/>
          <w:sz w:val="20"/>
        </w:rPr>
        <w:t>permisibles mayores a los previstos en el RUT</w:t>
      </w:r>
      <w:r w:rsidR="00B04096" w:rsidRPr="005C693E">
        <w:rPr>
          <w:i/>
          <w:sz w:val="20"/>
        </w:rPr>
        <w:t>”</w:t>
      </w:r>
      <w:r w:rsidRPr="005C693E">
        <w:rPr>
          <w:i/>
          <w:sz w:val="20"/>
        </w:rPr>
        <w:t>.</w:t>
      </w:r>
    </w:p>
    <w:p w14:paraId="6715AEE4" w14:textId="77777777" w:rsidR="00B91931" w:rsidRDefault="00B91931" w:rsidP="00256671">
      <w:pPr>
        <w:ind w:left="0"/>
      </w:pPr>
    </w:p>
    <w:p w14:paraId="6B12A764" w14:textId="5C4E3FE4" w:rsidR="00DB3E34" w:rsidRDefault="00B91931" w:rsidP="00256671">
      <w:pPr>
        <w:ind w:left="0"/>
      </w:pPr>
      <w:r>
        <w:t>Adicionalmente</w:t>
      </w:r>
      <w:r w:rsidR="005C693E">
        <w:t>,</w:t>
      </w:r>
      <w:r>
        <w:t xml:space="preserve"> en la misma comunicación el CNO gas </w:t>
      </w:r>
      <w:r w:rsidR="005C693E">
        <w:t>realizó las siguientes precisiones sobre el tema de la inversión y costos de AOM</w:t>
      </w:r>
      <w:r w:rsidR="009E42C9">
        <w:t xml:space="preserve"> </w:t>
      </w:r>
      <w:r w:rsidR="005C693E">
        <w:t>a saber</w:t>
      </w:r>
      <w:r>
        <w:t>:</w:t>
      </w:r>
    </w:p>
    <w:p w14:paraId="14D081D0" w14:textId="77777777" w:rsidR="00B91931" w:rsidRDefault="00B91931" w:rsidP="00256671">
      <w:pPr>
        <w:ind w:left="0"/>
      </w:pPr>
    </w:p>
    <w:p w14:paraId="6C650008" w14:textId="047FF6FE" w:rsidR="00B91931" w:rsidRPr="005C693E" w:rsidRDefault="005C693E" w:rsidP="00B91931">
      <w:pPr>
        <w:ind w:left="708"/>
        <w:jc w:val="both"/>
        <w:rPr>
          <w:i/>
          <w:sz w:val="20"/>
        </w:rPr>
      </w:pPr>
      <w:r>
        <w:rPr>
          <w:i/>
          <w:sz w:val="20"/>
        </w:rPr>
        <w:t>“</w:t>
      </w:r>
      <w:r w:rsidR="00B91931" w:rsidRPr="005C693E">
        <w:rPr>
          <w:i/>
          <w:sz w:val="20"/>
        </w:rPr>
        <w:t xml:space="preserve">De acuerdo con el análisis realizado por el </w:t>
      </w:r>
      <w:proofErr w:type="spellStart"/>
      <w:r w:rsidR="00B91931" w:rsidRPr="005C693E">
        <w:rPr>
          <w:i/>
          <w:sz w:val="20"/>
        </w:rPr>
        <w:t>CNOGas</w:t>
      </w:r>
      <w:proofErr w:type="spellEnd"/>
      <w:r w:rsidR="00B91931" w:rsidRPr="005C693E">
        <w:rPr>
          <w:i/>
          <w:sz w:val="20"/>
        </w:rPr>
        <w:t>, podemos</w:t>
      </w:r>
      <w:r w:rsidR="002D1611" w:rsidRPr="005C693E">
        <w:rPr>
          <w:i/>
          <w:sz w:val="20"/>
        </w:rPr>
        <w:t xml:space="preserve"> </w:t>
      </w:r>
      <w:r w:rsidR="00B91931" w:rsidRPr="005C693E">
        <w:rPr>
          <w:i/>
          <w:sz w:val="20"/>
        </w:rPr>
        <w:t>realizar las siguientes precisiones:</w:t>
      </w:r>
    </w:p>
    <w:p w14:paraId="7F4D6974" w14:textId="25B4F24B" w:rsidR="002D1611" w:rsidRPr="005C693E" w:rsidRDefault="002D1611" w:rsidP="005C693E">
      <w:pPr>
        <w:pStyle w:val="Prrafodelista"/>
        <w:numPr>
          <w:ilvl w:val="0"/>
          <w:numId w:val="56"/>
        </w:numPr>
        <w:tabs>
          <w:tab w:val="left" w:pos="993"/>
        </w:tabs>
        <w:ind w:left="708" w:firstLine="1"/>
        <w:jc w:val="both"/>
        <w:rPr>
          <w:i/>
        </w:rPr>
      </w:pPr>
      <w:r w:rsidRPr="005C693E">
        <w:rPr>
          <w:i/>
        </w:rPr>
        <w:t>INVERSIÓN</w:t>
      </w:r>
      <w:r w:rsidR="00B91931" w:rsidRPr="005C693E">
        <w:rPr>
          <w:i/>
        </w:rPr>
        <w:t>: Para los sistemas de medición existentes, N</w:t>
      </w:r>
      <w:r w:rsidR="00B04096" w:rsidRPr="005C693E">
        <w:rPr>
          <w:i/>
        </w:rPr>
        <w:t>o</w:t>
      </w:r>
      <w:r w:rsidR="00B91931" w:rsidRPr="005C693E">
        <w:rPr>
          <w:i/>
        </w:rPr>
        <w:t xml:space="preserve"> se requieren inversiones</w:t>
      </w:r>
      <w:r w:rsidRPr="005C693E">
        <w:rPr>
          <w:i/>
        </w:rPr>
        <w:t xml:space="preserve"> </w:t>
      </w:r>
      <w:r w:rsidR="00B91931" w:rsidRPr="005C693E">
        <w:rPr>
          <w:i/>
        </w:rPr>
        <w:t>para cumplir con lo previsto en la NTC 6167. Las inversiones requeridas realizar</w:t>
      </w:r>
      <w:r w:rsidRPr="005C693E">
        <w:rPr>
          <w:i/>
        </w:rPr>
        <w:t xml:space="preserve"> </w:t>
      </w:r>
      <w:r w:rsidR="00B91931" w:rsidRPr="005C693E">
        <w:rPr>
          <w:i/>
        </w:rPr>
        <w:t>corresponden con el cumplimiento de lo previsto en las Resoluciones CREG 041 de 2008</w:t>
      </w:r>
      <w:r w:rsidRPr="005C693E">
        <w:rPr>
          <w:i/>
        </w:rPr>
        <w:t xml:space="preserve"> </w:t>
      </w:r>
      <w:r w:rsidR="00B91931" w:rsidRPr="005C693E">
        <w:rPr>
          <w:i/>
        </w:rPr>
        <w:t>y CREG 126 Y 127 de 2013.</w:t>
      </w:r>
    </w:p>
    <w:p w14:paraId="1C84096D" w14:textId="2B97003B" w:rsidR="00B91931" w:rsidRPr="005C693E" w:rsidRDefault="00B91931" w:rsidP="005C693E">
      <w:pPr>
        <w:pStyle w:val="Prrafodelista"/>
        <w:numPr>
          <w:ilvl w:val="0"/>
          <w:numId w:val="56"/>
        </w:numPr>
        <w:tabs>
          <w:tab w:val="left" w:pos="993"/>
        </w:tabs>
        <w:ind w:left="708" w:firstLine="1"/>
        <w:jc w:val="both"/>
        <w:rPr>
          <w:i/>
        </w:rPr>
      </w:pPr>
      <w:r w:rsidRPr="005C693E">
        <w:rPr>
          <w:i/>
          <w:szCs w:val="24"/>
          <w:lang w:val="es-ES"/>
        </w:rPr>
        <w:t>AOM: solo corresponden con costos adicionales asociados con verificaciones</w:t>
      </w:r>
      <w:r w:rsidR="002D1611" w:rsidRPr="005C693E">
        <w:rPr>
          <w:i/>
        </w:rPr>
        <w:t xml:space="preserve"> </w:t>
      </w:r>
      <w:r w:rsidRPr="005C693E">
        <w:rPr>
          <w:i/>
          <w:szCs w:val="24"/>
          <w:lang w:val="es-ES"/>
        </w:rPr>
        <w:t>periódicas posteriores de los sistemas de medición. Los demás costos están incluidos en</w:t>
      </w:r>
      <w:r w:rsidR="002D1611" w:rsidRPr="005C693E">
        <w:rPr>
          <w:i/>
        </w:rPr>
        <w:t xml:space="preserve"> </w:t>
      </w:r>
      <w:r w:rsidRPr="005C693E">
        <w:rPr>
          <w:i/>
          <w:szCs w:val="24"/>
          <w:lang w:val="es-ES"/>
        </w:rPr>
        <w:t>el RUT. En la tabla adjunta a la presente comunicación se podrá observar que el impacto</w:t>
      </w:r>
      <w:r w:rsidR="002D1611" w:rsidRPr="005C693E">
        <w:rPr>
          <w:i/>
        </w:rPr>
        <w:t xml:space="preserve"> </w:t>
      </w:r>
      <w:r w:rsidRPr="005C693E">
        <w:rPr>
          <w:i/>
          <w:szCs w:val="24"/>
          <w:lang w:val="es-ES"/>
        </w:rPr>
        <w:t>en la aplicación de lo previsto en la NTC 6167 en lo relacionado con costos anuales</w:t>
      </w:r>
      <w:r w:rsidR="002D1611" w:rsidRPr="005C693E">
        <w:rPr>
          <w:i/>
        </w:rPr>
        <w:t xml:space="preserve"> </w:t>
      </w:r>
      <w:r w:rsidRPr="005C693E">
        <w:rPr>
          <w:i/>
          <w:szCs w:val="24"/>
          <w:lang w:val="es-ES"/>
        </w:rPr>
        <w:t>adicionales por inspecciones posteriores y calibraciones a medidores es marginal, no</w:t>
      </w:r>
      <w:r w:rsidR="002D1611" w:rsidRPr="005C693E">
        <w:rPr>
          <w:i/>
        </w:rPr>
        <w:t xml:space="preserve"> </w:t>
      </w:r>
      <w:r w:rsidRPr="005C693E">
        <w:rPr>
          <w:i/>
          <w:szCs w:val="24"/>
          <w:lang w:val="es-ES"/>
        </w:rPr>
        <w:t>solo desde el punto de vista económico sino que frente a lograr el aseguramiento</w:t>
      </w:r>
      <w:r w:rsidR="002D1611" w:rsidRPr="005C693E">
        <w:rPr>
          <w:i/>
        </w:rPr>
        <w:t xml:space="preserve"> </w:t>
      </w:r>
      <w:r w:rsidRPr="005C693E">
        <w:rPr>
          <w:i/>
          <w:szCs w:val="24"/>
          <w:lang w:val="es-ES"/>
        </w:rPr>
        <w:t>metrológico permite lograr resultados de medición dentro de los errores máximos</w:t>
      </w:r>
      <w:r w:rsidR="002D1611" w:rsidRPr="005C693E">
        <w:rPr>
          <w:i/>
        </w:rPr>
        <w:t xml:space="preserve"> </w:t>
      </w:r>
      <w:r w:rsidRPr="005C693E">
        <w:rPr>
          <w:i/>
          <w:szCs w:val="24"/>
          <w:lang w:val="es-ES"/>
        </w:rPr>
        <w:t>permisibles establecidos según la Clase.</w:t>
      </w:r>
      <w:r w:rsidR="005C693E">
        <w:rPr>
          <w:i/>
          <w:szCs w:val="24"/>
          <w:lang w:val="es-ES"/>
        </w:rPr>
        <w:t>”</w:t>
      </w:r>
    </w:p>
    <w:p w14:paraId="45AC87B0" w14:textId="77777777" w:rsidR="00DB3E34" w:rsidRDefault="00DB3E34" w:rsidP="00256671">
      <w:pPr>
        <w:ind w:left="0"/>
      </w:pPr>
    </w:p>
    <w:p w14:paraId="6FEE6A23" w14:textId="2AAF7C19" w:rsidR="00B04096" w:rsidRPr="005C693E" w:rsidRDefault="00DB3E34" w:rsidP="00B04096">
      <w:pPr>
        <w:ind w:left="0"/>
        <w:jc w:val="both"/>
      </w:pPr>
      <w:r w:rsidRPr="005C693E">
        <w:t>Mediante radicado CREG E-2017-004925, el CNO Gas remitió a la C</w:t>
      </w:r>
      <w:r w:rsidR="00B04096" w:rsidRPr="005C693E">
        <w:t>omisión</w:t>
      </w:r>
      <w:r w:rsidRPr="005C693E">
        <w:t xml:space="preserve"> la respuesta a las inquietudes planteadas en </w:t>
      </w:r>
      <w:r w:rsidR="00B04096" w:rsidRPr="005C693E">
        <w:t xml:space="preserve">la comunicación con radicado CREG </w:t>
      </w:r>
      <w:r w:rsidRPr="005C693E">
        <w:t>S-2017-001055</w:t>
      </w:r>
      <w:r w:rsidR="00B04096" w:rsidRPr="005C693E">
        <w:t>,</w:t>
      </w:r>
      <w:r w:rsidR="005E5AB5" w:rsidRPr="005C693E">
        <w:t xml:space="preserve"> </w:t>
      </w:r>
      <w:r w:rsidR="00B04096" w:rsidRPr="005C693E">
        <w:t>presentando</w:t>
      </w:r>
      <w:r w:rsidR="005E5AB5" w:rsidRPr="005C693E">
        <w:t xml:space="preserve"> la comparación de los requerimientos del RUT actual </w:t>
      </w:r>
      <w:r w:rsidR="00075AAE" w:rsidRPr="005C693E">
        <w:t xml:space="preserve">con </w:t>
      </w:r>
      <w:r w:rsidR="00B04096" w:rsidRPr="005C693E">
        <w:t>lo</w:t>
      </w:r>
      <w:r w:rsidR="00075AAE" w:rsidRPr="005C693E">
        <w:t>s</w:t>
      </w:r>
      <w:r w:rsidR="00B04096" w:rsidRPr="005C693E">
        <w:t xml:space="preserve"> previstos en </w:t>
      </w:r>
      <w:r w:rsidR="005E5AB5" w:rsidRPr="005C693E">
        <w:t>la</w:t>
      </w:r>
      <w:r w:rsidR="00B04096" w:rsidRPr="005C693E">
        <w:t xml:space="preserve"> norma técnica</w:t>
      </w:r>
      <w:r w:rsidR="005E5AB5" w:rsidRPr="005C693E">
        <w:t xml:space="preserve"> NTC 6167 de 2016</w:t>
      </w:r>
      <w:r w:rsidR="00B04096" w:rsidRPr="005C693E">
        <w:t xml:space="preserve">. </w:t>
      </w:r>
    </w:p>
    <w:p w14:paraId="6FFD2EFE" w14:textId="77777777" w:rsidR="00B04096" w:rsidRDefault="00B04096" w:rsidP="00B04096">
      <w:pPr>
        <w:ind w:left="0"/>
        <w:jc w:val="both"/>
        <w:rPr>
          <w:highlight w:val="yellow"/>
        </w:rPr>
      </w:pPr>
    </w:p>
    <w:p w14:paraId="7F003EF6" w14:textId="54952404" w:rsidR="005E5AB5" w:rsidRPr="005C693E" w:rsidRDefault="00B04096" w:rsidP="00B04096">
      <w:pPr>
        <w:ind w:left="0"/>
        <w:jc w:val="both"/>
      </w:pPr>
      <w:r w:rsidRPr="005C693E">
        <w:t xml:space="preserve">En relación con los sistemas de calidad de las empresas </w:t>
      </w:r>
      <w:r w:rsidR="00094810" w:rsidRPr="005C693E">
        <w:t>c</w:t>
      </w:r>
      <w:r w:rsidRPr="005C693E">
        <w:t>abe destacar que e</w:t>
      </w:r>
      <w:r w:rsidR="005E5AB5" w:rsidRPr="005C693E">
        <w:t xml:space="preserve">n </w:t>
      </w:r>
      <w:r w:rsidR="00BC157A">
        <w:t>la precitada</w:t>
      </w:r>
      <w:r w:rsidR="005E5AB5" w:rsidRPr="005C693E">
        <w:t xml:space="preserve"> comunicación el CNO gas afirmó:</w:t>
      </w:r>
    </w:p>
    <w:p w14:paraId="1DEAD0E9" w14:textId="477C6B23" w:rsidR="005E5AB5" w:rsidRPr="005508F5" w:rsidRDefault="005E5AB5" w:rsidP="00256671">
      <w:pPr>
        <w:ind w:left="0"/>
        <w:rPr>
          <w:highlight w:val="yellow"/>
        </w:rPr>
      </w:pPr>
      <w:r w:rsidRPr="005508F5">
        <w:rPr>
          <w:highlight w:val="yellow"/>
        </w:rPr>
        <w:t xml:space="preserve"> </w:t>
      </w:r>
    </w:p>
    <w:p w14:paraId="7BD51DE0" w14:textId="40F5E545" w:rsidR="00FE1156" w:rsidRPr="005E5AB5" w:rsidRDefault="005E5AB5" w:rsidP="005E5AB5">
      <w:pPr>
        <w:ind w:left="708"/>
        <w:jc w:val="both"/>
        <w:rPr>
          <w:i/>
          <w:sz w:val="20"/>
        </w:rPr>
      </w:pPr>
      <w:r w:rsidRPr="00BC157A">
        <w:rPr>
          <w:i/>
          <w:sz w:val="20"/>
        </w:rPr>
        <w:t>“La implementación de la norma NTC 6167 de 2016 no implica requerimientos adicionales en los sistemas de calidad de las empresas. En contrario facilita la gestión de las compañías en lo atinente con los previsto en la norma mencionada”</w:t>
      </w:r>
      <w:r w:rsidR="009E42C9">
        <w:rPr>
          <w:i/>
          <w:sz w:val="20"/>
        </w:rPr>
        <w:t>.</w:t>
      </w:r>
    </w:p>
    <w:p w14:paraId="2E8AB882" w14:textId="77777777" w:rsidR="00B04096" w:rsidRDefault="00B04096" w:rsidP="00256671">
      <w:pPr>
        <w:ind w:left="0"/>
      </w:pPr>
    </w:p>
    <w:p w14:paraId="55D1C09A" w14:textId="77777777" w:rsidR="005C2084" w:rsidRDefault="005C2084" w:rsidP="00094810">
      <w:pPr>
        <w:ind w:left="0"/>
        <w:jc w:val="both"/>
      </w:pPr>
    </w:p>
    <w:p w14:paraId="50FC5852" w14:textId="2B4FC6CF" w:rsidR="00FE1156" w:rsidRDefault="00B04096" w:rsidP="00094810">
      <w:pPr>
        <w:ind w:left="0"/>
        <w:jc w:val="both"/>
      </w:pPr>
      <w:r w:rsidRPr="00026F1E">
        <w:t xml:space="preserve">Analizados los documentos propuestos esta Comisión estima necesario y conveniente realizar ajustes al RUT.  </w:t>
      </w:r>
    </w:p>
    <w:p w14:paraId="1AD52DBE" w14:textId="77777777" w:rsidR="00B04096" w:rsidRPr="00026F1E" w:rsidRDefault="00B04096" w:rsidP="00256671">
      <w:pPr>
        <w:ind w:left="0"/>
      </w:pPr>
    </w:p>
    <w:p w14:paraId="67463A5E" w14:textId="77777777" w:rsidR="00817F21" w:rsidRPr="00673C7D" w:rsidRDefault="00817F21" w:rsidP="00F04640">
      <w:pPr>
        <w:ind w:left="0"/>
        <w:jc w:val="center"/>
        <w:rPr>
          <w:rFonts w:cs="Arial"/>
          <w:sz w:val="12"/>
        </w:rPr>
      </w:pPr>
    </w:p>
    <w:p w14:paraId="0C3A1C5E" w14:textId="77777777" w:rsidR="004E78B3" w:rsidRPr="00026F1E" w:rsidRDefault="004E78B3" w:rsidP="005E0A2A">
      <w:pPr>
        <w:jc w:val="center"/>
        <w:rPr>
          <w:b/>
        </w:rPr>
      </w:pPr>
      <w:r w:rsidRPr="00026F1E">
        <w:rPr>
          <w:b/>
        </w:rPr>
        <w:t>R E S U E L V E:</w:t>
      </w:r>
    </w:p>
    <w:p w14:paraId="2C5EEB10" w14:textId="77777777" w:rsidR="00817F21" w:rsidRPr="00673C7D" w:rsidRDefault="00817F21" w:rsidP="005E0A2A">
      <w:pPr>
        <w:jc w:val="center"/>
        <w:rPr>
          <w:b/>
          <w:sz w:val="14"/>
        </w:rPr>
      </w:pPr>
    </w:p>
    <w:p w14:paraId="506C7F08" w14:textId="77777777" w:rsidR="00817F21" w:rsidRPr="00026F1E" w:rsidRDefault="00817F21" w:rsidP="005E0A2A">
      <w:pPr>
        <w:jc w:val="center"/>
        <w:rPr>
          <w:b/>
        </w:rPr>
      </w:pPr>
    </w:p>
    <w:p w14:paraId="6D5234EA" w14:textId="5E631191" w:rsidR="004E78B3" w:rsidRPr="00026F1E" w:rsidRDefault="004E78B3" w:rsidP="00817F21">
      <w:pPr>
        <w:pStyle w:val="ARTICULOS"/>
        <w:keepNext/>
        <w:numPr>
          <w:ilvl w:val="0"/>
          <w:numId w:val="49"/>
        </w:numPr>
        <w:ind w:left="142" w:firstLine="0"/>
        <w:outlineLvl w:val="0"/>
        <w:rPr>
          <w:bCs w:val="0"/>
          <w:color w:val="000000"/>
          <w:lang w:val="es-ES_tradnl" w:eastAsia="es-CO"/>
        </w:rPr>
      </w:pPr>
      <w:r w:rsidRPr="00026F1E">
        <w:rPr>
          <w:b/>
        </w:rPr>
        <w:t xml:space="preserve">MODIFICACIÓN A DEFINICIONES. </w:t>
      </w:r>
      <w:r w:rsidRPr="00026F1E">
        <w:t xml:space="preserve">Se modifican las definiciones de </w:t>
      </w:r>
      <w:r w:rsidR="00817F21" w:rsidRPr="00026F1E">
        <w:t xml:space="preserve">cantidad </w:t>
      </w:r>
      <w:r w:rsidRPr="00026F1E">
        <w:t xml:space="preserve">de energía, </w:t>
      </w:r>
      <w:r w:rsidR="00817F21" w:rsidRPr="00026F1E">
        <w:t xml:space="preserve">condiciones </w:t>
      </w:r>
      <w:r w:rsidRPr="00026F1E">
        <w:t xml:space="preserve">estándar, </w:t>
      </w:r>
      <w:r w:rsidR="00817F21" w:rsidRPr="00026F1E">
        <w:t xml:space="preserve">estaciones </w:t>
      </w:r>
      <w:r w:rsidRPr="00026F1E">
        <w:t xml:space="preserve">de entrada, </w:t>
      </w:r>
      <w:r w:rsidR="005B47E8" w:rsidRPr="00026F1E">
        <w:rPr>
          <w:lang w:val="es-MX"/>
        </w:rPr>
        <w:t>e</w:t>
      </w:r>
      <w:proofErr w:type="spellStart"/>
      <w:r w:rsidR="005B47E8" w:rsidRPr="00026F1E">
        <w:t>staciones</w:t>
      </w:r>
      <w:proofErr w:type="spellEnd"/>
      <w:r w:rsidR="005B47E8" w:rsidRPr="00026F1E">
        <w:t xml:space="preserve"> </w:t>
      </w:r>
      <w:r w:rsidR="000A2BCA" w:rsidRPr="00026F1E">
        <w:t xml:space="preserve">de salida, </w:t>
      </w:r>
      <w:r w:rsidR="00817F21" w:rsidRPr="00026F1E">
        <w:t xml:space="preserve">estaciones </w:t>
      </w:r>
      <w:r w:rsidRPr="00026F1E">
        <w:t xml:space="preserve">entre transportadores, </w:t>
      </w:r>
      <w:r w:rsidR="00817F21" w:rsidRPr="00026F1E">
        <w:t xml:space="preserve">estaciones </w:t>
      </w:r>
      <w:r w:rsidRPr="00026F1E">
        <w:t xml:space="preserve">para transferencia de custodia, </w:t>
      </w:r>
      <w:r w:rsidR="00817F21" w:rsidRPr="00026F1E">
        <w:t xml:space="preserve">instalaciones </w:t>
      </w:r>
      <w:r w:rsidRPr="00026F1E">
        <w:t>del agente,</w:t>
      </w:r>
      <w:r w:rsidR="004B5679" w:rsidRPr="00026F1E">
        <w:rPr>
          <w:lang w:val="es-CO"/>
        </w:rPr>
        <w:t xml:space="preserve"> poder calorífico bruto (superior),</w:t>
      </w:r>
      <w:r w:rsidR="004B5679" w:rsidRPr="00026F1E">
        <w:t xml:space="preserve"> </w:t>
      </w:r>
      <w:r w:rsidR="00817F21" w:rsidRPr="00026F1E">
        <w:t xml:space="preserve">punto </w:t>
      </w:r>
      <w:r w:rsidR="000A2BCA" w:rsidRPr="00026F1E">
        <w:t xml:space="preserve">de transferencia de custodia y </w:t>
      </w:r>
      <w:r w:rsidR="00817F21" w:rsidRPr="00026F1E">
        <w:t xml:space="preserve">volumen </w:t>
      </w:r>
      <w:r w:rsidR="000A2BCA" w:rsidRPr="00026F1E">
        <w:t>estándar de gas natural establecidas en el N</w:t>
      </w:r>
      <w:r w:rsidRPr="00026F1E">
        <w:t>umeral 1.1 del Anexo General de la Resolución CREG 071 de 1999</w:t>
      </w:r>
      <w:r w:rsidR="000A2BCA" w:rsidRPr="00026F1E">
        <w:t>, por las siguientes respectivamente</w:t>
      </w:r>
      <w:r w:rsidRPr="00026F1E">
        <w:t>:</w:t>
      </w:r>
    </w:p>
    <w:p w14:paraId="05C4DB24" w14:textId="77777777" w:rsidR="004E78B3" w:rsidRPr="00026F1E" w:rsidRDefault="004E78B3" w:rsidP="004E78B3">
      <w:pPr>
        <w:ind w:left="0"/>
        <w:rPr>
          <w:rFonts w:cs="Arial"/>
          <w:bCs/>
          <w:lang w:val="es-ES_tradnl"/>
        </w:rPr>
      </w:pPr>
    </w:p>
    <w:p w14:paraId="6C17975E" w14:textId="07D26D0F" w:rsidR="00FB7668" w:rsidRPr="00026F1E" w:rsidRDefault="004E78B3" w:rsidP="00FB7668">
      <w:pPr>
        <w:pStyle w:val="Default"/>
        <w:ind w:left="142"/>
        <w:jc w:val="both"/>
        <w:rPr>
          <w:rFonts w:ascii="Bookman Old Style" w:hAnsi="Bookman Old Style"/>
          <w:bCs/>
        </w:rPr>
      </w:pPr>
      <w:r w:rsidRPr="00026F1E">
        <w:rPr>
          <w:rFonts w:ascii="Bookman Old Style" w:hAnsi="Bookman Old Style"/>
          <w:b/>
          <w:bCs/>
        </w:rPr>
        <w:t xml:space="preserve">CANTIDAD DE ENERGIA: </w:t>
      </w:r>
      <w:r w:rsidR="00FB7668" w:rsidRPr="00026F1E">
        <w:rPr>
          <w:rFonts w:ascii="Bookman Old Style" w:hAnsi="Bookman Old Style"/>
          <w:bCs/>
        </w:rPr>
        <w:t>Cantidad de gas medida en un Punto de Entrada o en</w:t>
      </w:r>
      <w:r w:rsidR="00A5305E" w:rsidRPr="00026F1E">
        <w:rPr>
          <w:rFonts w:ascii="Bookman Old Style" w:hAnsi="Bookman Old Style"/>
          <w:bCs/>
        </w:rPr>
        <w:t xml:space="preserve"> </w:t>
      </w:r>
      <w:r w:rsidR="00FB7668" w:rsidRPr="00026F1E">
        <w:rPr>
          <w:rFonts w:ascii="Bookman Old Style" w:hAnsi="Bookman Old Style"/>
          <w:bCs/>
        </w:rPr>
        <w:t xml:space="preserve">un Punto de Salida de un Sistema de Transporte, expresado en </w:t>
      </w:r>
      <w:proofErr w:type="spellStart"/>
      <w:r w:rsidR="00FB7668" w:rsidRPr="00026F1E">
        <w:rPr>
          <w:rFonts w:ascii="Bookman Old Style" w:hAnsi="Bookman Old Style"/>
          <w:bCs/>
        </w:rPr>
        <w:t>Mbtu</w:t>
      </w:r>
      <w:proofErr w:type="spellEnd"/>
      <w:r w:rsidR="00FB7668" w:rsidRPr="00026F1E">
        <w:rPr>
          <w:rFonts w:ascii="Bookman Old Style" w:hAnsi="Bookman Old Style"/>
          <w:bCs/>
        </w:rPr>
        <w:t xml:space="preserve"> (</w:t>
      </w:r>
      <w:r w:rsidR="00A5305E" w:rsidRPr="00026F1E">
        <w:rPr>
          <w:rFonts w:ascii="Bookman Old Style" w:hAnsi="Bookman Old Style"/>
          <w:bCs/>
        </w:rPr>
        <w:t>millones</w:t>
      </w:r>
      <w:r w:rsidR="00A5305E" w:rsidRPr="00026F1E">
        <w:t xml:space="preserve"> </w:t>
      </w:r>
      <w:r w:rsidR="00FB7668" w:rsidRPr="00026F1E">
        <w:rPr>
          <w:rFonts w:ascii="Bookman Old Style" w:hAnsi="Bookman Old Style"/>
          <w:bCs/>
        </w:rPr>
        <w:t>de unidades térmicas británicas) o su equivalente en el Sistema Internacional de Unidades, la cual será medida en los puntos de transferencia de custodia, de acuerdo a lo establecido en el numeral 5.2 de la presente resolución.</w:t>
      </w:r>
    </w:p>
    <w:p w14:paraId="6016E031" w14:textId="77777777" w:rsidR="004E78B3" w:rsidRPr="00026F1E" w:rsidRDefault="004E78B3" w:rsidP="00817F21">
      <w:pPr>
        <w:pStyle w:val="Default"/>
        <w:ind w:left="142"/>
        <w:jc w:val="both"/>
        <w:rPr>
          <w:rFonts w:ascii="Bookman Old Style" w:hAnsi="Bookman Old Style"/>
        </w:rPr>
      </w:pPr>
    </w:p>
    <w:p w14:paraId="0A060B8B" w14:textId="393C8EA5" w:rsidR="000C3BE9" w:rsidRPr="00026F1E" w:rsidRDefault="000C3BE9" w:rsidP="00151D0F">
      <w:pPr>
        <w:autoSpaceDE w:val="0"/>
        <w:autoSpaceDN w:val="0"/>
        <w:adjustRightInd w:val="0"/>
        <w:ind w:left="142"/>
        <w:jc w:val="both"/>
        <w:rPr>
          <w:rFonts w:cs="ArialMT"/>
          <w:lang w:val="es-CO" w:eastAsia="es-CO"/>
        </w:rPr>
      </w:pPr>
      <w:r w:rsidRPr="00026F1E">
        <w:rPr>
          <w:rFonts w:cs="ArialMT"/>
          <w:b/>
          <w:lang w:val="es-CO" w:eastAsia="es-CO"/>
        </w:rPr>
        <w:t xml:space="preserve">COMPUTADOR DE FLUJO: </w:t>
      </w:r>
      <w:r w:rsidRPr="00026F1E">
        <w:rPr>
          <w:rFonts w:cs="ArialMT"/>
          <w:lang w:val="es-CO" w:eastAsia="es-CO"/>
        </w:rPr>
        <w:t>Parte del sistema de medición que recibe las señales de salida proveniente(s) del (de los) dispositivo(s) de medición de flujo, o de otro computador de flujo y posiblemente de los instrumentos de medida asociados, transformándolas, y, si es necesario, almacena los resultados en la memoria hasta que estos sean usados. Adicionalmente, el computador de flujo puede ser capaz de transmitir y recibir datos de equipos periféricos.</w:t>
      </w:r>
    </w:p>
    <w:p w14:paraId="16A66F3C" w14:textId="77777777" w:rsidR="000C3BE9" w:rsidRPr="00026F1E" w:rsidRDefault="000C3BE9" w:rsidP="00817F21">
      <w:pPr>
        <w:pStyle w:val="Default"/>
        <w:ind w:left="142"/>
        <w:jc w:val="both"/>
        <w:rPr>
          <w:rFonts w:ascii="Bookman Old Style" w:hAnsi="Bookman Old Style"/>
        </w:rPr>
      </w:pPr>
    </w:p>
    <w:p w14:paraId="68A39921" w14:textId="5E1674E1"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 xml:space="preserve">CONDICIONES ESTÁNDAR: </w:t>
      </w:r>
      <w:r w:rsidRPr="00026F1E">
        <w:rPr>
          <w:rFonts w:ascii="Bookman Old Style" w:hAnsi="Bookman Old Style"/>
        </w:rPr>
        <w:t>Conjunto de condiciones base para el transporte de gas natural que definen el pie o metro cúbico estándar como el volumen de gas, real y seco (que cumpla las especificaciones del RUT, en cuanto a concentración de vapor de agua) contenido en un pie o metro cúbico a una presión absoluta de</w:t>
      </w:r>
      <w:r w:rsidR="004552C8" w:rsidRPr="00026F1E">
        <w:rPr>
          <w:rFonts w:ascii="Bookman Old Style" w:hAnsi="Bookman Old Style"/>
        </w:rPr>
        <w:t xml:space="preserve"> 1,01 bar absoluto</w:t>
      </w:r>
      <w:r w:rsidRPr="00026F1E">
        <w:rPr>
          <w:rFonts w:ascii="Bookman Old Style" w:hAnsi="Bookman Old Style"/>
        </w:rPr>
        <w:t xml:space="preserve"> (</w:t>
      </w:r>
      <w:r w:rsidR="004552C8" w:rsidRPr="00026F1E">
        <w:rPr>
          <w:rFonts w:ascii="Bookman Old Style" w:hAnsi="Bookman Old Style"/>
        </w:rPr>
        <w:t>14,65 psi</w:t>
      </w:r>
      <w:r w:rsidRPr="00026F1E">
        <w:rPr>
          <w:rFonts w:ascii="Bookman Old Style" w:hAnsi="Bookman Old Style"/>
        </w:rPr>
        <w:t>), y a una temperatura de</w:t>
      </w:r>
      <w:r w:rsidR="004552C8" w:rsidRPr="00026F1E">
        <w:rPr>
          <w:rFonts w:ascii="Bookman Old Style" w:hAnsi="Bookman Old Style"/>
        </w:rPr>
        <w:t xml:space="preserve"> 15,56 °C</w:t>
      </w:r>
      <w:r w:rsidR="009638AC" w:rsidRPr="00026F1E">
        <w:rPr>
          <w:rFonts w:ascii="Bookman Old Style" w:hAnsi="Bookman Old Style"/>
        </w:rPr>
        <w:t xml:space="preserve"> </w:t>
      </w:r>
      <w:r w:rsidRPr="00026F1E">
        <w:rPr>
          <w:rFonts w:ascii="Bookman Old Style" w:hAnsi="Bookman Old Style"/>
        </w:rPr>
        <w:t>(</w:t>
      </w:r>
      <w:r w:rsidR="004552C8" w:rsidRPr="00026F1E">
        <w:rPr>
          <w:rFonts w:ascii="Bookman Old Style" w:hAnsi="Bookman Old Style"/>
        </w:rPr>
        <w:t>60 °F</w:t>
      </w:r>
      <w:r w:rsidRPr="00026F1E">
        <w:rPr>
          <w:rFonts w:ascii="Bookman Old Style" w:hAnsi="Bookman Old Style"/>
        </w:rPr>
        <w:t>). A estas condiciones se referirán los volúmenes y todas las propiedades volumétricas del gas transportado por el Sistema Nacional de</w:t>
      </w:r>
      <w:r w:rsidR="00B5622F" w:rsidRPr="00026F1E">
        <w:rPr>
          <w:rFonts w:ascii="Bookman Old Style" w:hAnsi="Bookman Old Style"/>
        </w:rPr>
        <w:t xml:space="preserve"> </w:t>
      </w:r>
      <w:r w:rsidRPr="00026F1E">
        <w:rPr>
          <w:rFonts w:ascii="Bookman Old Style" w:hAnsi="Bookman Old Style"/>
        </w:rPr>
        <w:t xml:space="preserve">Transporte. </w:t>
      </w:r>
    </w:p>
    <w:p w14:paraId="67368551" w14:textId="77777777" w:rsidR="006C5607" w:rsidRPr="00026F1E" w:rsidRDefault="006C5607" w:rsidP="00817F21">
      <w:pPr>
        <w:pStyle w:val="Default"/>
        <w:ind w:left="142"/>
        <w:jc w:val="both"/>
        <w:rPr>
          <w:rFonts w:ascii="Bookman Old Style" w:hAnsi="Bookman Old Style"/>
        </w:rPr>
      </w:pPr>
    </w:p>
    <w:p w14:paraId="31A557B5" w14:textId="67035BF7" w:rsidR="004E78B3" w:rsidRPr="00026F1E" w:rsidRDefault="004E78B3" w:rsidP="00817F21">
      <w:pPr>
        <w:pStyle w:val="Default"/>
        <w:ind w:left="142"/>
        <w:jc w:val="both"/>
        <w:rPr>
          <w:rFonts w:ascii="Bookman Old Style" w:hAnsi="Bookman Old Style"/>
        </w:rPr>
      </w:pPr>
      <w:r w:rsidRPr="00026F1E">
        <w:rPr>
          <w:rFonts w:ascii="Bookman Old Style" w:hAnsi="Bookman Old Style"/>
        </w:rPr>
        <w:t xml:space="preserve">En los documentos, comunicaciones, etc., relacionados con el negocio del transporte de gas natural, donde se hable de condiciones estándar, estas deberán entenderse como presión absoluta de </w:t>
      </w:r>
      <w:r w:rsidR="004552C8" w:rsidRPr="00026F1E">
        <w:rPr>
          <w:rFonts w:ascii="Bookman Old Style" w:hAnsi="Bookman Old Style"/>
        </w:rPr>
        <w:t>1,01 bar absoluto (14,65 psi), y a una temperatura de 15,56 °C (60 °F)</w:t>
      </w:r>
      <w:r w:rsidRPr="00026F1E">
        <w:rPr>
          <w:rFonts w:ascii="Bookman Old Style" w:hAnsi="Bookman Old Style"/>
        </w:rPr>
        <w:t>. Cualquier otra condición debe</w:t>
      </w:r>
      <w:r w:rsidR="00A5305E" w:rsidRPr="00026F1E">
        <w:rPr>
          <w:rFonts w:ascii="Bookman Old Style" w:hAnsi="Bookman Old Style"/>
        </w:rPr>
        <w:t>rá</w:t>
      </w:r>
      <w:r w:rsidRPr="00026F1E">
        <w:rPr>
          <w:rFonts w:ascii="Bookman Old Style" w:hAnsi="Bookman Old Style"/>
        </w:rPr>
        <w:t xml:space="preserve"> ser indicada explícitamente. </w:t>
      </w:r>
    </w:p>
    <w:p w14:paraId="2F228815"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rPr>
        <w:t xml:space="preserve"> </w:t>
      </w:r>
    </w:p>
    <w:p w14:paraId="5ACB527D"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 xml:space="preserve">ESTACIONES DE ENTRADA: </w:t>
      </w:r>
      <w:r w:rsidRPr="00026F1E">
        <w:rPr>
          <w:rFonts w:ascii="Bookman Old Style" w:hAnsi="Bookman Old Style"/>
        </w:rPr>
        <w:t>Conjunto de bienes destinados, entre otros aspec</w:t>
      </w:r>
      <w:r w:rsidR="00673BF0" w:rsidRPr="00026F1E">
        <w:rPr>
          <w:rFonts w:ascii="Bookman Old Style" w:hAnsi="Bookman Old Style"/>
        </w:rPr>
        <w:t>tos, a la medición del volumen,</w:t>
      </w:r>
      <w:r w:rsidRPr="00026F1E">
        <w:rPr>
          <w:rFonts w:ascii="Bookman Old Style" w:hAnsi="Bookman Old Style"/>
        </w:rPr>
        <w:t xml:space="preserve"> la calidad del gas, </w:t>
      </w:r>
      <w:r w:rsidR="00673BF0" w:rsidRPr="00026F1E">
        <w:rPr>
          <w:rFonts w:ascii="Bookman Old Style" w:hAnsi="Bookman Old Style"/>
        </w:rPr>
        <w:t xml:space="preserve">y </w:t>
      </w:r>
      <w:r w:rsidRPr="00026F1E">
        <w:rPr>
          <w:rFonts w:ascii="Bookman Old Style" w:hAnsi="Bookman Old Style"/>
        </w:rPr>
        <w:t xml:space="preserve">de la energía, que interconectan un Productor-Comercializador con el Sistema Nacional de Transporte. El Productor-Comercializador será el responsable de construir, operar y mantener la Estación. Las Interconexiones Internacionales para Importación, que se conecten al Sistema Nacional de Transporte, se considerarán como un Productor-Comercializador. Para el caso de intercambios </w:t>
      </w:r>
      <w:r w:rsidRPr="00026F1E">
        <w:rPr>
          <w:rFonts w:ascii="Bookman Old Style" w:hAnsi="Bookman Old Style"/>
        </w:rPr>
        <w:lastRenderedPageBreak/>
        <w:t xml:space="preserve">internacionales los comercializadores involucrados acuerdan cómo asumir responsabilidades sobre la Estación. </w:t>
      </w:r>
    </w:p>
    <w:p w14:paraId="45285C7A"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rPr>
        <w:t xml:space="preserve"> </w:t>
      </w:r>
    </w:p>
    <w:p w14:paraId="387090B5"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 xml:space="preserve">ESTACIONES DE SALIDA: </w:t>
      </w:r>
      <w:r w:rsidRPr="00026F1E">
        <w:rPr>
          <w:rFonts w:ascii="Bookman Old Style" w:hAnsi="Bookman Old Style"/>
        </w:rPr>
        <w:t xml:space="preserve">Conjunto de bienes destinados, entre otros aspectos, a la medición del volumen y de la energía del gas, que interconectan el Sistema Nacional de Transporte con un Distribuidor, un Usuario No Regulado, un Sistema de Almacenamiento o cualquier Usuario Regulado (no localizado en áreas de servicio exclusivo) atendido a través de un Comercializador. El Agente que se beneficie de los servicios de dicha Estación será el responsable de construir, operar y mantener la Estación. </w:t>
      </w:r>
    </w:p>
    <w:p w14:paraId="516C482B"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rPr>
        <w:t xml:space="preserve"> </w:t>
      </w:r>
    </w:p>
    <w:p w14:paraId="42198059"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EST</w:t>
      </w:r>
      <w:r w:rsidR="000A2BCA" w:rsidRPr="00026F1E">
        <w:rPr>
          <w:rFonts w:ascii="Bookman Old Style" w:hAnsi="Bookman Old Style"/>
          <w:b/>
          <w:bCs/>
        </w:rPr>
        <w:t xml:space="preserve">ACIONES ENTRE TRANSPORTADORES: </w:t>
      </w:r>
      <w:r w:rsidRPr="00026F1E">
        <w:rPr>
          <w:rFonts w:ascii="Bookman Old Style" w:hAnsi="Bookman Old Style"/>
        </w:rPr>
        <w:t xml:space="preserve">Conjunto de bienes destinados, entre otros aspectos, a la medición del volumen y la calidad del gas, </w:t>
      </w:r>
      <w:r w:rsidR="00673BF0" w:rsidRPr="00026F1E">
        <w:rPr>
          <w:rFonts w:ascii="Bookman Old Style" w:hAnsi="Bookman Old Style"/>
        </w:rPr>
        <w:t>y</w:t>
      </w:r>
      <w:r w:rsidRPr="00026F1E">
        <w:rPr>
          <w:rFonts w:ascii="Bookman Old Style" w:hAnsi="Bookman Old Style"/>
        </w:rPr>
        <w:t xml:space="preserve"> de la energía, que interconectan dos o más Transportadores, en el Sistema Nacional de Transporte. Las Interconexiones Internacionales para Exportación, que se conecten al Sistema Nacional de Transporte, se considerarán como un Transportador. El Transportador que requiera la Estación, para prestar el respectivo servicio, será el responsable de construir, operar y mantener la estación. </w:t>
      </w:r>
    </w:p>
    <w:p w14:paraId="675DB14B" w14:textId="77777777" w:rsidR="004E78B3" w:rsidRPr="00026F1E" w:rsidRDefault="004E78B3" w:rsidP="00817F21">
      <w:pPr>
        <w:pStyle w:val="Default"/>
        <w:ind w:left="142"/>
        <w:jc w:val="both"/>
        <w:rPr>
          <w:rFonts w:ascii="Bookman Old Style" w:hAnsi="Bookman Old Style"/>
        </w:rPr>
      </w:pPr>
    </w:p>
    <w:p w14:paraId="106777B8" w14:textId="5C933726" w:rsidR="00B5622F" w:rsidRPr="00026F1E" w:rsidRDefault="004E78B3" w:rsidP="00817F21">
      <w:pPr>
        <w:pStyle w:val="Default"/>
        <w:ind w:left="142"/>
        <w:jc w:val="both"/>
        <w:rPr>
          <w:rFonts w:ascii="Bookman Old Style" w:hAnsi="Bookman Old Style"/>
        </w:rPr>
      </w:pPr>
      <w:r w:rsidRPr="00026F1E">
        <w:rPr>
          <w:rFonts w:ascii="Bookman Old Style" w:hAnsi="Bookman Old Style"/>
          <w:b/>
          <w:bCs/>
        </w:rPr>
        <w:t>ESTACIONES PARA TRANS</w:t>
      </w:r>
      <w:r w:rsidR="000A2BCA" w:rsidRPr="00026F1E">
        <w:rPr>
          <w:rFonts w:ascii="Bookman Old Style" w:hAnsi="Bookman Old Style"/>
          <w:b/>
          <w:bCs/>
        </w:rPr>
        <w:t xml:space="preserve">FERENCIA DE CUSTODIA: </w:t>
      </w:r>
      <w:r w:rsidRPr="00026F1E">
        <w:rPr>
          <w:rFonts w:ascii="Bookman Old Style" w:hAnsi="Bookman Old Style"/>
        </w:rPr>
        <w:t xml:space="preserve">Son aquellas instaladas en los puntos de transferencia de custodia. Estas estaciones pueden ser de Entrada, de Salida o </w:t>
      </w:r>
      <w:r w:rsidR="005B47E8" w:rsidRPr="00026F1E">
        <w:rPr>
          <w:rFonts w:ascii="Bookman Old Style" w:hAnsi="Bookman Old Style"/>
        </w:rPr>
        <w:t xml:space="preserve">entre </w:t>
      </w:r>
      <w:r w:rsidRPr="00026F1E">
        <w:rPr>
          <w:rFonts w:ascii="Bookman Old Style" w:hAnsi="Bookman Old Style"/>
        </w:rPr>
        <w:t xml:space="preserve">Transportadores. Todas las estaciones deberán estar provistas de los sistemas de medición necesarios para medir el volumen y la energía del gas, adicionalmente las estaciones de entrada y las estaciones entre </w:t>
      </w:r>
      <w:r w:rsidR="005B47E8" w:rsidRPr="00026F1E">
        <w:rPr>
          <w:rFonts w:ascii="Bookman Old Style" w:hAnsi="Bookman Old Style"/>
        </w:rPr>
        <w:t xml:space="preserve">Transportadores </w:t>
      </w:r>
      <w:r w:rsidRPr="00026F1E">
        <w:rPr>
          <w:rFonts w:ascii="Bookman Old Style" w:hAnsi="Bookman Old Style"/>
        </w:rPr>
        <w:t>deberán con</w:t>
      </w:r>
      <w:r w:rsidR="00075AAE">
        <w:rPr>
          <w:rFonts w:ascii="Bookman Old Style" w:hAnsi="Bookman Old Style"/>
        </w:rPr>
        <w:t xml:space="preserve">tar con todos los sistemas para </w:t>
      </w:r>
      <w:r w:rsidRPr="00026F1E">
        <w:rPr>
          <w:rFonts w:ascii="Bookman Old Style" w:hAnsi="Bookman Old Style"/>
        </w:rPr>
        <w:t>medir la calidad, de conformidad con lo establecido en</w:t>
      </w:r>
      <w:r w:rsidR="00673BF0" w:rsidRPr="00026F1E">
        <w:rPr>
          <w:rFonts w:ascii="Bookman Old Style" w:hAnsi="Bookman Old Style"/>
        </w:rPr>
        <w:t xml:space="preserve"> la</w:t>
      </w:r>
      <w:r w:rsidR="00075AAE">
        <w:rPr>
          <w:rFonts w:ascii="Bookman Old Style" w:hAnsi="Bookman Old Style"/>
        </w:rPr>
        <w:t xml:space="preserve"> norma técnica </w:t>
      </w:r>
      <w:r w:rsidR="00673BF0" w:rsidRPr="00026F1E">
        <w:rPr>
          <w:rFonts w:ascii="Bookman Old Style" w:hAnsi="Bookman Old Style"/>
        </w:rPr>
        <w:t>NTC 6167 y</w:t>
      </w:r>
      <w:r w:rsidR="00A703B1">
        <w:rPr>
          <w:rFonts w:ascii="Bookman Old Style" w:hAnsi="Bookman Old Style"/>
        </w:rPr>
        <w:t xml:space="preserve"> la presente r</w:t>
      </w:r>
      <w:r w:rsidRPr="00026F1E">
        <w:rPr>
          <w:rFonts w:ascii="Bookman Old Style" w:hAnsi="Bookman Old Style"/>
        </w:rPr>
        <w:t>esolución, o aquellas normas que l</w:t>
      </w:r>
      <w:r w:rsidR="00075AAE">
        <w:rPr>
          <w:rFonts w:ascii="Bookman Old Style" w:hAnsi="Bookman Old Style"/>
        </w:rPr>
        <w:t>a</w:t>
      </w:r>
      <w:r w:rsidR="00A703B1">
        <w:rPr>
          <w:rFonts w:ascii="Bookman Old Style" w:hAnsi="Bookman Old Style"/>
        </w:rPr>
        <w:t xml:space="preserve"> modifiquen,</w:t>
      </w:r>
      <w:r w:rsidRPr="00026F1E">
        <w:rPr>
          <w:rFonts w:ascii="Bookman Old Style" w:hAnsi="Bookman Old Style"/>
        </w:rPr>
        <w:t xml:space="preserve"> adicionen</w:t>
      </w:r>
      <w:r w:rsidR="00A703B1">
        <w:rPr>
          <w:rFonts w:ascii="Bookman Old Style" w:hAnsi="Bookman Old Style"/>
        </w:rPr>
        <w:t xml:space="preserve"> o sustituyan</w:t>
      </w:r>
      <w:r w:rsidRPr="00026F1E">
        <w:rPr>
          <w:rFonts w:ascii="Bookman Old Style" w:hAnsi="Bookman Old Style"/>
        </w:rPr>
        <w:t xml:space="preserve">. </w:t>
      </w:r>
    </w:p>
    <w:p w14:paraId="6C688FC7" w14:textId="77777777" w:rsidR="00B5622F" w:rsidRPr="00026F1E" w:rsidRDefault="00B5622F" w:rsidP="00817F21">
      <w:pPr>
        <w:pStyle w:val="Default"/>
        <w:ind w:left="142"/>
        <w:jc w:val="both"/>
        <w:rPr>
          <w:rFonts w:ascii="Bookman Old Style" w:hAnsi="Bookman Old Style"/>
        </w:rPr>
      </w:pPr>
    </w:p>
    <w:p w14:paraId="0260BF81" w14:textId="4BB9966C" w:rsidR="00B5622F" w:rsidRPr="00026F1E" w:rsidRDefault="00B5622F" w:rsidP="00B5622F">
      <w:pPr>
        <w:pStyle w:val="Default"/>
        <w:ind w:left="142"/>
        <w:jc w:val="both"/>
        <w:rPr>
          <w:rFonts w:ascii="Bookman Old Style" w:hAnsi="Bookman Old Style"/>
        </w:rPr>
      </w:pPr>
      <w:r w:rsidRPr="00026F1E">
        <w:rPr>
          <w:rFonts w:ascii="Bookman Old Style" w:hAnsi="Bookman Old Style"/>
        </w:rPr>
        <w:t xml:space="preserve">En aquellos lugares o estaciones, caracterizados por los bajos volúmenes involucrados catalogados como Clase D de la </w:t>
      </w:r>
      <w:r w:rsidR="00BC157A">
        <w:rPr>
          <w:rFonts w:ascii="Bookman Old Style" w:hAnsi="Bookman Old Style"/>
        </w:rPr>
        <w:t xml:space="preserve">norma técnica </w:t>
      </w:r>
      <w:r w:rsidRPr="00026F1E">
        <w:rPr>
          <w:rFonts w:ascii="Bookman Old Style" w:hAnsi="Bookman Old Style"/>
        </w:rPr>
        <w:t>NTC 6167</w:t>
      </w:r>
      <w:r w:rsidR="00BB5F12" w:rsidRPr="00026F1E">
        <w:rPr>
          <w:rFonts w:ascii="Bookman Old Style" w:hAnsi="Bookman Old Style"/>
        </w:rPr>
        <w:t xml:space="preserve"> de 2016</w:t>
      </w:r>
      <w:r w:rsidRPr="00026F1E">
        <w:rPr>
          <w:rFonts w:ascii="Bookman Old Style" w:hAnsi="Bookman Old Style"/>
        </w:rPr>
        <w:t xml:space="preserve">, y para los cuales la energía no sea eficiente económicamente medirla, se podrán utilizar métodos de reconstrucción acorde al capítulo 5 </w:t>
      </w:r>
      <w:r w:rsidR="00BB5F12" w:rsidRPr="00026F1E">
        <w:rPr>
          <w:rFonts w:ascii="Bookman Old Style" w:hAnsi="Bookman Old Style"/>
        </w:rPr>
        <w:t xml:space="preserve">de dicha norma </w:t>
      </w:r>
      <w:r w:rsidRPr="00026F1E">
        <w:rPr>
          <w:rFonts w:ascii="Bookman Old Style" w:hAnsi="Bookman Old Style"/>
        </w:rPr>
        <w:t>debidamente soportados técnica y económicamente.</w:t>
      </w:r>
    </w:p>
    <w:p w14:paraId="549F753B" w14:textId="341072A3" w:rsidR="004E78B3" w:rsidRPr="00026F1E" w:rsidRDefault="004E78B3" w:rsidP="00817F21">
      <w:pPr>
        <w:pStyle w:val="Default"/>
        <w:ind w:left="142"/>
        <w:jc w:val="both"/>
        <w:rPr>
          <w:rFonts w:ascii="Bookman Old Style" w:hAnsi="Bookman Old Style"/>
        </w:rPr>
      </w:pPr>
    </w:p>
    <w:p w14:paraId="1E76BFC1" w14:textId="760AAF41" w:rsidR="004E78B3" w:rsidRPr="00026F1E" w:rsidRDefault="004E78B3" w:rsidP="00256671">
      <w:pPr>
        <w:pStyle w:val="Default"/>
        <w:ind w:left="142" w:hanging="142"/>
        <w:jc w:val="both"/>
        <w:rPr>
          <w:rFonts w:ascii="Bookman Old Style" w:hAnsi="Bookman Old Style"/>
        </w:rPr>
      </w:pPr>
      <w:r w:rsidRPr="00026F1E">
        <w:t xml:space="preserve"> </w:t>
      </w:r>
      <w:r w:rsidR="00151D0F" w:rsidRPr="00026F1E">
        <w:rPr>
          <w:rFonts w:ascii="Bookman Old Style" w:hAnsi="Bookman Old Style"/>
          <w:b/>
          <w:bCs/>
        </w:rPr>
        <w:t xml:space="preserve"> </w:t>
      </w:r>
      <w:r w:rsidR="000A2BCA" w:rsidRPr="00026F1E">
        <w:rPr>
          <w:rFonts w:ascii="Bookman Old Style" w:hAnsi="Bookman Old Style"/>
          <w:b/>
          <w:bCs/>
        </w:rPr>
        <w:t xml:space="preserve">INSTALACIONES DEL AGENTE: </w:t>
      </w:r>
      <w:r w:rsidRPr="00026F1E">
        <w:rPr>
          <w:rFonts w:ascii="Bookman Old Style" w:hAnsi="Bookman Old Style"/>
        </w:rPr>
        <w:t xml:space="preserve">Equipos y redes utilizados por el Agente a partir de la Conexión, entre los cuales se pueden incluir filtros, </w:t>
      </w:r>
      <w:proofErr w:type="spellStart"/>
      <w:r w:rsidRPr="00026F1E">
        <w:rPr>
          <w:rFonts w:ascii="Bookman Old Style" w:hAnsi="Bookman Old Style"/>
        </w:rPr>
        <w:t>odorizadores</w:t>
      </w:r>
      <w:proofErr w:type="spellEnd"/>
      <w:r w:rsidRPr="00026F1E">
        <w:rPr>
          <w:rFonts w:ascii="Bookman Old Style" w:hAnsi="Bookman Old Style"/>
        </w:rPr>
        <w:t xml:space="preserve">, compresores, válvulas de control y sistemas de medición, que no hacen parte del Sistema Nacional de Transporte. </w:t>
      </w:r>
    </w:p>
    <w:p w14:paraId="4CA71F5C" w14:textId="77777777" w:rsidR="004E78B3" w:rsidRPr="00026F1E" w:rsidRDefault="004E78B3" w:rsidP="00817F21">
      <w:pPr>
        <w:pStyle w:val="Default"/>
        <w:ind w:left="142"/>
        <w:jc w:val="both"/>
        <w:rPr>
          <w:rFonts w:ascii="Bookman Old Style" w:hAnsi="Bookman Old Style"/>
        </w:rPr>
      </w:pPr>
      <w:r w:rsidRPr="00026F1E">
        <w:rPr>
          <w:rFonts w:ascii="Bookman Old Style" w:hAnsi="Bookman Old Style"/>
        </w:rPr>
        <w:t xml:space="preserve"> </w:t>
      </w:r>
    </w:p>
    <w:p w14:paraId="426AFADE" w14:textId="12F23ADD"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PUNTO</w:t>
      </w:r>
      <w:r w:rsidR="000A2BCA" w:rsidRPr="00026F1E">
        <w:rPr>
          <w:rFonts w:ascii="Bookman Old Style" w:hAnsi="Bookman Old Style"/>
          <w:b/>
          <w:bCs/>
        </w:rPr>
        <w:t xml:space="preserve"> DE TRANSFERENCIA DE CUSTODIA: </w:t>
      </w:r>
      <w:r w:rsidRPr="00026F1E">
        <w:rPr>
          <w:rFonts w:ascii="Bookman Old Style" w:hAnsi="Bookman Old Style"/>
        </w:rPr>
        <w:t>Es el sitio donde se transfiere la custodia del gas (volumen, calidad y energía) entre un Productor-Comercializador y un Transportador; o entre un Transportador y un Distribuidor, un Usuario No Regulado, un Almacenador Independiente, un Usuario Regulado atendido por un Comercializador (no localizado en áreas de servicio exclusivo),</w:t>
      </w:r>
      <w:r w:rsidR="009638AC" w:rsidRPr="00026F1E">
        <w:rPr>
          <w:rFonts w:ascii="Bookman Old Style" w:hAnsi="Bookman Old Style"/>
        </w:rPr>
        <w:t xml:space="preserve"> </w:t>
      </w:r>
      <w:r w:rsidRPr="00026F1E">
        <w:rPr>
          <w:rFonts w:ascii="Bookman Old Style" w:hAnsi="Bookman Old Style"/>
        </w:rPr>
        <w:t xml:space="preserve">una Interconexión Internacional, entre dos Transportadores, y a partir del cual el Agente que recibe el gas asume la custodia del mismo (volumen, calidad y energía). </w:t>
      </w:r>
    </w:p>
    <w:p w14:paraId="0CAE36E0" w14:textId="77777777" w:rsidR="000C3BE9" w:rsidRPr="00026F1E" w:rsidRDefault="000C3BE9" w:rsidP="00817F21">
      <w:pPr>
        <w:pStyle w:val="Default"/>
        <w:ind w:left="142"/>
        <w:jc w:val="both"/>
        <w:rPr>
          <w:rFonts w:ascii="Bookman Old Style" w:hAnsi="Bookman Old Style"/>
        </w:rPr>
      </w:pPr>
    </w:p>
    <w:p w14:paraId="6AD6B37A" w14:textId="77777777" w:rsidR="005C2084" w:rsidRDefault="005C2084" w:rsidP="000C3BE9">
      <w:pPr>
        <w:ind w:left="142"/>
        <w:jc w:val="both"/>
        <w:rPr>
          <w:rFonts w:cs="ArialMT"/>
          <w:b/>
          <w:lang w:val="es-CO" w:eastAsia="es-CO"/>
        </w:rPr>
      </w:pPr>
    </w:p>
    <w:p w14:paraId="7153BCFB" w14:textId="461DDBC0" w:rsidR="000C3BE9" w:rsidRPr="00026F1E" w:rsidRDefault="000C3BE9" w:rsidP="000C3BE9">
      <w:pPr>
        <w:ind w:left="142"/>
        <w:jc w:val="both"/>
        <w:rPr>
          <w:rFonts w:cs="ArialMT"/>
          <w:lang w:val="es-CO" w:eastAsia="es-CO"/>
        </w:rPr>
      </w:pPr>
      <w:r w:rsidRPr="00026F1E">
        <w:rPr>
          <w:rFonts w:cs="ArialMT"/>
          <w:b/>
          <w:lang w:val="es-CO" w:eastAsia="es-CO"/>
        </w:rPr>
        <w:lastRenderedPageBreak/>
        <w:t>SISTEMA DE MEDICIÓN:</w:t>
      </w:r>
      <w:r w:rsidRPr="00026F1E">
        <w:rPr>
          <w:rFonts w:cs="ArialMT"/>
          <w:lang w:val="es-CO" w:eastAsia="es-CO"/>
        </w:rPr>
        <w:t xml:space="preserve"> Sistema que comprende el módulo de medición, todos los dispositivos auxiliares y adicionales, y cuando sea necesario, un sistema de soportes documentales asegurando la calidad y la trazabilidad de los datos</w:t>
      </w:r>
      <w:r w:rsidR="009638AC" w:rsidRPr="00026F1E">
        <w:rPr>
          <w:rFonts w:cs="ArialMT"/>
          <w:lang w:val="es-CO" w:eastAsia="es-CO"/>
        </w:rPr>
        <w:t>.</w:t>
      </w:r>
    </w:p>
    <w:p w14:paraId="1D26E673" w14:textId="74BC27E7" w:rsidR="004E78B3" w:rsidRPr="00026F1E" w:rsidRDefault="004E78B3" w:rsidP="00817F21">
      <w:pPr>
        <w:pStyle w:val="Default"/>
        <w:ind w:left="142"/>
        <w:jc w:val="both"/>
        <w:rPr>
          <w:rFonts w:ascii="Bookman Old Style" w:hAnsi="Bookman Old Style"/>
        </w:rPr>
      </w:pPr>
    </w:p>
    <w:p w14:paraId="78638E69" w14:textId="2C64D86F" w:rsidR="004E78B3" w:rsidRPr="00026F1E" w:rsidRDefault="004E78B3" w:rsidP="00817F21">
      <w:pPr>
        <w:pStyle w:val="Default"/>
        <w:ind w:left="142"/>
        <w:jc w:val="both"/>
        <w:rPr>
          <w:rFonts w:ascii="Bookman Old Style" w:hAnsi="Bookman Old Style"/>
        </w:rPr>
      </w:pPr>
      <w:r w:rsidRPr="00026F1E">
        <w:rPr>
          <w:rFonts w:ascii="Bookman Old Style" w:hAnsi="Bookman Old Style"/>
          <w:b/>
          <w:bCs/>
        </w:rPr>
        <w:t>VO</w:t>
      </w:r>
      <w:r w:rsidR="000A2BCA" w:rsidRPr="00026F1E">
        <w:rPr>
          <w:rFonts w:ascii="Bookman Old Style" w:hAnsi="Bookman Old Style"/>
          <w:b/>
          <w:bCs/>
        </w:rPr>
        <w:t xml:space="preserve">LUMEN ESTÁNDAR DE GAS NATURAL: </w:t>
      </w:r>
      <w:r w:rsidRPr="00026F1E">
        <w:rPr>
          <w:rFonts w:ascii="Bookman Old Style" w:hAnsi="Bookman Old Style"/>
        </w:rPr>
        <w:t xml:space="preserve">Es aquel volumen de gas, real y seco (que cumpla las especificaciones </w:t>
      </w:r>
      <w:r w:rsidR="001262DA" w:rsidRPr="00026F1E">
        <w:rPr>
          <w:rFonts w:ascii="Bookman Old Style" w:hAnsi="Bookman Old Style"/>
        </w:rPr>
        <w:t xml:space="preserve">de la presente resolución o </w:t>
      </w:r>
      <w:r w:rsidR="00A703B1">
        <w:rPr>
          <w:rFonts w:ascii="Bookman Old Style" w:hAnsi="Bookman Old Style"/>
        </w:rPr>
        <w:t>aquellas normas que la modifiquen,</w:t>
      </w:r>
      <w:r w:rsidR="001262DA" w:rsidRPr="00026F1E">
        <w:rPr>
          <w:rFonts w:ascii="Bookman Old Style" w:hAnsi="Bookman Old Style"/>
        </w:rPr>
        <w:t xml:space="preserve"> adicionen</w:t>
      </w:r>
      <w:r w:rsidR="00A703B1">
        <w:rPr>
          <w:rFonts w:ascii="Bookman Old Style" w:hAnsi="Bookman Old Style"/>
        </w:rPr>
        <w:t xml:space="preserve"> o sustituyan</w:t>
      </w:r>
      <w:r w:rsidRPr="00026F1E">
        <w:rPr>
          <w:rFonts w:ascii="Bookman Old Style" w:hAnsi="Bookman Old Style"/>
        </w:rPr>
        <w:t xml:space="preserve">, en cuanto a concentración de vapor de agua) referido a condiciones estándar. </w:t>
      </w:r>
    </w:p>
    <w:p w14:paraId="1E5B3AAC" w14:textId="77777777" w:rsidR="000A2BCA" w:rsidRPr="00026F1E" w:rsidRDefault="000A2BCA" w:rsidP="00817F21">
      <w:pPr>
        <w:pStyle w:val="Default"/>
        <w:ind w:left="142"/>
        <w:jc w:val="both"/>
        <w:rPr>
          <w:rFonts w:ascii="Bookman Old Style" w:hAnsi="Bookman Old Style"/>
        </w:rPr>
      </w:pPr>
    </w:p>
    <w:p w14:paraId="2CE69AF2" w14:textId="66DC316D" w:rsidR="004E78B3" w:rsidRPr="00026F1E" w:rsidRDefault="000A2BCA" w:rsidP="00BC157A">
      <w:pPr>
        <w:pStyle w:val="ARTICULOS"/>
        <w:keepNext/>
        <w:numPr>
          <w:ilvl w:val="0"/>
          <w:numId w:val="49"/>
        </w:numPr>
        <w:tabs>
          <w:tab w:val="left" w:pos="993"/>
          <w:tab w:val="left" w:pos="1560"/>
        </w:tabs>
        <w:ind w:left="142" w:firstLine="0"/>
        <w:outlineLvl w:val="0"/>
      </w:pPr>
      <w:r w:rsidRPr="00026F1E">
        <w:rPr>
          <w:b/>
        </w:rPr>
        <w:t>NUEVA DEFINICI</w:t>
      </w:r>
      <w:r w:rsidR="00A5305E" w:rsidRPr="00026F1E">
        <w:rPr>
          <w:b/>
          <w:lang w:val="es-MX"/>
        </w:rPr>
        <w:t>Ó</w:t>
      </w:r>
      <w:r w:rsidRPr="00026F1E">
        <w:rPr>
          <w:b/>
        </w:rPr>
        <w:t>N</w:t>
      </w:r>
      <w:r w:rsidR="00671E74" w:rsidRPr="00026F1E">
        <w:t>.</w:t>
      </w:r>
      <w:r w:rsidRPr="00026F1E">
        <w:t xml:space="preserve"> Se adiciona la siguiente definición al Numeral 1.1 del Anexo General de la Resolución CREG 071 de 1999:</w:t>
      </w:r>
    </w:p>
    <w:p w14:paraId="25D3142D" w14:textId="77777777" w:rsidR="000A2BCA" w:rsidRPr="00026F1E" w:rsidRDefault="000A2BCA" w:rsidP="004E78B3">
      <w:pPr>
        <w:ind w:left="0"/>
        <w:rPr>
          <w:rFonts w:cs="Arial"/>
        </w:rPr>
      </w:pPr>
    </w:p>
    <w:p w14:paraId="2DB9C928" w14:textId="1FAE249E" w:rsidR="000A2BCA" w:rsidRPr="00026F1E" w:rsidRDefault="000A2BCA" w:rsidP="00654439">
      <w:pPr>
        <w:pStyle w:val="Default"/>
        <w:ind w:left="708"/>
        <w:jc w:val="both"/>
        <w:rPr>
          <w:rFonts w:ascii="Bookman Old Style" w:hAnsi="Bookman Old Style" w:cs="Times New Roman"/>
          <w:bCs/>
          <w:color w:val="auto"/>
          <w:lang w:val="x-none" w:eastAsia="x-none"/>
        </w:rPr>
      </w:pPr>
      <w:r w:rsidRPr="00026F1E">
        <w:rPr>
          <w:rFonts w:ascii="Bookman Old Style" w:hAnsi="Bookman Old Style"/>
          <w:b/>
          <w:bCs/>
        </w:rPr>
        <w:t>PO</w:t>
      </w:r>
      <w:r w:rsidR="00116BEC" w:rsidRPr="00026F1E">
        <w:rPr>
          <w:rFonts w:ascii="Bookman Old Style" w:hAnsi="Bookman Old Style"/>
          <w:b/>
          <w:bCs/>
        </w:rPr>
        <w:t>DER CALORÍFICO BRUTO (SUPERIOR)</w:t>
      </w:r>
      <w:r w:rsidRPr="00026F1E">
        <w:rPr>
          <w:rFonts w:ascii="Bookman Old Style" w:hAnsi="Bookman Old Style"/>
          <w:b/>
          <w:bCs/>
        </w:rPr>
        <w:t xml:space="preserve">: </w:t>
      </w:r>
      <w:r w:rsidR="00673BF0" w:rsidRPr="00026F1E">
        <w:rPr>
          <w:rFonts w:ascii="Bookman Old Style" w:hAnsi="Bookman Old Style" w:cs="Times New Roman"/>
          <w:bCs/>
          <w:color w:val="auto"/>
          <w:lang w:val="x-none" w:eastAsia="x-none"/>
        </w:rPr>
        <w:t>Tal como se define en la norma</w:t>
      </w:r>
      <w:r w:rsidR="00075AAE">
        <w:rPr>
          <w:rFonts w:ascii="Bookman Old Style" w:hAnsi="Bookman Old Style" w:cs="Times New Roman"/>
          <w:bCs/>
          <w:color w:val="auto"/>
          <w:lang w:val="es-MX" w:eastAsia="x-none"/>
        </w:rPr>
        <w:t xml:space="preserve"> técnica</w:t>
      </w:r>
      <w:r w:rsidR="00673BF0" w:rsidRPr="00026F1E">
        <w:rPr>
          <w:rFonts w:ascii="Bookman Old Style" w:hAnsi="Bookman Old Style" w:cs="Times New Roman"/>
          <w:bCs/>
          <w:color w:val="auto"/>
          <w:lang w:val="x-none" w:eastAsia="x-none"/>
        </w:rPr>
        <w:t xml:space="preserve"> NTC 6167</w:t>
      </w:r>
      <w:r w:rsidR="00180DAC" w:rsidRPr="00026F1E">
        <w:rPr>
          <w:rFonts w:ascii="Bookman Old Style" w:hAnsi="Bookman Old Style" w:cs="Times New Roman"/>
          <w:bCs/>
          <w:color w:val="auto"/>
          <w:lang w:eastAsia="x-none"/>
        </w:rPr>
        <w:t xml:space="preserve"> de 2016</w:t>
      </w:r>
      <w:r w:rsidR="00673BF0" w:rsidRPr="00026F1E">
        <w:rPr>
          <w:rFonts w:ascii="Bookman Old Style" w:hAnsi="Bookman Old Style" w:cs="Times New Roman"/>
          <w:bCs/>
          <w:color w:val="auto"/>
          <w:lang w:eastAsia="x-none"/>
        </w:rPr>
        <w:t xml:space="preserve"> o </w:t>
      </w:r>
      <w:r w:rsidR="009638AC" w:rsidRPr="00026F1E">
        <w:rPr>
          <w:rFonts w:ascii="Bookman Old Style" w:hAnsi="Bookman Old Style" w:cs="Times New Roman"/>
          <w:bCs/>
          <w:color w:val="auto"/>
          <w:lang w:eastAsia="x-none"/>
        </w:rPr>
        <w:t>aquella</w:t>
      </w:r>
      <w:r w:rsidR="00A678AA">
        <w:rPr>
          <w:rFonts w:ascii="Bookman Old Style" w:hAnsi="Bookman Old Style" w:cs="Times New Roman"/>
          <w:bCs/>
          <w:color w:val="auto"/>
          <w:lang w:eastAsia="x-none"/>
        </w:rPr>
        <w:t xml:space="preserve"> norma</w:t>
      </w:r>
      <w:r w:rsidR="009638AC" w:rsidRPr="00026F1E">
        <w:rPr>
          <w:rFonts w:ascii="Bookman Old Style" w:hAnsi="Bookman Old Style" w:cs="Times New Roman"/>
          <w:bCs/>
          <w:color w:val="auto"/>
          <w:lang w:eastAsia="x-none"/>
        </w:rPr>
        <w:t xml:space="preserve"> que </w:t>
      </w:r>
      <w:r w:rsidR="00673BF0" w:rsidRPr="00026F1E">
        <w:rPr>
          <w:rFonts w:ascii="Bookman Old Style" w:hAnsi="Bookman Old Style" w:cs="Times New Roman"/>
          <w:bCs/>
          <w:color w:val="auto"/>
          <w:lang w:eastAsia="x-none"/>
        </w:rPr>
        <w:t xml:space="preserve">la modifique, </w:t>
      </w:r>
      <w:r w:rsidR="00180DAC" w:rsidRPr="00026F1E">
        <w:rPr>
          <w:rFonts w:ascii="Bookman Old Style" w:hAnsi="Bookman Old Style" w:cs="Times New Roman"/>
          <w:bCs/>
          <w:color w:val="auto"/>
          <w:lang w:eastAsia="x-none"/>
        </w:rPr>
        <w:t xml:space="preserve">adicione </w:t>
      </w:r>
      <w:r w:rsidR="00673BF0" w:rsidRPr="00026F1E">
        <w:rPr>
          <w:rFonts w:ascii="Bookman Old Style" w:hAnsi="Bookman Old Style" w:cs="Times New Roman"/>
          <w:bCs/>
          <w:color w:val="auto"/>
          <w:lang w:eastAsia="x-none"/>
        </w:rPr>
        <w:t>o sustituya</w:t>
      </w:r>
      <w:r w:rsidR="00673BF0" w:rsidRPr="00026F1E">
        <w:rPr>
          <w:rFonts w:ascii="Bookman Old Style" w:hAnsi="Bookman Old Style" w:cs="Times New Roman"/>
          <w:bCs/>
          <w:color w:val="auto"/>
          <w:lang w:val="x-none" w:eastAsia="x-none"/>
        </w:rPr>
        <w:t>.</w:t>
      </w:r>
    </w:p>
    <w:p w14:paraId="4B66CFF5" w14:textId="77777777" w:rsidR="000A2BCA" w:rsidRPr="00026F1E" w:rsidRDefault="000A2BCA" w:rsidP="004E78B3">
      <w:pPr>
        <w:ind w:left="0"/>
        <w:rPr>
          <w:rFonts w:cs="Arial"/>
          <w:lang w:val="x-none"/>
        </w:rPr>
      </w:pPr>
    </w:p>
    <w:p w14:paraId="4244CE55" w14:textId="77777777" w:rsidR="006B5ACD" w:rsidRPr="00026F1E" w:rsidRDefault="00671E74" w:rsidP="00BC157A">
      <w:pPr>
        <w:pStyle w:val="ARTICULOS"/>
        <w:keepNext/>
        <w:numPr>
          <w:ilvl w:val="0"/>
          <w:numId w:val="49"/>
        </w:numPr>
        <w:tabs>
          <w:tab w:val="left" w:pos="1560"/>
        </w:tabs>
        <w:ind w:left="142" w:firstLine="0"/>
        <w:outlineLvl w:val="0"/>
      </w:pPr>
      <w:r w:rsidRPr="00026F1E">
        <w:rPr>
          <w:b/>
        </w:rPr>
        <w:t xml:space="preserve"> </w:t>
      </w:r>
      <w:r w:rsidR="00EF792E" w:rsidRPr="00026F1E">
        <w:rPr>
          <w:b/>
        </w:rPr>
        <w:t>CONEXIONES</w:t>
      </w:r>
      <w:r w:rsidRPr="00026F1E">
        <w:rPr>
          <w:b/>
        </w:rPr>
        <w:t>.</w:t>
      </w:r>
      <w:r w:rsidR="00EF792E" w:rsidRPr="00026F1E">
        <w:rPr>
          <w:b/>
        </w:rPr>
        <w:t xml:space="preserve"> </w:t>
      </w:r>
      <w:r w:rsidR="006B5ACD" w:rsidRPr="00026F1E">
        <w:t>Se modifican l</w:t>
      </w:r>
      <w:r w:rsidR="00A375C7" w:rsidRPr="00026F1E">
        <w:t xml:space="preserve">as secciones: </w:t>
      </w:r>
      <w:r w:rsidR="00EF792E" w:rsidRPr="00026F1E">
        <w:t xml:space="preserve">responsabilidad y propiedad de la conexión, y de los puntos de entrada y  salida, solicitud de cotización de conexiones, puntos de entrada y puntos de salida, condiciones de conexión a puntos de salida </w:t>
      </w:r>
      <w:r w:rsidR="006B5ACD" w:rsidRPr="00026F1E">
        <w:t xml:space="preserve">correspondientes a los numerales </w:t>
      </w:r>
      <w:r w:rsidR="00BA36A6" w:rsidRPr="00026F1E">
        <w:t>3</w:t>
      </w:r>
      <w:r w:rsidR="006B5ACD" w:rsidRPr="00026F1E">
        <w:t>.1, 3.2 y 3.3 del Anexo General de la Resolución CREG 071 de 1999</w:t>
      </w:r>
      <w:r w:rsidR="00E16FE9" w:rsidRPr="00026F1E">
        <w:rPr>
          <w:lang w:val="es-CO"/>
        </w:rPr>
        <w:t>, las</w:t>
      </w:r>
      <w:r w:rsidR="005836EB" w:rsidRPr="00026F1E">
        <w:t xml:space="preserve"> cuales quedarán así:</w:t>
      </w:r>
    </w:p>
    <w:p w14:paraId="64AC7508" w14:textId="77777777" w:rsidR="006B5ACD" w:rsidRPr="00026F1E" w:rsidRDefault="006B5ACD" w:rsidP="00EF792E">
      <w:pPr>
        <w:ind w:left="708"/>
        <w:rPr>
          <w:rFonts w:cs="Arial"/>
          <w:lang w:val="es-CO"/>
        </w:rPr>
      </w:pPr>
    </w:p>
    <w:p w14:paraId="4712B229" w14:textId="77777777" w:rsidR="005836EB" w:rsidRPr="00026F1E" w:rsidRDefault="00B11846" w:rsidP="00EF792E">
      <w:pPr>
        <w:pStyle w:val="Default"/>
        <w:ind w:left="708"/>
        <w:jc w:val="both"/>
        <w:rPr>
          <w:rFonts w:ascii="Bookman Old Style" w:hAnsi="Bookman Old Style"/>
        </w:rPr>
      </w:pPr>
      <w:r w:rsidRPr="00026F1E">
        <w:rPr>
          <w:rFonts w:ascii="Bookman Old Style" w:hAnsi="Bookman Old Style"/>
          <w:b/>
          <w:bCs/>
        </w:rPr>
        <w:t xml:space="preserve">3.1. </w:t>
      </w:r>
      <w:r w:rsidR="005836EB" w:rsidRPr="00026F1E">
        <w:rPr>
          <w:rFonts w:ascii="Bookman Old Style" w:hAnsi="Bookman Old Style"/>
          <w:b/>
          <w:bCs/>
        </w:rPr>
        <w:t xml:space="preserve">RESPONSABILIDAD Y PROPIEDAD DE LA CONEXIÓN, Y DE LOS PUNTOS DE ENTRADA Y SALIDA. </w:t>
      </w:r>
    </w:p>
    <w:p w14:paraId="3349AB35" w14:textId="77777777" w:rsidR="005836EB" w:rsidRPr="00026F1E" w:rsidRDefault="005836EB" w:rsidP="00EF792E">
      <w:pPr>
        <w:pStyle w:val="Default"/>
        <w:ind w:left="708"/>
        <w:jc w:val="both"/>
        <w:rPr>
          <w:rFonts w:ascii="Bookman Old Style" w:hAnsi="Bookman Old Style"/>
        </w:rPr>
      </w:pPr>
    </w:p>
    <w:p w14:paraId="2C39E1B4"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Las responsabilidades de las partes con respecto a las Conexiones, Puntos de Entrada y Puntos de Salida al Sistema Nacional de Transporte serán las siguientes: </w:t>
      </w:r>
    </w:p>
    <w:p w14:paraId="43947AE0" w14:textId="77777777" w:rsidR="005836EB" w:rsidRPr="00026F1E" w:rsidRDefault="005836EB" w:rsidP="00EF792E">
      <w:pPr>
        <w:pStyle w:val="Default"/>
        <w:ind w:left="708"/>
        <w:jc w:val="both"/>
        <w:rPr>
          <w:rFonts w:ascii="Bookman Old Style" w:hAnsi="Bookman Old Style"/>
        </w:rPr>
      </w:pPr>
    </w:p>
    <w:p w14:paraId="323ABDF7"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Con respecto a los Puntos de Entrada y Salida: </w:t>
      </w:r>
    </w:p>
    <w:p w14:paraId="1296775D" w14:textId="77777777" w:rsidR="005836EB" w:rsidRPr="00026F1E" w:rsidRDefault="005836EB" w:rsidP="00EF792E">
      <w:pPr>
        <w:pStyle w:val="Default"/>
        <w:ind w:left="708"/>
        <w:jc w:val="both"/>
        <w:rPr>
          <w:rFonts w:ascii="Bookman Old Style" w:hAnsi="Bookman Old Style"/>
        </w:rPr>
      </w:pPr>
    </w:p>
    <w:p w14:paraId="316DDAF7" w14:textId="3752C932" w:rsidR="00B14FBA" w:rsidRPr="00026F1E" w:rsidRDefault="00B14FBA" w:rsidP="00B14FBA">
      <w:pPr>
        <w:pStyle w:val="Default"/>
        <w:numPr>
          <w:ilvl w:val="0"/>
          <w:numId w:val="24"/>
        </w:numPr>
        <w:ind w:left="1134" w:hanging="426"/>
        <w:jc w:val="both"/>
        <w:rPr>
          <w:rFonts w:ascii="Bookman Old Style" w:hAnsi="Bookman Old Style"/>
        </w:rPr>
      </w:pPr>
      <w:r w:rsidRPr="00026F1E">
        <w:rPr>
          <w:rFonts w:ascii="Bookman Old Style" w:hAnsi="Bookman Old Style"/>
        </w:rPr>
        <w:t xml:space="preserve">Los </w:t>
      </w:r>
      <w:r w:rsidR="005B47E8" w:rsidRPr="00026F1E">
        <w:rPr>
          <w:rFonts w:ascii="Bookman Old Style" w:hAnsi="Bookman Old Style"/>
        </w:rPr>
        <w:t>T</w:t>
      </w:r>
      <w:r w:rsidRPr="00026F1E">
        <w:rPr>
          <w:rFonts w:ascii="Bookman Old Style" w:hAnsi="Bookman Old Style"/>
        </w:rPr>
        <w:t xml:space="preserve">ransportadores serán los propietarios de los Puntos de Entrada y Puntos de Salida y serán responsables por su construcción. </w:t>
      </w:r>
    </w:p>
    <w:p w14:paraId="5E7607B3" w14:textId="7DFD5595" w:rsidR="00CD1A9B" w:rsidRPr="00026F1E" w:rsidRDefault="00B14FBA" w:rsidP="00B14FBA">
      <w:pPr>
        <w:pStyle w:val="Default"/>
        <w:numPr>
          <w:ilvl w:val="0"/>
          <w:numId w:val="24"/>
        </w:numPr>
        <w:ind w:left="1134" w:hanging="426"/>
        <w:jc w:val="both"/>
        <w:rPr>
          <w:rFonts w:ascii="Bookman Old Style" w:hAnsi="Bookman Old Style"/>
        </w:rPr>
      </w:pPr>
      <w:r w:rsidRPr="00026F1E">
        <w:rPr>
          <w:rFonts w:ascii="Bookman Old Style" w:hAnsi="Bookman Old Style"/>
        </w:rPr>
        <w:t xml:space="preserve">Los </w:t>
      </w:r>
      <w:r w:rsidR="005B47E8" w:rsidRPr="00026F1E">
        <w:rPr>
          <w:rFonts w:ascii="Bookman Old Style" w:hAnsi="Bookman Old Style"/>
        </w:rPr>
        <w:t>T</w:t>
      </w:r>
      <w:r w:rsidRPr="00026F1E">
        <w:rPr>
          <w:rFonts w:ascii="Bookman Old Style" w:hAnsi="Bookman Old Style"/>
        </w:rPr>
        <w:t xml:space="preserve">ransportadores serán responsables por la adquisición de los terrenos y derechos, si es del caso, y la obtención de las respectivas licencias y permisos requeridos para la construcción y operación de los Puntos de Entrada y de Salida. </w:t>
      </w:r>
    </w:p>
    <w:p w14:paraId="7112534A" w14:textId="7AC92DD6" w:rsidR="005836EB" w:rsidRPr="00026F1E" w:rsidRDefault="005836EB" w:rsidP="00B14FBA">
      <w:pPr>
        <w:pStyle w:val="Default"/>
        <w:numPr>
          <w:ilvl w:val="0"/>
          <w:numId w:val="24"/>
        </w:numPr>
        <w:ind w:left="1134" w:hanging="426"/>
        <w:jc w:val="both"/>
        <w:rPr>
          <w:rFonts w:ascii="Bookman Old Style" w:hAnsi="Bookman Old Style"/>
        </w:rPr>
      </w:pPr>
      <w:r w:rsidRPr="00026F1E">
        <w:rPr>
          <w:rFonts w:ascii="Bookman Old Style" w:hAnsi="Bookman Old Style"/>
        </w:rPr>
        <w:t xml:space="preserve">Los </w:t>
      </w:r>
      <w:r w:rsidR="005B47E8" w:rsidRPr="00026F1E">
        <w:rPr>
          <w:rFonts w:ascii="Bookman Old Style" w:hAnsi="Bookman Old Style"/>
        </w:rPr>
        <w:t>T</w:t>
      </w:r>
      <w:r w:rsidRPr="00026F1E">
        <w:rPr>
          <w:rFonts w:ascii="Bookman Old Style" w:hAnsi="Bookman Old Style"/>
        </w:rPr>
        <w:t xml:space="preserve">ransportadores serán responsables de la operación y mantenimiento de los Puntos de Entrada y Puntos de Salida. </w:t>
      </w:r>
    </w:p>
    <w:p w14:paraId="671221FC" w14:textId="12F05C90" w:rsidR="005836EB" w:rsidRPr="00026F1E" w:rsidRDefault="005836EB" w:rsidP="00EF792E">
      <w:pPr>
        <w:pStyle w:val="Default"/>
        <w:numPr>
          <w:ilvl w:val="0"/>
          <w:numId w:val="24"/>
        </w:numPr>
        <w:ind w:left="1134" w:hanging="426"/>
        <w:jc w:val="both"/>
        <w:rPr>
          <w:rFonts w:ascii="Bookman Old Style" w:hAnsi="Bookman Old Style"/>
        </w:rPr>
      </w:pPr>
      <w:r w:rsidRPr="00026F1E">
        <w:rPr>
          <w:rFonts w:ascii="Bookman Old Style" w:hAnsi="Bookman Old Style"/>
        </w:rPr>
        <w:t xml:space="preserve">Los </w:t>
      </w:r>
      <w:r w:rsidR="005B47E8" w:rsidRPr="00026F1E">
        <w:rPr>
          <w:rFonts w:ascii="Bookman Old Style" w:hAnsi="Bookman Old Style"/>
        </w:rPr>
        <w:t>T</w:t>
      </w:r>
      <w:r w:rsidRPr="00026F1E">
        <w:rPr>
          <w:rFonts w:ascii="Bookman Old Style" w:hAnsi="Bookman Old Style"/>
        </w:rPr>
        <w:t xml:space="preserve">ransportadores deberán cumplir con las normas técnicas y de seguridad establecidas por la autoridad competente, y no podrán negarse a construir un Punto de Entrada o de Salida siempre que la construcción de dichos puntos sea técnicamente factible. </w:t>
      </w:r>
    </w:p>
    <w:p w14:paraId="3DAEB429" w14:textId="77777777" w:rsidR="005836EB" w:rsidRPr="00673C7D" w:rsidRDefault="005836EB" w:rsidP="00EF792E">
      <w:pPr>
        <w:pStyle w:val="Default"/>
        <w:ind w:left="708"/>
        <w:jc w:val="both"/>
        <w:rPr>
          <w:rFonts w:ascii="Bookman Old Style" w:hAnsi="Bookman Old Style"/>
          <w:sz w:val="18"/>
        </w:rPr>
      </w:pPr>
    </w:p>
    <w:p w14:paraId="72426D25" w14:textId="77777777" w:rsidR="005836EB" w:rsidRDefault="005836EB" w:rsidP="00C44ABF">
      <w:pPr>
        <w:pStyle w:val="Default"/>
        <w:ind w:left="1134"/>
        <w:jc w:val="both"/>
        <w:rPr>
          <w:rFonts w:ascii="Bookman Old Style" w:hAnsi="Bookman Old Style"/>
        </w:rPr>
      </w:pPr>
      <w:r w:rsidRPr="00026F1E">
        <w:rPr>
          <w:rFonts w:ascii="Bookman Old Style" w:hAnsi="Bookman Old Style"/>
        </w:rPr>
        <w:t xml:space="preserve">La construcción de Puntos de Salida sobre un tramo de gasoducto del </w:t>
      </w:r>
      <w:r w:rsidR="0064669C" w:rsidRPr="00026F1E">
        <w:rPr>
          <w:rFonts w:ascii="Bookman Old Style" w:hAnsi="Bookman Old Style"/>
        </w:rPr>
        <w:t xml:space="preserve">Sistema Nacional de Transporte, </w:t>
      </w:r>
      <w:r w:rsidRPr="00026F1E">
        <w:rPr>
          <w:rFonts w:ascii="Bookman Old Style" w:hAnsi="Bookman Old Style"/>
        </w:rPr>
        <w:t>SNT</w:t>
      </w:r>
      <w:r w:rsidR="0064669C" w:rsidRPr="00026F1E">
        <w:rPr>
          <w:rFonts w:ascii="Bookman Old Style" w:hAnsi="Bookman Old Style"/>
        </w:rPr>
        <w:t>,</w:t>
      </w:r>
      <w:r w:rsidRPr="00026F1E">
        <w:rPr>
          <w:rFonts w:ascii="Bookman Old Style" w:hAnsi="Bookman Old Style"/>
        </w:rPr>
        <w:t xml:space="preserve"> es técnicamente factible si cumple con los siguientes requisitos:  </w:t>
      </w:r>
    </w:p>
    <w:p w14:paraId="49B03FDD" w14:textId="77777777" w:rsidR="005C2084" w:rsidRPr="00673C7D" w:rsidRDefault="005C2084" w:rsidP="00C44ABF">
      <w:pPr>
        <w:pStyle w:val="Default"/>
        <w:ind w:left="1134"/>
        <w:jc w:val="both"/>
        <w:rPr>
          <w:rFonts w:ascii="Bookman Old Style" w:hAnsi="Bookman Old Style"/>
          <w:sz w:val="12"/>
        </w:rPr>
      </w:pPr>
    </w:p>
    <w:p w14:paraId="796225FD" w14:textId="77777777" w:rsidR="005836EB" w:rsidRPr="00673C7D" w:rsidRDefault="005836EB" w:rsidP="00C44ABF">
      <w:pPr>
        <w:pStyle w:val="Default"/>
        <w:ind w:left="1134"/>
        <w:jc w:val="both"/>
        <w:rPr>
          <w:rFonts w:ascii="Bookman Old Style" w:hAnsi="Bookman Old Style"/>
          <w:sz w:val="10"/>
        </w:rPr>
      </w:pPr>
    </w:p>
    <w:p w14:paraId="45585D5C" w14:textId="77777777" w:rsidR="005836EB" w:rsidRPr="00026F1E" w:rsidRDefault="005836EB" w:rsidP="00C44ABF">
      <w:pPr>
        <w:pStyle w:val="Default"/>
        <w:numPr>
          <w:ilvl w:val="0"/>
          <w:numId w:val="25"/>
        </w:numPr>
        <w:tabs>
          <w:tab w:val="left" w:pos="1134"/>
        </w:tabs>
        <w:ind w:left="1134" w:firstLine="0"/>
        <w:jc w:val="both"/>
        <w:rPr>
          <w:rFonts w:ascii="Bookman Old Style" w:hAnsi="Bookman Old Style"/>
        </w:rPr>
      </w:pPr>
      <w:r w:rsidRPr="00026F1E">
        <w:rPr>
          <w:rFonts w:ascii="Bookman Old Style" w:hAnsi="Bookman Old Style"/>
        </w:rPr>
        <w:t>Se ajusta a los requerimientos de normas técnicas, ambientales y de seguridad aplicables.</w:t>
      </w:r>
    </w:p>
    <w:p w14:paraId="6A027566" w14:textId="77777777" w:rsidR="005836EB" w:rsidRPr="00026F1E" w:rsidRDefault="005836EB" w:rsidP="00C44ABF">
      <w:pPr>
        <w:pStyle w:val="Default"/>
        <w:tabs>
          <w:tab w:val="left" w:pos="993"/>
        </w:tabs>
        <w:ind w:left="1134"/>
        <w:jc w:val="both"/>
        <w:rPr>
          <w:rFonts w:ascii="Bookman Old Style" w:hAnsi="Bookman Old Style"/>
        </w:rPr>
      </w:pPr>
      <w:r w:rsidRPr="00026F1E">
        <w:rPr>
          <w:rFonts w:ascii="Bookman Old Style" w:hAnsi="Bookman Old Style"/>
        </w:rPr>
        <w:lastRenderedPageBreak/>
        <w:t xml:space="preserve"> </w:t>
      </w:r>
    </w:p>
    <w:p w14:paraId="7B5EC83B" w14:textId="77777777" w:rsidR="005836EB" w:rsidRPr="00026F1E" w:rsidRDefault="005836EB" w:rsidP="00C44ABF">
      <w:pPr>
        <w:pStyle w:val="Default"/>
        <w:numPr>
          <w:ilvl w:val="0"/>
          <w:numId w:val="25"/>
        </w:numPr>
        <w:ind w:left="1134" w:firstLine="0"/>
        <w:jc w:val="both"/>
        <w:rPr>
          <w:rFonts w:ascii="Bookman Old Style" w:hAnsi="Bookman Old Style"/>
        </w:rPr>
      </w:pPr>
      <w:r w:rsidRPr="00026F1E">
        <w:rPr>
          <w:rFonts w:ascii="Bookman Old Style" w:hAnsi="Bookman Old Style"/>
        </w:rPr>
        <w:t xml:space="preserve">Incluye válvula de operación remota compatible con el sistema de comunicaciones del respectivo sistema de transporte, en aquellos casos en los cuales se requiera su instalación de acuerdo con lo establecido en el Anexo 1. </w:t>
      </w:r>
    </w:p>
    <w:p w14:paraId="7E347B23" w14:textId="77777777" w:rsidR="005836EB" w:rsidRPr="00026F1E" w:rsidRDefault="005836EB" w:rsidP="00C44ABF">
      <w:pPr>
        <w:pStyle w:val="Default"/>
        <w:tabs>
          <w:tab w:val="left" w:pos="993"/>
        </w:tabs>
        <w:ind w:left="1134"/>
        <w:jc w:val="both"/>
        <w:rPr>
          <w:rFonts w:ascii="Bookman Old Style" w:hAnsi="Bookman Old Style"/>
        </w:rPr>
      </w:pPr>
    </w:p>
    <w:p w14:paraId="3E64E9B9" w14:textId="638DC5A0" w:rsidR="005836EB" w:rsidRPr="00026F1E" w:rsidRDefault="005836EB" w:rsidP="00BC157A">
      <w:pPr>
        <w:pStyle w:val="Default"/>
        <w:numPr>
          <w:ilvl w:val="0"/>
          <w:numId w:val="25"/>
        </w:numPr>
        <w:tabs>
          <w:tab w:val="left" w:pos="1560"/>
        </w:tabs>
        <w:ind w:left="1134" w:firstLine="0"/>
        <w:jc w:val="both"/>
        <w:rPr>
          <w:rFonts w:ascii="Bookman Old Style" w:hAnsi="Bookman Old Style"/>
        </w:rPr>
      </w:pPr>
      <w:r w:rsidRPr="00026F1E">
        <w:rPr>
          <w:rFonts w:ascii="Bookman Old Style" w:hAnsi="Bookman Old Style"/>
        </w:rPr>
        <w:t>La Capacidad Disponible Primaria es superior o igual a la Capacidad de Transporte Demandada</w:t>
      </w:r>
      <w:r w:rsidR="0064669C" w:rsidRPr="00026F1E">
        <w:rPr>
          <w:rFonts w:ascii="Bookman Old Style" w:hAnsi="Bookman Old Style"/>
        </w:rPr>
        <w:t>,</w:t>
      </w:r>
      <w:r w:rsidR="009638AC" w:rsidRPr="00026F1E">
        <w:rPr>
          <w:rFonts w:ascii="Bookman Old Style" w:hAnsi="Bookman Old Style"/>
        </w:rPr>
        <w:t xml:space="preserve"> </w:t>
      </w:r>
      <w:r w:rsidRPr="00026F1E">
        <w:rPr>
          <w:rFonts w:ascii="Bookman Old Style" w:hAnsi="Bookman Old Style"/>
        </w:rPr>
        <w:t>CTD</w:t>
      </w:r>
      <w:r w:rsidR="0064669C" w:rsidRPr="00026F1E">
        <w:rPr>
          <w:rFonts w:ascii="Bookman Old Style" w:hAnsi="Bookman Old Style"/>
        </w:rPr>
        <w:t xml:space="preserve">, </w:t>
      </w:r>
      <w:r w:rsidRPr="00026F1E">
        <w:rPr>
          <w:rFonts w:ascii="Bookman Old Style" w:hAnsi="Bookman Old Style"/>
        </w:rPr>
        <w:t xml:space="preserve">por el </w:t>
      </w:r>
      <w:r w:rsidR="00450937" w:rsidRPr="00026F1E">
        <w:rPr>
          <w:rFonts w:ascii="Bookman Old Style" w:hAnsi="Bookman Old Style"/>
        </w:rPr>
        <w:t>R</w:t>
      </w:r>
      <w:r w:rsidRPr="00026F1E">
        <w:rPr>
          <w:rFonts w:ascii="Bookman Old Style" w:hAnsi="Bookman Old Style"/>
        </w:rPr>
        <w:t xml:space="preserve">emitente potencial. </w:t>
      </w:r>
    </w:p>
    <w:p w14:paraId="4067295C" w14:textId="77777777" w:rsidR="005836EB" w:rsidRPr="00026F1E" w:rsidRDefault="005836EB" w:rsidP="00C44ABF">
      <w:pPr>
        <w:pStyle w:val="Default"/>
        <w:ind w:left="1134"/>
        <w:jc w:val="both"/>
        <w:rPr>
          <w:rFonts w:ascii="Bookman Old Style" w:hAnsi="Bookman Old Style"/>
        </w:rPr>
      </w:pPr>
      <w:r w:rsidRPr="00026F1E">
        <w:rPr>
          <w:rFonts w:ascii="Bookman Old Style" w:hAnsi="Bookman Old Style"/>
        </w:rPr>
        <w:t xml:space="preserve"> </w:t>
      </w:r>
    </w:p>
    <w:p w14:paraId="50AA8F61" w14:textId="77777777" w:rsidR="005836EB" w:rsidRPr="00026F1E" w:rsidRDefault="005836EB" w:rsidP="00C44ABF">
      <w:pPr>
        <w:pStyle w:val="Default"/>
        <w:ind w:left="1134"/>
        <w:jc w:val="both"/>
        <w:rPr>
          <w:rFonts w:ascii="Bookman Old Style" w:hAnsi="Bookman Old Style"/>
        </w:rPr>
      </w:pPr>
      <w:r w:rsidRPr="00026F1E">
        <w:rPr>
          <w:rFonts w:ascii="Bookman Old Style" w:hAnsi="Bookman Old Style"/>
        </w:rPr>
        <w:t xml:space="preserve">Si la capacidad CTD es mayor que la Capacidad Disponible Primaria, el nuevo Punto de Salida se podrá construir cuando se amplíe la capacidad máxima de tal manera que exista Capacidad Disponible Primaria suficiente para atender la solicitud. Para la ampliación de la capacidad máxima del sistema se puede seguir el procedimiento del numeral 2.2 de este Reglamento. </w:t>
      </w:r>
    </w:p>
    <w:p w14:paraId="3A4B57BA" w14:textId="77777777" w:rsidR="005836EB" w:rsidRPr="00026F1E" w:rsidRDefault="005836EB" w:rsidP="00C44ABF">
      <w:pPr>
        <w:pStyle w:val="Default"/>
        <w:ind w:left="1134"/>
        <w:jc w:val="both"/>
        <w:rPr>
          <w:rFonts w:ascii="Bookman Old Style" w:hAnsi="Bookman Old Style"/>
        </w:rPr>
      </w:pPr>
    </w:p>
    <w:p w14:paraId="77714C17" w14:textId="50E36F74" w:rsidR="005836EB" w:rsidRPr="00026F1E" w:rsidRDefault="005836EB" w:rsidP="00C44ABF">
      <w:pPr>
        <w:pStyle w:val="Default"/>
        <w:ind w:left="1134"/>
        <w:jc w:val="both"/>
        <w:rPr>
          <w:rFonts w:ascii="Bookman Old Style" w:hAnsi="Bookman Old Style"/>
        </w:rPr>
      </w:pPr>
      <w:r w:rsidRPr="00026F1E">
        <w:rPr>
          <w:rFonts w:ascii="Bookman Old Style" w:hAnsi="Bookman Old Style"/>
        </w:rPr>
        <w:t xml:space="preserve">Para obtener la capacidad máxima del tramo el </w:t>
      </w:r>
      <w:r w:rsidR="005B47E8" w:rsidRPr="00026F1E">
        <w:rPr>
          <w:rFonts w:ascii="Bookman Old Style" w:hAnsi="Bookman Old Style"/>
        </w:rPr>
        <w:t>T</w:t>
      </w:r>
      <w:r w:rsidRPr="00026F1E">
        <w:rPr>
          <w:rFonts w:ascii="Bookman Old Style" w:hAnsi="Bookman Old Style"/>
        </w:rPr>
        <w:t>ransportador debe calcular la Capacidad Máxima de Mediano Plazo del respectivo sistema, CMMP, utilizada para efectos del cálculo de cargos regulados de transporte. El cálculo se debe hacer con base en el procedimiento adoptado por la CREG en la metodología vigente de remuneración de la actividad de transporte de gas natural.</w:t>
      </w:r>
    </w:p>
    <w:p w14:paraId="5081002C" w14:textId="77777777" w:rsidR="005836EB" w:rsidRPr="00026F1E" w:rsidRDefault="005836EB" w:rsidP="00C44ABF">
      <w:pPr>
        <w:pStyle w:val="Default"/>
        <w:ind w:left="1134"/>
        <w:jc w:val="both"/>
        <w:rPr>
          <w:rFonts w:ascii="Bookman Old Style" w:hAnsi="Bookman Old Style"/>
        </w:rPr>
      </w:pPr>
      <w:r w:rsidRPr="00026F1E">
        <w:rPr>
          <w:rFonts w:ascii="Bookman Old Style" w:hAnsi="Bookman Old Style"/>
        </w:rPr>
        <w:t xml:space="preserve"> </w:t>
      </w:r>
    </w:p>
    <w:p w14:paraId="7FF06E86" w14:textId="77777777" w:rsidR="005836EB" w:rsidRPr="00026F1E" w:rsidRDefault="005836EB" w:rsidP="00C44ABF">
      <w:pPr>
        <w:pStyle w:val="Default"/>
        <w:numPr>
          <w:ilvl w:val="0"/>
          <w:numId w:val="25"/>
        </w:numPr>
        <w:tabs>
          <w:tab w:val="left" w:pos="993"/>
        </w:tabs>
        <w:ind w:left="1134" w:firstLine="0"/>
        <w:jc w:val="both"/>
        <w:rPr>
          <w:rFonts w:ascii="Bookman Old Style" w:hAnsi="Bookman Old Style"/>
        </w:rPr>
      </w:pPr>
      <w:r w:rsidRPr="00026F1E">
        <w:rPr>
          <w:rFonts w:ascii="Bookman Old Style" w:hAnsi="Bookman Old Style"/>
          <w:smallCaps/>
        </w:rPr>
        <w:t>L</w:t>
      </w:r>
      <w:r w:rsidRPr="00026F1E">
        <w:rPr>
          <w:rFonts w:ascii="Bookman Old Style" w:hAnsi="Bookman Old Style"/>
        </w:rPr>
        <w:t>a demanda del Remitente Potencial no pueda ser atendida por el distribuidor que le presta o le puede prestar el servicio, como consecuencia de condiciones técnicas o de seguridad, de acuerdo con la regulación desarrollada al respecto en resolución independiente.</w:t>
      </w:r>
    </w:p>
    <w:p w14:paraId="45CD0304" w14:textId="77777777" w:rsidR="005836EB" w:rsidRPr="00026F1E" w:rsidRDefault="005836EB" w:rsidP="00C44ABF">
      <w:pPr>
        <w:pStyle w:val="Default"/>
        <w:ind w:left="1134"/>
        <w:jc w:val="both"/>
        <w:rPr>
          <w:rFonts w:ascii="Bookman Old Style" w:hAnsi="Bookman Old Style"/>
        </w:rPr>
      </w:pPr>
    </w:p>
    <w:p w14:paraId="64F97F80" w14:textId="59BCA4AA" w:rsidR="005836EB" w:rsidRPr="00026F1E" w:rsidRDefault="005836EB" w:rsidP="009638AC">
      <w:pPr>
        <w:pStyle w:val="Default"/>
        <w:numPr>
          <w:ilvl w:val="0"/>
          <w:numId w:val="25"/>
        </w:numPr>
        <w:tabs>
          <w:tab w:val="left" w:pos="993"/>
        </w:tabs>
        <w:ind w:left="1134" w:firstLine="0"/>
        <w:jc w:val="both"/>
        <w:rPr>
          <w:rFonts w:ascii="Bookman Old Style" w:hAnsi="Bookman Old Style"/>
        </w:rPr>
      </w:pPr>
      <w:r w:rsidRPr="00026F1E">
        <w:rPr>
          <w:rFonts w:ascii="Bookman Old Style" w:hAnsi="Bookman Old Style"/>
        </w:rPr>
        <w:t xml:space="preserve">Si el Remitente Potencial es un usuario que hace parte de la Demanda Esencial, </w:t>
      </w:r>
      <w:r w:rsidR="00FC35F8">
        <w:rPr>
          <w:rFonts w:ascii="Bookman Old Style" w:hAnsi="Bookman Old Style"/>
        </w:rPr>
        <w:t xml:space="preserve">definida según lo previsto en el </w:t>
      </w:r>
      <w:r w:rsidRPr="00026F1E">
        <w:rPr>
          <w:rFonts w:ascii="Bookman Old Style" w:hAnsi="Bookman Old Style"/>
        </w:rPr>
        <w:t xml:space="preserve">Decreto </w:t>
      </w:r>
      <w:r w:rsidR="0025297C" w:rsidRPr="00026F1E">
        <w:rPr>
          <w:rFonts w:ascii="Bookman Old Style" w:hAnsi="Bookman Old Style"/>
        </w:rPr>
        <w:t>2345 de 2015</w:t>
      </w:r>
      <w:r w:rsidRPr="00026F1E">
        <w:rPr>
          <w:rFonts w:ascii="Bookman Old Style" w:hAnsi="Bookman Old Style"/>
        </w:rPr>
        <w:t xml:space="preserve">, además de solicitar el acceso deberá suscribir un contrato de transporte en firme. </w:t>
      </w:r>
    </w:p>
    <w:p w14:paraId="529D438A" w14:textId="77777777" w:rsidR="005836EB" w:rsidRPr="00026F1E" w:rsidRDefault="005836EB" w:rsidP="00C44ABF">
      <w:pPr>
        <w:pStyle w:val="Default"/>
        <w:ind w:left="1134"/>
        <w:jc w:val="both"/>
        <w:rPr>
          <w:rFonts w:ascii="Bookman Old Style" w:hAnsi="Bookman Old Style"/>
        </w:rPr>
      </w:pPr>
      <w:r w:rsidRPr="00026F1E">
        <w:rPr>
          <w:rFonts w:ascii="Bookman Old Style" w:hAnsi="Bookman Old Style"/>
        </w:rPr>
        <w:t xml:space="preserve"> </w:t>
      </w:r>
    </w:p>
    <w:p w14:paraId="7634F081" w14:textId="77777777" w:rsidR="005836EB" w:rsidRPr="00026F1E" w:rsidRDefault="005836EB" w:rsidP="00C44ABF">
      <w:pPr>
        <w:pStyle w:val="Default"/>
        <w:tabs>
          <w:tab w:val="left" w:pos="851"/>
        </w:tabs>
        <w:ind w:left="1134"/>
        <w:jc w:val="both"/>
        <w:rPr>
          <w:rFonts w:ascii="Bookman Old Style" w:hAnsi="Bookman Old Style"/>
        </w:rPr>
      </w:pPr>
      <w:r w:rsidRPr="00026F1E">
        <w:rPr>
          <w:rFonts w:ascii="Bookman Old Style" w:hAnsi="Bookman Old Style"/>
        </w:rPr>
        <w:t xml:space="preserve">La construcción de Puntos de Entrada sobre un tramo de gasoducto del SNT es técnicamente factible si: </w:t>
      </w:r>
    </w:p>
    <w:p w14:paraId="67FB69DD" w14:textId="77777777" w:rsidR="005836EB" w:rsidRPr="00026F1E" w:rsidRDefault="005836EB" w:rsidP="00C44ABF">
      <w:pPr>
        <w:pStyle w:val="Default"/>
        <w:tabs>
          <w:tab w:val="left" w:pos="851"/>
        </w:tabs>
        <w:ind w:left="1134"/>
        <w:jc w:val="both"/>
        <w:rPr>
          <w:rFonts w:ascii="Bookman Old Style" w:hAnsi="Bookman Old Style"/>
        </w:rPr>
      </w:pPr>
    </w:p>
    <w:p w14:paraId="33193DCB" w14:textId="77777777" w:rsidR="005836EB" w:rsidRPr="00026F1E" w:rsidRDefault="005836EB" w:rsidP="00C44ABF">
      <w:pPr>
        <w:pStyle w:val="Default"/>
        <w:numPr>
          <w:ilvl w:val="0"/>
          <w:numId w:val="26"/>
        </w:numPr>
        <w:tabs>
          <w:tab w:val="left" w:pos="993"/>
          <w:tab w:val="left" w:pos="1134"/>
        </w:tabs>
        <w:ind w:left="1134" w:firstLine="0"/>
        <w:jc w:val="both"/>
        <w:rPr>
          <w:rFonts w:ascii="Bookman Old Style" w:hAnsi="Bookman Old Style"/>
        </w:rPr>
      </w:pPr>
      <w:r w:rsidRPr="00026F1E">
        <w:rPr>
          <w:rFonts w:ascii="Bookman Old Style" w:hAnsi="Bookman Old Style"/>
        </w:rPr>
        <w:t xml:space="preserve">Se ajusta a los requerimientos de normas técnicas, ambientales y de seguridad aplicables e; </w:t>
      </w:r>
    </w:p>
    <w:p w14:paraId="6A646DE9" w14:textId="77777777" w:rsidR="005836EB" w:rsidRPr="00026F1E" w:rsidRDefault="005836EB" w:rsidP="00C44ABF">
      <w:pPr>
        <w:pStyle w:val="Default"/>
        <w:numPr>
          <w:ilvl w:val="0"/>
          <w:numId w:val="26"/>
        </w:numPr>
        <w:tabs>
          <w:tab w:val="left" w:pos="993"/>
        </w:tabs>
        <w:ind w:left="1134" w:firstLine="0"/>
        <w:jc w:val="both"/>
        <w:rPr>
          <w:rFonts w:ascii="Bookman Old Style" w:hAnsi="Bookman Old Style"/>
        </w:rPr>
      </w:pPr>
      <w:r w:rsidRPr="00026F1E">
        <w:rPr>
          <w:rFonts w:ascii="Bookman Old Style" w:hAnsi="Bookman Old Style"/>
        </w:rPr>
        <w:t xml:space="preserve">Incluye válvula de operación remota compatible con el sistema de comunicaciones del respectivo sistema de transporte, en aquellos casos en los cuales se requiera su instalación de acuerdo con lo establecido en el Anexo 1 de la presente resolución. </w:t>
      </w:r>
    </w:p>
    <w:p w14:paraId="29D96354" w14:textId="77777777" w:rsidR="005836EB" w:rsidRPr="00026F1E" w:rsidRDefault="005836EB" w:rsidP="00EF792E">
      <w:pPr>
        <w:pStyle w:val="Default"/>
        <w:ind w:left="708"/>
        <w:rPr>
          <w:rFonts w:ascii="Bookman Old Style" w:hAnsi="Bookman Old Style"/>
        </w:rPr>
      </w:pPr>
    </w:p>
    <w:p w14:paraId="13C465A2" w14:textId="2AD008D0" w:rsidR="005836EB" w:rsidRPr="00026F1E" w:rsidRDefault="005836EB" w:rsidP="00256671">
      <w:pPr>
        <w:pStyle w:val="Default"/>
        <w:numPr>
          <w:ilvl w:val="0"/>
          <w:numId w:val="24"/>
        </w:numPr>
        <w:jc w:val="both"/>
        <w:rPr>
          <w:rFonts w:ascii="Bookman Old Style" w:hAnsi="Bookman Old Style"/>
        </w:rPr>
      </w:pPr>
      <w:r w:rsidRPr="00026F1E">
        <w:rPr>
          <w:rFonts w:ascii="Bookman Old Style" w:hAnsi="Bookman Old Style"/>
        </w:rPr>
        <w:t xml:space="preserve">Los perjuicios ocasionados por intervenciones en los Puntos de Entrada y Salida, que configuren falla en la prestación del servicio serán responsabilidad de los </w:t>
      </w:r>
      <w:r w:rsidR="005B47E8" w:rsidRPr="00026F1E">
        <w:rPr>
          <w:rFonts w:ascii="Bookman Old Style" w:hAnsi="Bookman Old Style"/>
        </w:rPr>
        <w:t>T</w:t>
      </w:r>
      <w:r w:rsidRPr="00026F1E">
        <w:rPr>
          <w:rFonts w:ascii="Bookman Old Style" w:hAnsi="Bookman Old Style"/>
        </w:rPr>
        <w:t xml:space="preserve">ransportadores, sin perjuicio de la obligación de dar aviso amplio y oportuno a los </w:t>
      </w:r>
      <w:r w:rsidR="00627FB4" w:rsidRPr="00026F1E">
        <w:rPr>
          <w:rFonts w:ascii="Bookman Old Style" w:hAnsi="Bookman Old Style"/>
        </w:rPr>
        <w:t xml:space="preserve">agentes </w:t>
      </w:r>
      <w:r w:rsidRPr="00026F1E">
        <w:rPr>
          <w:rFonts w:ascii="Bookman Old Style" w:hAnsi="Bookman Old Style"/>
        </w:rPr>
        <w:t xml:space="preserve">involucrados. </w:t>
      </w:r>
    </w:p>
    <w:p w14:paraId="707BC2B4" w14:textId="77777777" w:rsidR="00C44ABF" w:rsidRPr="00026F1E" w:rsidRDefault="00C44ABF" w:rsidP="00256671">
      <w:pPr>
        <w:pStyle w:val="Default"/>
        <w:ind w:left="720"/>
        <w:jc w:val="both"/>
        <w:rPr>
          <w:rFonts w:ascii="Bookman Old Style" w:hAnsi="Bookman Old Style"/>
        </w:rPr>
      </w:pPr>
    </w:p>
    <w:p w14:paraId="56E95ED6" w14:textId="09EEE503" w:rsidR="005836EB" w:rsidRPr="00026F1E" w:rsidRDefault="005836EB" w:rsidP="00C44ABF">
      <w:pPr>
        <w:pStyle w:val="Default"/>
        <w:numPr>
          <w:ilvl w:val="0"/>
          <w:numId w:val="24"/>
        </w:numPr>
        <w:ind w:left="709" w:hanging="283"/>
        <w:jc w:val="both"/>
        <w:rPr>
          <w:rFonts w:ascii="Bookman Old Style" w:hAnsi="Bookman Old Style"/>
        </w:rPr>
      </w:pPr>
      <w:r w:rsidRPr="00026F1E">
        <w:rPr>
          <w:rFonts w:ascii="Bookman Old Style" w:hAnsi="Bookman Old Style"/>
        </w:rPr>
        <w:t xml:space="preserve">El Remitente Potencial deberá pagar al </w:t>
      </w:r>
      <w:r w:rsidR="005B47E8" w:rsidRPr="00026F1E">
        <w:rPr>
          <w:rFonts w:ascii="Bookman Old Style" w:hAnsi="Bookman Old Style"/>
        </w:rPr>
        <w:t>T</w:t>
      </w:r>
      <w:r w:rsidRPr="00026F1E">
        <w:rPr>
          <w:rFonts w:ascii="Bookman Old Style" w:hAnsi="Bookman Old Style"/>
        </w:rPr>
        <w:t xml:space="preserve">ransportador los costos eficientes por la construcción, operación y mantenimiento de los Puntos de Entrada </w:t>
      </w:r>
      <w:r w:rsidRPr="00026F1E">
        <w:rPr>
          <w:rFonts w:ascii="Bookman Old Style" w:hAnsi="Bookman Old Style"/>
        </w:rPr>
        <w:lastRenderedPageBreak/>
        <w:t xml:space="preserve">y Salida, y como máximo los valores calculados de conformidad con el Anexo 1 de la presente resolución. </w:t>
      </w:r>
    </w:p>
    <w:p w14:paraId="51E823DD" w14:textId="77777777" w:rsidR="005836EB" w:rsidRPr="00026F1E" w:rsidRDefault="005836EB" w:rsidP="00EF792E">
      <w:pPr>
        <w:pStyle w:val="Default"/>
        <w:ind w:left="708"/>
        <w:rPr>
          <w:rFonts w:ascii="Bookman Old Style" w:hAnsi="Bookman Old Style"/>
        </w:rPr>
      </w:pPr>
      <w:r w:rsidRPr="00026F1E">
        <w:rPr>
          <w:rFonts w:ascii="Bookman Old Style" w:hAnsi="Bookman Old Style"/>
        </w:rPr>
        <w:t xml:space="preserve"> </w:t>
      </w:r>
    </w:p>
    <w:p w14:paraId="51B4B33F" w14:textId="77777777" w:rsidR="005836EB" w:rsidRPr="00026F1E" w:rsidRDefault="005836EB" w:rsidP="00EF792E">
      <w:pPr>
        <w:pStyle w:val="Default"/>
        <w:ind w:left="708"/>
        <w:rPr>
          <w:rFonts w:ascii="Bookman Old Style" w:hAnsi="Bookman Old Style"/>
        </w:rPr>
      </w:pPr>
      <w:r w:rsidRPr="00026F1E">
        <w:rPr>
          <w:rFonts w:ascii="Bookman Old Style" w:hAnsi="Bookman Old Style"/>
        </w:rPr>
        <w:t xml:space="preserve">Con respecto a la Conexión: </w:t>
      </w:r>
    </w:p>
    <w:p w14:paraId="1C4D4930" w14:textId="77777777" w:rsidR="005836EB" w:rsidRPr="00026F1E" w:rsidRDefault="005836EB" w:rsidP="00EF792E">
      <w:pPr>
        <w:pStyle w:val="Default"/>
        <w:ind w:left="708"/>
        <w:rPr>
          <w:rFonts w:ascii="Bookman Old Style" w:hAnsi="Bookman Old Style"/>
        </w:rPr>
      </w:pPr>
    </w:p>
    <w:p w14:paraId="5BFD6CFC" w14:textId="77777777"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El Remitente Potencial será el responsable por la construcción de la Conexión. Cuando la Conexión para un Usuario No Regulado esté construida sobre espacios públicos, el Transportador será el responsable y encargado de la operación y el mantenimiento de la misma. </w:t>
      </w:r>
    </w:p>
    <w:p w14:paraId="244AE261" w14:textId="77777777"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El Remitente Potencial será responsable por la adquisición de los terrenos, y derechos, así como por la obtención de las respectivas licencias y permisos requeridos para la construcción y operación de la Conexión. </w:t>
      </w:r>
    </w:p>
    <w:p w14:paraId="67DB6D1E" w14:textId="77777777"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El Remitente Potencial será responsable de la operación y mantenimiento de la Conexión, y deberá presentar al Transportador un Programa anual de Mantenimiento. Se exceptúa esta condición cuando el Remitente Potencial sea un Distribuidor.</w:t>
      </w:r>
    </w:p>
    <w:p w14:paraId="67F5F57B" w14:textId="77777777"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Los perjuicios ocasionados por reparaciones técnicas o mantenimientos periódicos de la Conexión serán responsabilidad del Remitente Potencial o del Transportador en los casos en que éste sea el operador de la Conexión, sin perjuicio de la obligación de dar aviso amplio y oportuno a los Agentes involucrados. </w:t>
      </w:r>
    </w:p>
    <w:p w14:paraId="61D76ADD" w14:textId="4EF49E40"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El </w:t>
      </w:r>
      <w:r w:rsidR="005B47E8" w:rsidRPr="00026F1E">
        <w:rPr>
          <w:rFonts w:ascii="Bookman Old Style" w:hAnsi="Bookman Old Style"/>
        </w:rPr>
        <w:t>T</w:t>
      </w:r>
      <w:r w:rsidRPr="00026F1E">
        <w:rPr>
          <w:rFonts w:ascii="Bookman Old Style" w:hAnsi="Bookman Old Style"/>
        </w:rPr>
        <w:t xml:space="preserve">ransportador no estará obligado a proporcionar el Servicio de Transporte hasta tanto las </w:t>
      </w:r>
      <w:r w:rsidR="00075AAE">
        <w:rPr>
          <w:rFonts w:ascii="Bookman Old Style" w:hAnsi="Bookman Old Style"/>
        </w:rPr>
        <w:t>i</w:t>
      </w:r>
      <w:r w:rsidRPr="00026F1E">
        <w:rPr>
          <w:rFonts w:ascii="Bookman Old Style" w:hAnsi="Bookman Old Style"/>
        </w:rPr>
        <w:t>nstalaciones del Remitente Potencial cumplan con los requerimientos de las normas técnicas y de seguridad vigentes del RUT y hasta tanto se hayan instalado, calibrado, verificado e inspeccionado satisfactoriamente los sistemas de medición para transferencia de custodia  respectivos, o se haya definido por las partes una metodología de medición de conformidad con lo establecido para Puntos de Entrada y de Salida en los numerales 5.1 a 5.5 la presente Reso</w:t>
      </w:r>
      <w:r w:rsidR="00A703B1">
        <w:rPr>
          <w:rFonts w:ascii="Bookman Old Style" w:hAnsi="Bookman Old Style"/>
        </w:rPr>
        <w:t>lución, o aquellas normas que la modifiquen,</w:t>
      </w:r>
      <w:r w:rsidRPr="00026F1E">
        <w:rPr>
          <w:rFonts w:ascii="Bookman Old Style" w:hAnsi="Bookman Old Style"/>
        </w:rPr>
        <w:t xml:space="preserve"> adicionen</w:t>
      </w:r>
      <w:r w:rsidR="00A703B1">
        <w:rPr>
          <w:rFonts w:ascii="Bookman Old Style" w:hAnsi="Bookman Old Style"/>
        </w:rPr>
        <w:t xml:space="preserve"> o sustituyan</w:t>
      </w:r>
      <w:r w:rsidRPr="00026F1E">
        <w:rPr>
          <w:rFonts w:ascii="Bookman Old Style" w:hAnsi="Bookman Old Style"/>
        </w:rPr>
        <w:t xml:space="preserve">. </w:t>
      </w:r>
    </w:p>
    <w:p w14:paraId="202B91CE" w14:textId="3FD23FE7"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En el caso de que la Conexión sea construida por un tercero distinto al Transportador, para efectos de verificar el cumplimiento de las especificaciones de calidad y seguridad existirán las siguientes alternativas: i) que el </w:t>
      </w:r>
      <w:r w:rsidR="005B47E8" w:rsidRPr="00026F1E">
        <w:rPr>
          <w:rFonts w:ascii="Bookman Old Style" w:hAnsi="Bookman Old Style"/>
        </w:rPr>
        <w:t>T</w:t>
      </w:r>
      <w:r w:rsidRPr="00026F1E">
        <w:rPr>
          <w:rFonts w:ascii="Bookman Old Style" w:hAnsi="Bookman Old Style"/>
        </w:rPr>
        <w:t xml:space="preserve">ransportador adelante la interventoría a costa del propietario; o ii) que el </w:t>
      </w:r>
      <w:r w:rsidR="00450937" w:rsidRPr="00026F1E">
        <w:rPr>
          <w:rFonts w:ascii="Bookman Old Style" w:hAnsi="Bookman Old Style"/>
        </w:rPr>
        <w:t>R</w:t>
      </w:r>
      <w:r w:rsidRPr="00026F1E">
        <w:rPr>
          <w:rFonts w:ascii="Bookman Old Style" w:hAnsi="Bookman Old Style"/>
        </w:rPr>
        <w:t xml:space="preserve">emitente contrate una entidad Certificadora debidamente acreditada por la autoridad competente. </w:t>
      </w:r>
    </w:p>
    <w:p w14:paraId="4285466E" w14:textId="5C2A1BD6" w:rsidR="005836EB" w:rsidRPr="00026F1E" w:rsidRDefault="005836EB" w:rsidP="00256671">
      <w:pPr>
        <w:pStyle w:val="Default"/>
        <w:numPr>
          <w:ilvl w:val="0"/>
          <w:numId w:val="54"/>
        </w:numPr>
        <w:jc w:val="both"/>
        <w:rPr>
          <w:rFonts w:ascii="Bookman Old Style" w:hAnsi="Bookman Old Style"/>
        </w:rPr>
      </w:pPr>
      <w:r w:rsidRPr="00026F1E">
        <w:rPr>
          <w:rFonts w:ascii="Bookman Old Style" w:hAnsi="Bookman Old Style"/>
        </w:rPr>
        <w:t xml:space="preserve">El Remitente Potencial está obligado a realizar el mantenimiento de la Conexión y las labores de coordinación con el Plan de Contingencias del </w:t>
      </w:r>
      <w:r w:rsidR="005B47E8" w:rsidRPr="00026F1E">
        <w:rPr>
          <w:rFonts w:ascii="Bookman Old Style" w:hAnsi="Bookman Old Style"/>
        </w:rPr>
        <w:t>T</w:t>
      </w:r>
      <w:r w:rsidRPr="00026F1E">
        <w:rPr>
          <w:rFonts w:ascii="Bookman Old Style" w:hAnsi="Bookman Old Style"/>
        </w:rPr>
        <w:t xml:space="preserve">ransportador. Para lo anterior podrá contratar al </w:t>
      </w:r>
      <w:r w:rsidR="005B47E8" w:rsidRPr="00026F1E">
        <w:rPr>
          <w:rFonts w:ascii="Bookman Old Style" w:hAnsi="Bookman Old Style"/>
        </w:rPr>
        <w:t>T</w:t>
      </w:r>
      <w:r w:rsidRPr="00026F1E">
        <w:rPr>
          <w:rFonts w:ascii="Bookman Old Style" w:hAnsi="Bookman Old Style"/>
        </w:rPr>
        <w:t xml:space="preserve">ransportador o un tercero especializado en estas labores dando cumplimiento a las normas de las autoridades respectivas con respecto a la atención de emergencias y desastres. </w:t>
      </w:r>
    </w:p>
    <w:p w14:paraId="0DEBC574" w14:textId="77777777" w:rsidR="005836EB" w:rsidRPr="00026F1E" w:rsidRDefault="005836EB" w:rsidP="00256671">
      <w:pPr>
        <w:pStyle w:val="Default"/>
        <w:numPr>
          <w:ilvl w:val="0"/>
          <w:numId w:val="54"/>
        </w:numPr>
        <w:ind w:left="1418" w:hanging="425"/>
        <w:jc w:val="both"/>
        <w:rPr>
          <w:rFonts w:ascii="Bookman Old Style" w:hAnsi="Bookman Old Style"/>
        </w:rPr>
      </w:pPr>
      <w:r w:rsidRPr="00026F1E">
        <w:rPr>
          <w:rFonts w:ascii="Bookman Old Style" w:hAnsi="Bookman Old Style"/>
        </w:rPr>
        <w:t xml:space="preserve">El propietario deberá suministrar un sistema de medición para transferencia de custodia que sea compatible con los sistemas de telemetría del Transportador. </w:t>
      </w:r>
    </w:p>
    <w:p w14:paraId="29029E4D" w14:textId="77777777" w:rsidR="005836EB" w:rsidRPr="00026F1E" w:rsidRDefault="005836EB" w:rsidP="00EF792E">
      <w:pPr>
        <w:pStyle w:val="Default"/>
        <w:ind w:left="708"/>
        <w:rPr>
          <w:rFonts w:ascii="Bookman Old Style" w:hAnsi="Bookman Old Style"/>
        </w:rPr>
      </w:pPr>
      <w:r w:rsidRPr="00026F1E">
        <w:rPr>
          <w:rFonts w:ascii="Bookman Old Style" w:hAnsi="Bookman Old Style"/>
        </w:rPr>
        <w:t xml:space="preserve"> </w:t>
      </w:r>
    </w:p>
    <w:p w14:paraId="647FBB6C" w14:textId="3ED8E8DB"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Los activos de los Puntos de Entrada y Salida no serán incluidos en la base de activos para definir los cargos regulados para remunerar la actividad </w:t>
      </w:r>
      <w:r w:rsidRPr="00026F1E">
        <w:rPr>
          <w:rFonts w:ascii="Bookman Old Style" w:hAnsi="Bookman Old Style"/>
        </w:rPr>
        <w:lastRenderedPageBreak/>
        <w:t>de transporte, con excepción de aquellos que hayan sido incluidos por la CREG en la Base de Activos a la fech</w:t>
      </w:r>
      <w:r w:rsidR="00A703B1">
        <w:rPr>
          <w:rFonts w:ascii="Bookman Old Style" w:hAnsi="Bookman Old Style"/>
        </w:rPr>
        <w:t>a de expedición de la presente r</w:t>
      </w:r>
      <w:r w:rsidRPr="00026F1E">
        <w:rPr>
          <w:rFonts w:ascii="Bookman Old Style" w:hAnsi="Bookman Old Style"/>
        </w:rPr>
        <w:t xml:space="preserve">esolución. </w:t>
      </w:r>
    </w:p>
    <w:p w14:paraId="13461B11" w14:textId="77777777" w:rsidR="005836EB" w:rsidRPr="00026F1E" w:rsidRDefault="005836EB" w:rsidP="00EF792E">
      <w:pPr>
        <w:pStyle w:val="Default"/>
        <w:ind w:left="708"/>
        <w:rPr>
          <w:rFonts w:ascii="Bookman Old Style" w:hAnsi="Bookman Old Style"/>
        </w:rPr>
      </w:pPr>
      <w:r w:rsidRPr="00026F1E">
        <w:rPr>
          <w:rFonts w:ascii="Bookman Old Style" w:hAnsi="Bookman Old Style"/>
        </w:rPr>
        <w:t xml:space="preserve"> </w:t>
      </w:r>
    </w:p>
    <w:p w14:paraId="0389262F" w14:textId="77777777" w:rsidR="005836EB" w:rsidRPr="00026F1E" w:rsidRDefault="005836EB" w:rsidP="00EF792E">
      <w:pPr>
        <w:pStyle w:val="Default"/>
        <w:ind w:left="708"/>
        <w:jc w:val="both"/>
        <w:rPr>
          <w:rFonts w:ascii="Bookman Old Style" w:hAnsi="Bookman Old Style"/>
          <w:b/>
          <w:bCs/>
        </w:rPr>
      </w:pPr>
      <w:r w:rsidRPr="00026F1E">
        <w:rPr>
          <w:rFonts w:ascii="Bookman Old Style" w:hAnsi="Bookman Old Style"/>
          <w:b/>
          <w:bCs/>
        </w:rPr>
        <w:t>3.2 SOLICITUD DE COTIZACIÓN DE PUNTOS DE ENTRADA Y PUNTOS DE SALIDA</w:t>
      </w:r>
    </w:p>
    <w:p w14:paraId="3F8A85BB" w14:textId="77777777" w:rsidR="005836EB" w:rsidRPr="00026F1E" w:rsidRDefault="005836EB" w:rsidP="00EF792E">
      <w:pPr>
        <w:pStyle w:val="Default"/>
        <w:ind w:left="708"/>
        <w:jc w:val="both"/>
        <w:rPr>
          <w:rFonts w:ascii="Bookman Old Style" w:hAnsi="Bookman Old Style"/>
        </w:rPr>
      </w:pPr>
    </w:p>
    <w:p w14:paraId="40393AAA"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El procedimiento aplicable para solicitar el acceso físico a los gasoductos del Sistema Nacional de Transporte, será el siguiente: </w:t>
      </w:r>
    </w:p>
    <w:p w14:paraId="6E8C5C87"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 </w:t>
      </w:r>
    </w:p>
    <w:p w14:paraId="19C69FE8" w14:textId="567AD627" w:rsidR="005836EB" w:rsidRPr="00026F1E" w:rsidRDefault="005836EB" w:rsidP="00EF792E">
      <w:pPr>
        <w:pStyle w:val="Default"/>
        <w:numPr>
          <w:ilvl w:val="0"/>
          <w:numId w:val="28"/>
        </w:numPr>
        <w:spacing w:after="193"/>
        <w:ind w:left="1275" w:hanging="567"/>
        <w:jc w:val="both"/>
        <w:rPr>
          <w:rFonts w:ascii="Bookman Old Style" w:hAnsi="Bookman Old Style"/>
        </w:rPr>
      </w:pPr>
      <w:r w:rsidRPr="00026F1E">
        <w:rPr>
          <w:rFonts w:ascii="Bookman Old Style" w:hAnsi="Bookman Old Style"/>
        </w:rPr>
        <w:t xml:space="preserve">El Remitente Potencial presentará al </w:t>
      </w:r>
      <w:r w:rsidR="005B47E8" w:rsidRPr="00026F1E">
        <w:rPr>
          <w:rFonts w:ascii="Bookman Old Style" w:hAnsi="Bookman Old Style"/>
        </w:rPr>
        <w:t>T</w:t>
      </w:r>
      <w:r w:rsidRPr="00026F1E">
        <w:rPr>
          <w:rFonts w:ascii="Bookman Old Style" w:hAnsi="Bookman Old Style"/>
        </w:rPr>
        <w:t>ransportador la solicitud de acceso y la cotización del Punto de Entrada o de Salida la cual deberá contener como mínimo lo siguiente:</w:t>
      </w:r>
    </w:p>
    <w:p w14:paraId="73F13A4E" w14:textId="77777777" w:rsidR="005836EB" w:rsidRPr="00026F1E" w:rsidRDefault="005836EB" w:rsidP="005E1800">
      <w:pPr>
        <w:pStyle w:val="Default"/>
        <w:numPr>
          <w:ilvl w:val="0"/>
          <w:numId w:val="29"/>
        </w:numPr>
        <w:tabs>
          <w:tab w:val="left" w:pos="993"/>
        </w:tabs>
        <w:spacing w:after="193"/>
        <w:ind w:left="1276" w:hanging="152"/>
        <w:jc w:val="both"/>
        <w:rPr>
          <w:rFonts w:ascii="Bookman Old Style" w:hAnsi="Bookman Old Style"/>
        </w:rPr>
      </w:pPr>
      <w:r w:rsidRPr="00026F1E">
        <w:rPr>
          <w:rFonts w:ascii="Bookman Old Style" w:hAnsi="Bookman Old Style"/>
        </w:rPr>
        <w:t xml:space="preserve">Condiciones técnicas bajo las cuales la requiere; </w:t>
      </w:r>
    </w:p>
    <w:p w14:paraId="0856B6EE" w14:textId="37EE2D22" w:rsidR="005836EB" w:rsidRPr="00026F1E" w:rsidRDefault="005836EB" w:rsidP="005E1800">
      <w:pPr>
        <w:pStyle w:val="Default"/>
        <w:numPr>
          <w:ilvl w:val="0"/>
          <w:numId w:val="29"/>
        </w:numPr>
        <w:tabs>
          <w:tab w:val="left" w:pos="993"/>
        </w:tabs>
        <w:spacing w:after="193"/>
        <w:ind w:left="1418" w:hanging="284"/>
        <w:jc w:val="both"/>
        <w:rPr>
          <w:rFonts w:ascii="Bookman Old Style" w:hAnsi="Bookman Old Style"/>
        </w:rPr>
      </w:pPr>
      <w:r w:rsidRPr="00026F1E">
        <w:rPr>
          <w:rFonts w:ascii="Bookman Old Style" w:hAnsi="Bookman Old Style"/>
        </w:rPr>
        <w:t xml:space="preserve">Información que permita al </w:t>
      </w:r>
      <w:r w:rsidR="005B47E8" w:rsidRPr="00026F1E">
        <w:rPr>
          <w:rFonts w:ascii="Bookman Old Style" w:hAnsi="Bookman Old Style"/>
        </w:rPr>
        <w:t>T</w:t>
      </w:r>
      <w:r w:rsidR="00553D30" w:rsidRPr="00026F1E">
        <w:rPr>
          <w:rFonts w:ascii="Bookman Old Style" w:hAnsi="Bookman Old Style"/>
        </w:rPr>
        <w:t xml:space="preserve">ransportador </w:t>
      </w:r>
      <w:r w:rsidRPr="00026F1E">
        <w:rPr>
          <w:rFonts w:ascii="Bookman Old Style" w:hAnsi="Bookman Old Style"/>
        </w:rPr>
        <w:t xml:space="preserve">evaluar los efectos técnicos y operacionales de la </w:t>
      </w:r>
      <w:r w:rsidR="00D7711A" w:rsidRPr="00026F1E">
        <w:rPr>
          <w:rFonts w:ascii="Bookman Old Style" w:hAnsi="Bookman Old Style"/>
        </w:rPr>
        <w:t xml:space="preserve">conexión </w:t>
      </w:r>
      <w:r w:rsidRPr="00026F1E">
        <w:rPr>
          <w:rFonts w:ascii="Bookman Old Style" w:hAnsi="Bookman Old Style"/>
        </w:rPr>
        <w:t xml:space="preserve">a su Sistema de Transporte, incluyendo, entre otros, la ubicación de la </w:t>
      </w:r>
      <w:r w:rsidR="00D7711A" w:rsidRPr="00026F1E">
        <w:rPr>
          <w:rFonts w:ascii="Bookman Old Style" w:hAnsi="Bookman Old Style"/>
        </w:rPr>
        <w:t>conexión</w:t>
      </w:r>
      <w:r w:rsidRPr="00026F1E">
        <w:rPr>
          <w:rFonts w:ascii="Bookman Old Style" w:hAnsi="Bookman Old Style"/>
        </w:rPr>
        <w:t xml:space="preserve">, la localización y especificaciones del sistema de medición para transferencia de custodia y de otros equipos del Agente. </w:t>
      </w:r>
    </w:p>
    <w:p w14:paraId="01B46DDB" w14:textId="3009E002" w:rsidR="005836EB" w:rsidRPr="00026F1E" w:rsidRDefault="005836EB" w:rsidP="00EF792E">
      <w:pPr>
        <w:pStyle w:val="Default"/>
        <w:numPr>
          <w:ilvl w:val="0"/>
          <w:numId w:val="28"/>
        </w:numPr>
        <w:spacing w:after="193"/>
        <w:ind w:left="1275" w:hanging="567"/>
        <w:jc w:val="both"/>
        <w:rPr>
          <w:rFonts w:ascii="Bookman Old Style" w:hAnsi="Bookman Old Style"/>
        </w:rPr>
      </w:pPr>
      <w:r w:rsidRPr="00026F1E">
        <w:rPr>
          <w:rFonts w:ascii="Bookman Old Style" w:hAnsi="Bookman Old Style"/>
        </w:rPr>
        <w:t xml:space="preserve">El </w:t>
      </w:r>
      <w:r w:rsidR="005B47E8" w:rsidRPr="00026F1E">
        <w:rPr>
          <w:rFonts w:ascii="Bookman Old Style" w:hAnsi="Bookman Old Style"/>
        </w:rPr>
        <w:t>T</w:t>
      </w:r>
      <w:r w:rsidRPr="00026F1E">
        <w:rPr>
          <w:rFonts w:ascii="Bookman Old Style" w:hAnsi="Bookman Old Style"/>
        </w:rPr>
        <w:t xml:space="preserve">ransportador analizará la factibilidad técnica de otorgar el acceso y en un plazo de cinco (5) días hábiles deberá señalar si es factible o no atender la solicitud de acceso. El </w:t>
      </w:r>
      <w:r w:rsidR="005B47E8" w:rsidRPr="00026F1E">
        <w:rPr>
          <w:rFonts w:ascii="Bookman Old Style" w:hAnsi="Bookman Old Style"/>
        </w:rPr>
        <w:t>T</w:t>
      </w:r>
      <w:r w:rsidRPr="00026F1E">
        <w:rPr>
          <w:rFonts w:ascii="Bookman Old Style" w:hAnsi="Bookman Old Style"/>
        </w:rPr>
        <w:t xml:space="preserve">ransportador deberá informar al </w:t>
      </w:r>
      <w:r w:rsidR="00450937" w:rsidRPr="00026F1E">
        <w:rPr>
          <w:rFonts w:ascii="Bookman Old Style" w:hAnsi="Bookman Old Style"/>
        </w:rPr>
        <w:t>R</w:t>
      </w:r>
      <w:r w:rsidR="00553D30" w:rsidRPr="00026F1E">
        <w:rPr>
          <w:rFonts w:ascii="Bookman Old Style" w:hAnsi="Bookman Old Style"/>
        </w:rPr>
        <w:t xml:space="preserve">emitente potencial </w:t>
      </w:r>
      <w:r w:rsidRPr="00026F1E">
        <w:rPr>
          <w:rFonts w:ascii="Bookman Old Style" w:hAnsi="Bookman Old Style"/>
        </w:rPr>
        <w:t xml:space="preserve">si su solicitud infringe cualquier norma de carácter técnico que no le permita presentar una oferta sobre la misma. El análisis de factibilidad técnica incluye la verificación de que existe Capacidad Disponible Primaria para atender la solicitud del </w:t>
      </w:r>
      <w:r w:rsidR="00450937" w:rsidRPr="00026F1E">
        <w:rPr>
          <w:rFonts w:ascii="Bookman Old Style" w:hAnsi="Bookman Old Style"/>
        </w:rPr>
        <w:t>R</w:t>
      </w:r>
      <w:r w:rsidR="00553D30" w:rsidRPr="00026F1E">
        <w:rPr>
          <w:rFonts w:ascii="Bookman Old Style" w:hAnsi="Bookman Old Style"/>
        </w:rPr>
        <w:t>emitente potencial</w:t>
      </w:r>
      <w:r w:rsidRPr="00026F1E">
        <w:rPr>
          <w:rFonts w:ascii="Bookman Old Style" w:hAnsi="Bookman Old Style"/>
        </w:rPr>
        <w:t xml:space="preserve">. </w:t>
      </w:r>
    </w:p>
    <w:p w14:paraId="01E7102D" w14:textId="05E37F14" w:rsidR="005836EB" w:rsidRPr="00026F1E" w:rsidRDefault="005836EB" w:rsidP="00EF792E">
      <w:pPr>
        <w:pStyle w:val="Default"/>
        <w:numPr>
          <w:ilvl w:val="0"/>
          <w:numId w:val="28"/>
        </w:numPr>
        <w:spacing w:after="193"/>
        <w:ind w:left="1275" w:hanging="567"/>
        <w:jc w:val="both"/>
        <w:rPr>
          <w:rFonts w:ascii="Bookman Old Style" w:hAnsi="Bookman Old Style"/>
        </w:rPr>
      </w:pPr>
      <w:r w:rsidRPr="00026F1E">
        <w:rPr>
          <w:rFonts w:ascii="Bookman Old Style" w:hAnsi="Bookman Old Style"/>
        </w:rPr>
        <w:t xml:space="preserve">Una vez confirmada la factibilidad, el </w:t>
      </w:r>
      <w:r w:rsidR="005B47E8" w:rsidRPr="00026F1E">
        <w:rPr>
          <w:rFonts w:ascii="Bookman Old Style" w:hAnsi="Bookman Old Style"/>
        </w:rPr>
        <w:t>T</w:t>
      </w:r>
      <w:r w:rsidRPr="00026F1E">
        <w:rPr>
          <w:rFonts w:ascii="Bookman Old Style" w:hAnsi="Bookman Old Style"/>
        </w:rPr>
        <w:t xml:space="preserve">ransportador deberá presentar una cotización de la construcción de Punto de Entrada y Punto de Salida a su Sistema de Transporte en un plazo máximo de quince (15) días hábiles contados a partir de la confirmación de la factibilidad de construcción de Puntos de Entrada o Puntos de Salida. </w:t>
      </w:r>
    </w:p>
    <w:p w14:paraId="186448DF" w14:textId="038EC749" w:rsidR="005836EB" w:rsidRPr="00026F1E" w:rsidRDefault="005836EB" w:rsidP="00EF792E">
      <w:pPr>
        <w:pStyle w:val="Default"/>
        <w:ind w:left="1275"/>
        <w:jc w:val="both"/>
        <w:rPr>
          <w:rFonts w:ascii="Bookman Old Style" w:hAnsi="Bookman Old Style"/>
        </w:rPr>
      </w:pPr>
      <w:r w:rsidRPr="00026F1E">
        <w:rPr>
          <w:rFonts w:ascii="Bookman Old Style" w:hAnsi="Bookman Old Style"/>
        </w:rPr>
        <w:t xml:space="preserve">La cotización de la construcción del Punto de Entrada o de Salida por parte del </w:t>
      </w:r>
      <w:r w:rsidR="005B47E8" w:rsidRPr="00026F1E">
        <w:rPr>
          <w:rFonts w:ascii="Bookman Old Style" w:hAnsi="Bookman Old Style"/>
        </w:rPr>
        <w:t>T</w:t>
      </w:r>
      <w:r w:rsidRPr="00026F1E">
        <w:rPr>
          <w:rFonts w:ascii="Bookman Old Style" w:hAnsi="Bookman Old Style"/>
        </w:rPr>
        <w:t xml:space="preserve">ransportador contendrá como mínimo los siguientes aspectos:  </w:t>
      </w:r>
    </w:p>
    <w:p w14:paraId="5A4C582A" w14:textId="77777777" w:rsidR="005836EB" w:rsidRPr="00026F1E" w:rsidRDefault="005836EB" w:rsidP="00EF792E">
      <w:pPr>
        <w:pStyle w:val="Default"/>
        <w:ind w:left="1275"/>
        <w:jc w:val="both"/>
        <w:rPr>
          <w:rFonts w:ascii="Bookman Old Style" w:hAnsi="Bookman Old Style"/>
        </w:rPr>
      </w:pPr>
    </w:p>
    <w:p w14:paraId="3DDF2E93" w14:textId="77777777" w:rsidR="005836EB" w:rsidRPr="00026F1E" w:rsidRDefault="005836EB" w:rsidP="00EF792E">
      <w:pPr>
        <w:pStyle w:val="Default"/>
        <w:numPr>
          <w:ilvl w:val="0"/>
          <w:numId w:val="30"/>
        </w:numPr>
        <w:spacing w:after="195"/>
        <w:ind w:left="1701" w:hanging="426"/>
        <w:jc w:val="both"/>
        <w:rPr>
          <w:rFonts w:ascii="Bookman Old Style" w:hAnsi="Bookman Old Style"/>
        </w:rPr>
      </w:pPr>
      <w:r w:rsidRPr="00026F1E">
        <w:rPr>
          <w:rFonts w:ascii="Bookman Old Style" w:hAnsi="Bookman Old Style"/>
        </w:rPr>
        <w:t xml:space="preserve">El costo que será aplicable si se acepta la propuesta y la fecha en la cual se terminarán las obras, si hubiere lugar a ellas. </w:t>
      </w:r>
    </w:p>
    <w:p w14:paraId="360A9392" w14:textId="77777777" w:rsidR="005836EB" w:rsidRPr="00026F1E" w:rsidRDefault="005836EB" w:rsidP="00EF792E">
      <w:pPr>
        <w:pStyle w:val="Default"/>
        <w:numPr>
          <w:ilvl w:val="0"/>
          <w:numId w:val="30"/>
        </w:numPr>
        <w:spacing w:after="195"/>
        <w:ind w:left="1701" w:hanging="426"/>
        <w:jc w:val="both"/>
        <w:rPr>
          <w:rFonts w:ascii="Bookman Old Style" w:hAnsi="Bookman Old Style"/>
        </w:rPr>
      </w:pPr>
      <w:r w:rsidRPr="00026F1E">
        <w:rPr>
          <w:rFonts w:ascii="Bookman Old Style" w:hAnsi="Bookman Old Style"/>
        </w:rPr>
        <w:t xml:space="preserve">La presión de entrega en los Puntos de Salida y de recibo en los Puntos de Entrada. </w:t>
      </w:r>
    </w:p>
    <w:p w14:paraId="4ECC1D88" w14:textId="1605612E" w:rsidR="005836EB" w:rsidRDefault="005836EB" w:rsidP="00EF792E">
      <w:pPr>
        <w:pStyle w:val="Default"/>
        <w:numPr>
          <w:ilvl w:val="0"/>
          <w:numId w:val="30"/>
        </w:numPr>
        <w:spacing w:after="195"/>
        <w:ind w:left="1701" w:hanging="426"/>
        <w:jc w:val="both"/>
        <w:rPr>
          <w:rFonts w:ascii="Bookman Old Style" w:hAnsi="Bookman Old Style"/>
        </w:rPr>
      </w:pPr>
      <w:r w:rsidRPr="00026F1E">
        <w:rPr>
          <w:rFonts w:ascii="Bookman Old Style" w:hAnsi="Bookman Old Style"/>
        </w:rPr>
        <w:t xml:space="preserve">La presión de </w:t>
      </w:r>
      <w:r w:rsidR="00553D30" w:rsidRPr="00026F1E">
        <w:rPr>
          <w:rFonts w:ascii="Bookman Old Style" w:hAnsi="Bookman Old Style"/>
        </w:rPr>
        <w:t xml:space="preserve">máxima </w:t>
      </w:r>
      <w:r w:rsidRPr="00026F1E">
        <w:rPr>
          <w:rFonts w:ascii="Bookman Old Style" w:hAnsi="Bookman Old Style"/>
        </w:rPr>
        <w:t xml:space="preserve">de </w:t>
      </w:r>
      <w:r w:rsidR="00553D30" w:rsidRPr="00026F1E">
        <w:rPr>
          <w:rFonts w:ascii="Bookman Old Style" w:hAnsi="Bookman Old Style"/>
        </w:rPr>
        <w:t xml:space="preserve">operación permisible </w:t>
      </w:r>
      <w:r w:rsidRPr="00026F1E">
        <w:rPr>
          <w:rFonts w:ascii="Bookman Old Style" w:hAnsi="Bookman Old Style"/>
        </w:rPr>
        <w:t xml:space="preserve">que debe considerar para el diseño de la conexión. </w:t>
      </w:r>
    </w:p>
    <w:p w14:paraId="0795CDEA" w14:textId="77777777" w:rsidR="005836EB" w:rsidRDefault="005836EB" w:rsidP="00EF792E">
      <w:pPr>
        <w:pStyle w:val="Default"/>
        <w:numPr>
          <w:ilvl w:val="0"/>
          <w:numId w:val="30"/>
        </w:numPr>
        <w:spacing w:after="195"/>
        <w:ind w:left="1701" w:hanging="426"/>
        <w:jc w:val="both"/>
        <w:rPr>
          <w:rFonts w:ascii="Bookman Old Style" w:hAnsi="Bookman Old Style"/>
        </w:rPr>
      </w:pPr>
      <w:r w:rsidRPr="00026F1E">
        <w:rPr>
          <w:rFonts w:ascii="Bookman Old Style" w:hAnsi="Bookman Old Style"/>
        </w:rPr>
        <w:t xml:space="preserve">Las condiciones comerciales que se asemejen a la práctica mercantil de presentación de ofertas. </w:t>
      </w:r>
    </w:p>
    <w:p w14:paraId="4CECDF1E" w14:textId="77777777" w:rsidR="00673C7D" w:rsidRDefault="00673C7D" w:rsidP="00673C7D">
      <w:pPr>
        <w:pStyle w:val="Default"/>
        <w:spacing w:after="195"/>
        <w:ind w:left="1701"/>
        <w:jc w:val="both"/>
        <w:rPr>
          <w:rFonts w:ascii="Bookman Old Style" w:hAnsi="Bookman Old Style"/>
        </w:rPr>
      </w:pPr>
    </w:p>
    <w:p w14:paraId="3638669A" w14:textId="77777777" w:rsidR="00673C7D" w:rsidRPr="00026F1E" w:rsidRDefault="00673C7D" w:rsidP="00673C7D">
      <w:pPr>
        <w:pStyle w:val="Default"/>
        <w:ind w:left="1701"/>
        <w:jc w:val="both"/>
        <w:rPr>
          <w:rFonts w:ascii="Bookman Old Style" w:hAnsi="Bookman Old Style"/>
        </w:rPr>
      </w:pPr>
    </w:p>
    <w:p w14:paraId="190945E1" w14:textId="7D9AECF5" w:rsidR="005836EB" w:rsidRPr="00026F1E" w:rsidRDefault="005836EB" w:rsidP="00673C7D">
      <w:pPr>
        <w:pStyle w:val="Default"/>
        <w:numPr>
          <w:ilvl w:val="0"/>
          <w:numId w:val="28"/>
        </w:numPr>
        <w:ind w:left="1275" w:hanging="567"/>
        <w:jc w:val="both"/>
        <w:rPr>
          <w:rFonts w:ascii="Bookman Old Style" w:hAnsi="Bookman Old Style"/>
        </w:rPr>
      </w:pPr>
      <w:r w:rsidRPr="00026F1E">
        <w:rPr>
          <w:rFonts w:ascii="Bookman Old Style" w:hAnsi="Bookman Old Style"/>
        </w:rPr>
        <w:t xml:space="preserve">El Remitente Potencial deberá informar al </w:t>
      </w:r>
      <w:r w:rsidR="005B47E8" w:rsidRPr="00026F1E">
        <w:rPr>
          <w:rFonts w:ascii="Bookman Old Style" w:hAnsi="Bookman Old Style"/>
        </w:rPr>
        <w:t>T</w:t>
      </w:r>
      <w:r w:rsidRPr="00026F1E">
        <w:rPr>
          <w:rFonts w:ascii="Bookman Old Style" w:hAnsi="Bookman Old Style"/>
        </w:rPr>
        <w:t xml:space="preserve">ransportador si acepta o rechaza la oferta de acceso físico dentro de los quince (15) días hábiles siguientes a la recepción de la comunicación del </w:t>
      </w:r>
      <w:r w:rsidR="005B47E8" w:rsidRPr="00026F1E">
        <w:rPr>
          <w:rFonts w:ascii="Bookman Old Style" w:hAnsi="Bookman Old Style"/>
        </w:rPr>
        <w:t>T</w:t>
      </w:r>
      <w:r w:rsidRPr="00026F1E">
        <w:rPr>
          <w:rFonts w:ascii="Bookman Old Style" w:hAnsi="Bookman Old Style"/>
        </w:rPr>
        <w:t xml:space="preserve">ransportador. Si no hay respuesta formal, expresa y escrita por parte del Remitente Potencial se entenderá que desiste de la solicitud. </w:t>
      </w:r>
    </w:p>
    <w:p w14:paraId="13CA813D" w14:textId="7CBA5AD7" w:rsidR="005836EB" w:rsidRPr="00026F1E" w:rsidRDefault="005836EB" w:rsidP="00EF792E">
      <w:pPr>
        <w:pStyle w:val="Default"/>
        <w:numPr>
          <w:ilvl w:val="0"/>
          <w:numId w:val="28"/>
        </w:numPr>
        <w:spacing w:after="193"/>
        <w:ind w:left="1275" w:hanging="567"/>
        <w:jc w:val="both"/>
        <w:rPr>
          <w:rFonts w:ascii="Bookman Old Style" w:hAnsi="Bookman Old Style"/>
        </w:rPr>
      </w:pPr>
      <w:r w:rsidRPr="00026F1E">
        <w:rPr>
          <w:rFonts w:ascii="Bookman Old Style" w:hAnsi="Bookman Old Style"/>
        </w:rPr>
        <w:t xml:space="preserve">El acceso definitivo debe estar construido y habilitado plenamente en un plazo máximo de cuatro (4) meses contados a partir del recibo de confirmación del </w:t>
      </w:r>
      <w:r w:rsidR="00450937" w:rsidRPr="00026F1E">
        <w:rPr>
          <w:rFonts w:ascii="Bookman Old Style" w:hAnsi="Bookman Old Style"/>
        </w:rPr>
        <w:t>R</w:t>
      </w:r>
      <w:r w:rsidRPr="00026F1E">
        <w:rPr>
          <w:rFonts w:ascii="Bookman Old Style" w:hAnsi="Bookman Old Style"/>
        </w:rPr>
        <w:t xml:space="preserve">emitente potencial y después de que exista un acuerdo de pago entre las partes, plazo que solo podrá ser extendido antes de su vencimiento, bajo una razón debidamente sustentada enviada por escrito al </w:t>
      </w:r>
      <w:r w:rsidR="00450937" w:rsidRPr="00026F1E">
        <w:rPr>
          <w:rFonts w:ascii="Bookman Old Style" w:hAnsi="Bookman Old Style"/>
        </w:rPr>
        <w:t>R</w:t>
      </w:r>
      <w:r w:rsidRPr="00026F1E">
        <w:rPr>
          <w:rFonts w:ascii="Bookman Old Style" w:hAnsi="Bookman Old Style"/>
        </w:rPr>
        <w:t xml:space="preserve">emitente, cuya copia deberá ser enviada a la Superintendencia de Servicios Públicos Domiciliarios. </w:t>
      </w:r>
      <w:r w:rsidR="00862130" w:rsidRPr="00026F1E">
        <w:rPr>
          <w:rFonts w:ascii="Bookman Old Style" w:hAnsi="Bookman Old Style"/>
        </w:rPr>
        <w:t xml:space="preserve">En todo caso el </w:t>
      </w:r>
      <w:r w:rsidR="00450937" w:rsidRPr="00026F1E">
        <w:rPr>
          <w:rFonts w:ascii="Bookman Old Style" w:hAnsi="Bookman Old Style"/>
        </w:rPr>
        <w:t>R</w:t>
      </w:r>
      <w:r w:rsidR="00862130" w:rsidRPr="00026F1E">
        <w:rPr>
          <w:rFonts w:ascii="Bookman Old Style" w:hAnsi="Bookman Old Style"/>
        </w:rPr>
        <w:t xml:space="preserve">emitente podrá exigir una garantía de cumplimiento al </w:t>
      </w:r>
      <w:r w:rsidR="005B47E8" w:rsidRPr="00026F1E">
        <w:rPr>
          <w:rFonts w:ascii="Bookman Old Style" w:hAnsi="Bookman Old Style"/>
        </w:rPr>
        <w:t>T</w:t>
      </w:r>
      <w:r w:rsidR="00862130" w:rsidRPr="00026F1E">
        <w:rPr>
          <w:rFonts w:ascii="Bookman Old Style" w:hAnsi="Bookman Old Style"/>
        </w:rPr>
        <w:t>ransportador.</w:t>
      </w:r>
    </w:p>
    <w:p w14:paraId="5ACCB2FC" w14:textId="76BF94DE"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El costo máximo que un </w:t>
      </w:r>
      <w:r w:rsidR="005B47E8" w:rsidRPr="00026F1E">
        <w:rPr>
          <w:rFonts w:ascii="Bookman Old Style" w:hAnsi="Bookman Old Style"/>
        </w:rPr>
        <w:t>T</w:t>
      </w:r>
      <w:r w:rsidRPr="00026F1E">
        <w:rPr>
          <w:rFonts w:ascii="Bookman Old Style" w:hAnsi="Bookman Old Style"/>
        </w:rPr>
        <w:t xml:space="preserve">ransportador puede cobrar por la construcción, operación y mantenimiento de un Punto de Entrada o un Punto de Salida será el que resulte </w:t>
      </w:r>
      <w:r w:rsidRPr="009E42C9">
        <w:rPr>
          <w:rFonts w:ascii="Bookman Old Style" w:hAnsi="Bookman Old Style"/>
        </w:rPr>
        <w:t>de aplicar las disposiciones</w:t>
      </w:r>
      <w:r w:rsidR="00394A03" w:rsidRPr="009E42C9">
        <w:rPr>
          <w:rFonts w:ascii="Bookman Old Style" w:hAnsi="Bookman Old Style"/>
        </w:rPr>
        <w:t xml:space="preserve"> </w:t>
      </w:r>
      <w:r w:rsidR="009E42C9" w:rsidRPr="009E42C9">
        <w:rPr>
          <w:rFonts w:ascii="Bookman Old Style" w:hAnsi="Bookman Old Style"/>
        </w:rPr>
        <w:t xml:space="preserve">previstas por la CREG </w:t>
      </w:r>
      <w:r w:rsidRPr="009E42C9">
        <w:rPr>
          <w:rFonts w:ascii="Bookman Old Style" w:hAnsi="Bookman Old Style"/>
        </w:rPr>
        <w:t xml:space="preserve">en </w:t>
      </w:r>
      <w:r w:rsidR="009E42C9" w:rsidRPr="009E42C9">
        <w:rPr>
          <w:rFonts w:ascii="Bookman Old Style" w:hAnsi="Bookman Old Style"/>
        </w:rPr>
        <w:t xml:space="preserve">la Resolución CREG 169 de 2011 o aquellas </w:t>
      </w:r>
      <w:r w:rsidR="00A678AA">
        <w:rPr>
          <w:rFonts w:ascii="Bookman Old Style" w:hAnsi="Bookman Old Style"/>
        </w:rPr>
        <w:t xml:space="preserve">normas </w:t>
      </w:r>
      <w:r w:rsidR="009E42C9" w:rsidRPr="009E42C9">
        <w:rPr>
          <w:rFonts w:ascii="Bookman Old Style" w:hAnsi="Bookman Old Style"/>
        </w:rPr>
        <w:t>que la modifique</w:t>
      </w:r>
      <w:r w:rsidR="009E42C9">
        <w:rPr>
          <w:rFonts w:ascii="Bookman Old Style" w:hAnsi="Bookman Old Style"/>
        </w:rPr>
        <w:t>n</w:t>
      </w:r>
      <w:r w:rsidR="009E42C9" w:rsidRPr="009E42C9">
        <w:rPr>
          <w:rFonts w:ascii="Bookman Old Style" w:hAnsi="Bookman Old Style"/>
        </w:rPr>
        <w:t>, adicione</w:t>
      </w:r>
      <w:r w:rsidR="009E42C9">
        <w:rPr>
          <w:rFonts w:ascii="Bookman Old Style" w:hAnsi="Bookman Old Style"/>
        </w:rPr>
        <w:t>n</w:t>
      </w:r>
      <w:r w:rsidR="009E42C9" w:rsidRPr="009E42C9">
        <w:rPr>
          <w:rFonts w:ascii="Bookman Old Style" w:hAnsi="Bookman Old Style"/>
        </w:rPr>
        <w:t xml:space="preserve"> o sustituya</w:t>
      </w:r>
      <w:r w:rsidR="009E42C9">
        <w:rPr>
          <w:rFonts w:ascii="Bookman Old Style" w:hAnsi="Bookman Old Style"/>
        </w:rPr>
        <w:t>n</w:t>
      </w:r>
      <w:r w:rsidRPr="009E42C9">
        <w:rPr>
          <w:rFonts w:ascii="Bookman Old Style" w:hAnsi="Bookman Old Style"/>
        </w:rPr>
        <w:t>.</w:t>
      </w:r>
    </w:p>
    <w:p w14:paraId="79FB65BB" w14:textId="77777777" w:rsidR="005836EB" w:rsidRPr="00026F1E" w:rsidRDefault="005836EB" w:rsidP="00EF792E">
      <w:pPr>
        <w:pStyle w:val="Default"/>
        <w:ind w:left="708"/>
        <w:jc w:val="both"/>
        <w:rPr>
          <w:rFonts w:ascii="Bookman Old Style" w:hAnsi="Bookman Old Style"/>
        </w:rPr>
      </w:pPr>
    </w:p>
    <w:p w14:paraId="3C7A9E43" w14:textId="5B3F3782"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Cuando el acceso no sea factible por razones técnicas o de seguridad, se podrá rechazar la solicitud, no obstante en la respuesta del </w:t>
      </w:r>
      <w:r w:rsidR="005B47E8" w:rsidRPr="00026F1E">
        <w:rPr>
          <w:rFonts w:ascii="Bookman Old Style" w:hAnsi="Bookman Old Style"/>
        </w:rPr>
        <w:t>T</w:t>
      </w:r>
      <w:r w:rsidRPr="00026F1E">
        <w:rPr>
          <w:rFonts w:ascii="Bookman Old Style" w:hAnsi="Bookman Old Style"/>
        </w:rPr>
        <w:t>ransportador deberá especificarse si se tiene previsto un Plan de Expansión que permita ofrecer servicios de transporte y en qué plazo estimado estaría disponible. La justificación del análisis de factibilidad técnica deberá ser entregado al Remitente Potencial como anexo a la respuesta de la solicitud de acceso y deberá enviarse una copia del mismo a la Superintendencia de Servicios Públicos Domiciliarios. Lo anterior</w:t>
      </w:r>
      <w:r w:rsidR="00553D30" w:rsidRPr="00026F1E">
        <w:rPr>
          <w:rFonts w:ascii="Bookman Old Style" w:hAnsi="Bookman Old Style"/>
        </w:rPr>
        <w:t>,</w:t>
      </w:r>
      <w:r w:rsidRPr="00026F1E">
        <w:rPr>
          <w:rFonts w:ascii="Bookman Old Style" w:hAnsi="Bookman Old Style"/>
        </w:rPr>
        <w:t xml:space="preserve"> solo aplica para las solicitudes de acceso a través de Puntos de Salida. </w:t>
      </w:r>
    </w:p>
    <w:p w14:paraId="47163666" w14:textId="77777777" w:rsidR="005836EB" w:rsidRPr="00026F1E" w:rsidRDefault="005836EB" w:rsidP="00EF792E">
      <w:pPr>
        <w:pStyle w:val="Default"/>
        <w:ind w:left="708"/>
        <w:jc w:val="both"/>
        <w:rPr>
          <w:rFonts w:ascii="Bookman Old Style" w:hAnsi="Bookman Old Style"/>
        </w:rPr>
      </w:pPr>
    </w:p>
    <w:p w14:paraId="3A31BA87" w14:textId="568B97A3"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Con excepción de lo establecido en el numeral 3.1,</w:t>
      </w:r>
      <w:r w:rsidR="00A703B1">
        <w:rPr>
          <w:rFonts w:ascii="Bookman Old Style" w:hAnsi="Bookman Old Style"/>
        </w:rPr>
        <w:t xml:space="preserve"> literal d, numeral v) de esta r</w:t>
      </w:r>
      <w:r w:rsidRPr="00026F1E">
        <w:rPr>
          <w:rFonts w:ascii="Bookman Old Style" w:hAnsi="Bookman Old Style"/>
        </w:rPr>
        <w:t xml:space="preserve">esolución, el </w:t>
      </w:r>
      <w:r w:rsidR="005B47E8" w:rsidRPr="00026F1E">
        <w:rPr>
          <w:rFonts w:ascii="Bookman Old Style" w:hAnsi="Bookman Old Style"/>
        </w:rPr>
        <w:t>T</w:t>
      </w:r>
      <w:r w:rsidRPr="00026F1E">
        <w:rPr>
          <w:rFonts w:ascii="Bookman Old Style" w:hAnsi="Bookman Old Style"/>
        </w:rPr>
        <w:t xml:space="preserve">ransportador no podrá condicionar el acceso físico de un Remitente Potencial a la celebración de contratos de servicios de transporte, a menos que para conceder el acceso se requiera la expansión del gasoducto porque al momento de la solicitud de acceso no existe la factibilidad técnica para otorgarlo. </w:t>
      </w:r>
    </w:p>
    <w:p w14:paraId="20CD8DDC" w14:textId="77777777" w:rsidR="005836EB" w:rsidRPr="00026F1E" w:rsidRDefault="005836EB" w:rsidP="00EF792E">
      <w:pPr>
        <w:pStyle w:val="Default"/>
        <w:ind w:left="708"/>
        <w:jc w:val="both"/>
        <w:rPr>
          <w:rFonts w:ascii="Bookman Old Style" w:hAnsi="Bookman Old Style"/>
        </w:rPr>
      </w:pPr>
    </w:p>
    <w:p w14:paraId="08C7E8F9" w14:textId="0991FE21"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Cuando la naturaleza del equipo de gas del </w:t>
      </w:r>
      <w:r w:rsidR="00450937" w:rsidRPr="00026F1E">
        <w:rPr>
          <w:rFonts w:ascii="Bookman Old Style" w:hAnsi="Bookman Old Style"/>
        </w:rPr>
        <w:t>R</w:t>
      </w:r>
      <w:r w:rsidR="00553D30" w:rsidRPr="00026F1E">
        <w:rPr>
          <w:rFonts w:ascii="Bookman Old Style" w:hAnsi="Bookman Old Style"/>
        </w:rPr>
        <w:t xml:space="preserve">emitente </w:t>
      </w:r>
      <w:r w:rsidRPr="00026F1E">
        <w:rPr>
          <w:rFonts w:ascii="Bookman Old Style" w:hAnsi="Bookman Old Style"/>
        </w:rPr>
        <w:t xml:space="preserve">pueda ocasionar contrapresión o succión, u otros efectos que sean nocivos al Sistema, tales como pulsaciones, vibración y caídas de presión en el Sistema, el </w:t>
      </w:r>
      <w:r w:rsidR="00450937" w:rsidRPr="00026F1E">
        <w:rPr>
          <w:rFonts w:ascii="Bookman Old Style" w:hAnsi="Bookman Old Style"/>
        </w:rPr>
        <w:t>R</w:t>
      </w:r>
      <w:r w:rsidR="00553D30" w:rsidRPr="00026F1E">
        <w:rPr>
          <w:rFonts w:ascii="Bookman Old Style" w:hAnsi="Bookman Old Style"/>
        </w:rPr>
        <w:t xml:space="preserve">emitente </w:t>
      </w:r>
      <w:r w:rsidRPr="00026F1E">
        <w:rPr>
          <w:rFonts w:ascii="Bookman Old Style" w:hAnsi="Bookman Old Style"/>
        </w:rPr>
        <w:t xml:space="preserve">deberá suministrar, instalar y mantener dispositivos protectores apropiados que eviten las posibles fallas, o mitiguen sus efectos a niveles aceptados internacionalmente, los cuales estarán sujetos a inspección y aprobación por parte del </w:t>
      </w:r>
      <w:r w:rsidR="005B47E8" w:rsidRPr="00026F1E">
        <w:rPr>
          <w:rFonts w:ascii="Bookman Old Style" w:hAnsi="Bookman Old Style"/>
        </w:rPr>
        <w:t>T</w:t>
      </w:r>
      <w:r w:rsidRPr="00026F1E">
        <w:rPr>
          <w:rFonts w:ascii="Bookman Old Style" w:hAnsi="Bookman Old Style"/>
        </w:rPr>
        <w:t xml:space="preserve">ransportador, quien respetará el principio de neutralidad en tales procedimientos. </w:t>
      </w:r>
    </w:p>
    <w:p w14:paraId="784146D6" w14:textId="77777777" w:rsidR="005836EB" w:rsidRPr="00026F1E" w:rsidRDefault="005836EB" w:rsidP="00EF792E">
      <w:pPr>
        <w:pStyle w:val="Default"/>
        <w:ind w:left="708"/>
        <w:jc w:val="both"/>
        <w:rPr>
          <w:rFonts w:ascii="Bookman Old Style" w:hAnsi="Bookman Old Style"/>
        </w:rPr>
      </w:pPr>
    </w:p>
    <w:p w14:paraId="7B476A49" w14:textId="30CF4880"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Los perjuicios que por esta causa se puedan presentar en un Sistema de Transporte serán a cargo del Remitente. Si una vez detectados los daños, éstos persisten, el </w:t>
      </w:r>
      <w:r w:rsidR="005B47E8" w:rsidRPr="00026F1E">
        <w:rPr>
          <w:rFonts w:ascii="Bookman Old Style" w:hAnsi="Bookman Old Style"/>
        </w:rPr>
        <w:t>T</w:t>
      </w:r>
      <w:r w:rsidRPr="00026F1E">
        <w:rPr>
          <w:rFonts w:ascii="Bookman Old Style" w:hAnsi="Bookman Old Style"/>
        </w:rPr>
        <w:t xml:space="preserve">ransportador podrá suspender el servicio. Lo mismo </w:t>
      </w:r>
      <w:r w:rsidRPr="00026F1E">
        <w:rPr>
          <w:rFonts w:ascii="Bookman Old Style" w:hAnsi="Bookman Old Style"/>
        </w:rPr>
        <w:lastRenderedPageBreak/>
        <w:t xml:space="preserve">aplicará cuando por las razones descritas anteriormente no sea posible realizar una medición dentro de lo exigido en la presente </w:t>
      </w:r>
      <w:r w:rsidR="009E42C9">
        <w:rPr>
          <w:rFonts w:ascii="Bookman Old Style" w:hAnsi="Bookman Old Style"/>
        </w:rPr>
        <w:t>r</w:t>
      </w:r>
      <w:r w:rsidRPr="00026F1E">
        <w:rPr>
          <w:rFonts w:ascii="Bookman Old Style" w:hAnsi="Bookman Old Style"/>
        </w:rPr>
        <w:t>esolución, o aquellas normas que l</w:t>
      </w:r>
      <w:r w:rsidR="00394A03">
        <w:rPr>
          <w:rFonts w:ascii="Bookman Old Style" w:hAnsi="Bookman Old Style"/>
        </w:rPr>
        <w:t xml:space="preserve">a </w:t>
      </w:r>
      <w:r w:rsidR="00394A03" w:rsidRPr="009E42C9">
        <w:rPr>
          <w:rFonts w:ascii="Bookman Old Style" w:hAnsi="Bookman Old Style"/>
        </w:rPr>
        <w:t xml:space="preserve">modifiquen, </w:t>
      </w:r>
      <w:r w:rsidRPr="009E42C9">
        <w:rPr>
          <w:rFonts w:ascii="Bookman Old Style" w:hAnsi="Bookman Old Style"/>
        </w:rPr>
        <w:t>adicionen</w:t>
      </w:r>
      <w:r w:rsidR="00394A03" w:rsidRPr="009E42C9">
        <w:rPr>
          <w:rFonts w:ascii="Bookman Old Style" w:hAnsi="Bookman Old Style"/>
        </w:rPr>
        <w:t xml:space="preserve"> o sustituyan</w:t>
      </w:r>
      <w:r w:rsidRPr="00026F1E">
        <w:rPr>
          <w:rFonts w:ascii="Bookman Old Style" w:hAnsi="Bookman Old Style"/>
        </w:rPr>
        <w:t xml:space="preserve">. </w:t>
      </w:r>
    </w:p>
    <w:p w14:paraId="7DC57E1C" w14:textId="77777777" w:rsidR="005836EB" w:rsidRPr="00026F1E" w:rsidRDefault="005836EB" w:rsidP="00EF792E">
      <w:pPr>
        <w:pStyle w:val="Default"/>
        <w:ind w:left="708"/>
        <w:jc w:val="both"/>
        <w:rPr>
          <w:rFonts w:ascii="Bookman Old Style" w:hAnsi="Bookman Old Style"/>
        </w:rPr>
      </w:pPr>
    </w:p>
    <w:p w14:paraId="1C83E14C" w14:textId="4C9540C8"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La oferta que presente el </w:t>
      </w:r>
      <w:r w:rsidR="005B47E8" w:rsidRPr="00026F1E">
        <w:rPr>
          <w:rFonts w:ascii="Bookman Old Style" w:hAnsi="Bookman Old Style"/>
        </w:rPr>
        <w:t>T</w:t>
      </w:r>
      <w:r w:rsidRPr="00026F1E">
        <w:rPr>
          <w:rFonts w:ascii="Bookman Old Style" w:hAnsi="Bookman Old Style"/>
        </w:rPr>
        <w:t xml:space="preserve">ransportador al </w:t>
      </w:r>
      <w:r w:rsidR="00450937" w:rsidRPr="00026F1E">
        <w:rPr>
          <w:rFonts w:ascii="Bookman Old Style" w:hAnsi="Bookman Old Style"/>
        </w:rPr>
        <w:t>R</w:t>
      </w:r>
      <w:r w:rsidR="00553D30" w:rsidRPr="00026F1E">
        <w:rPr>
          <w:rFonts w:ascii="Bookman Old Style" w:hAnsi="Bookman Old Style"/>
        </w:rPr>
        <w:t xml:space="preserve">emitente potencial </w:t>
      </w:r>
      <w:r w:rsidRPr="00026F1E">
        <w:rPr>
          <w:rFonts w:ascii="Bookman Old Style" w:hAnsi="Bookman Old Style"/>
        </w:rPr>
        <w:t xml:space="preserve">se asimilará para todos los efectos a una oferta mercantil de conformidad con lo </w:t>
      </w:r>
      <w:r w:rsidR="00394A03">
        <w:rPr>
          <w:rFonts w:ascii="Bookman Old Style" w:hAnsi="Bookman Old Style"/>
        </w:rPr>
        <w:t>previsto</w:t>
      </w:r>
      <w:r w:rsidRPr="00026F1E">
        <w:rPr>
          <w:rFonts w:ascii="Bookman Old Style" w:hAnsi="Bookman Old Style"/>
        </w:rPr>
        <w:t xml:space="preserve"> en el Código de Comercio. </w:t>
      </w:r>
    </w:p>
    <w:p w14:paraId="0A66F475"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 </w:t>
      </w:r>
    </w:p>
    <w:p w14:paraId="2ABCE9CC" w14:textId="77777777" w:rsidR="005836EB" w:rsidRPr="00026F1E" w:rsidRDefault="005836EB" w:rsidP="00EF792E">
      <w:pPr>
        <w:pStyle w:val="Default"/>
        <w:ind w:left="708"/>
        <w:jc w:val="both"/>
        <w:rPr>
          <w:rFonts w:ascii="Bookman Old Style" w:hAnsi="Bookman Old Style"/>
        </w:rPr>
      </w:pPr>
      <w:r w:rsidRPr="00026F1E">
        <w:rPr>
          <w:rFonts w:ascii="Bookman Old Style" w:hAnsi="Bookman Old Style"/>
          <w:b/>
          <w:bCs/>
        </w:rPr>
        <w:t xml:space="preserve">3.3 CONDICIONES DE CONEXIÓN  </w:t>
      </w:r>
    </w:p>
    <w:p w14:paraId="2C6200EA" w14:textId="77777777" w:rsidR="005836EB" w:rsidRPr="00026F1E" w:rsidRDefault="005836EB" w:rsidP="00EF792E">
      <w:pPr>
        <w:pStyle w:val="Default"/>
        <w:ind w:left="708"/>
        <w:jc w:val="both"/>
        <w:rPr>
          <w:rFonts w:ascii="Bookman Old Style" w:hAnsi="Bookman Old Style"/>
        </w:rPr>
      </w:pPr>
    </w:p>
    <w:p w14:paraId="46C9E7A0" w14:textId="3528EF9B"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Cuando la naturaleza del equipo de gas del </w:t>
      </w:r>
      <w:r w:rsidR="00450937" w:rsidRPr="00026F1E">
        <w:rPr>
          <w:rFonts w:ascii="Bookman Old Style" w:hAnsi="Bookman Old Style"/>
        </w:rPr>
        <w:t>R</w:t>
      </w:r>
      <w:r w:rsidR="00553D30" w:rsidRPr="00026F1E">
        <w:rPr>
          <w:rFonts w:ascii="Bookman Old Style" w:hAnsi="Bookman Old Style"/>
        </w:rPr>
        <w:t xml:space="preserve">emitente </w:t>
      </w:r>
      <w:r w:rsidRPr="00026F1E">
        <w:rPr>
          <w:rFonts w:ascii="Bookman Old Style" w:hAnsi="Bookman Old Style"/>
        </w:rPr>
        <w:t xml:space="preserve">pueda ocasionar contrapresión o succión, u otros efectos que sean nocivos al Sistema, tales como pulsaciones, vibración y caídas de presión en el Sistema; el </w:t>
      </w:r>
      <w:r w:rsidR="00450937" w:rsidRPr="00026F1E">
        <w:rPr>
          <w:rFonts w:ascii="Bookman Old Style" w:hAnsi="Bookman Old Style"/>
        </w:rPr>
        <w:t>R</w:t>
      </w:r>
      <w:r w:rsidR="00553D30" w:rsidRPr="00026F1E">
        <w:rPr>
          <w:rFonts w:ascii="Bookman Old Style" w:hAnsi="Bookman Old Style"/>
        </w:rPr>
        <w:t xml:space="preserve">emitente </w:t>
      </w:r>
      <w:r w:rsidRPr="00026F1E">
        <w:rPr>
          <w:rFonts w:ascii="Bookman Old Style" w:hAnsi="Bookman Old Style"/>
        </w:rPr>
        <w:t xml:space="preserve">deberá suministrar, instalar y mantener dispositivos protectores apropiados que eviten las posibles fallas, o mitiguen sus efectos a niveles aceptados internacionalmente, los cuales estarán sujetos a inspección y aprobación por parte del </w:t>
      </w:r>
      <w:r w:rsidR="005B47E8" w:rsidRPr="00026F1E">
        <w:rPr>
          <w:rFonts w:ascii="Bookman Old Style" w:hAnsi="Bookman Old Style"/>
        </w:rPr>
        <w:t>T</w:t>
      </w:r>
      <w:r w:rsidR="00553D30" w:rsidRPr="00026F1E">
        <w:rPr>
          <w:rFonts w:ascii="Bookman Old Style" w:hAnsi="Bookman Old Style"/>
        </w:rPr>
        <w:t>ransportador</w:t>
      </w:r>
      <w:r w:rsidRPr="00026F1E">
        <w:rPr>
          <w:rFonts w:ascii="Bookman Old Style" w:hAnsi="Bookman Old Style"/>
        </w:rPr>
        <w:t xml:space="preserve">, quién respetará el principio de neutralidad en tales procedimientos. </w:t>
      </w:r>
    </w:p>
    <w:p w14:paraId="4AC7BE11" w14:textId="77777777" w:rsidR="005836EB" w:rsidRPr="00026F1E" w:rsidRDefault="005836EB" w:rsidP="00EF792E">
      <w:pPr>
        <w:pStyle w:val="Default"/>
        <w:ind w:left="708"/>
        <w:jc w:val="both"/>
        <w:rPr>
          <w:rFonts w:ascii="Bookman Old Style" w:hAnsi="Bookman Old Style"/>
        </w:rPr>
      </w:pPr>
    </w:p>
    <w:p w14:paraId="6BD35CF4" w14:textId="37BAB0A2"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Los perjuicios que por esta causa se puedan presentar en un Sistema de Transporte serán a cargo del Remitente. Si una vez detectados estos daños, estos persisten, el </w:t>
      </w:r>
      <w:r w:rsidR="005B47E8" w:rsidRPr="00026F1E">
        <w:rPr>
          <w:rFonts w:ascii="Bookman Old Style" w:hAnsi="Bookman Old Style"/>
        </w:rPr>
        <w:t>T</w:t>
      </w:r>
      <w:r w:rsidR="00553D30" w:rsidRPr="00026F1E">
        <w:rPr>
          <w:rFonts w:ascii="Bookman Old Style" w:hAnsi="Bookman Old Style"/>
        </w:rPr>
        <w:t xml:space="preserve">ransportador </w:t>
      </w:r>
      <w:r w:rsidRPr="00026F1E">
        <w:rPr>
          <w:rFonts w:ascii="Bookman Old Style" w:hAnsi="Bookman Old Style"/>
        </w:rPr>
        <w:t xml:space="preserve">tiene derecho a suspender el servicio. Lo mismo aplicará cuando por las razones descritas anteriormente no sea posible realizar una medición dentro de lo exigido en la presente </w:t>
      </w:r>
      <w:r w:rsidR="00553D30" w:rsidRPr="00026F1E">
        <w:rPr>
          <w:rFonts w:ascii="Bookman Old Style" w:hAnsi="Bookman Old Style"/>
        </w:rPr>
        <w:t>resolución</w:t>
      </w:r>
      <w:r w:rsidRPr="00026F1E">
        <w:rPr>
          <w:rFonts w:ascii="Bookman Old Style" w:hAnsi="Bookman Old Style"/>
        </w:rPr>
        <w:t xml:space="preserve">, o aquellas normas que </w:t>
      </w:r>
      <w:r w:rsidR="00553D30" w:rsidRPr="00026F1E">
        <w:rPr>
          <w:rFonts w:ascii="Bookman Old Style" w:hAnsi="Bookman Old Style"/>
        </w:rPr>
        <w:t xml:space="preserve">la </w:t>
      </w:r>
      <w:r w:rsidRPr="00026F1E">
        <w:rPr>
          <w:rFonts w:ascii="Bookman Old Style" w:hAnsi="Bookman Old Style"/>
        </w:rPr>
        <w:t>modifiquen</w:t>
      </w:r>
      <w:r w:rsidR="00553D30" w:rsidRPr="00026F1E">
        <w:rPr>
          <w:rFonts w:ascii="Bookman Old Style" w:hAnsi="Bookman Old Style"/>
        </w:rPr>
        <w:t xml:space="preserve">, </w:t>
      </w:r>
      <w:r w:rsidRPr="00026F1E">
        <w:rPr>
          <w:rFonts w:ascii="Bookman Old Style" w:hAnsi="Bookman Old Style"/>
        </w:rPr>
        <w:t>adicionen</w:t>
      </w:r>
      <w:r w:rsidR="00553D30" w:rsidRPr="00026F1E">
        <w:rPr>
          <w:rFonts w:ascii="Bookman Old Style" w:hAnsi="Bookman Old Style"/>
        </w:rPr>
        <w:t xml:space="preserve"> o sustituyan</w:t>
      </w:r>
      <w:r w:rsidRPr="00026F1E">
        <w:rPr>
          <w:rFonts w:ascii="Bookman Old Style" w:hAnsi="Bookman Old Style"/>
        </w:rPr>
        <w:t xml:space="preserve">. </w:t>
      </w:r>
    </w:p>
    <w:p w14:paraId="26A1E11F" w14:textId="77777777" w:rsidR="005836EB" w:rsidRPr="00026F1E" w:rsidRDefault="005836EB" w:rsidP="00EF792E">
      <w:pPr>
        <w:pStyle w:val="Default"/>
        <w:ind w:left="708"/>
        <w:jc w:val="both"/>
        <w:rPr>
          <w:rFonts w:ascii="Bookman Old Style" w:hAnsi="Bookman Old Style"/>
        </w:rPr>
      </w:pPr>
    </w:p>
    <w:p w14:paraId="2B462C11" w14:textId="58DCFA1F"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Las </w:t>
      </w:r>
      <w:r w:rsidR="00553D30" w:rsidRPr="00026F1E">
        <w:rPr>
          <w:rFonts w:ascii="Bookman Old Style" w:hAnsi="Bookman Old Style"/>
        </w:rPr>
        <w:t xml:space="preserve">conexiones </w:t>
      </w:r>
      <w:r w:rsidRPr="00026F1E">
        <w:rPr>
          <w:rFonts w:ascii="Bookman Old Style" w:hAnsi="Bookman Old Style"/>
        </w:rPr>
        <w:t xml:space="preserve">a Puntos de Salida deberán incluir los mecanismos que permitan establecer la calidad del gas tomado, de acuerdo con las especificaciones y la metodología de monitoreo que acuerden mutuamente el </w:t>
      </w:r>
      <w:r w:rsidR="005B47E8" w:rsidRPr="00026F1E">
        <w:rPr>
          <w:rFonts w:ascii="Bookman Old Style" w:hAnsi="Bookman Old Style"/>
        </w:rPr>
        <w:t>T</w:t>
      </w:r>
      <w:r w:rsidR="00553D30" w:rsidRPr="00026F1E">
        <w:rPr>
          <w:rFonts w:ascii="Bookman Old Style" w:hAnsi="Bookman Old Style"/>
        </w:rPr>
        <w:t xml:space="preserve">ransportador </w:t>
      </w:r>
      <w:r w:rsidRPr="00026F1E">
        <w:rPr>
          <w:rFonts w:ascii="Bookman Old Style" w:hAnsi="Bookman Old Style"/>
        </w:rPr>
        <w:t xml:space="preserve">y el </w:t>
      </w:r>
      <w:r w:rsidR="00450937" w:rsidRPr="00026F1E">
        <w:rPr>
          <w:rFonts w:ascii="Bookman Old Style" w:hAnsi="Bookman Old Style"/>
        </w:rPr>
        <w:t>R</w:t>
      </w:r>
      <w:r w:rsidR="00553D30" w:rsidRPr="00026F1E">
        <w:rPr>
          <w:rFonts w:ascii="Bookman Old Style" w:hAnsi="Bookman Old Style"/>
        </w:rPr>
        <w:t>emitente</w:t>
      </w:r>
      <w:r w:rsidRPr="00026F1E">
        <w:rPr>
          <w:rFonts w:ascii="Bookman Old Style" w:hAnsi="Bookman Old Style"/>
        </w:rPr>
        <w:t xml:space="preserve">. El costo de los equipos de monitoreo, en los casos en que se requiera, será cubierto por el </w:t>
      </w:r>
      <w:r w:rsidRPr="009E42C9">
        <w:rPr>
          <w:rFonts w:ascii="Bookman Old Style" w:hAnsi="Bookman Old Style"/>
        </w:rPr>
        <w:t>Remitente.</w:t>
      </w:r>
      <w:r w:rsidRPr="00026F1E">
        <w:rPr>
          <w:rFonts w:ascii="Bookman Old Style" w:hAnsi="Bookman Old Style"/>
        </w:rPr>
        <w:t xml:space="preserve"> </w:t>
      </w:r>
    </w:p>
    <w:p w14:paraId="3E155ECB" w14:textId="77777777" w:rsidR="005836EB" w:rsidRPr="00026F1E" w:rsidRDefault="005836EB" w:rsidP="00EF792E">
      <w:pPr>
        <w:pStyle w:val="Default"/>
        <w:ind w:left="708"/>
        <w:jc w:val="both"/>
        <w:rPr>
          <w:rFonts w:ascii="Bookman Old Style" w:hAnsi="Bookman Old Style"/>
        </w:rPr>
      </w:pPr>
    </w:p>
    <w:p w14:paraId="54E26AAF" w14:textId="4445396E"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El Transportador no estará obligado a proporcionar el Servicio de Transporte hasta tanto las Instalaciones del Remitente cumplan con los requerimientos de las normas técnicas y de seguridad vigentes, así como lo exigido en la presente </w:t>
      </w:r>
      <w:r w:rsidR="009E42C9">
        <w:rPr>
          <w:rFonts w:ascii="Bookman Old Style" w:hAnsi="Bookman Old Style"/>
        </w:rPr>
        <w:t>r</w:t>
      </w:r>
      <w:r w:rsidRPr="00026F1E">
        <w:rPr>
          <w:rFonts w:ascii="Bookman Old Style" w:hAnsi="Bookman Old Style"/>
        </w:rPr>
        <w:t>esolución, o aquellas</w:t>
      </w:r>
      <w:r w:rsidR="00A703B1">
        <w:rPr>
          <w:rFonts w:ascii="Bookman Old Style" w:hAnsi="Bookman Old Style"/>
        </w:rPr>
        <w:t xml:space="preserve"> normas</w:t>
      </w:r>
      <w:r w:rsidRPr="00026F1E">
        <w:rPr>
          <w:rFonts w:ascii="Bookman Old Style" w:hAnsi="Bookman Old Style"/>
        </w:rPr>
        <w:t xml:space="preserve"> </w:t>
      </w:r>
      <w:r w:rsidRPr="009E42C9">
        <w:rPr>
          <w:rFonts w:ascii="Bookman Old Style" w:hAnsi="Bookman Old Style"/>
        </w:rPr>
        <w:t xml:space="preserve">que lo modifiquen </w:t>
      </w:r>
      <w:r w:rsidR="00BC157A" w:rsidRPr="009E42C9">
        <w:rPr>
          <w:rFonts w:ascii="Bookman Old Style" w:hAnsi="Bookman Old Style"/>
        </w:rPr>
        <w:t>,</w:t>
      </w:r>
      <w:r w:rsidRPr="009E42C9">
        <w:rPr>
          <w:rFonts w:ascii="Bookman Old Style" w:hAnsi="Bookman Old Style"/>
        </w:rPr>
        <w:t>adicionen</w:t>
      </w:r>
      <w:r w:rsidR="00BC157A" w:rsidRPr="009E42C9">
        <w:rPr>
          <w:rFonts w:ascii="Bookman Old Style" w:hAnsi="Bookman Old Style"/>
        </w:rPr>
        <w:t xml:space="preserve"> o sustituyan</w:t>
      </w:r>
      <w:r w:rsidRPr="009E42C9">
        <w:rPr>
          <w:rFonts w:ascii="Bookman Old Style" w:hAnsi="Bookman Old Style"/>
        </w:rPr>
        <w:t>. El Transportador podrá rehusa</w:t>
      </w:r>
      <w:r w:rsidRPr="00026F1E">
        <w:rPr>
          <w:rFonts w:ascii="Bookman Old Style" w:hAnsi="Bookman Old Style"/>
        </w:rPr>
        <w:t xml:space="preserve">rse a prestar el Servicio de Transporte, o suspender la prestación del mismo cuando encuentre que tal instalación o parte de la misma no cumple con las normas técnicas y de seguridad para recibir el servicio correspondiente. </w:t>
      </w:r>
    </w:p>
    <w:p w14:paraId="0D23ACB8" w14:textId="77777777" w:rsidR="005836EB" w:rsidRPr="00026F1E" w:rsidRDefault="005836EB" w:rsidP="00EF792E">
      <w:pPr>
        <w:pStyle w:val="Default"/>
        <w:ind w:left="708"/>
        <w:jc w:val="both"/>
        <w:rPr>
          <w:rFonts w:ascii="Bookman Old Style" w:hAnsi="Bookman Old Style"/>
        </w:rPr>
      </w:pPr>
    </w:p>
    <w:p w14:paraId="6A62393B" w14:textId="77777777" w:rsidR="009E42C9" w:rsidRDefault="005836EB" w:rsidP="00EF792E">
      <w:pPr>
        <w:pStyle w:val="Default"/>
        <w:ind w:left="708"/>
        <w:jc w:val="both"/>
        <w:rPr>
          <w:rFonts w:ascii="Bookman Old Style" w:hAnsi="Bookman Old Style"/>
        </w:rPr>
      </w:pPr>
      <w:r w:rsidRPr="00026F1E">
        <w:rPr>
          <w:rFonts w:ascii="Bookman Old Style" w:hAnsi="Bookman Old Style"/>
        </w:rPr>
        <w:t xml:space="preserve">El Transportador estará obligado a inspeccionar las Conexiones de un Agente antes o en el momento de conectarlo al Sistema de Transporte, y una vez conectado, periódicamente y con intervalos no superiores a cinco años, o a solicitud del Agente, verificando el cumplimiento de las normas técnicas y de seguridad. </w:t>
      </w:r>
    </w:p>
    <w:p w14:paraId="4C2151DD" w14:textId="77777777" w:rsidR="005C2084" w:rsidRDefault="005C2084" w:rsidP="00EF792E">
      <w:pPr>
        <w:pStyle w:val="Default"/>
        <w:ind w:left="708"/>
        <w:jc w:val="both"/>
        <w:rPr>
          <w:rFonts w:ascii="Bookman Old Style" w:hAnsi="Bookman Old Style"/>
        </w:rPr>
      </w:pPr>
    </w:p>
    <w:p w14:paraId="2CA5CCF6" w14:textId="4AB900E9" w:rsidR="005836EB" w:rsidRPr="00026F1E" w:rsidRDefault="005836EB" w:rsidP="00EF792E">
      <w:pPr>
        <w:pStyle w:val="Default"/>
        <w:ind w:left="708"/>
        <w:jc w:val="both"/>
        <w:rPr>
          <w:rFonts w:ascii="Bookman Old Style" w:hAnsi="Bookman Old Style"/>
        </w:rPr>
      </w:pPr>
      <w:r w:rsidRPr="00026F1E">
        <w:rPr>
          <w:rFonts w:ascii="Bookman Old Style" w:hAnsi="Bookman Old Style"/>
        </w:rPr>
        <w:t xml:space="preserve">El </w:t>
      </w:r>
      <w:r w:rsidR="005B47E8" w:rsidRPr="00026F1E">
        <w:rPr>
          <w:rFonts w:ascii="Bookman Old Style" w:hAnsi="Bookman Old Style"/>
        </w:rPr>
        <w:t>T</w:t>
      </w:r>
      <w:r w:rsidR="00553D30" w:rsidRPr="00026F1E">
        <w:rPr>
          <w:rFonts w:ascii="Bookman Old Style" w:hAnsi="Bookman Old Style"/>
        </w:rPr>
        <w:t xml:space="preserve">ransportador </w:t>
      </w:r>
      <w:r w:rsidRPr="00026F1E">
        <w:rPr>
          <w:rFonts w:ascii="Bookman Old Style" w:hAnsi="Bookman Old Style"/>
        </w:rPr>
        <w:t xml:space="preserve">realizará las pruebas que sean necesarias de conformidad con las normas técnicas aplicables, a fin de garantizar el cumplimiento de las condiciones </w:t>
      </w:r>
      <w:r w:rsidR="009E42C9">
        <w:rPr>
          <w:rFonts w:ascii="Bookman Old Style" w:hAnsi="Bookman Old Style"/>
        </w:rPr>
        <w:t xml:space="preserve">definidas en </w:t>
      </w:r>
      <w:r w:rsidRPr="00026F1E">
        <w:rPr>
          <w:rFonts w:ascii="Bookman Old Style" w:hAnsi="Bookman Old Style"/>
        </w:rPr>
        <w:t xml:space="preserve">la presente </w:t>
      </w:r>
      <w:r w:rsidR="009E42C9">
        <w:rPr>
          <w:rFonts w:ascii="Bookman Old Style" w:hAnsi="Bookman Old Style"/>
        </w:rPr>
        <w:t>r</w:t>
      </w:r>
      <w:r w:rsidRPr="00026F1E">
        <w:rPr>
          <w:rFonts w:ascii="Bookman Old Style" w:hAnsi="Bookman Old Style"/>
        </w:rPr>
        <w:t>esolución, o a</w:t>
      </w:r>
      <w:r w:rsidR="00553D30" w:rsidRPr="00026F1E">
        <w:rPr>
          <w:rFonts w:ascii="Bookman Old Style" w:hAnsi="Bookman Old Style"/>
        </w:rPr>
        <w:t>quellas normas que la modifiquen, adicionen o sustituyan</w:t>
      </w:r>
      <w:r w:rsidRPr="00026F1E">
        <w:rPr>
          <w:rFonts w:ascii="Bookman Old Style" w:hAnsi="Bookman Old Style"/>
        </w:rPr>
        <w:t xml:space="preserve">. El costo de </w:t>
      </w:r>
      <w:r w:rsidRPr="00026F1E">
        <w:rPr>
          <w:rFonts w:ascii="Bookman Old Style" w:hAnsi="Bookman Old Style"/>
        </w:rPr>
        <w:lastRenderedPageBreak/>
        <w:t xml:space="preserve">las pruebas que se requieran para la puesta en servicio de la conexión, estará a cargo del </w:t>
      </w:r>
      <w:r w:rsidR="00553D30" w:rsidRPr="00026F1E">
        <w:rPr>
          <w:rFonts w:ascii="Bookman Old Style" w:hAnsi="Bookman Old Style"/>
        </w:rPr>
        <w:t xml:space="preserve">propietario </w:t>
      </w:r>
      <w:r w:rsidRPr="00026F1E">
        <w:rPr>
          <w:rFonts w:ascii="Bookman Old Style" w:hAnsi="Bookman Old Style"/>
        </w:rPr>
        <w:t xml:space="preserve">de la misma. El </w:t>
      </w:r>
      <w:r w:rsidR="00553D30" w:rsidRPr="00026F1E">
        <w:rPr>
          <w:rFonts w:ascii="Bookman Old Style" w:hAnsi="Bookman Old Style"/>
        </w:rPr>
        <w:t xml:space="preserve">transportador </w:t>
      </w:r>
      <w:r w:rsidRPr="00026F1E">
        <w:rPr>
          <w:rFonts w:ascii="Bookman Old Style" w:hAnsi="Bookman Old Style"/>
        </w:rPr>
        <w:t xml:space="preserve">deberá colocar una etiqueta visible donde conste la </w:t>
      </w:r>
      <w:r w:rsidR="007C59DC">
        <w:rPr>
          <w:rFonts w:ascii="Bookman Old Style" w:hAnsi="Bookman Old Style"/>
        </w:rPr>
        <w:t>fecha de revisión</w:t>
      </w:r>
      <w:r w:rsidRPr="00026F1E">
        <w:rPr>
          <w:rFonts w:ascii="Bookman Old Style" w:hAnsi="Bookman Old Style"/>
        </w:rPr>
        <w:t xml:space="preserve">. </w:t>
      </w:r>
    </w:p>
    <w:p w14:paraId="6FB4C318" w14:textId="77777777" w:rsidR="00654439" w:rsidRPr="00026F1E" w:rsidRDefault="00654439" w:rsidP="00EF792E">
      <w:pPr>
        <w:pStyle w:val="Default"/>
        <w:ind w:left="708"/>
        <w:jc w:val="both"/>
        <w:rPr>
          <w:rFonts w:ascii="Bookman Old Style" w:hAnsi="Bookman Old Style"/>
        </w:rPr>
      </w:pPr>
    </w:p>
    <w:p w14:paraId="04AD65BC" w14:textId="77777777" w:rsidR="000B63D6" w:rsidRPr="00026F1E" w:rsidRDefault="00EF792E" w:rsidP="009E42C9">
      <w:pPr>
        <w:pStyle w:val="ARTICULOS"/>
        <w:keepNext/>
        <w:numPr>
          <w:ilvl w:val="0"/>
          <w:numId w:val="49"/>
        </w:numPr>
        <w:tabs>
          <w:tab w:val="left" w:pos="1560"/>
        </w:tabs>
        <w:ind w:left="142" w:firstLine="0"/>
        <w:outlineLvl w:val="0"/>
      </w:pPr>
      <w:r w:rsidRPr="00026F1E">
        <w:rPr>
          <w:b/>
        </w:rPr>
        <w:t>MEDICIÓN Y FACTURACIÓN</w:t>
      </w:r>
      <w:r w:rsidRPr="00026F1E">
        <w:t xml:space="preserve">. </w:t>
      </w:r>
      <w:r w:rsidR="00A831D2" w:rsidRPr="00026F1E">
        <w:t xml:space="preserve">Se modifican </w:t>
      </w:r>
      <w:r w:rsidR="008944D6" w:rsidRPr="00026F1E">
        <w:t>las secciones</w:t>
      </w:r>
      <w:r w:rsidR="00E16FE9" w:rsidRPr="00026F1E">
        <w:rPr>
          <w:lang w:val="es-CO"/>
        </w:rPr>
        <w:t xml:space="preserve"> </w:t>
      </w:r>
      <w:r w:rsidR="008944D6" w:rsidRPr="00026F1E">
        <w:t xml:space="preserve">5.2.1, 5.2.3, 5.2.4, 5.3, 5.3.1, 5.3.2, 5.3.3, 5.3.4, 5.3.5, 5.4.1, 5.4.2, 5.4.3, 5.4.4, 5.4.5, 5.4.6, </w:t>
      </w:r>
      <w:r w:rsidR="00E16FE9" w:rsidRPr="00026F1E">
        <w:rPr>
          <w:lang w:val="es-CO"/>
        </w:rPr>
        <w:t xml:space="preserve">5.5, </w:t>
      </w:r>
      <w:r w:rsidR="008944D6" w:rsidRPr="00026F1E">
        <w:t xml:space="preserve">5.5.1, </w:t>
      </w:r>
      <w:r w:rsidR="00E16FE9" w:rsidRPr="00026F1E">
        <w:rPr>
          <w:lang w:val="es-CO"/>
        </w:rPr>
        <w:t xml:space="preserve">5.5.3, </w:t>
      </w:r>
      <w:r w:rsidR="008944D6" w:rsidRPr="00026F1E">
        <w:t xml:space="preserve">5.5.3.1, 5.5.3.2, 5.5.6, </w:t>
      </w:r>
      <w:r w:rsidR="00E16FE9" w:rsidRPr="00026F1E">
        <w:rPr>
          <w:lang w:val="es-CO"/>
        </w:rPr>
        <w:t xml:space="preserve">5.6, </w:t>
      </w:r>
      <w:r w:rsidR="008944D6" w:rsidRPr="00026F1E">
        <w:t>5.6.1, 5.6.2</w:t>
      </w:r>
      <w:r w:rsidR="000B63D6" w:rsidRPr="00026F1E">
        <w:t xml:space="preserve">, </w:t>
      </w:r>
      <w:r w:rsidR="00180DAC" w:rsidRPr="00026F1E">
        <w:rPr>
          <w:lang w:val="es-CO"/>
        </w:rPr>
        <w:t xml:space="preserve">y se adiciona 5.6.3 </w:t>
      </w:r>
      <w:r w:rsidR="000B63D6" w:rsidRPr="00026F1E">
        <w:t xml:space="preserve">del Anexo General de la Resolución CREG 071 de 1999, </w:t>
      </w:r>
      <w:r w:rsidR="00B11846" w:rsidRPr="00026F1E">
        <w:t>quedarán así:</w:t>
      </w:r>
    </w:p>
    <w:p w14:paraId="0B249413" w14:textId="77777777" w:rsidR="00B11846" w:rsidRPr="00026F1E" w:rsidRDefault="00B11846" w:rsidP="00B11846">
      <w:pPr>
        <w:pStyle w:val="ARTICULOS"/>
        <w:numPr>
          <w:ilvl w:val="0"/>
          <w:numId w:val="0"/>
        </w:numPr>
        <w:ind w:firstLine="1"/>
        <w:rPr>
          <w:lang w:val="es-CO"/>
        </w:rPr>
      </w:pPr>
    </w:p>
    <w:p w14:paraId="155147EA"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5.1 MEDICIÓN</w:t>
      </w:r>
    </w:p>
    <w:p w14:paraId="6A409986" w14:textId="2EB91C69"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Las mediciones volumétricas y la determinación de los mecanismos y procedimientos que permitan establecer la calidad del gas y su contenido energético deberán efectuarse en todas las Estaciones para Transferencia de Custodia del Sistema Nacional de Transporte según lo establecido en la presente </w:t>
      </w:r>
      <w:r w:rsidR="009E42C9">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9E42C9">
        <w:rPr>
          <w:rFonts w:ascii="Bookman Old Style" w:hAnsi="Bookman Old Style"/>
        </w:rPr>
        <w:t xml:space="preserve">a modifiquen, </w:t>
      </w:r>
      <w:r w:rsidRPr="00026F1E">
        <w:rPr>
          <w:rFonts w:ascii="Bookman Old Style" w:hAnsi="Bookman Old Style"/>
        </w:rPr>
        <w:t>adicionen</w:t>
      </w:r>
      <w:r w:rsidR="009E42C9">
        <w:rPr>
          <w:rFonts w:ascii="Bookman Old Style" w:hAnsi="Bookman Old Style"/>
        </w:rPr>
        <w:t xml:space="preserve"> o sustituyan</w:t>
      </w:r>
      <w:r w:rsidRPr="00026F1E">
        <w:rPr>
          <w:rFonts w:ascii="Bookman Old Style" w:hAnsi="Bookman Old Style"/>
        </w:rPr>
        <w:t xml:space="preserve">, </w:t>
      </w:r>
      <w:r w:rsidRPr="00026F1E">
        <w:rPr>
          <w:rFonts w:ascii="Bookman Old Style" w:hAnsi="Bookman Old Style"/>
          <w:bCs/>
          <w:iCs/>
        </w:rPr>
        <w:t xml:space="preserve">incluyendo la norma técnica </w:t>
      </w:r>
      <w:r w:rsidRPr="009E42C9">
        <w:rPr>
          <w:rFonts w:ascii="Bookman Old Style" w:hAnsi="Bookman Old Style"/>
          <w:bCs/>
          <w:iCs/>
        </w:rPr>
        <w:t>NTC 6167 de 2016</w:t>
      </w:r>
      <w:r w:rsidR="00641CFB" w:rsidRPr="009E42C9">
        <w:rPr>
          <w:rFonts w:ascii="Bookman Old Style" w:hAnsi="Bookman Old Style"/>
        </w:rPr>
        <w:t>, o aquellas que l</w:t>
      </w:r>
      <w:r w:rsidR="009E42C9" w:rsidRPr="009E42C9">
        <w:rPr>
          <w:rFonts w:ascii="Bookman Old Style" w:hAnsi="Bookman Old Style"/>
        </w:rPr>
        <w:t xml:space="preserve">a modifiquen, </w:t>
      </w:r>
      <w:r w:rsidR="00641CFB" w:rsidRPr="009E42C9">
        <w:rPr>
          <w:rFonts w:ascii="Bookman Old Style" w:hAnsi="Bookman Old Style"/>
        </w:rPr>
        <w:t>adicionen</w:t>
      </w:r>
      <w:r w:rsidR="009E42C9" w:rsidRPr="009E42C9">
        <w:rPr>
          <w:rFonts w:ascii="Bookman Old Style" w:hAnsi="Bookman Old Style"/>
        </w:rPr>
        <w:t xml:space="preserve"> o sustituyan</w:t>
      </w:r>
      <w:r w:rsidRPr="009E42C9">
        <w:rPr>
          <w:rFonts w:ascii="Bookman Old Style" w:hAnsi="Bookman Old Style"/>
          <w:bCs/>
          <w:iCs/>
        </w:rPr>
        <w:t>.</w:t>
      </w:r>
      <w:r w:rsidRPr="00026F1E">
        <w:rPr>
          <w:rFonts w:ascii="Bookman Old Style" w:hAnsi="Bookman Old Style"/>
        </w:rPr>
        <w:t xml:space="preserve"> </w:t>
      </w:r>
    </w:p>
    <w:p w14:paraId="4B4E8864" w14:textId="77777777" w:rsidR="00B11846" w:rsidRPr="00026F1E" w:rsidRDefault="00B11846" w:rsidP="00EF792E">
      <w:pPr>
        <w:pStyle w:val="Default"/>
        <w:ind w:left="708"/>
        <w:jc w:val="both"/>
        <w:rPr>
          <w:rFonts w:ascii="Bookman Old Style" w:hAnsi="Bookman Old Style"/>
        </w:rPr>
      </w:pPr>
    </w:p>
    <w:p w14:paraId="1ED32E96" w14:textId="34263A84" w:rsidR="00B11846" w:rsidRPr="00026F1E" w:rsidRDefault="00B11846" w:rsidP="00180DAC">
      <w:pPr>
        <w:pStyle w:val="Default"/>
        <w:ind w:left="708"/>
        <w:jc w:val="both"/>
        <w:rPr>
          <w:rFonts w:ascii="Bookman Old Style" w:hAnsi="Bookman Old Style"/>
        </w:rPr>
      </w:pPr>
      <w:r w:rsidRPr="00026F1E">
        <w:rPr>
          <w:rFonts w:ascii="Bookman Old Style" w:hAnsi="Bookman Old Style"/>
        </w:rPr>
        <w:t xml:space="preserve">Donde exista </w:t>
      </w:r>
      <w:r w:rsidR="005B47E8" w:rsidRPr="00026F1E">
        <w:rPr>
          <w:rFonts w:ascii="Bookman Old Style" w:hAnsi="Bookman Old Style"/>
        </w:rPr>
        <w:t>telemetría</w:t>
      </w:r>
      <w:r w:rsidRPr="00026F1E">
        <w:rPr>
          <w:rFonts w:ascii="Bookman Old Style" w:hAnsi="Bookman Old Style"/>
        </w:rPr>
        <w:t xml:space="preserve">, la medición de estos parámetros se efectuará en línea sobre una base horaria o aquella que determine el Transportador. Para aquellas Estaciones en las cuales todavía no esté implementada la Telemetría, la determinación de volúmenes transportados, variaciones y desbalances de energía se realizará por parte del </w:t>
      </w:r>
      <w:r w:rsidR="00CF0A9D">
        <w:rPr>
          <w:rFonts w:ascii="Bookman Old Style" w:hAnsi="Bookman Old Style"/>
        </w:rPr>
        <w:t xml:space="preserve">Centro Principal de Control, </w:t>
      </w:r>
      <w:r w:rsidRPr="00026F1E">
        <w:rPr>
          <w:rFonts w:ascii="Bookman Old Style" w:hAnsi="Bookman Old Style"/>
        </w:rPr>
        <w:t xml:space="preserve">CPC, de forma tal que permita el cierre diario de la operación. Una vez se obtengan las mediciones correspondientes a las Estaciones que no dispongan de Telemetría, se efectuarán los ajustes del caso mediante proceso de reconciliación. </w:t>
      </w:r>
    </w:p>
    <w:p w14:paraId="26AEE432" w14:textId="77777777" w:rsidR="00B11846" w:rsidRPr="00026F1E" w:rsidRDefault="00B11846" w:rsidP="00EF792E">
      <w:pPr>
        <w:pStyle w:val="Default"/>
        <w:ind w:left="708"/>
        <w:jc w:val="both"/>
        <w:rPr>
          <w:rFonts w:ascii="Bookman Old Style" w:hAnsi="Bookman Old Style"/>
        </w:rPr>
      </w:pPr>
    </w:p>
    <w:p w14:paraId="1E751261" w14:textId="1E03063F"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La medición o determinación, según sea el caso, de los parámetros establecidos en el presente Reglamento en las Estaciones para Transferencia de Custodia del Sistema Nacional de Transporte será</w:t>
      </w:r>
      <w:r w:rsidR="007C59DC">
        <w:rPr>
          <w:rFonts w:ascii="Bookman Old Style" w:hAnsi="Bookman Old Style"/>
        </w:rPr>
        <w:t xml:space="preserve"> realizada por el Transportador</w:t>
      </w:r>
      <w:r w:rsidRPr="00026F1E">
        <w:rPr>
          <w:rFonts w:ascii="Bookman Old Style" w:hAnsi="Bookman Old Style"/>
        </w:rPr>
        <w:t xml:space="preserve">. </w:t>
      </w:r>
    </w:p>
    <w:p w14:paraId="0C4EE045"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48FE600D" w14:textId="1BEC5515"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 xml:space="preserve">5.2.1 </w:t>
      </w:r>
      <w:r w:rsidR="00B00841" w:rsidRPr="00026F1E">
        <w:rPr>
          <w:rFonts w:ascii="Bookman Old Style" w:hAnsi="Bookman Old Style"/>
          <w:b/>
          <w:bCs/>
        </w:rPr>
        <w:t xml:space="preserve">Medición </w:t>
      </w:r>
      <w:r w:rsidRPr="00026F1E">
        <w:rPr>
          <w:rFonts w:ascii="Bookman Old Style" w:hAnsi="Bookman Old Style"/>
          <w:b/>
          <w:bCs/>
        </w:rPr>
        <w:t>de Cantidades de Energía y de Calidad de gas en Estaciones de Transferencia de Custodia, de Entrada</w:t>
      </w:r>
    </w:p>
    <w:p w14:paraId="61B7BA46" w14:textId="77777777" w:rsidR="00B11846" w:rsidRPr="00026F1E" w:rsidRDefault="00B11846" w:rsidP="00EF792E">
      <w:pPr>
        <w:pStyle w:val="Default"/>
        <w:ind w:left="708"/>
        <w:jc w:val="both"/>
        <w:rPr>
          <w:rFonts w:ascii="Bookman Old Style" w:hAnsi="Bookman Old Style"/>
        </w:rPr>
      </w:pPr>
    </w:p>
    <w:p w14:paraId="6492A542" w14:textId="69B45135" w:rsidR="009E42C9" w:rsidRDefault="00B11846" w:rsidP="00EF792E">
      <w:pPr>
        <w:pStyle w:val="Default"/>
        <w:ind w:left="708"/>
        <w:jc w:val="both"/>
        <w:rPr>
          <w:rFonts w:ascii="Bookman Old Style" w:hAnsi="Bookman Old Style"/>
        </w:rPr>
      </w:pPr>
      <w:r w:rsidRPr="00026F1E">
        <w:rPr>
          <w:rFonts w:ascii="Bookman Old Style" w:hAnsi="Bookman Old Style"/>
        </w:rPr>
        <w:t xml:space="preserve">Para </w:t>
      </w:r>
      <w:r w:rsidR="00B00841" w:rsidRPr="00026F1E">
        <w:rPr>
          <w:rFonts w:ascii="Bookman Old Style" w:hAnsi="Bookman Old Style"/>
        </w:rPr>
        <w:t xml:space="preserve">medir </w:t>
      </w:r>
      <w:r w:rsidRPr="00026F1E">
        <w:rPr>
          <w:rFonts w:ascii="Bookman Old Style" w:hAnsi="Bookman Old Style"/>
        </w:rPr>
        <w:t>las Cantidades de Energía y medir la Calidad del Gas en las</w:t>
      </w:r>
      <w:r w:rsidR="009E42C9">
        <w:rPr>
          <w:rFonts w:ascii="Bookman Old Style" w:hAnsi="Bookman Old Style"/>
        </w:rPr>
        <w:t xml:space="preserve"> Estaciones de Transferencia de </w:t>
      </w:r>
      <w:r w:rsidRPr="00026F1E">
        <w:rPr>
          <w:rFonts w:ascii="Bookman Old Style" w:hAnsi="Bookman Old Style"/>
        </w:rPr>
        <w:t>Custodia, de Entrada, el Productor-Comercializador deberá disponer, a su costo, de todos los equipos en línea requeridos para medir el volumen y la calidad, según lo dispuesto en</w:t>
      </w:r>
      <w:r w:rsidR="00A703B1">
        <w:rPr>
          <w:rFonts w:ascii="Bookman Old Style" w:hAnsi="Bookman Old Style"/>
        </w:rPr>
        <w:t xml:space="preserve"> el numeral 6.3 de la presente r</w:t>
      </w:r>
      <w:r w:rsidRPr="00026F1E">
        <w:rPr>
          <w:rFonts w:ascii="Bookman Old Style" w:hAnsi="Bookman Old Style"/>
        </w:rPr>
        <w:t>esolución, o aquellas</w:t>
      </w:r>
      <w:r w:rsidR="00A703B1">
        <w:rPr>
          <w:rFonts w:ascii="Bookman Old Style" w:hAnsi="Bookman Old Style"/>
        </w:rPr>
        <w:t xml:space="preserve"> normas que la modifiquen, </w:t>
      </w:r>
      <w:r w:rsidRPr="00026F1E">
        <w:rPr>
          <w:rFonts w:ascii="Bookman Old Style" w:hAnsi="Bookman Old Style"/>
        </w:rPr>
        <w:t>adicionen</w:t>
      </w:r>
      <w:r w:rsidR="00A703B1">
        <w:rPr>
          <w:rFonts w:ascii="Bookman Old Style" w:hAnsi="Bookman Old Style"/>
        </w:rPr>
        <w:t xml:space="preserve"> o sustituyan</w:t>
      </w:r>
      <w:r w:rsidRPr="00026F1E">
        <w:rPr>
          <w:rFonts w:ascii="Bookman Old Style" w:hAnsi="Bookman Old Style"/>
        </w:rPr>
        <w:t>; y será responsable de la operación y mantenimiento de los mismos.</w:t>
      </w:r>
    </w:p>
    <w:p w14:paraId="7DFAD3D0" w14:textId="77777777" w:rsidR="009E42C9" w:rsidRDefault="009E42C9" w:rsidP="00EF792E">
      <w:pPr>
        <w:pStyle w:val="Default"/>
        <w:ind w:left="708"/>
        <w:jc w:val="both"/>
        <w:rPr>
          <w:rFonts w:ascii="Bookman Old Style" w:hAnsi="Bookman Old Style"/>
        </w:rPr>
      </w:pPr>
    </w:p>
    <w:p w14:paraId="6071EA51" w14:textId="7430689A"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El Transportador será el responsable de la medición en línea para determinar la cantidad de energía y verificar la calidad del gas en las Estaciones de Transferencia de Custodia de Entrada. El Productor-Comercializador deberá contar con toda la información en línea requerida por el Transportador y permitirle el acceso a la misma para la medición.</w:t>
      </w:r>
    </w:p>
    <w:p w14:paraId="0D370BEE" w14:textId="77777777" w:rsidR="00B11846" w:rsidRPr="005C2084" w:rsidRDefault="00B11846" w:rsidP="00EF792E">
      <w:pPr>
        <w:pStyle w:val="Default"/>
        <w:ind w:left="708"/>
        <w:rPr>
          <w:rFonts w:ascii="Bookman Old Style" w:hAnsi="Bookman Old Style"/>
          <w:sz w:val="32"/>
        </w:rPr>
      </w:pPr>
      <w:r w:rsidRPr="00026F1E">
        <w:rPr>
          <w:rFonts w:ascii="Bookman Old Style" w:hAnsi="Bookman Old Style"/>
        </w:rPr>
        <w:t xml:space="preserve"> </w:t>
      </w:r>
    </w:p>
    <w:p w14:paraId="417928E5" w14:textId="77777777" w:rsidR="00673C7D" w:rsidRDefault="00673C7D" w:rsidP="00EF792E">
      <w:pPr>
        <w:pStyle w:val="Default"/>
        <w:ind w:left="708"/>
        <w:jc w:val="both"/>
        <w:rPr>
          <w:rFonts w:ascii="Bookman Old Style" w:hAnsi="Bookman Old Style"/>
          <w:b/>
          <w:bCs/>
        </w:rPr>
      </w:pPr>
    </w:p>
    <w:p w14:paraId="13D16F86" w14:textId="45B1B22C"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 xml:space="preserve">5.2.3 </w:t>
      </w:r>
      <w:r w:rsidR="00B00841" w:rsidRPr="00026F1E">
        <w:rPr>
          <w:rFonts w:ascii="Bookman Old Style" w:hAnsi="Bookman Old Style"/>
          <w:b/>
          <w:bCs/>
        </w:rPr>
        <w:t xml:space="preserve">Medición </w:t>
      </w:r>
      <w:r w:rsidRPr="00026F1E">
        <w:rPr>
          <w:rFonts w:ascii="Bookman Old Style" w:hAnsi="Bookman Old Style"/>
          <w:b/>
          <w:bCs/>
        </w:rPr>
        <w:t>de Cantidades de Energía de Calidad del Gas en Estaciones de Transferencia de Custodia, de Salida</w:t>
      </w:r>
    </w:p>
    <w:p w14:paraId="64B014C9" w14:textId="77777777" w:rsidR="00B11846" w:rsidRPr="00026F1E" w:rsidRDefault="00B11846" w:rsidP="00EF792E">
      <w:pPr>
        <w:pStyle w:val="Default"/>
        <w:ind w:left="708"/>
        <w:jc w:val="both"/>
        <w:rPr>
          <w:rFonts w:ascii="Bookman Old Style" w:hAnsi="Bookman Old Style"/>
        </w:rPr>
      </w:pPr>
    </w:p>
    <w:p w14:paraId="521A4A32" w14:textId="2F44E589" w:rsidR="00B11846" w:rsidRDefault="00B11846" w:rsidP="00EF792E">
      <w:pPr>
        <w:pStyle w:val="Default"/>
        <w:ind w:left="708"/>
        <w:jc w:val="both"/>
        <w:rPr>
          <w:rFonts w:ascii="Bookman Old Style" w:hAnsi="Bookman Old Style"/>
        </w:rPr>
      </w:pPr>
      <w:r w:rsidRPr="00026F1E">
        <w:rPr>
          <w:rFonts w:ascii="Bookman Old Style" w:hAnsi="Bookman Old Style"/>
        </w:rPr>
        <w:t xml:space="preserve">La </w:t>
      </w:r>
      <w:r w:rsidR="00B00841" w:rsidRPr="00026F1E">
        <w:rPr>
          <w:rFonts w:ascii="Bookman Old Style" w:hAnsi="Bookman Old Style"/>
        </w:rPr>
        <w:t xml:space="preserve">medición </w:t>
      </w:r>
      <w:r w:rsidRPr="00026F1E">
        <w:rPr>
          <w:rFonts w:ascii="Bookman Old Style" w:hAnsi="Bookman Old Style"/>
        </w:rPr>
        <w:t>de las Cantidades de Energía y la de Calidad del Gas en Estaciones de Salida se establecerá de acuerdo con las especificaciones, periodicidad y metodología de monitoreo que acuerden mutuamente el Transportador y el Remitente, considerando</w:t>
      </w:r>
      <w:r w:rsidR="00A703B1">
        <w:rPr>
          <w:rFonts w:ascii="Bookman Old Style" w:hAnsi="Bookman Old Style"/>
        </w:rPr>
        <w:t xml:space="preserve"> lo establecido en la presente r</w:t>
      </w:r>
      <w:r w:rsidRPr="00026F1E">
        <w:rPr>
          <w:rFonts w:ascii="Bookman Old Style" w:hAnsi="Bookman Old Style"/>
        </w:rPr>
        <w:t xml:space="preserve">esolución, o aquellas </w:t>
      </w:r>
      <w:r w:rsidR="00A703B1">
        <w:rPr>
          <w:rFonts w:ascii="Bookman Old Style" w:hAnsi="Bookman Old Style"/>
        </w:rPr>
        <w:t>normas que la modifiquen,</w:t>
      </w:r>
      <w:r w:rsidRPr="00026F1E">
        <w:rPr>
          <w:rFonts w:ascii="Bookman Old Style" w:hAnsi="Bookman Old Style"/>
        </w:rPr>
        <w:t xml:space="preserve"> adicionen</w:t>
      </w:r>
      <w:r w:rsidR="00A703B1">
        <w:rPr>
          <w:rFonts w:ascii="Bookman Old Style" w:hAnsi="Bookman Old Style"/>
        </w:rPr>
        <w:t xml:space="preserve"> o sustituyan</w:t>
      </w:r>
      <w:r w:rsidRPr="00026F1E">
        <w:rPr>
          <w:rFonts w:ascii="Bookman Old Style" w:hAnsi="Bookman Old Style"/>
        </w:rPr>
        <w:t xml:space="preserve">. El costo de los equipos de monitoreo, en los casos en que se requiera será cubierto por los Remitentes. La responsabilidad de la determinación de Cantidades de Energía será del Transportador. </w:t>
      </w:r>
    </w:p>
    <w:p w14:paraId="1A9CD564" w14:textId="77777777" w:rsidR="009E42C9" w:rsidRPr="00026F1E" w:rsidRDefault="009E42C9" w:rsidP="00EF792E">
      <w:pPr>
        <w:pStyle w:val="Default"/>
        <w:ind w:left="708"/>
        <w:jc w:val="both"/>
        <w:rPr>
          <w:rFonts w:ascii="Bookman Old Style" w:hAnsi="Bookman Old Style"/>
        </w:rPr>
      </w:pPr>
    </w:p>
    <w:p w14:paraId="085DC9E7" w14:textId="47CE55F2"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Los Sistemas de Medición para cualquier Remitente deberán proporcionar registros exactos (cumpliendo con los requisitos de error máximo permisible) </w:t>
      </w:r>
      <w:r w:rsidR="00B00841" w:rsidRPr="00026F1E">
        <w:rPr>
          <w:rFonts w:ascii="Bookman Old Style" w:hAnsi="Bookman Old Style"/>
        </w:rPr>
        <w:t>especificados en la</w:t>
      </w:r>
      <w:r w:rsidR="00504477">
        <w:rPr>
          <w:rFonts w:ascii="Bookman Old Style" w:hAnsi="Bookman Old Style"/>
        </w:rPr>
        <w:t xml:space="preserve"> norma técnica</w:t>
      </w:r>
      <w:r w:rsidR="00B00841" w:rsidRPr="00026F1E">
        <w:rPr>
          <w:rFonts w:ascii="Bookman Old Style" w:hAnsi="Bookman Old Style"/>
        </w:rPr>
        <w:t xml:space="preserve"> NTC 6167 </w:t>
      </w:r>
      <w:r w:rsidR="00180DAC" w:rsidRPr="00026F1E">
        <w:rPr>
          <w:rFonts w:ascii="Bookman Old Style" w:hAnsi="Bookman Old Style"/>
        </w:rPr>
        <w:t xml:space="preserve">de 2016 </w:t>
      </w:r>
      <w:r w:rsidR="00B00841" w:rsidRPr="00026F1E">
        <w:rPr>
          <w:rFonts w:ascii="Bookman Old Style" w:hAnsi="Bookman Old Style" w:cs="Arial"/>
        </w:rPr>
        <w:t>o aquellas que l</w:t>
      </w:r>
      <w:r w:rsidR="00504477">
        <w:rPr>
          <w:rFonts w:ascii="Bookman Old Style" w:hAnsi="Bookman Old Style" w:cs="Arial"/>
        </w:rPr>
        <w:t xml:space="preserve">a modifiquen, </w:t>
      </w:r>
      <w:r w:rsidR="00B00841" w:rsidRPr="00026F1E">
        <w:rPr>
          <w:rFonts w:ascii="Bookman Old Style" w:hAnsi="Bookman Old Style" w:cs="Arial"/>
        </w:rPr>
        <w:t>adicionen</w:t>
      </w:r>
      <w:r w:rsidR="00504477">
        <w:rPr>
          <w:rFonts w:ascii="Bookman Old Style" w:hAnsi="Bookman Old Style" w:cs="Arial"/>
        </w:rPr>
        <w:t xml:space="preserve"> o sustituyan</w:t>
      </w:r>
      <w:r w:rsidR="00B00841" w:rsidRPr="00026F1E">
        <w:rPr>
          <w:rFonts w:ascii="Bookman Old Style" w:hAnsi="Bookman Old Style"/>
        </w:rPr>
        <w:t xml:space="preserve"> </w:t>
      </w:r>
      <w:r w:rsidRPr="00026F1E">
        <w:rPr>
          <w:rFonts w:ascii="Bookman Old Style" w:hAnsi="Bookman Old Style"/>
        </w:rPr>
        <w:t xml:space="preserve">y con trazabilidad en las mediciones, adecuados a los efectos de la facturación, así mismo, estos registros deberán ser enviados a los </w:t>
      </w:r>
      <w:r w:rsidR="00504477">
        <w:rPr>
          <w:rFonts w:ascii="Bookman Old Style" w:hAnsi="Bookman Old Style"/>
        </w:rPr>
        <w:t xml:space="preserve">Centros Principales de Control, </w:t>
      </w:r>
      <w:r w:rsidRPr="00504477">
        <w:rPr>
          <w:rFonts w:ascii="Bookman Old Style" w:hAnsi="Bookman Old Style"/>
        </w:rPr>
        <w:t>CPC</w:t>
      </w:r>
      <w:r w:rsidR="00504477">
        <w:rPr>
          <w:rFonts w:ascii="Bookman Old Style" w:hAnsi="Bookman Old Style"/>
        </w:rPr>
        <w:t>,</w:t>
      </w:r>
      <w:r w:rsidRPr="00026F1E">
        <w:rPr>
          <w:rFonts w:ascii="Bookman Old Style" w:hAnsi="Bookman Old Style"/>
        </w:rPr>
        <w:t xml:space="preserve"> a través de Equipos de Telemetría. El </w:t>
      </w:r>
      <w:r w:rsidR="00450937" w:rsidRPr="00026F1E">
        <w:rPr>
          <w:rFonts w:ascii="Bookman Old Style" w:hAnsi="Bookman Old Style"/>
        </w:rPr>
        <w:t>R</w:t>
      </w:r>
      <w:r w:rsidRPr="00026F1E">
        <w:rPr>
          <w:rFonts w:ascii="Bookman Old Style" w:hAnsi="Bookman Old Style"/>
        </w:rPr>
        <w:t>emitente deberá disponer, a su costo, de todos los equipos para medir el volumen y la calidad de manera remota en las Estaciones de Salida”.</w:t>
      </w:r>
    </w:p>
    <w:p w14:paraId="11174E61" w14:textId="77777777" w:rsidR="00B11846" w:rsidRPr="005C2084" w:rsidRDefault="00B11846" w:rsidP="00EF792E">
      <w:pPr>
        <w:pStyle w:val="Default"/>
        <w:ind w:left="708"/>
        <w:rPr>
          <w:rFonts w:ascii="Bookman Old Style" w:hAnsi="Bookman Old Style"/>
          <w:sz w:val="36"/>
        </w:rPr>
      </w:pPr>
      <w:r w:rsidRPr="00026F1E">
        <w:rPr>
          <w:rFonts w:ascii="Bookman Old Style" w:hAnsi="Bookman Old Style"/>
        </w:rPr>
        <w:t xml:space="preserve"> </w:t>
      </w:r>
    </w:p>
    <w:p w14:paraId="440BFED8" w14:textId="77777777" w:rsidR="00026F1E" w:rsidRPr="00026F1E" w:rsidRDefault="00026F1E" w:rsidP="00026F1E">
      <w:pPr>
        <w:spacing w:after="160" w:line="259" w:lineRule="auto"/>
        <w:ind w:left="708"/>
        <w:jc w:val="both"/>
        <w:rPr>
          <w:rFonts w:eastAsiaTheme="minorHAnsi" w:cstheme="minorBidi"/>
          <w:b/>
          <w:szCs w:val="22"/>
          <w:lang w:val="es-CO" w:eastAsia="en-US"/>
        </w:rPr>
      </w:pPr>
      <w:r w:rsidRPr="00026F1E">
        <w:rPr>
          <w:rFonts w:eastAsiaTheme="minorHAnsi" w:cstheme="minorBidi"/>
          <w:b/>
          <w:szCs w:val="22"/>
          <w:lang w:val="es-CO" w:eastAsia="en-US"/>
        </w:rPr>
        <w:t>5.2.4 Medición de Cantidades de Energía y medición de Calidad del Gas en Estaciones de Transferencia de Custodia, entre Transportadores</w:t>
      </w:r>
    </w:p>
    <w:p w14:paraId="7AFB06BF" w14:textId="77777777" w:rsidR="00504477" w:rsidRDefault="00026F1E" w:rsidP="00026F1E">
      <w:pPr>
        <w:spacing w:after="160" w:line="259" w:lineRule="auto"/>
        <w:ind w:left="708"/>
        <w:jc w:val="both"/>
        <w:rPr>
          <w:rFonts w:eastAsiaTheme="minorHAnsi" w:cstheme="minorBidi"/>
          <w:szCs w:val="22"/>
          <w:lang w:val="es-CO" w:eastAsia="en-US"/>
        </w:rPr>
      </w:pPr>
      <w:r w:rsidRPr="00026F1E">
        <w:rPr>
          <w:rFonts w:eastAsiaTheme="minorHAnsi" w:cstheme="minorBidi"/>
          <w:szCs w:val="22"/>
          <w:lang w:val="es-CO" w:eastAsia="en-US"/>
        </w:rPr>
        <w:t>Para medir las Cantidades de Energía y medir la Calidad del Gas en Estaciones de Transferencia de Custodia entre Transportadores, el propietario de la Estación de Transferencia de Custodia deberá disponer, a su costo, de todos los equipos en línea requeridos para medir las cantidades de energía y medir la calidad según lo disp</w:t>
      </w:r>
      <w:r w:rsidRPr="00504477">
        <w:rPr>
          <w:rFonts w:eastAsiaTheme="minorHAnsi" w:cstheme="minorBidi"/>
          <w:szCs w:val="22"/>
          <w:lang w:val="es-CO" w:eastAsia="en-US"/>
        </w:rPr>
        <w:t>uesto en el numeral 6.3 de la presente resolución, o aquellas normas que l</w:t>
      </w:r>
      <w:r w:rsidR="00504477" w:rsidRPr="00504477">
        <w:rPr>
          <w:rFonts w:eastAsiaTheme="minorHAnsi" w:cstheme="minorBidi"/>
          <w:szCs w:val="22"/>
          <w:lang w:val="es-CO" w:eastAsia="en-US"/>
        </w:rPr>
        <w:t>a</w:t>
      </w:r>
      <w:r w:rsidRPr="00504477">
        <w:rPr>
          <w:rFonts w:eastAsiaTheme="minorHAnsi" w:cstheme="minorBidi"/>
          <w:szCs w:val="22"/>
          <w:lang w:val="es-CO" w:eastAsia="en-US"/>
        </w:rPr>
        <w:t xml:space="preserve"> modifiquen</w:t>
      </w:r>
      <w:r w:rsidR="00504477" w:rsidRPr="00504477">
        <w:rPr>
          <w:rFonts w:eastAsiaTheme="minorHAnsi" w:cstheme="minorBidi"/>
          <w:szCs w:val="22"/>
          <w:lang w:val="es-CO" w:eastAsia="en-US"/>
        </w:rPr>
        <w:t>, adicionen o sustituyan</w:t>
      </w:r>
      <w:r w:rsidRPr="00504477">
        <w:rPr>
          <w:rFonts w:eastAsiaTheme="minorHAnsi" w:cstheme="minorBidi"/>
          <w:szCs w:val="22"/>
          <w:lang w:val="es-CO" w:eastAsia="en-US"/>
        </w:rPr>
        <w:t>;</w:t>
      </w:r>
      <w:r w:rsidRPr="00026F1E">
        <w:rPr>
          <w:rFonts w:eastAsiaTheme="minorHAnsi" w:cstheme="minorBidi"/>
          <w:szCs w:val="22"/>
          <w:lang w:val="es-CO" w:eastAsia="en-US"/>
        </w:rPr>
        <w:t xml:space="preserve"> y será responsable de la operación y mantenimiento de los mismos. </w:t>
      </w:r>
    </w:p>
    <w:p w14:paraId="1B3C74CB" w14:textId="0B3EBF5B" w:rsidR="00026F1E" w:rsidRPr="00026F1E" w:rsidRDefault="00026F1E" w:rsidP="00026F1E">
      <w:pPr>
        <w:spacing w:after="160" w:line="259" w:lineRule="auto"/>
        <w:ind w:left="708"/>
        <w:jc w:val="both"/>
        <w:rPr>
          <w:rFonts w:eastAsiaTheme="minorHAnsi" w:cstheme="minorBidi"/>
          <w:szCs w:val="22"/>
          <w:lang w:val="es-CO" w:eastAsia="en-US"/>
        </w:rPr>
      </w:pPr>
      <w:r w:rsidRPr="00026F1E">
        <w:rPr>
          <w:rFonts w:eastAsiaTheme="minorHAnsi" w:cstheme="minorBidi"/>
          <w:szCs w:val="22"/>
          <w:lang w:val="es-CO" w:eastAsia="en-US"/>
        </w:rPr>
        <w:t>El Transportador no propietario de la Estación entre Transportadores será el responsable de la medición en línea para determinar la cantidad de energía y verificar la calidad del gas. El propietario de la Estación deberá permitirle al Transportador no propietario de la Estación el acceso a toda la información requerida para la medición”.</w:t>
      </w:r>
    </w:p>
    <w:p w14:paraId="39CC0977" w14:textId="77777777" w:rsidR="005C2084" w:rsidRPr="00026F1E" w:rsidRDefault="005C2084" w:rsidP="00EF792E">
      <w:pPr>
        <w:pStyle w:val="Default"/>
        <w:ind w:left="708"/>
        <w:rPr>
          <w:rFonts w:ascii="Bookman Old Style" w:hAnsi="Bookman Old Style"/>
        </w:rPr>
      </w:pPr>
    </w:p>
    <w:p w14:paraId="6E512584" w14:textId="77777777" w:rsidR="00B11846" w:rsidRPr="00026F1E" w:rsidRDefault="00B11846" w:rsidP="00EF792E">
      <w:pPr>
        <w:pStyle w:val="Default"/>
        <w:ind w:left="708"/>
        <w:jc w:val="both"/>
        <w:rPr>
          <w:rFonts w:ascii="Bookman Old Style" w:hAnsi="Bookman Old Style" w:cs="Arial"/>
          <w:b/>
          <w:bCs/>
        </w:rPr>
      </w:pPr>
      <w:r w:rsidRPr="00026F1E">
        <w:rPr>
          <w:rFonts w:ascii="Bookman Old Style" w:hAnsi="Bookman Old Style" w:cs="Arial"/>
          <w:b/>
          <w:bCs/>
        </w:rPr>
        <w:t>5.3 MEDICIÓN VOLUMÉTRICA</w:t>
      </w:r>
    </w:p>
    <w:p w14:paraId="3A193795" w14:textId="77777777" w:rsidR="00B11846" w:rsidRPr="00026F1E" w:rsidRDefault="00B11846" w:rsidP="00EF792E">
      <w:pPr>
        <w:pStyle w:val="Default"/>
        <w:ind w:left="708"/>
        <w:jc w:val="both"/>
        <w:rPr>
          <w:rFonts w:ascii="Bookman Old Style" w:hAnsi="Bookman Old Style" w:cs="Arial"/>
        </w:rPr>
      </w:pPr>
    </w:p>
    <w:p w14:paraId="74762811" w14:textId="01268C9E" w:rsidR="00B11846" w:rsidRPr="00026F1E" w:rsidRDefault="00B11846" w:rsidP="00EF792E">
      <w:pPr>
        <w:pStyle w:val="Default"/>
        <w:ind w:left="708"/>
        <w:jc w:val="both"/>
        <w:rPr>
          <w:rFonts w:ascii="Bookman Old Style" w:hAnsi="Bookman Old Style" w:cs="Arial"/>
        </w:rPr>
      </w:pPr>
      <w:r w:rsidRPr="00566586">
        <w:rPr>
          <w:rFonts w:ascii="Bookman Old Style" w:hAnsi="Bookman Old Style" w:cs="Arial"/>
        </w:rPr>
        <w:t>El volumen de Gas</w:t>
      </w:r>
      <w:r w:rsidR="00566586">
        <w:rPr>
          <w:rFonts w:ascii="Bookman Old Style" w:hAnsi="Bookman Old Style" w:cs="Arial"/>
        </w:rPr>
        <w:t xml:space="preserve"> </w:t>
      </w:r>
      <w:r w:rsidRPr="00026F1E">
        <w:rPr>
          <w:rFonts w:ascii="Bookman Old Style" w:hAnsi="Bookman Old Style" w:cs="Arial"/>
        </w:rPr>
        <w:t xml:space="preserve">Natural entregado al y tomado del Sistema de Transporte es el calculado por el Transportador a Condiciones Estándar, a partir de los registros del sistema de medición para transferencia de custodia y de las variables determinadas por los equipos de medición establecidos en presente </w:t>
      </w:r>
      <w:r w:rsidR="00450937" w:rsidRPr="00026F1E">
        <w:rPr>
          <w:rFonts w:ascii="Bookman Old Style" w:hAnsi="Bookman Old Style" w:cs="Arial"/>
        </w:rPr>
        <w:t>resolución</w:t>
      </w:r>
      <w:r w:rsidRPr="00026F1E">
        <w:rPr>
          <w:rFonts w:ascii="Bookman Old Style" w:hAnsi="Bookman Old Style" w:cs="Arial"/>
        </w:rPr>
        <w:t>, o aquellas</w:t>
      </w:r>
      <w:r w:rsidR="00A703B1">
        <w:rPr>
          <w:rFonts w:ascii="Bookman Old Style" w:hAnsi="Bookman Old Style" w:cs="Arial"/>
        </w:rPr>
        <w:t xml:space="preserve"> normas</w:t>
      </w:r>
      <w:r w:rsidRPr="00026F1E">
        <w:rPr>
          <w:rFonts w:ascii="Bookman Old Style" w:hAnsi="Bookman Old Style" w:cs="Arial"/>
        </w:rPr>
        <w:t xml:space="preserve"> que l</w:t>
      </w:r>
      <w:r w:rsidR="00504477">
        <w:rPr>
          <w:rFonts w:ascii="Bookman Old Style" w:hAnsi="Bookman Old Style" w:cs="Arial"/>
        </w:rPr>
        <w:t>a</w:t>
      </w:r>
      <w:r w:rsidRPr="00026F1E">
        <w:rPr>
          <w:rFonts w:ascii="Bookman Old Style" w:hAnsi="Bookman Old Style" w:cs="Arial"/>
        </w:rPr>
        <w:t xml:space="preserve"> modifiquen</w:t>
      </w:r>
      <w:r w:rsidR="00504477">
        <w:rPr>
          <w:rFonts w:ascii="Bookman Old Style" w:hAnsi="Bookman Old Style" w:cs="Arial"/>
        </w:rPr>
        <w:t>,</w:t>
      </w:r>
      <w:r w:rsidRPr="00026F1E">
        <w:rPr>
          <w:rFonts w:ascii="Bookman Old Style" w:hAnsi="Bookman Old Style" w:cs="Arial"/>
        </w:rPr>
        <w:t xml:space="preserve">  adicionen</w:t>
      </w:r>
      <w:r w:rsidR="00504477">
        <w:rPr>
          <w:rFonts w:ascii="Bookman Old Style" w:hAnsi="Bookman Old Style" w:cs="Arial"/>
        </w:rPr>
        <w:t xml:space="preserve"> o sustituyan</w:t>
      </w:r>
      <w:r w:rsidRPr="00026F1E">
        <w:rPr>
          <w:rFonts w:ascii="Bookman Old Style" w:hAnsi="Bookman Old Style" w:cs="Arial"/>
        </w:rPr>
        <w:t xml:space="preserve">, o en su defecto por los equipos de medición </w:t>
      </w:r>
      <w:r w:rsidRPr="00026F1E">
        <w:rPr>
          <w:rFonts w:ascii="Bookman Old Style" w:hAnsi="Bookman Old Style" w:cs="Arial"/>
        </w:rPr>
        <w:lastRenderedPageBreak/>
        <w:t>pactados contractualmente, debidamente calibrados, verificados e inspeccionados, empleando los métodos de cálculo establecidos, para cada tecnología específica de medición.</w:t>
      </w:r>
    </w:p>
    <w:p w14:paraId="73EC0551"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 </w:t>
      </w:r>
    </w:p>
    <w:p w14:paraId="4094D90E"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b/>
          <w:bCs/>
        </w:rPr>
        <w:t xml:space="preserve">5.3.1. Sistema de Medición para Transferencia de Custodia. </w:t>
      </w:r>
    </w:p>
    <w:p w14:paraId="2957C5D4" w14:textId="77777777" w:rsidR="00B11846" w:rsidRPr="00026F1E" w:rsidRDefault="00B11846" w:rsidP="00EF792E">
      <w:pPr>
        <w:pStyle w:val="Default"/>
        <w:ind w:left="708"/>
        <w:jc w:val="both"/>
        <w:rPr>
          <w:rFonts w:ascii="Bookman Old Style" w:hAnsi="Bookman Old Style"/>
        </w:rPr>
      </w:pPr>
    </w:p>
    <w:p w14:paraId="274D2464" w14:textId="3EED46B1"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Los Sistemas de Medición para transferencia de custodia emplearán medidores homologados de conformidad con la normativa que se encuentre vigente en el </w:t>
      </w:r>
      <w:r w:rsidR="00566586">
        <w:rPr>
          <w:rFonts w:ascii="Bookman Old Style" w:hAnsi="Bookman Old Style"/>
        </w:rPr>
        <w:t>p</w:t>
      </w:r>
      <w:r w:rsidRPr="00026F1E">
        <w:rPr>
          <w:rFonts w:ascii="Bookman Old Style" w:hAnsi="Bookman Old Style"/>
        </w:rPr>
        <w:t xml:space="preserve">aís y de acuerdo con lo establecido en la presente </w:t>
      </w:r>
      <w:r w:rsidR="00450937" w:rsidRPr="00026F1E">
        <w:rPr>
          <w:rFonts w:ascii="Bookman Old Style" w:hAnsi="Bookman Old Style"/>
        </w:rPr>
        <w:t>resolución</w:t>
      </w:r>
      <w:r w:rsidR="00566586">
        <w:rPr>
          <w:rFonts w:ascii="Bookman Old Style" w:hAnsi="Bookman Old Style"/>
        </w:rPr>
        <w:t>, o aquellas</w:t>
      </w:r>
      <w:r w:rsidR="00A703B1">
        <w:rPr>
          <w:rFonts w:ascii="Bookman Old Style" w:hAnsi="Bookman Old Style"/>
        </w:rPr>
        <w:t xml:space="preserve"> normas</w:t>
      </w:r>
      <w:r w:rsidR="00566586">
        <w:rPr>
          <w:rFonts w:ascii="Bookman Old Style" w:hAnsi="Bookman Old Style"/>
        </w:rPr>
        <w:t xml:space="preserve"> que la modifiquen, </w:t>
      </w:r>
      <w:r w:rsidRPr="00026F1E">
        <w:rPr>
          <w:rFonts w:ascii="Bookman Old Style" w:hAnsi="Bookman Old Style"/>
        </w:rPr>
        <w:t>adicionen</w:t>
      </w:r>
      <w:r w:rsidR="00566586">
        <w:rPr>
          <w:rFonts w:ascii="Bookman Old Style" w:hAnsi="Bookman Old Style"/>
        </w:rPr>
        <w:t xml:space="preserve"> o sustituyan</w:t>
      </w:r>
      <w:r w:rsidRPr="00026F1E">
        <w:rPr>
          <w:rFonts w:ascii="Bookman Old Style" w:hAnsi="Bookman Old Style"/>
        </w:rPr>
        <w:t xml:space="preserve">, y constarán de:  </w:t>
      </w:r>
    </w:p>
    <w:p w14:paraId="5579EA04" w14:textId="77777777" w:rsidR="00B11846" w:rsidRPr="005C2084" w:rsidRDefault="00B11846" w:rsidP="00EF792E">
      <w:pPr>
        <w:pStyle w:val="Default"/>
        <w:ind w:left="708"/>
        <w:jc w:val="both"/>
        <w:rPr>
          <w:rFonts w:ascii="Bookman Old Style" w:hAnsi="Bookman Old Style"/>
          <w:sz w:val="20"/>
        </w:rPr>
      </w:pPr>
    </w:p>
    <w:p w14:paraId="4113858D" w14:textId="56BCDC39" w:rsidR="00B11846" w:rsidRPr="00026F1E" w:rsidRDefault="00B11846" w:rsidP="00EF792E">
      <w:pPr>
        <w:pStyle w:val="Default"/>
        <w:numPr>
          <w:ilvl w:val="0"/>
          <w:numId w:val="31"/>
        </w:numPr>
        <w:ind w:left="1428"/>
        <w:jc w:val="both"/>
        <w:rPr>
          <w:rFonts w:ascii="Bookman Old Style" w:hAnsi="Bookman Old Style"/>
        </w:rPr>
      </w:pPr>
      <w:r w:rsidRPr="00026F1E">
        <w:rPr>
          <w:rFonts w:ascii="Bookman Old Style" w:hAnsi="Bookman Old Style"/>
        </w:rPr>
        <w:t xml:space="preserve">Elemento primario: Es el dispositivo esencial usado para la medición del gas; incluye, pero no está limitado a, medidores tipo placa de orificio, turbinas, ultrasónicos, rotatorios, másicos tipo </w:t>
      </w:r>
      <w:proofErr w:type="spellStart"/>
      <w:r w:rsidR="00460E51">
        <w:rPr>
          <w:rFonts w:ascii="Bookman Old Style" w:hAnsi="Bookman Old Style"/>
        </w:rPr>
        <w:t>c</w:t>
      </w:r>
      <w:r w:rsidRPr="00026F1E">
        <w:rPr>
          <w:rFonts w:ascii="Bookman Old Style" w:hAnsi="Bookman Old Style"/>
        </w:rPr>
        <w:t>oriolis</w:t>
      </w:r>
      <w:proofErr w:type="spellEnd"/>
      <w:r w:rsidRPr="00026F1E">
        <w:rPr>
          <w:rFonts w:ascii="Bookman Old Style" w:hAnsi="Bookman Old Style"/>
        </w:rPr>
        <w:t xml:space="preserve"> o de diafragma.</w:t>
      </w:r>
    </w:p>
    <w:p w14:paraId="24F753DB" w14:textId="77777777" w:rsidR="00B11846" w:rsidRPr="005C2084" w:rsidRDefault="00B11846" w:rsidP="00EF792E">
      <w:pPr>
        <w:pStyle w:val="Default"/>
        <w:ind w:left="1428"/>
        <w:jc w:val="both"/>
        <w:rPr>
          <w:rFonts w:ascii="Bookman Old Style" w:hAnsi="Bookman Old Style"/>
          <w:sz w:val="20"/>
        </w:rPr>
      </w:pPr>
    </w:p>
    <w:p w14:paraId="3F58C609" w14:textId="77777777" w:rsidR="00B11846" w:rsidRPr="00026F1E" w:rsidRDefault="00B11846" w:rsidP="00EF792E">
      <w:pPr>
        <w:pStyle w:val="Default"/>
        <w:numPr>
          <w:ilvl w:val="0"/>
          <w:numId w:val="31"/>
        </w:numPr>
        <w:ind w:left="1428"/>
        <w:jc w:val="both"/>
        <w:rPr>
          <w:rFonts w:ascii="Bookman Old Style" w:hAnsi="Bookman Old Style"/>
        </w:rPr>
      </w:pPr>
      <w:r w:rsidRPr="00026F1E">
        <w:rPr>
          <w:rFonts w:ascii="Bookman Old Style" w:hAnsi="Bookman Old Style"/>
        </w:rPr>
        <w:t xml:space="preserve">Elementos secundarios: Corresponden a los instrumentos de medición asociados, usados para medir determinados </w:t>
      </w:r>
      <w:proofErr w:type="spellStart"/>
      <w:r w:rsidRPr="00026F1E">
        <w:rPr>
          <w:rFonts w:ascii="Bookman Old Style" w:hAnsi="Bookman Old Style"/>
        </w:rPr>
        <w:t>mensurandos</w:t>
      </w:r>
      <w:proofErr w:type="spellEnd"/>
      <w:r w:rsidRPr="00026F1E">
        <w:rPr>
          <w:rFonts w:ascii="Bookman Old Style" w:hAnsi="Bookman Old Style"/>
        </w:rPr>
        <w:t xml:space="preserve"> que son característicos del gas (temperatura, presión, poder calorífico, etc.) y los cuales son usados por el computador de flujo con la finalidad de hacer una corrección y/o una conversión.</w:t>
      </w:r>
    </w:p>
    <w:p w14:paraId="4BB21A11" w14:textId="77777777" w:rsidR="00B11846" w:rsidRPr="005C2084" w:rsidRDefault="00B11846" w:rsidP="00EF792E">
      <w:pPr>
        <w:pStyle w:val="Default"/>
        <w:ind w:left="708"/>
        <w:jc w:val="both"/>
        <w:rPr>
          <w:rFonts w:ascii="Bookman Old Style" w:hAnsi="Bookman Old Style"/>
          <w:sz w:val="20"/>
        </w:rPr>
      </w:pPr>
    </w:p>
    <w:p w14:paraId="0A9ECD01" w14:textId="0281FD7E" w:rsidR="00B11846" w:rsidRPr="00026F1E" w:rsidRDefault="00B11846" w:rsidP="00EF792E">
      <w:pPr>
        <w:pStyle w:val="Default"/>
        <w:numPr>
          <w:ilvl w:val="0"/>
          <w:numId w:val="31"/>
        </w:numPr>
        <w:ind w:left="1428"/>
        <w:jc w:val="both"/>
        <w:rPr>
          <w:rFonts w:ascii="Bookman Old Style" w:hAnsi="Bookman Old Style"/>
        </w:rPr>
      </w:pPr>
      <w:r w:rsidRPr="00026F1E">
        <w:rPr>
          <w:rFonts w:ascii="Bookman Old Style" w:hAnsi="Bookman Old Style"/>
        </w:rPr>
        <w:t xml:space="preserve">Elementos terciarios y dispositivos auxiliares: Corresponden  a la Terminal Remota, el equipo de Telemetría y un Computador de Flujo o unidad correctora de datos, programado para calcular correctamente el flujo, dentro de límites especificados de exactitud e incertidumbre y recibir información del elemento primario y de los elementos secundarios. </w:t>
      </w:r>
    </w:p>
    <w:p w14:paraId="092B5624"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5E944E16"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5.3.2 Propiedad de los Sistemas de Medición para Transferencia de Custodia</w:t>
      </w:r>
    </w:p>
    <w:p w14:paraId="7A8485DE"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b/>
          <w:bCs/>
        </w:rPr>
        <w:t xml:space="preserve"> </w:t>
      </w:r>
    </w:p>
    <w:p w14:paraId="49109AB9"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La propiedad y responsabilidad de los Sistemas de Medición será: </w:t>
      </w:r>
    </w:p>
    <w:p w14:paraId="1D0C7577" w14:textId="77777777" w:rsidR="00B11846" w:rsidRPr="00026F1E" w:rsidRDefault="00B11846" w:rsidP="00EF792E">
      <w:pPr>
        <w:pStyle w:val="Default"/>
        <w:ind w:left="708"/>
        <w:jc w:val="both"/>
        <w:rPr>
          <w:rFonts w:ascii="Bookman Old Style" w:hAnsi="Bookman Old Style"/>
        </w:rPr>
      </w:pPr>
    </w:p>
    <w:p w14:paraId="020309EF" w14:textId="77777777" w:rsidR="00B11846" w:rsidRPr="00026F1E" w:rsidRDefault="00B11846" w:rsidP="00EF792E">
      <w:pPr>
        <w:pStyle w:val="Default"/>
        <w:numPr>
          <w:ilvl w:val="0"/>
          <w:numId w:val="32"/>
        </w:numPr>
        <w:ind w:left="1428"/>
        <w:jc w:val="both"/>
        <w:rPr>
          <w:rFonts w:ascii="Bookman Old Style" w:hAnsi="Bookman Old Style"/>
        </w:rPr>
      </w:pPr>
      <w:r w:rsidRPr="00026F1E">
        <w:rPr>
          <w:rFonts w:ascii="Bookman Old Style" w:hAnsi="Bookman Old Style"/>
        </w:rPr>
        <w:t>Del Productor-Comercializador en la Estación de Entrada;</w:t>
      </w:r>
    </w:p>
    <w:p w14:paraId="49A0D60A" w14:textId="77777777" w:rsidR="00B11846" w:rsidRPr="00026F1E" w:rsidRDefault="00B11846" w:rsidP="00EF792E">
      <w:pPr>
        <w:pStyle w:val="Default"/>
        <w:numPr>
          <w:ilvl w:val="0"/>
          <w:numId w:val="32"/>
        </w:numPr>
        <w:ind w:left="1428"/>
        <w:jc w:val="both"/>
        <w:rPr>
          <w:rFonts w:ascii="Bookman Old Style" w:hAnsi="Bookman Old Style"/>
        </w:rPr>
      </w:pPr>
      <w:r w:rsidRPr="00026F1E">
        <w:rPr>
          <w:rFonts w:ascii="Bookman Old Style" w:hAnsi="Bookman Old Style"/>
        </w:rPr>
        <w:t>Del Remitente en la Estación de Salida;</w:t>
      </w:r>
    </w:p>
    <w:p w14:paraId="3A400AAA" w14:textId="77777777" w:rsidR="00B11846" w:rsidRPr="00026F1E" w:rsidRDefault="00B11846" w:rsidP="00EF792E">
      <w:pPr>
        <w:pStyle w:val="Default"/>
        <w:numPr>
          <w:ilvl w:val="0"/>
          <w:numId w:val="32"/>
        </w:numPr>
        <w:ind w:left="1428"/>
        <w:jc w:val="both"/>
        <w:rPr>
          <w:rFonts w:ascii="Bookman Old Style" w:hAnsi="Bookman Old Style"/>
        </w:rPr>
      </w:pPr>
      <w:r w:rsidRPr="00026F1E">
        <w:rPr>
          <w:rFonts w:ascii="Bookman Old Style" w:hAnsi="Bookman Old Style"/>
        </w:rPr>
        <w:t xml:space="preserve">Del Transportador que se conecta al sistema de transporte existente, en las estaciones de Transferencia entre Transportadores. </w:t>
      </w:r>
    </w:p>
    <w:p w14:paraId="45E5DBBF" w14:textId="77777777" w:rsidR="00B11846" w:rsidRPr="00026F1E" w:rsidRDefault="00B11846" w:rsidP="00EF792E">
      <w:pPr>
        <w:pStyle w:val="Default"/>
        <w:ind w:left="708"/>
        <w:jc w:val="both"/>
        <w:rPr>
          <w:rFonts w:ascii="Bookman Old Style" w:hAnsi="Bookman Old Style"/>
        </w:rPr>
      </w:pPr>
    </w:p>
    <w:p w14:paraId="1E2C0CE0" w14:textId="66314066"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En todos los casos los sistemas y equipos cumplirán con lo previsto en la presente </w:t>
      </w:r>
      <w:r w:rsidR="00460E51">
        <w:rPr>
          <w:rFonts w:ascii="Bookman Old Style" w:hAnsi="Bookman Old Style"/>
        </w:rPr>
        <w:t>r</w:t>
      </w:r>
      <w:r w:rsidRPr="00026F1E">
        <w:rPr>
          <w:rFonts w:ascii="Bookman Old Style" w:hAnsi="Bookman Old Style"/>
        </w:rPr>
        <w:t>esolución, o aquellas normas que l</w:t>
      </w:r>
      <w:r w:rsidR="00460E51">
        <w:rPr>
          <w:rFonts w:ascii="Bookman Old Style" w:hAnsi="Bookman Old Style"/>
        </w:rPr>
        <w:t>a modifiquen,</w:t>
      </w:r>
      <w:r w:rsidRPr="00026F1E">
        <w:rPr>
          <w:rFonts w:ascii="Bookman Old Style" w:hAnsi="Bookman Old Style"/>
        </w:rPr>
        <w:t xml:space="preserve"> adicionen</w:t>
      </w:r>
      <w:r w:rsidR="00460E51">
        <w:rPr>
          <w:rFonts w:ascii="Bookman Old Style" w:hAnsi="Bookman Old Style"/>
        </w:rPr>
        <w:t xml:space="preserve"> o sustituyan</w:t>
      </w:r>
      <w:r w:rsidRPr="00026F1E">
        <w:rPr>
          <w:rFonts w:ascii="Bookman Old Style" w:hAnsi="Bookman Old Style"/>
        </w:rPr>
        <w:t xml:space="preserve">. </w:t>
      </w:r>
    </w:p>
    <w:p w14:paraId="1AF6A2BA" w14:textId="77777777" w:rsidR="00B11846" w:rsidRPr="00026F1E" w:rsidRDefault="00B11846" w:rsidP="00EF792E">
      <w:pPr>
        <w:pStyle w:val="Default"/>
        <w:ind w:left="708"/>
        <w:jc w:val="both"/>
        <w:rPr>
          <w:rFonts w:ascii="Bookman Old Style" w:hAnsi="Bookman Old Style"/>
        </w:rPr>
      </w:pPr>
    </w:p>
    <w:p w14:paraId="02CD79A3"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Transportador podrá rechazar los sistemas y equipos propuestos por los Agentes cuando en forma justificada no cumplan con lo anterior, o cuando puedan afectar la operación de su Sistema de Transporte. Cuando el Transportador adquiera los Sistemas de Medición para Puntos de Salida, trasladará su valor al Agente correspondiente. </w:t>
      </w:r>
    </w:p>
    <w:p w14:paraId="1FC0214F" w14:textId="77777777" w:rsidR="00B11846" w:rsidRPr="00026F1E" w:rsidRDefault="00B11846" w:rsidP="00EF792E">
      <w:pPr>
        <w:pStyle w:val="Default"/>
        <w:ind w:left="708"/>
        <w:jc w:val="both"/>
        <w:rPr>
          <w:rFonts w:ascii="Bookman Old Style" w:hAnsi="Bookman Old Style"/>
        </w:rPr>
      </w:pPr>
    </w:p>
    <w:p w14:paraId="28CA84EE"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Transportador será el responsable de la administración, operación y mantenimiento de los sistemas de medición que se encuentren incluidos </w:t>
      </w:r>
      <w:r w:rsidRPr="00026F1E">
        <w:rPr>
          <w:rFonts w:ascii="Bookman Old Style" w:hAnsi="Bookman Old Style"/>
        </w:rPr>
        <w:lastRenderedPageBreak/>
        <w:t>en la base de activos utilizada para establecer la remuneración de la actividad de transporte de gas natural.</w:t>
      </w:r>
    </w:p>
    <w:p w14:paraId="7C5A75E6"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3569F7C9"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5.3.3. Instalación, Operación y Mantenimiento de los Sistemas de Medición para Transferencia de Custodia</w:t>
      </w:r>
    </w:p>
    <w:p w14:paraId="3D539DFB" w14:textId="77777777" w:rsidR="00B11846" w:rsidRPr="00026F1E" w:rsidRDefault="00B11846" w:rsidP="00EF792E">
      <w:pPr>
        <w:pStyle w:val="Default"/>
        <w:ind w:left="708"/>
        <w:jc w:val="both"/>
        <w:rPr>
          <w:rFonts w:ascii="Bookman Old Style" w:hAnsi="Bookman Old Style"/>
        </w:rPr>
      </w:pPr>
    </w:p>
    <w:p w14:paraId="0A8B12F9" w14:textId="78937FCC" w:rsidR="00460E51" w:rsidRDefault="00B11846" w:rsidP="00EF792E">
      <w:pPr>
        <w:pStyle w:val="Default"/>
        <w:ind w:left="708"/>
        <w:jc w:val="both"/>
        <w:rPr>
          <w:rFonts w:ascii="Bookman Old Style" w:hAnsi="Bookman Old Style"/>
        </w:rPr>
      </w:pPr>
      <w:r w:rsidRPr="00026F1E">
        <w:rPr>
          <w:rFonts w:ascii="Bookman Old Style" w:hAnsi="Bookman Old Style"/>
        </w:rPr>
        <w:t xml:space="preserve">La instalación, Operación y el Mantenimiento de los Sistemas de Medición corresponde al propietario de dichos equipos, a menos que el Agente y el Transportador acuerden lo contrario. En cualquier caso el Transportador inspeccionará la instalación del equipo de medición para asegurar que cumple con los requisitos técnicos establecidos en la presente </w:t>
      </w:r>
      <w:r w:rsidR="00460E51">
        <w:rPr>
          <w:rFonts w:ascii="Bookman Old Style" w:hAnsi="Bookman Old Style"/>
        </w:rPr>
        <w:t>r</w:t>
      </w:r>
      <w:r w:rsidRPr="00026F1E">
        <w:rPr>
          <w:rFonts w:ascii="Bookman Old Style" w:hAnsi="Bookman Old Style"/>
        </w:rPr>
        <w:t>esolución, o aquellas</w:t>
      </w:r>
      <w:r w:rsidR="00A703B1">
        <w:rPr>
          <w:rFonts w:ascii="Bookman Old Style" w:hAnsi="Bookman Old Style"/>
        </w:rPr>
        <w:t xml:space="preserve"> normas que la</w:t>
      </w:r>
      <w:r w:rsidRPr="00026F1E">
        <w:rPr>
          <w:rFonts w:ascii="Bookman Old Style" w:hAnsi="Bookman Old Style"/>
        </w:rPr>
        <w:t xml:space="preserve"> modifiquen</w:t>
      </w:r>
      <w:r w:rsidR="00460E51">
        <w:rPr>
          <w:rFonts w:ascii="Bookman Old Style" w:hAnsi="Bookman Old Style"/>
        </w:rPr>
        <w:t>,</w:t>
      </w:r>
      <w:r w:rsidRPr="00026F1E">
        <w:rPr>
          <w:rFonts w:ascii="Bookman Old Style" w:hAnsi="Bookman Old Style"/>
        </w:rPr>
        <w:t xml:space="preserve"> adicionen</w:t>
      </w:r>
      <w:r w:rsidR="00460E51">
        <w:rPr>
          <w:rFonts w:ascii="Bookman Old Style" w:hAnsi="Bookman Old Style"/>
        </w:rPr>
        <w:t xml:space="preserve"> o sustituyan</w:t>
      </w:r>
      <w:r w:rsidRPr="00026F1E">
        <w:rPr>
          <w:rFonts w:ascii="Bookman Old Style" w:hAnsi="Bookman Old Style"/>
        </w:rPr>
        <w:t xml:space="preserve">. </w:t>
      </w:r>
    </w:p>
    <w:p w14:paraId="4BB02B54" w14:textId="77777777" w:rsidR="00460E51" w:rsidRDefault="00460E51" w:rsidP="00EF792E">
      <w:pPr>
        <w:pStyle w:val="Default"/>
        <w:ind w:left="708"/>
        <w:jc w:val="both"/>
        <w:rPr>
          <w:rFonts w:ascii="Bookman Old Style" w:hAnsi="Bookman Old Style"/>
        </w:rPr>
      </w:pPr>
    </w:p>
    <w:p w14:paraId="4BE0765B" w14:textId="4FE68D3C"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Cuando la instalación del Sistema de Medición no cumpla con dichos requisitos, deberá rechazarse por parte del Transportador o del Agente según sea el caso. Cuando el Transportador efectúe la instalación, operación y el mantenimiento del equipo de medición, trasladará dichos costos al Agente, previo acuerdo con éste. </w:t>
      </w:r>
    </w:p>
    <w:p w14:paraId="7D296888" w14:textId="77777777" w:rsidR="00B11846" w:rsidRPr="00026F1E" w:rsidRDefault="00B11846" w:rsidP="00EF792E">
      <w:pPr>
        <w:pStyle w:val="Default"/>
        <w:ind w:left="708"/>
        <w:rPr>
          <w:rFonts w:ascii="Bookman Old Style" w:hAnsi="Bookman Old Style"/>
        </w:rPr>
      </w:pPr>
    </w:p>
    <w:p w14:paraId="389C23B1"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5.3.4. Reparación y Reposición del Sistema de Medición para Transferencia de Custodia</w:t>
      </w:r>
    </w:p>
    <w:p w14:paraId="5912018F" w14:textId="77777777" w:rsidR="00B11846" w:rsidRPr="00026F1E" w:rsidRDefault="00B11846" w:rsidP="00EF792E">
      <w:pPr>
        <w:pStyle w:val="Default"/>
        <w:ind w:left="708"/>
        <w:jc w:val="both"/>
        <w:rPr>
          <w:rFonts w:ascii="Bookman Old Style" w:hAnsi="Bookman Old Style"/>
        </w:rPr>
      </w:pPr>
    </w:p>
    <w:p w14:paraId="22D2B6FF"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Cuando el Transportador encuentre defectos o problemas operativos y de desempeño en los equipos, que afecten la confiabilidad, la exactitud o la oportunidad de la transmisión de datos del sistema de medición, deberá notificarlo al propietario. </w:t>
      </w:r>
    </w:p>
    <w:p w14:paraId="08C32BA2" w14:textId="77777777" w:rsidR="00B11846" w:rsidRPr="00026F1E" w:rsidRDefault="00B11846" w:rsidP="00EF792E">
      <w:pPr>
        <w:pStyle w:val="Default"/>
        <w:ind w:left="708"/>
        <w:jc w:val="both"/>
        <w:rPr>
          <w:rFonts w:ascii="Bookman Old Style" w:hAnsi="Bookman Old Style"/>
        </w:rPr>
      </w:pPr>
    </w:p>
    <w:p w14:paraId="426D94E8" w14:textId="4D9AA6DA"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Es obligación del Agente hacer reparar o reemplazar los Sistemas de Medición de su propiedad y los Equipos de Telemetría, a satisfacción del Transportador, dentro de los estándares y requisitos técnicos exigidos en la presente Resolución, o aquellas </w:t>
      </w:r>
      <w:r w:rsidR="00A703B1">
        <w:rPr>
          <w:rFonts w:ascii="Bookman Old Style" w:hAnsi="Bookman Old Style"/>
        </w:rPr>
        <w:t>normas que la modifiquen,</w:t>
      </w:r>
      <w:r w:rsidRPr="00026F1E">
        <w:rPr>
          <w:rFonts w:ascii="Bookman Old Style" w:hAnsi="Bookman Old Style"/>
        </w:rPr>
        <w:t xml:space="preserve"> adicionen</w:t>
      </w:r>
      <w:r w:rsidR="00A703B1">
        <w:rPr>
          <w:rFonts w:ascii="Bookman Old Style" w:hAnsi="Bookman Old Style"/>
        </w:rPr>
        <w:t xml:space="preserve"> o sustituyan</w:t>
      </w:r>
      <w:r w:rsidRPr="00026F1E">
        <w:rPr>
          <w:rFonts w:ascii="Bookman Old Style" w:hAnsi="Bookman Old Style"/>
        </w:rPr>
        <w:t xml:space="preserve">, cuando se establezca que el funcionamiento no permite medir en forma adecuada el volumen y la calidad o determinar la energía. </w:t>
      </w:r>
    </w:p>
    <w:p w14:paraId="00F664D2" w14:textId="77777777" w:rsidR="00B11846" w:rsidRPr="00026F1E" w:rsidRDefault="00B11846" w:rsidP="00EF792E">
      <w:pPr>
        <w:pStyle w:val="Default"/>
        <w:ind w:left="708"/>
        <w:jc w:val="both"/>
        <w:rPr>
          <w:rFonts w:ascii="Bookman Old Style" w:hAnsi="Bookman Old Style"/>
        </w:rPr>
      </w:pPr>
    </w:p>
    <w:p w14:paraId="07868C48"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Esta reparación o reemplazo se debe efectuar en un tiempo no superior a un periodo de facturación, contado a partir del recibo de la notificación por parte del Transportador, cuando pasado este período el Agente no tome las acciones necesarias para reparar o reemplazar los equipos de su propiedad, el Transportador podrá hacerlo por cuenta de éste trasladando los costos eficientes a través de la factura de transporte. En caso de que el Agente no cancele este costo el Transportador procederá a retirar el Sistema de Medición y cortar el servicio. </w:t>
      </w:r>
    </w:p>
    <w:p w14:paraId="4FC05E47" w14:textId="77777777" w:rsidR="00B11846" w:rsidRPr="00026F1E" w:rsidRDefault="00B11846" w:rsidP="00EF792E">
      <w:pPr>
        <w:pStyle w:val="Default"/>
        <w:ind w:left="708"/>
        <w:jc w:val="both"/>
        <w:rPr>
          <w:rFonts w:ascii="Bookman Old Style" w:hAnsi="Bookman Old Style"/>
        </w:rPr>
      </w:pPr>
    </w:p>
    <w:p w14:paraId="21EDB102"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Cuando el Sistema de Medición sea de propiedad del Transportador, el mismo podrá ser retirado por el Transportador en cualquier momento después de la terminación del Contrato de Transporte, sin cargo al Remitente. </w:t>
      </w:r>
    </w:p>
    <w:p w14:paraId="36AC6867"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0F2E069F" w14:textId="77777777" w:rsidR="00B11846" w:rsidRDefault="00B11846" w:rsidP="00EF792E">
      <w:pPr>
        <w:pStyle w:val="Default"/>
        <w:ind w:left="708"/>
        <w:jc w:val="both"/>
        <w:rPr>
          <w:rFonts w:ascii="Bookman Old Style" w:hAnsi="Bookman Old Style"/>
          <w:b/>
          <w:bCs/>
        </w:rPr>
      </w:pPr>
      <w:r w:rsidRPr="00026F1E">
        <w:rPr>
          <w:rFonts w:ascii="Bookman Old Style" w:hAnsi="Bookman Old Style"/>
          <w:b/>
          <w:bCs/>
        </w:rPr>
        <w:t>5.3.5. Equipo de Verificación de Medición</w:t>
      </w:r>
    </w:p>
    <w:p w14:paraId="6022BC3F" w14:textId="77777777" w:rsidR="00673C7D" w:rsidRDefault="00673C7D" w:rsidP="00EF792E">
      <w:pPr>
        <w:pStyle w:val="Default"/>
        <w:ind w:left="708"/>
        <w:jc w:val="both"/>
        <w:rPr>
          <w:rFonts w:ascii="Bookman Old Style" w:hAnsi="Bookman Old Style"/>
          <w:b/>
          <w:bCs/>
        </w:rPr>
      </w:pPr>
    </w:p>
    <w:p w14:paraId="2F9C9BAC" w14:textId="77777777" w:rsidR="00673C7D" w:rsidRPr="00026F1E" w:rsidRDefault="00673C7D" w:rsidP="00EF792E">
      <w:pPr>
        <w:pStyle w:val="Default"/>
        <w:ind w:left="708"/>
        <w:jc w:val="both"/>
        <w:rPr>
          <w:rFonts w:ascii="Bookman Old Style" w:hAnsi="Bookman Old Style"/>
          <w:b/>
          <w:bCs/>
        </w:rPr>
      </w:pPr>
    </w:p>
    <w:p w14:paraId="73C0B503" w14:textId="77777777" w:rsidR="00B11846" w:rsidRPr="00026F1E" w:rsidRDefault="00B11846" w:rsidP="00EF792E">
      <w:pPr>
        <w:pStyle w:val="Default"/>
        <w:ind w:left="708"/>
        <w:jc w:val="both"/>
        <w:rPr>
          <w:rFonts w:ascii="Bookman Old Style" w:hAnsi="Bookman Old Style"/>
        </w:rPr>
      </w:pPr>
    </w:p>
    <w:p w14:paraId="42ED1738" w14:textId="4085C5BC"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Los Agentes podrán contar con doble </w:t>
      </w:r>
      <w:r w:rsidR="00450937" w:rsidRPr="00026F1E">
        <w:rPr>
          <w:rFonts w:ascii="Bookman Old Style" w:hAnsi="Bookman Old Style"/>
        </w:rPr>
        <w:t xml:space="preserve">medición </w:t>
      </w:r>
      <w:r w:rsidRPr="00026F1E">
        <w:rPr>
          <w:rFonts w:ascii="Bookman Old Style" w:hAnsi="Bookman Old Style"/>
        </w:rPr>
        <w:t xml:space="preserve">para entregas y tomas de gas, es decir un equipo principal y un equipo de verificación. En tales casos, los dos equipos deben cumplir con todos los estándares y requisitos técnicos exigidos en la 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460E51">
        <w:rPr>
          <w:rFonts w:ascii="Bookman Old Style" w:hAnsi="Bookman Old Style"/>
        </w:rPr>
        <w:t xml:space="preserve">a </w:t>
      </w:r>
      <w:r w:rsidRPr="00026F1E">
        <w:rPr>
          <w:rFonts w:ascii="Bookman Old Style" w:hAnsi="Bookman Old Style"/>
        </w:rPr>
        <w:t>modifiquen adicionen</w:t>
      </w:r>
      <w:r w:rsidR="00460E51">
        <w:rPr>
          <w:rFonts w:ascii="Bookman Old Style" w:hAnsi="Bookman Old Style"/>
        </w:rPr>
        <w:t xml:space="preserve"> o sustituyan</w:t>
      </w:r>
      <w:r w:rsidRPr="00026F1E">
        <w:rPr>
          <w:rFonts w:ascii="Bookman Old Style" w:hAnsi="Bookman Old Style"/>
        </w:rPr>
        <w:t xml:space="preserve">. El equipo de verificación de la </w:t>
      </w:r>
      <w:r w:rsidR="00450937" w:rsidRPr="00026F1E">
        <w:rPr>
          <w:rFonts w:ascii="Bookman Old Style" w:hAnsi="Bookman Old Style"/>
        </w:rPr>
        <w:t xml:space="preserve">medición </w:t>
      </w:r>
      <w:r w:rsidRPr="00026F1E">
        <w:rPr>
          <w:rFonts w:ascii="Bookman Old Style" w:hAnsi="Bookman Old Style"/>
        </w:rPr>
        <w:t xml:space="preserve">tiene las siguientes finalidades: </w:t>
      </w:r>
    </w:p>
    <w:p w14:paraId="1CA0A52C" w14:textId="77777777" w:rsidR="00B11846" w:rsidRPr="00026F1E" w:rsidRDefault="00B11846" w:rsidP="00EF792E">
      <w:pPr>
        <w:pStyle w:val="Default"/>
        <w:ind w:left="708"/>
        <w:jc w:val="both"/>
        <w:rPr>
          <w:rFonts w:ascii="Bookman Old Style" w:hAnsi="Bookman Old Style"/>
        </w:rPr>
      </w:pPr>
    </w:p>
    <w:p w14:paraId="59ED5D0D" w14:textId="66FF90C4" w:rsidR="00B11846" w:rsidRPr="00026F1E" w:rsidRDefault="00B11846" w:rsidP="00EF792E">
      <w:pPr>
        <w:pStyle w:val="Default"/>
        <w:numPr>
          <w:ilvl w:val="0"/>
          <w:numId w:val="33"/>
        </w:numPr>
        <w:ind w:left="1275" w:hanging="567"/>
        <w:jc w:val="both"/>
        <w:rPr>
          <w:rFonts w:ascii="Bookman Old Style" w:hAnsi="Bookman Old Style"/>
        </w:rPr>
      </w:pPr>
      <w:r w:rsidRPr="00026F1E">
        <w:rPr>
          <w:rFonts w:ascii="Bookman Old Style" w:hAnsi="Bookman Old Style"/>
        </w:rPr>
        <w:t xml:space="preserve">Ser utilizado por el Transportador para determinar la facturación cuando el medidor oficial no opere dentro de los requisitos dados en la presente </w:t>
      </w:r>
      <w:r w:rsidR="00460E51">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460E51">
        <w:rPr>
          <w:rFonts w:ascii="Bookman Old Style" w:hAnsi="Bookman Old Style"/>
        </w:rPr>
        <w:t>a</w:t>
      </w:r>
      <w:r w:rsidRPr="00026F1E">
        <w:rPr>
          <w:rFonts w:ascii="Bookman Old Style" w:hAnsi="Bookman Old Style"/>
        </w:rPr>
        <w:t xml:space="preserve"> modifiquen</w:t>
      </w:r>
      <w:r w:rsidR="00460E51">
        <w:rPr>
          <w:rFonts w:ascii="Bookman Old Style" w:hAnsi="Bookman Old Style"/>
        </w:rPr>
        <w:t xml:space="preserve">, </w:t>
      </w:r>
      <w:r w:rsidRPr="00026F1E">
        <w:rPr>
          <w:rFonts w:ascii="Bookman Old Style" w:hAnsi="Bookman Old Style"/>
        </w:rPr>
        <w:t>adicionen</w:t>
      </w:r>
      <w:r w:rsidR="00460E51">
        <w:rPr>
          <w:rFonts w:ascii="Bookman Old Style" w:hAnsi="Bookman Old Style"/>
        </w:rPr>
        <w:t xml:space="preserve"> o sustituyan</w:t>
      </w:r>
      <w:r w:rsidRPr="00026F1E">
        <w:rPr>
          <w:rFonts w:ascii="Bookman Old Style" w:hAnsi="Bookman Old Style"/>
        </w:rPr>
        <w:t xml:space="preserve"> o cuando presente daño. </w:t>
      </w:r>
    </w:p>
    <w:p w14:paraId="0217B449" w14:textId="77777777" w:rsidR="00B11846" w:rsidRPr="00026F1E" w:rsidRDefault="00B11846" w:rsidP="00EF792E">
      <w:pPr>
        <w:pStyle w:val="Default"/>
        <w:numPr>
          <w:ilvl w:val="0"/>
          <w:numId w:val="33"/>
        </w:numPr>
        <w:tabs>
          <w:tab w:val="left" w:pos="567"/>
        </w:tabs>
        <w:ind w:left="1275" w:hanging="567"/>
        <w:jc w:val="both"/>
        <w:rPr>
          <w:rFonts w:ascii="Bookman Old Style" w:hAnsi="Bookman Old Style"/>
        </w:rPr>
      </w:pPr>
      <w:r w:rsidRPr="00026F1E">
        <w:rPr>
          <w:rFonts w:ascii="Bookman Old Style" w:hAnsi="Bookman Old Style"/>
        </w:rPr>
        <w:t xml:space="preserve">Ser utilizado por el Agente para monitorear o evaluar su propio consumo para efectos contables o de control. </w:t>
      </w:r>
    </w:p>
    <w:p w14:paraId="626C11F5" w14:textId="77777777" w:rsidR="00B11846" w:rsidRPr="00026F1E" w:rsidRDefault="00B11846" w:rsidP="00EF792E">
      <w:pPr>
        <w:pStyle w:val="Default"/>
        <w:tabs>
          <w:tab w:val="left" w:pos="567"/>
        </w:tabs>
        <w:ind w:left="1275"/>
        <w:jc w:val="both"/>
        <w:rPr>
          <w:rFonts w:ascii="Bookman Old Style" w:hAnsi="Bookman Old Style"/>
        </w:rPr>
      </w:pPr>
    </w:p>
    <w:p w14:paraId="66F9E21C" w14:textId="3F0406E4"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Los costos de suministro, instalación, mantenimiento y operación del equipo de verificación, serán cubiertos por el Agente que req</w:t>
      </w:r>
      <w:r w:rsidR="00460E51">
        <w:rPr>
          <w:rFonts w:ascii="Bookman Old Style" w:hAnsi="Bookman Old Style"/>
        </w:rPr>
        <w:t>uiera el equipo de verificación</w:t>
      </w:r>
      <w:r w:rsidRPr="00026F1E">
        <w:rPr>
          <w:rFonts w:ascii="Bookman Old Style" w:hAnsi="Bookman Old Style"/>
        </w:rPr>
        <w:t xml:space="preserve">. </w:t>
      </w:r>
    </w:p>
    <w:p w14:paraId="1B64318D"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6DCDBED8"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 xml:space="preserve">5.4.1. Determinación de la Temperatura de Flujo. </w:t>
      </w:r>
    </w:p>
    <w:p w14:paraId="091F4F65" w14:textId="77777777" w:rsidR="00B11846" w:rsidRPr="00026F1E" w:rsidRDefault="00B11846" w:rsidP="00EF792E">
      <w:pPr>
        <w:pStyle w:val="Default"/>
        <w:ind w:left="708"/>
        <w:jc w:val="both"/>
        <w:rPr>
          <w:rFonts w:ascii="Bookman Old Style" w:hAnsi="Bookman Old Style"/>
        </w:rPr>
      </w:pPr>
    </w:p>
    <w:p w14:paraId="113590F6" w14:textId="75619660"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La temperatura de flujo será determinada por el Transportador de acuerdo con los estándares y requisitos técnicos exigidos en la presente </w:t>
      </w:r>
      <w:r w:rsidR="00460E51">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460E51">
        <w:rPr>
          <w:rFonts w:ascii="Bookman Old Style" w:hAnsi="Bookman Old Style"/>
        </w:rPr>
        <w:t>a modifiquen,</w:t>
      </w:r>
      <w:r w:rsidRPr="00026F1E">
        <w:rPr>
          <w:rFonts w:ascii="Bookman Old Style" w:hAnsi="Bookman Old Style"/>
        </w:rPr>
        <w:t xml:space="preserve"> adicionen</w:t>
      </w:r>
      <w:r w:rsidR="00460E51">
        <w:rPr>
          <w:rFonts w:ascii="Bookman Old Style" w:hAnsi="Bookman Old Style"/>
        </w:rPr>
        <w:t xml:space="preserve"> y sustituyan</w:t>
      </w:r>
      <w:r w:rsidRPr="00026F1E">
        <w:rPr>
          <w:rFonts w:ascii="Bookman Old Style" w:hAnsi="Bookman Old Style"/>
        </w:rPr>
        <w:t xml:space="preserve">. </w:t>
      </w:r>
    </w:p>
    <w:p w14:paraId="4F06FAD8"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59D20343" w14:textId="77777777" w:rsidR="00B11846" w:rsidRPr="00026F1E" w:rsidRDefault="00B11846" w:rsidP="00EF792E">
      <w:pPr>
        <w:pStyle w:val="Default"/>
        <w:ind w:left="708"/>
        <w:rPr>
          <w:rFonts w:ascii="Bookman Old Style" w:hAnsi="Bookman Old Style"/>
          <w:b/>
          <w:bCs/>
        </w:rPr>
      </w:pPr>
      <w:r w:rsidRPr="00026F1E">
        <w:rPr>
          <w:rFonts w:ascii="Bookman Old Style" w:hAnsi="Bookman Old Style"/>
          <w:b/>
          <w:bCs/>
        </w:rPr>
        <w:t>5.4.2 Determinación de la presión absoluta de flujo</w:t>
      </w:r>
    </w:p>
    <w:p w14:paraId="68D41687"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b/>
          <w:bCs/>
        </w:rPr>
        <w:t xml:space="preserve"> </w:t>
      </w:r>
    </w:p>
    <w:p w14:paraId="2B71162E" w14:textId="3BD2E5A6"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La presión estática, diferencial y absoluta será determinada por el Transportador de acuerdo con los estándares y requisitos técnicos exigidos en la presente </w:t>
      </w:r>
      <w:r w:rsidR="00460E51">
        <w:rPr>
          <w:rFonts w:ascii="Bookman Old Style" w:hAnsi="Bookman Old Style"/>
        </w:rPr>
        <w:t>r</w:t>
      </w:r>
      <w:r w:rsidRPr="00026F1E">
        <w:rPr>
          <w:rFonts w:ascii="Bookman Old Style" w:hAnsi="Bookman Old Style"/>
        </w:rPr>
        <w:t>esolución, o aquella</w:t>
      </w:r>
      <w:r w:rsidR="00460E51">
        <w:rPr>
          <w:rFonts w:ascii="Bookman Old Style" w:hAnsi="Bookman Old Style"/>
        </w:rPr>
        <w:t>s</w:t>
      </w:r>
      <w:r w:rsidR="00A703B1">
        <w:rPr>
          <w:rFonts w:ascii="Bookman Old Style" w:hAnsi="Bookman Old Style"/>
        </w:rPr>
        <w:t xml:space="preserve"> normas</w:t>
      </w:r>
      <w:r w:rsidR="00460E51">
        <w:rPr>
          <w:rFonts w:ascii="Bookman Old Style" w:hAnsi="Bookman Old Style"/>
        </w:rPr>
        <w:t xml:space="preserve"> que la modifiquen, adicionen y sustituyan</w:t>
      </w:r>
      <w:r w:rsidRPr="00026F1E">
        <w:rPr>
          <w:rFonts w:ascii="Bookman Old Style" w:hAnsi="Bookman Old Style"/>
        </w:rPr>
        <w:t xml:space="preserve">. </w:t>
      </w:r>
    </w:p>
    <w:p w14:paraId="2C6CB416"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61456D82" w14:textId="77777777" w:rsidR="00B11846" w:rsidRPr="00026F1E" w:rsidRDefault="00B11846" w:rsidP="00EF792E">
      <w:pPr>
        <w:pStyle w:val="Default"/>
        <w:ind w:left="708"/>
        <w:rPr>
          <w:rFonts w:ascii="Bookman Old Style" w:hAnsi="Bookman Old Style"/>
          <w:b/>
          <w:bCs/>
        </w:rPr>
      </w:pPr>
      <w:r w:rsidRPr="00026F1E">
        <w:rPr>
          <w:rFonts w:ascii="Bookman Old Style" w:hAnsi="Bookman Old Style"/>
          <w:b/>
          <w:bCs/>
        </w:rPr>
        <w:t>5.4.3 Determinación del Factor de Compresibilidad del Gas</w:t>
      </w:r>
    </w:p>
    <w:p w14:paraId="3F86F2F0"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b/>
          <w:bCs/>
        </w:rPr>
        <w:t xml:space="preserve"> </w:t>
      </w:r>
    </w:p>
    <w:p w14:paraId="3722AB71" w14:textId="24C0E60D" w:rsidR="00B11846" w:rsidRPr="00026F1E" w:rsidRDefault="00B11846" w:rsidP="00460E51">
      <w:pPr>
        <w:pStyle w:val="Default"/>
        <w:ind w:left="708"/>
        <w:jc w:val="both"/>
        <w:rPr>
          <w:rFonts w:ascii="Bookman Old Style" w:hAnsi="Bookman Old Style"/>
        </w:rPr>
      </w:pPr>
      <w:r w:rsidRPr="00026F1E">
        <w:rPr>
          <w:rFonts w:ascii="Bookman Old Style" w:hAnsi="Bookman Old Style"/>
        </w:rPr>
        <w:t xml:space="preserve">El factor de compresibilidad del gas será determinado por el Transportador de acuerdo con los estándares y requisitos técnicos exigidos en la presente </w:t>
      </w:r>
      <w:r w:rsidR="00460E51">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460E51">
        <w:rPr>
          <w:rFonts w:ascii="Bookman Old Style" w:hAnsi="Bookman Old Style"/>
        </w:rPr>
        <w:t xml:space="preserve">a modifiquen, </w:t>
      </w:r>
      <w:r w:rsidRPr="00026F1E">
        <w:rPr>
          <w:rFonts w:ascii="Bookman Old Style" w:hAnsi="Bookman Old Style"/>
        </w:rPr>
        <w:t>adicionen</w:t>
      </w:r>
      <w:r w:rsidR="00460E51">
        <w:rPr>
          <w:rFonts w:ascii="Bookman Old Style" w:hAnsi="Bookman Old Style"/>
        </w:rPr>
        <w:t xml:space="preserve"> o sustituyan</w:t>
      </w:r>
      <w:r w:rsidRPr="00026F1E">
        <w:rPr>
          <w:rFonts w:ascii="Bookman Old Style" w:hAnsi="Bookman Old Style"/>
        </w:rPr>
        <w:t xml:space="preserve">. </w:t>
      </w:r>
    </w:p>
    <w:p w14:paraId="4817E81D"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5830871C"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5.4.4. Determinación de la Gravedad Específica del Gas</w:t>
      </w:r>
    </w:p>
    <w:p w14:paraId="58BC308F"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b/>
          <w:bCs/>
        </w:rPr>
        <w:t xml:space="preserve"> </w:t>
      </w:r>
    </w:p>
    <w:p w14:paraId="5C7C86E4" w14:textId="77777777" w:rsidR="00721887" w:rsidRDefault="00B11846" w:rsidP="00EF792E">
      <w:pPr>
        <w:pStyle w:val="Default"/>
        <w:ind w:left="708"/>
        <w:jc w:val="both"/>
        <w:rPr>
          <w:rFonts w:ascii="Bookman Old Style" w:hAnsi="Bookman Old Style"/>
        </w:rPr>
      </w:pPr>
      <w:r w:rsidRPr="00026F1E">
        <w:rPr>
          <w:rFonts w:ascii="Bookman Old Style" w:hAnsi="Bookman Old Style"/>
        </w:rPr>
        <w:t xml:space="preserve">La gravedad específica en los Puntos de Entrada será determinada por el Transportador de acuerdo con los estándares y requisitos técnicos exigidos la presente </w:t>
      </w:r>
      <w:r w:rsidR="00721887">
        <w:rPr>
          <w:rFonts w:ascii="Bookman Old Style" w:hAnsi="Bookman Old Style"/>
        </w:rPr>
        <w:t>r</w:t>
      </w:r>
      <w:r w:rsidRPr="00026F1E">
        <w:rPr>
          <w:rFonts w:ascii="Bookman Old Style" w:hAnsi="Bookman Old Style"/>
        </w:rPr>
        <w:t>esolución, o aquellas normas que l</w:t>
      </w:r>
      <w:r w:rsidR="00721887">
        <w:rPr>
          <w:rFonts w:ascii="Bookman Old Style" w:hAnsi="Bookman Old Style"/>
        </w:rPr>
        <w:t xml:space="preserve">a modifiquen, </w:t>
      </w:r>
      <w:r w:rsidRPr="00026F1E">
        <w:rPr>
          <w:rFonts w:ascii="Bookman Old Style" w:hAnsi="Bookman Old Style"/>
        </w:rPr>
        <w:t>adicionen</w:t>
      </w:r>
      <w:r w:rsidR="00721887">
        <w:rPr>
          <w:rFonts w:ascii="Bookman Old Style" w:hAnsi="Bookman Old Style"/>
        </w:rPr>
        <w:t xml:space="preserve"> o sustituyan</w:t>
      </w:r>
      <w:r w:rsidRPr="00026F1E">
        <w:rPr>
          <w:rFonts w:ascii="Bookman Old Style" w:hAnsi="Bookman Old Style"/>
        </w:rPr>
        <w:t xml:space="preserve">. </w:t>
      </w:r>
    </w:p>
    <w:p w14:paraId="6393F26B" w14:textId="77777777" w:rsidR="005C2084" w:rsidRDefault="005C2084" w:rsidP="00EF792E">
      <w:pPr>
        <w:pStyle w:val="Default"/>
        <w:ind w:left="708"/>
        <w:jc w:val="both"/>
        <w:rPr>
          <w:rFonts w:ascii="Bookman Old Style" w:hAnsi="Bookman Old Style"/>
        </w:rPr>
      </w:pPr>
    </w:p>
    <w:p w14:paraId="469FD3A9" w14:textId="7DCAED2D"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En los puntos donde confluyan varios gases, el Transportador deberá instalar, a su cargo, cromatógrafos en línea para medir mezclas de gases o implementar procedimientos de reconstrucción conforme se establece en la presente </w:t>
      </w:r>
      <w:r w:rsidR="00721887">
        <w:rPr>
          <w:rFonts w:ascii="Bookman Old Style" w:hAnsi="Bookman Old Style"/>
        </w:rPr>
        <w:t>r</w:t>
      </w:r>
      <w:r w:rsidRPr="00026F1E">
        <w:rPr>
          <w:rFonts w:ascii="Bookman Old Style" w:hAnsi="Bookman Old Style"/>
        </w:rPr>
        <w:t>esolución, o aq</w:t>
      </w:r>
      <w:r w:rsidR="00721887">
        <w:rPr>
          <w:rFonts w:ascii="Bookman Old Style" w:hAnsi="Bookman Old Style"/>
        </w:rPr>
        <w:t>uellas normas que la modifiquen,</w:t>
      </w:r>
      <w:r w:rsidRPr="00026F1E">
        <w:rPr>
          <w:rFonts w:ascii="Bookman Old Style" w:hAnsi="Bookman Old Style"/>
        </w:rPr>
        <w:t xml:space="preserve"> adicionen</w:t>
      </w:r>
      <w:r w:rsidR="00721887">
        <w:rPr>
          <w:rFonts w:ascii="Bookman Old Style" w:hAnsi="Bookman Old Style"/>
        </w:rPr>
        <w:t xml:space="preserve"> o sustituyan</w:t>
      </w:r>
      <w:r w:rsidRPr="00026F1E">
        <w:rPr>
          <w:rFonts w:ascii="Bookman Old Style" w:hAnsi="Bookman Old Style"/>
        </w:rPr>
        <w:t xml:space="preserve">. </w:t>
      </w:r>
    </w:p>
    <w:p w14:paraId="7C87E1F1" w14:textId="77777777" w:rsidR="00B11846" w:rsidRDefault="00B11846" w:rsidP="00EF792E">
      <w:pPr>
        <w:pStyle w:val="Default"/>
        <w:ind w:left="708"/>
        <w:jc w:val="both"/>
        <w:rPr>
          <w:rFonts w:ascii="Bookman Old Style" w:hAnsi="Bookman Old Style"/>
        </w:rPr>
      </w:pPr>
      <w:r w:rsidRPr="00026F1E">
        <w:rPr>
          <w:rFonts w:ascii="Bookman Old Style" w:hAnsi="Bookman Old Style"/>
        </w:rPr>
        <w:t xml:space="preserve"> </w:t>
      </w:r>
    </w:p>
    <w:p w14:paraId="260CE6B5" w14:textId="77777777" w:rsidR="00673C7D" w:rsidRPr="00026F1E" w:rsidRDefault="00673C7D" w:rsidP="00EF792E">
      <w:pPr>
        <w:pStyle w:val="Default"/>
        <w:ind w:left="708"/>
        <w:jc w:val="both"/>
        <w:rPr>
          <w:rFonts w:ascii="Bookman Old Style" w:hAnsi="Bookman Old Style"/>
        </w:rPr>
      </w:pPr>
    </w:p>
    <w:p w14:paraId="03F3DBCE"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5.4.5. Determinación del Poder Calorífico</w:t>
      </w:r>
    </w:p>
    <w:p w14:paraId="3D442E0D" w14:textId="77777777" w:rsidR="00B11846" w:rsidRPr="00026F1E" w:rsidRDefault="00B11846" w:rsidP="00EF792E">
      <w:pPr>
        <w:pStyle w:val="Default"/>
        <w:ind w:left="708"/>
        <w:jc w:val="both"/>
        <w:rPr>
          <w:rFonts w:ascii="Bookman Old Style" w:hAnsi="Bookman Old Style"/>
        </w:rPr>
      </w:pPr>
    </w:p>
    <w:p w14:paraId="7BA775BF" w14:textId="174644E9"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poder calorífico del gas entregado en los Puntos de Entrada del Sistema Nacional de Transporte será establecido por el Transportador mediante mediciones de composición de gas a través de cromatógrafos en línea de acuerdo con los estándares y requisitos técnicos exigidos en la 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21887">
        <w:rPr>
          <w:rFonts w:ascii="Bookman Old Style" w:hAnsi="Bookman Old Style"/>
        </w:rPr>
        <w:t>a</w:t>
      </w:r>
      <w:r w:rsidRPr="00026F1E">
        <w:rPr>
          <w:rFonts w:ascii="Bookman Old Style" w:hAnsi="Bookman Old Style"/>
        </w:rPr>
        <w:t xml:space="preserve"> modifique</w:t>
      </w:r>
      <w:r w:rsidR="00721887">
        <w:rPr>
          <w:rFonts w:ascii="Bookman Old Style" w:hAnsi="Bookman Old Style"/>
        </w:rPr>
        <w:t xml:space="preserve">n, </w:t>
      </w:r>
      <w:r w:rsidRPr="00026F1E">
        <w:rPr>
          <w:rFonts w:ascii="Bookman Old Style" w:hAnsi="Bookman Old Style"/>
        </w:rPr>
        <w:t>adicionen</w:t>
      </w:r>
      <w:r w:rsidR="00721887">
        <w:rPr>
          <w:rFonts w:ascii="Bookman Old Style" w:hAnsi="Bookman Old Style"/>
        </w:rPr>
        <w:t xml:space="preserve"> o sustituyan</w:t>
      </w:r>
      <w:r w:rsidRPr="00026F1E">
        <w:rPr>
          <w:rFonts w:ascii="Bookman Old Style" w:hAnsi="Bookman Old Style"/>
        </w:rPr>
        <w:t xml:space="preserve">. </w:t>
      </w:r>
    </w:p>
    <w:p w14:paraId="625D1619" w14:textId="77777777" w:rsidR="00B11846" w:rsidRPr="00026F1E" w:rsidRDefault="00B11846" w:rsidP="00EF792E">
      <w:pPr>
        <w:pStyle w:val="Default"/>
        <w:ind w:left="708"/>
        <w:jc w:val="both"/>
        <w:rPr>
          <w:rFonts w:ascii="Bookman Old Style" w:hAnsi="Bookman Old Style"/>
        </w:rPr>
      </w:pPr>
    </w:p>
    <w:p w14:paraId="2825A4B6" w14:textId="7DCE5D5B"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poder calorífico del gas tomado en los Puntos de Salida será determinado según la metodología y con los instrumentos que acuerden las partes, atendiendo los requisitos técnicos exigidos en la 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21887">
        <w:rPr>
          <w:rFonts w:ascii="Bookman Old Style" w:hAnsi="Bookman Old Style"/>
        </w:rPr>
        <w:t>a</w:t>
      </w:r>
      <w:r w:rsidRPr="00026F1E">
        <w:rPr>
          <w:rFonts w:ascii="Bookman Old Style" w:hAnsi="Bookman Old Style"/>
        </w:rPr>
        <w:t xml:space="preserve"> modifiquen</w:t>
      </w:r>
      <w:r w:rsidR="00721887">
        <w:rPr>
          <w:rFonts w:ascii="Bookman Old Style" w:hAnsi="Bookman Old Style"/>
        </w:rPr>
        <w:t>,</w:t>
      </w:r>
      <w:r w:rsidRPr="00026F1E">
        <w:rPr>
          <w:rFonts w:ascii="Bookman Old Style" w:hAnsi="Bookman Old Style"/>
        </w:rPr>
        <w:t xml:space="preserve"> adicionen</w:t>
      </w:r>
      <w:r w:rsidR="00721887">
        <w:rPr>
          <w:rFonts w:ascii="Bookman Old Style" w:hAnsi="Bookman Old Style"/>
        </w:rPr>
        <w:t xml:space="preserve"> o sustituyan</w:t>
      </w:r>
      <w:r w:rsidRPr="00026F1E">
        <w:rPr>
          <w:rFonts w:ascii="Bookman Old Style" w:hAnsi="Bookman Old Style"/>
        </w:rPr>
        <w:t xml:space="preserve">. </w:t>
      </w:r>
    </w:p>
    <w:p w14:paraId="472C959C" w14:textId="77777777" w:rsidR="00B11846" w:rsidRPr="00026F1E" w:rsidRDefault="00B11846" w:rsidP="00EF792E">
      <w:pPr>
        <w:pStyle w:val="Default"/>
        <w:ind w:left="708"/>
        <w:rPr>
          <w:rFonts w:ascii="Bookman Old Style" w:hAnsi="Bookman Old Style"/>
        </w:rPr>
      </w:pPr>
      <w:r w:rsidRPr="00026F1E">
        <w:rPr>
          <w:rFonts w:ascii="Bookman Old Style" w:hAnsi="Bookman Old Style"/>
        </w:rPr>
        <w:t xml:space="preserve"> </w:t>
      </w:r>
    </w:p>
    <w:p w14:paraId="1474640E"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5.4.6. Equivalencia Energética del Gas Natural</w:t>
      </w:r>
    </w:p>
    <w:p w14:paraId="502F3385" w14:textId="77777777" w:rsidR="00B11846" w:rsidRPr="00026F1E" w:rsidRDefault="00B11846" w:rsidP="00EF792E">
      <w:pPr>
        <w:pStyle w:val="Default"/>
        <w:ind w:left="708"/>
        <w:jc w:val="both"/>
        <w:rPr>
          <w:rFonts w:ascii="Bookman Old Style" w:hAnsi="Bookman Old Style"/>
        </w:rPr>
      </w:pPr>
    </w:p>
    <w:p w14:paraId="3DD84544" w14:textId="70E06D88"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Con base en las mediciones volumétricas, de poder calorífico y demás parámetros establecidos en los </w:t>
      </w:r>
      <w:r w:rsidR="00465423" w:rsidRPr="00026F1E">
        <w:rPr>
          <w:rFonts w:ascii="Bookman Old Style" w:hAnsi="Bookman Old Style"/>
        </w:rPr>
        <w:t xml:space="preserve">numerales </w:t>
      </w:r>
      <w:r w:rsidRPr="00026F1E">
        <w:rPr>
          <w:rFonts w:ascii="Bookman Old Style" w:hAnsi="Bookman Old Style"/>
        </w:rPr>
        <w:t xml:space="preserve">anteriores, el Transportador determinará de acuerdo con los estándares y requisitos técnicos exigidos en la </w:t>
      </w:r>
      <w:r w:rsidRPr="00577C9D">
        <w:rPr>
          <w:rFonts w:ascii="Bookman Old Style" w:hAnsi="Bookman Old Style"/>
        </w:rPr>
        <w:t xml:space="preserve">presente </w:t>
      </w:r>
      <w:r w:rsidR="00721887" w:rsidRPr="00577C9D">
        <w:rPr>
          <w:rFonts w:ascii="Bookman Old Style" w:hAnsi="Bookman Old Style"/>
        </w:rPr>
        <w:t>r</w:t>
      </w:r>
      <w:r w:rsidRPr="00577C9D">
        <w:rPr>
          <w:rFonts w:ascii="Bookman Old Style" w:hAnsi="Bookman Old Style"/>
        </w:rPr>
        <w:t>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21887">
        <w:rPr>
          <w:rFonts w:ascii="Bookman Old Style" w:hAnsi="Bookman Old Style"/>
        </w:rPr>
        <w:t>a</w:t>
      </w:r>
      <w:r w:rsidRPr="00026F1E">
        <w:rPr>
          <w:rFonts w:ascii="Bookman Old Style" w:hAnsi="Bookman Old Style"/>
        </w:rPr>
        <w:t xml:space="preserve"> modifiquen</w:t>
      </w:r>
      <w:r w:rsidR="00721887">
        <w:rPr>
          <w:rFonts w:ascii="Bookman Old Style" w:hAnsi="Bookman Old Style"/>
        </w:rPr>
        <w:t xml:space="preserve">, </w:t>
      </w:r>
      <w:r w:rsidRPr="00026F1E">
        <w:rPr>
          <w:rFonts w:ascii="Bookman Old Style" w:hAnsi="Bookman Old Style"/>
        </w:rPr>
        <w:t>adicionen</w:t>
      </w:r>
      <w:r w:rsidR="00721887">
        <w:rPr>
          <w:rFonts w:ascii="Bookman Old Style" w:hAnsi="Bookman Old Style"/>
        </w:rPr>
        <w:t xml:space="preserve"> o sustituyan</w:t>
      </w:r>
      <w:r w:rsidRPr="00026F1E">
        <w:rPr>
          <w:rFonts w:ascii="Bookman Old Style" w:hAnsi="Bookman Old Style"/>
        </w:rPr>
        <w:t>, la equivalencia energética d</w:t>
      </w:r>
      <w:r w:rsidR="00721887">
        <w:rPr>
          <w:rFonts w:ascii="Bookman Old Style" w:hAnsi="Bookman Old Style"/>
        </w:rPr>
        <w:t xml:space="preserve">el volumen de gas transportado. </w:t>
      </w:r>
      <w:r w:rsidRPr="00026F1E">
        <w:rPr>
          <w:rFonts w:ascii="Bookman Old Style" w:hAnsi="Bookman Old Style"/>
        </w:rPr>
        <w:t xml:space="preserve">Dicha información será la base para establecer la liquidación de </w:t>
      </w:r>
      <w:r w:rsidR="00721887">
        <w:rPr>
          <w:rFonts w:ascii="Bookman Old Style" w:hAnsi="Bookman Old Style"/>
        </w:rPr>
        <w:t>v</w:t>
      </w:r>
      <w:r w:rsidRPr="00026F1E">
        <w:rPr>
          <w:rFonts w:ascii="Bookman Old Style" w:hAnsi="Bookman Old Style"/>
        </w:rPr>
        <w:t xml:space="preserve">ariaciones y </w:t>
      </w:r>
      <w:r w:rsidR="00721887">
        <w:rPr>
          <w:rFonts w:ascii="Bookman Old Style" w:hAnsi="Bookman Old Style"/>
        </w:rPr>
        <w:t>d</w:t>
      </w:r>
      <w:r w:rsidRPr="00026F1E">
        <w:rPr>
          <w:rFonts w:ascii="Bookman Old Style" w:hAnsi="Bookman Old Style"/>
        </w:rPr>
        <w:t xml:space="preserve">esbalances de energía y contratos de suministro de gas. </w:t>
      </w:r>
    </w:p>
    <w:p w14:paraId="2CE61447" w14:textId="77777777" w:rsidR="00B11846" w:rsidRPr="00026F1E" w:rsidRDefault="00B11846" w:rsidP="00EF792E">
      <w:pPr>
        <w:pStyle w:val="Default"/>
        <w:ind w:left="708"/>
        <w:jc w:val="both"/>
        <w:rPr>
          <w:rFonts w:ascii="Bookman Old Style" w:hAnsi="Bookman Old Style"/>
        </w:rPr>
      </w:pPr>
    </w:p>
    <w:p w14:paraId="11A4A1B7" w14:textId="04BFC851"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Los procedimientos de medición establecidos en los Contratos tendrán en cuenta como mínimo el tipo de medición, la frecuencia y los períodos de apli</w:t>
      </w:r>
      <w:r w:rsidR="00721887">
        <w:rPr>
          <w:rFonts w:ascii="Bookman Old Style" w:hAnsi="Bookman Old Style"/>
        </w:rPr>
        <w:t>cación de los valores obtenidos</w:t>
      </w:r>
      <w:r w:rsidRPr="00026F1E">
        <w:rPr>
          <w:rFonts w:ascii="Bookman Old Style" w:hAnsi="Bookman Old Style"/>
        </w:rPr>
        <w:t xml:space="preserve">. </w:t>
      </w:r>
    </w:p>
    <w:p w14:paraId="73DCAC9D" w14:textId="77777777" w:rsidR="00B11846" w:rsidRPr="00026F1E" w:rsidRDefault="00B11846" w:rsidP="00EF792E">
      <w:pPr>
        <w:pStyle w:val="Default"/>
        <w:ind w:left="708"/>
        <w:rPr>
          <w:rFonts w:ascii="Bookman Old Style" w:hAnsi="Bookman Old Style"/>
        </w:rPr>
      </w:pPr>
    </w:p>
    <w:p w14:paraId="73D6F9A5" w14:textId="77777777" w:rsidR="00B11846" w:rsidRPr="00026F1E" w:rsidRDefault="00B11846" w:rsidP="00EF792E">
      <w:pPr>
        <w:pStyle w:val="Default"/>
        <w:ind w:left="708"/>
        <w:rPr>
          <w:rFonts w:ascii="Bookman Old Style" w:hAnsi="Bookman Old Style"/>
          <w:b/>
          <w:bCs/>
        </w:rPr>
      </w:pPr>
      <w:r w:rsidRPr="00026F1E">
        <w:rPr>
          <w:rFonts w:ascii="Bookman Old Style" w:hAnsi="Bookman Old Style"/>
          <w:b/>
          <w:bCs/>
        </w:rPr>
        <w:t>5.5.1. Márgenes de Error en la Medición</w:t>
      </w:r>
    </w:p>
    <w:p w14:paraId="19341D77" w14:textId="77777777" w:rsidR="00B11846" w:rsidRPr="00026F1E" w:rsidRDefault="00B11846" w:rsidP="00EF792E">
      <w:pPr>
        <w:pStyle w:val="Default"/>
        <w:ind w:left="708"/>
        <w:rPr>
          <w:rFonts w:ascii="Bookman Old Style" w:hAnsi="Bookman Old Style"/>
        </w:rPr>
      </w:pPr>
    </w:p>
    <w:p w14:paraId="7F5B0EB5" w14:textId="40FFC8D8"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Una medición está dentro de los márgenes de error permisibles, cuando al efectuarse la calibración y verificación del Sistema de Medición oficial por parte del Transportador, se encuentra dentro de los límites establecidos según la clase a la cual pertenezca el Sistema de Medición, conforme lo establecido en el numeral 5.2.3 de la presente </w:t>
      </w:r>
      <w:r w:rsidR="00450937" w:rsidRPr="00026F1E">
        <w:rPr>
          <w:rFonts w:ascii="Bookman Old Style" w:hAnsi="Bookman Old Style"/>
        </w:rPr>
        <w:t>resolución</w:t>
      </w:r>
      <w:r w:rsidRPr="00026F1E">
        <w:rPr>
          <w:rFonts w:ascii="Bookman Old Style" w:hAnsi="Bookman Old Style"/>
        </w:rPr>
        <w:t>, o aquellas</w:t>
      </w:r>
      <w:r w:rsidR="00A703B1">
        <w:rPr>
          <w:rFonts w:ascii="Bookman Old Style" w:hAnsi="Bookman Old Style"/>
        </w:rPr>
        <w:t xml:space="preserve"> normas </w:t>
      </w:r>
      <w:r w:rsidRPr="00026F1E">
        <w:rPr>
          <w:rFonts w:ascii="Bookman Old Style" w:hAnsi="Bookman Old Style"/>
        </w:rPr>
        <w:t>que l</w:t>
      </w:r>
      <w:r w:rsidR="00721887">
        <w:rPr>
          <w:rFonts w:ascii="Bookman Old Style" w:hAnsi="Bookman Old Style"/>
        </w:rPr>
        <w:t xml:space="preserve">a modifiquen, </w:t>
      </w:r>
      <w:r w:rsidRPr="00026F1E">
        <w:rPr>
          <w:rFonts w:ascii="Bookman Old Style" w:hAnsi="Bookman Old Style"/>
        </w:rPr>
        <w:t>adicionen</w:t>
      </w:r>
      <w:r w:rsidR="00721887">
        <w:rPr>
          <w:rFonts w:ascii="Bookman Old Style" w:hAnsi="Bookman Old Style"/>
        </w:rPr>
        <w:t xml:space="preserve"> o sustituyan</w:t>
      </w:r>
      <w:r w:rsidRPr="00026F1E">
        <w:rPr>
          <w:rFonts w:ascii="Bookman Old Style" w:hAnsi="Bookman Old Style"/>
        </w:rPr>
        <w:t>.</w:t>
      </w:r>
    </w:p>
    <w:p w14:paraId="63502399" w14:textId="77777777" w:rsidR="00B11846" w:rsidRPr="00026F1E" w:rsidRDefault="00B11846" w:rsidP="00EF792E">
      <w:pPr>
        <w:pStyle w:val="Default"/>
        <w:ind w:left="708"/>
        <w:jc w:val="both"/>
        <w:rPr>
          <w:rFonts w:ascii="Bookman Old Style" w:hAnsi="Bookman Old Style"/>
        </w:rPr>
      </w:pPr>
    </w:p>
    <w:p w14:paraId="14728983" w14:textId="0DA10CB3"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Una medición se considera no-conforme si no cumple con las exigencias dadas en la 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21887">
        <w:rPr>
          <w:rFonts w:ascii="Bookman Old Style" w:hAnsi="Bookman Old Style"/>
        </w:rPr>
        <w:t>a modifiquen,</w:t>
      </w:r>
      <w:r w:rsidRPr="00026F1E">
        <w:rPr>
          <w:rFonts w:ascii="Bookman Old Style" w:hAnsi="Bookman Old Style"/>
        </w:rPr>
        <w:t xml:space="preserve"> adicionen</w:t>
      </w:r>
      <w:r w:rsidR="00721887">
        <w:rPr>
          <w:rFonts w:ascii="Bookman Old Style" w:hAnsi="Bookman Old Style"/>
        </w:rPr>
        <w:t xml:space="preserve"> o sustituyan</w:t>
      </w:r>
      <w:r w:rsidRPr="00026F1E">
        <w:rPr>
          <w:rFonts w:ascii="Bookman Old Style" w:hAnsi="Bookman Old Style"/>
        </w:rPr>
        <w:t xml:space="preserve">, según sea la clase del Sistema de Medición. Cuando la Medición sea no-conforme, el Sistema de Medición o el módulo/elemento que genere la desviación deberá calibrarse, ajustarse e inspeccionarse dentro del plazo establecido en el numeral 5.3.4 del RUT para asegurar que su desempeño cumple con los requisitos establecidos para la clase respectiva del Sistema de Medición.  </w:t>
      </w:r>
    </w:p>
    <w:p w14:paraId="091233C5" w14:textId="77777777" w:rsidR="00B11846" w:rsidRPr="00026F1E" w:rsidRDefault="00B11846" w:rsidP="00EF792E">
      <w:pPr>
        <w:pStyle w:val="Default"/>
        <w:ind w:left="708"/>
        <w:jc w:val="both"/>
        <w:rPr>
          <w:rFonts w:ascii="Bookman Old Style" w:hAnsi="Bookman Old Style"/>
        </w:rPr>
      </w:pPr>
    </w:p>
    <w:p w14:paraId="1A58C37E"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Si la combinación cuadrática de los errores asociados a los módulos que constituyen el Sistema de  Medición, supera el valor establecido según la clase del Sistema de Medición, o si por cualquier motivo los Sistemas de Medición presentan fallas en su funcionamiento de modo que el parámetro respectivo no pueda medirse o calcularse a partir de los registros </w:t>
      </w:r>
      <w:r w:rsidRPr="00026F1E">
        <w:rPr>
          <w:rFonts w:ascii="Bookman Old Style" w:hAnsi="Bookman Old Style"/>
        </w:rPr>
        <w:lastRenderedPageBreak/>
        <w:t xml:space="preserve">respectivos, durante el período que dichos Sistemas de Medición estuvieron fuera de servicio o en falla, el parámetro se determinará con base en la mejor información disponible y haciendo uso del primero de los siguientes métodos que sea factible (o de una combinación de ellos), en su orden:  </w:t>
      </w:r>
    </w:p>
    <w:p w14:paraId="5A5071B8" w14:textId="77777777" w:rsidR="00B11846" w:rsidRPr="00026F1E" w:rsidRDefault="00B11846" w:rsidP="00EF792E">
      <w:pPr>
        <w:pStyle w:val="Default"/>
        <w:ind w:left="708"/>
        <w:jc w:val="both"/>
        <w:rPr>
          <w:rFonts w:ascii="Bookman Old Style" w:hAnsi="Bookman Old Style"/>
        </w:rPr>
      </w:pPr>
    </w:p>
    <w:p w14:paraId="5B277B7B" w14:textId="2991EA05" w:rsidR="00B11846" w:rsidRPr="00026F1E" w:rsidRDefault="00B11846" w:rsidP="00EF792E">
      <w:pPr>
        <w:pStyle w:val="Default"/>
        <w:numPr>
          <w:ilvl w:val="0"/>
          <w:numId w:val="34"/>
        </w:numPr>
        <w:ind w:left="1428"/>
        <w:jc w:val="both"/>
        <w:rPr>
          <w:rFonts w:ascii="Bookman Old Style" w:hAnsi="Bookman Old Style"/>
        </w:rPr>
      </w:pPr>
      <w:r w:rsidRPr="00026F1E">
        <w:rPr>
          <w:rFonts w:ascii="Bookman Old Style" w:hAnsi="Bookman Old Style"/>
        </w:rPr>
        <w:t xml:space="preserve">Los registros del Sistema de Medición de Verificación siempre que cumpla con los requisitos indicados en este numeral y en el numeral 5.3.5 del RUT. </w:t>
      </w:r>
      <w:r w:rsidRPr="00577C9D">
        <w:rPr>
          <w:rFonts w:ascii="Bookman Old Style" w:hAnsi="Bookman Old Style"/>
        </w:rPr>
        <w:t xml:space="preserve">De lo contrario se empleará lo previsto en el </w:t>
      </w:r>
      <w:r w:rsidR="00721887" w:rsidRPr="00577C9D">
        <w:rPr>
          <w:rFonts w:ascii="Bookman Old Style" w:hAnsi="Bookman Old Style"/>
        </w:rPr>
        <w:t>n</w:t>
      </w:r>
      <w:r w:rsidR="00A94D17" w:rsidRPr="00577C9D">
        <w:rPr>
          <w:rFonts w:ascii="Bookman Old Style" w:hAnsi="Bookman Old Style"/>
        </w:rPr>
        <w:t>umeral 3</w:t>
      </w:r>
      <w:r w:rsidR="00577C9D" w:rsidRPr="00577C9D">
        <w:rPr>
          <w:rFonts w:ascii="Bookman Old Style" w:hAnsi="Bookman Old Style"/>
        </w:rPr>
        <w:t xml:space="preserve"> del presente artículo</w:t>
      </w:r>
      <w:r w:rsidRPr="00577C9D">
        <w:rPr>
          <w:rFonts w:ascii="Bookman Old Style" w:hAnsi="Bookman Old Style"/>
        </w:rPr>
        <w:t>.</w:t>
      </w:r>
      <w:r w:rsidRPr="00026F1E">
        <w:rPr>
          <w:rFonts w:ascii="Bookman Old Style" w:hAnsi="Bookman Old Style"/>
        </w:rPr>
        <w:t xml:space="preserve">  </w:t>
      </w:r>
    </w:p>
    <w:p w14:paraId="14B8FD25" w14:textId="77777777" w:rsidR="00B11846" w:rsidRPr="00026F1E" w:rsidRDefault="00B11846" w:rsidP="00EF792E">
      <w:pPr>
        <w:pStyle w:val="Default"/>
        <w:ind w:left="1428"/>
        <w:jc w:val="both"/>
        <w:rPr>
          <w:rFonts w:ascii="Bookman Old Style" w:hAnsi="Bookman Old Style"/>
        </w:rPr>
      </w:pPr>
    </w:p>
    <w:p w14:paraId="17D437A8" w14:textId="77777777" w:rsidR="00B11846" w:rsidRPr="00026F1E" w:rsidRDefault="00B11846" w:rsidP="00EF792E">
      <w:pPr>
        <w:pStyle w:val="Default"/>
        <w:numPr>
          <w:ilvl w:val="0"/>
          <w:numId w:val="34"/>
        </w:numPr>
        <w:ind w:left="1428"/>
        <w:jc w:val="both"/>
        <w:rPr>
          <w:rFonts w:ascii="Bookman Old Style" w:hAnsi="Bookman Old Style"/>
        </w:rPr>
      </w:pPr>
      <w:r w:rsidRPr="00026F1E">
        <w:rPr>
          <w:rFonts w:ascii="Bookman Old Style" w:hAnsi="Bookman Old Style"/>
        </w:rPr>
        <w:t>Corrección del error, si éste pudo determinarse mediante calibración, si ambas partes manifiestan acuerdo. La corrección deberá quedar descrita en las disposiciones documentadas del sistema de medición;</w:t>
      </w:r>
    </w:p>
    <w:p w14:paraId="4367D8E2" w14:textId="77777777" w:rsidR="00B11846" w:rsidRPr="00026F1E" w:rsidRDefault="00B11846" w:rsidP="00EF792E">
      <w:pPr>
        <w:pStyle w:val="Default"/>
        <w:ind w:left="1428"/>
        <w:jc w:val="both"/>
        <w:rPr>
          <w:rFonts w:ascii="Bookman Old Style" w:hAnsi="Bookman Old Style"/>
        </w:rPr>
      </w:pPr>
    </w:p>
    <w:p w14:paraId="01F8406E" w14:textId="5AC5150F" w:rsidR="00B11846" w:rsidRDefault="00B11846" w:rsidP="00EF792E">
      <w:pPr>
        <w:pStyle w:val="Default"/>
        <w:numPr>
          <w:ilvl w:val="0"/>
          <w:numId w:val="34"/>
        </w:numPr>
        <w:ind w:left="1428"/>
        <w:jc w:val="both"/>
        <w:rPr>
          <w:rFonts w:ascii="Bookman Old Style" w:hAnsi="Bookman Old Style"/>
        </w:rPr>
      </w:pPr>
      <w:r w:rsidRPr="00026F1E">
        <w:rPr>
          <w:rFonts w:ascii="Bookman Old Style" w:hAnsi="Bookman Old Style"/>
        </w:rPr>
        <w:t xml:space="preserve">Cualquier otro método acordado por las partes, el cual deberá quedar descrito en las disposiciones documentadas del sistema de medición. </w:t>
      </w:r>
    </w:p>
    <w:p w14:paraId="2DF0FFC0" w14:textId="77777777" w:rsidR="00721887" w:rsidRDefault="00721887" w:rsidP="00721887">
      <w:pPr>
        <w:pStyle w:val="Prrafodelista"/>
      </w:pPr>
    </w:p>
    <w:p w14:paraId="48CDA2CF" w14:textId="77777777" w:rsidR="00673C7D" w:rsidRDefault="00673C7D" w:rsidP="00721887">
      <w:pPr>
        <w:pStyle w:val="Prrafodelista"/>
      </w:pPr>
    </w:p>
    <w:p w14:paraId="5B691E0B"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5.5.3.1. Verificación Inicial</w:t>
      </w:r>
    </w:p>
    <w:p w14:paraId="6AB276EB" w14:textId="77777777" w:rsidR="00B11846" w:rsidRPr="00026F1E" w:rsidRDefault="00B11846" w:rsidP="00EF792E">
      <w:pPr>
        <w:pStyle w:val="Default"/>
        <w:ind w:left="708"/>
        <w:jc w:val="both"/>
        <w:rPr>
          <w:rFonts w:ascii="Bookman Old Style" w:hAnsi="Bookman Old Style"/>
        </w:rPr>
      </w:pPr>
    </w:p>
    <w:p w14:paraId="5B88F6ED" w14:textId="7670E44C"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La primera calibración e inspección de los equipos y sistemas de medición de gas, instalados en cada una de las Estaciones de Transferencia de Custodia del Sistema de Transporte, será realizada asegurando el cumplimiento de los requisitos dados en la </w:t>
      </w:r>
      <w:r w:rsidR="00721887">
        <w:rPr>
          <w:rFonts w:ascii="Bookman Old Style" w:hAnsi="Bookman Old Style"/>
        </w:rPr>
        <w:t xml:space="preserve">norma técnica </w:t>
      </w:r>
      <w:r w:rsidR="00B00841" w:rsidRPr="00026F1E">
        <w:rPr>
          <w:rFonts w:ascii="Bookman Old Style" w:hAnsi="Bookman Old Style"/>
        </w:rPr>
        <w:t>NTC 6167</w:t>
      </w:r>
      <w:r w:rsidR="00180DAC" w:rsidRPr="00026F1E">
        <w:rPr>
          <w:rFonts w:ascii="Bookman Old Style" w:hAnsi="Bookman Old Style"/>
        </w:rPr>
        <w:t xml:space="preserve"> de 2016</w:t>
      </w:r>
      <w:r w:rsidR="00B00841" w:rsidRPr="00026F1E">
        <w:rPr>
          <w:rFonts w:ascii="Bookman Old Style" w:hAnsi="Bookman Old Style"/>
        </w:rPr>
        <w:t xml:space="preserve">, así como la </w:t>
      </w:r>
      <w:r w:rsidRPr="00026F1E">
        <w:rPr>
          <w:rFonts w:ascii="Bookman Old Style" w:hAnsi="Bookman Old Style"/>
        </w:rPr>
        <w:t xml:space="preserve">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21887">
        <w:rPr>
          <w:rFonts w:ascii="Bookman Old Style" w:hAnsi="Bookman Old Style"/>
        </w:rPr>
        <w:t>a</w:t>
      </w:r>
      <w:r w:rsidRPr="00026F1E">
        <w:rPr>
          <w:rFonts w:ascii="Bookman Old Style" w:hAnsi="Bookman Old Style"/>
        </w:rPr>
        <w:t xml:space="preserve"> modifiquen</w:t>
      </w:r>
      <w:r w:rsidR="00721887">
        <w:rPr>
          <w:rFonts w:ascii="Bookman Old Style" w:hAnsi="Bookman Old Style"/>
        </w:rPr>
        <w:t>,</w:t>
      </w:r>
      <w:r w:rsidRPr="00026F1E">
        <w:rPr>
          <w:rFonts w:ascii="Bookman Old Style" w:hAnsi="Bookman Old Style"/>
        </w:rPr>
        <w:t xml:space="preserve"> adicionen</w:t>
      </w:r>
      <w:r w:rsidR="00721887">
        <w:rPr>
          <w:rFonts w:ascii="Bookman Old Style" w:hAnsi="Bookman Old Style"/>
        </w:rPr>
        <w:t xml:space="preserve"> o sustituyan</w:t>
      </w:r>
      <w:r w:rsidRPr="00026F1E">
        <w:rPr>
          <w:rFonts w:ascii="Bookman Old Style" w:hAnsi="Bookman Old Style"/>
        </w:rPr>
        <w:t xml:space="preserve">. </w:t>
      </w:r>
    </w:p>
    <w:p w14:paraId="3075CEF8" w14:textId="77777777" w:rsidR="00B11846" w:rsidRPr="00026F1E" w:rsidRDefault="00B11846" w:rsidP="00EF792E">
      <w:pPr>
        <w:pStyle w:val="Default"/>
        <w:ind w:left="708"/>
        <w:jc w:val="both"/>
        <w:rPr>
          <w:rFonts w:ascii="Bookman Old Style" w:hAnsi="Bookman Old Style"/>
        </w:rPr>
      </w:pPr>
    </w:p>
    <w:p w14:paraId="3291D703" w14:textId="55C5BE42" w:rsidR="00B11846" w:rsidRDefault="00B11846" w:rsidP="00EF792E">
      <w:pPr>
        <w:pStyle w:val="Default"/>
        <w:ind w:left="708"/>
        <w:jc w:val="both"/>
        <w:rPr>
          <w:rFonts w:ascii="Bookman Old Style" w:hAnsi="Bookman Old Style"/>
        </w:rPr>
      </w:pPr>
      <w:r w:rsidRPr="00026F1E">
        <w:rPr>
          <w:rFonts w:ascii="Bookman Old Style" w:hAnsi="Bookman Old Style"/>
        </w:rPr>
        <w:t xml:space="preserve">Los costos de las calibraciones e inspecciones en que este incurra hasta lograr la completa conformidad del sistema de medición serán a cargo del propietario de los equipos de transferencia de custodia. </w:t>
      </w:r>
    </w:p>
    <w:p w14:paraId="1C5BC3B3" w14:textId="77777777" w:rsidR="00C33ADC" w:rsidRDefault="00C33ADC" w:rsidP="00C33ADC">
      <w:pPr>
        <w:pStyle w:val="Default"/>
        <w:jc w:val="both"/>
        <w:rPr>
          <w:rFonts w:ascii="Bookman Old Style" w:hAnsi="Bookman Old Style"/>
        </w:rPr>
      </w:pPr>
    </w:p>
    <w:p w14:paraId="13EBC734" w14:textId="77777777" w:rsidR="00673C7D" w:rsidRPr="00026F1E" w:rsidRDefault="00673C7D" w:rsidP="00C33ADC">
      <w:pPr>
        <w:pStyle w:val="Default"/>
        <w:jc w:val="both"/>
        <w:rPr>
          <w:rFonts w:ascii="Bookman Old Style" w:hAnsi="Bookman Old Style"/>
        </w:rPr>
      </w:pPr>
    </w:p>
    <w:p w14:paraId="2FD4FACB" w14:textId="2FC8E388" w:rsidR="00B11846" w:rsidRPr="00026F1E" w:rsidRDefault="00B11846" w:rsidP="00673C7D">
      <w:pPr>
        <w:pStyle w:val="Default"/>
        <w:ind w:left="708"/>
        <w:rPr>
          <w:rFonts w:ascii="Bookman Old Style" w:hAnsi="Bookman Old Style"/>
          <w:b/>
          <w:bCs/>
        </w:rPr>
      </w:pPr>
      <w:r w:rsidRPr="00026F1E">
        <w:rPr>
          <w:rFonts w:ascii="Bookman Old Style" w:hAnsi="Bookman Old Style"/>
        </w:rPr>
        <w:t xml:space="preserve"> </w:t>
      </w:r>
      <w:r w:rsidRPr="00026F1E">
        <w:rPr>
          <w:rFonts w:ascii="Bookman Old Style" w:hAnsi="Bookman Old Style"/>
          <w:b/>
          <w:bCs/>
        </w:rPr>
        <w:t>5.5.3.2 Control Metrológico y Verificaciones Posteriores de los Equipos y Sistemas de Medición para Transferencia de Custodia</w:t>
      </w:r>
    </w:p>
    <w:p w14:paraId="18A5FD5D" w14:textId="77777777" w:rsidR="00B11846" w:rsidRPr="00026F1E" w:rsidRDefault="00B11846" w:rsidP="00EF792E">
      <w:pPr>
        <w:pStyle w:val="Default"/>
        <w:ind w:left="708"/>
        <w:jc w:val="both"/>
        <w:rPr>
          <w:rFonts w:ascii="Bookman Old Style" w:hAnsi="Bookman Old Style"/>
        </w:rPr>
      </w:pPr>
    </w:p>
    <w:p w14:paraId="02A43D67" w14:textId="63F33D6E" w:rsidR="00721887" w:rsidRDefault="00B11846" w:rsidP="00EF792E">
      <w:pPr>
        <w:pStyle w:val="Default"/>
        <w:ind w:left="708"/>
        <w:jc w:val="both"/>
        <w:rPr>
          <w:rFonts w:ascii="Bookman Old Style" w:hAnsi="Bookman Old Style"/>
        </w:rPr>
      </w:pPr>
      <w:r w:rsidRPr="00026F1E">
        <w:rPr>
          <w:rFonts w:ascii="Bookman Old Style" w:hAnsi="Bookman Old Style"/>
        </w:rPr>
        <w:t xml:space="preserve">La exactitud de la medida de todos los equipos y sistemas de medición de transferencia de custodia, instalados en el Sistema Transporte, será verificada por el Transportador a intervalos pactados contractualmente entre las partes, en presencia de los representantes de los Agentes respectivos, para lo cual se seguirán las disposiciones dadas en la presente </w:t>
      </w:r>
      <w:r w:rsidR="00721887">
        <w:rPr>
          <w:rFonts w:ascii="Bookman Old Style" w:hAnsi="Bookman Old Style"/>
        </w:rPr>
        <w:t>r</w:t>
      </w:r>
      <w:r w:rsidRPr="00026F1E">
        <w:rPr>
          <w:rFonts w:ascii="Bookman Old Style" w:hAnsi="Bookman Old Style"/>
        </w:rPr>
        <w:t>esolución, o aquellas</w:t>
      </w:r>
      <w:r w:rsidR="00A703B1">
        <w:rPr>
          <w:rFonts w:ascii="Bookman Old Style" w:hAnsi="Bookman Old Style"/>
        </w:rPr>
        <w:t xml:space="preserve"> normas</w:t>
      </w:r>
      <w:r w:rsidRPr="00026F1E">
        <w:rPr>
          <w:rFonts w:ascii="Bookman Old Style" w:hAnsi="Bookman Old Style"/>
        </w:rPr>
        <w:t xml:space="preserve"> que l</w:t>
      </w:r>
      <w:r w:rsidR="00721887">
        <w:rPr>
          <w:rFonts w:ascii="Bookman Old Style" w:hAnsi="Bookman Old Style"/>
        </w:rPr>
        <w:t>a</w:t>
      </w:r>
      <w:r w:rsidRPr="00026F1E">
        <w:rPr>
          <w:rFonts w:ascii="Bookman Old Style" w:hAnsi="Bookman Old Style"/>
        </w:rPr>
        <w:t xml:space="preserve"> </w:t>
      </w:r>
      <w:r w:rsidR="00721887" w:rsidRPr="00026F1E">
        <w:rPr>
          <w:rFonts w:ascii="Bookman Old Style" w:hAnsi="Bookman Old Style"/>
        </w:rPr>
        <w:t>modifiquen,</w:t>
      </w:r>
      <w:r w:rsidR="00721887">
        <w:rPr>
          <w:rFonts w:ascii="Bookman Old Style" w:hAnsi="Bookman Old Style"/>
        </w:rPr>
        <w:t xml:space="preserve"> </w:t>
      </w:r>
      <w:r w:rsidRPr="00026F1E">
        <w:rPr>
          <w:rFonts w:ascii="Bookman Old Style" w:hAnsi="Bookman Old Style"/>
        </w:rPr>
        <w:t>adicionen</w:t>
      </w:r>
      <w:r w:rsidR="00721887">
        <w:rPr>
          <w:rFonts w:ascii="Bookman Old Style" w:hAnsi="Bookman Old Style"/>
        </w:rPr>
        <w:t xml:space="preserve"> o sustituyan</w:t>
      </w:r>
      <w:r w:rsidRPr="00026F1E">
        <w:rPr>
          <w:rFonts w:ascii="Bookman Old Style" w:hAnsi="Bookman Old Style"/>
        </w:rPr>
        <w:t xml:space="preserve">. </w:t>
      </w:r>
    </w:p>
    <w:p w14:paraId="5745CDDC" w14:textId="77777777" w:rsidR="00673C7D" w:rsidRDefault="00673C7D" w:rsidP="00EF792E">
      <w:pPr>
        <w:pStyle w:val="Default"/>
        <w:ind w:left="708"/>
        <w:jc w:val="both"/>
        <w:rPr>
          <w:rFonts w:ascii="Bookman Old Style" w:hAnsi="Bookman Old Style"/>
        </w:rPr>
      </w:pPr>
    </w:p>
    <w:p w14:paraId="32F5946E" w14:textId="05888EB0"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costo será asumido por el propietario de los equipos de medición de transferencia de custodia. Para la realización del control metrológico y las verificaciones posteriores se aplicarán las disposiciones dadas en la presente </w:t>
      </w:r>
      <w:r w:rsidR="00450937"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w:t>
      </w:r>
      <w:r w:rsidR="0078787E">
        <w:rPr>
          <w:rFonts w:ascii="Bookman Old Style" w:hAnsi="Bookman Old Style"/>
        </w:rPr>
        <w:t>a modifiquen,</w:t>
      </w:r>
      <w:r w:rsidRPr="00026F1E">
        <w:rPr>
          <w:rFonts w:ascii="Bookman Old Style" w:hAnsi="Bookman Old Style"/>
        </w:rPr>
        <w:t xml:space="preserve"> adicionen</w:t>
      </w:r>
      <w:r w:rsidR="0078787E">
        <w:rPr>
          <w:rFonts w:ascii="Bookman Old Style" w:hAnsi="Bookman Old Style"/>
        </w:rPr>
        <w:t xml:space="preserve"> o sustituyan</w:t>
      </w:r>
      <w:r w:rsidRPr="00026F1E">
        <w:rPr>
          <w:rFonts w:ascii="Bookman Old Style" w:hAnsi="Bookman Old Style"/>
        </w:rPr>
        <w:t xml:space="preserve"> y en las Normas Técnicas correspondientes, aprobadas por la Superintendencia de Industria y Comercio o por la autoridad competente.  </w:t>
      </w:r>
    </w:p>
    <w:p w14:paraId="124C09EB" w14:textId="77777777" w:rsidR="00B11846" w:rsidRPr="005C2084" w:rsidRDefault="00B11846" w:rsidP="00EF792E">
      <w:pPr>
        <w:pStyle w:val="Default"/>
        <w:ind w:left="708"/>
        <w:jc w:val="both"/>
        <w:rPr>
          <w:rFonts w:ascii="Bookman Old Style" w:hAnsi="Bookman Old Style"/>
          <w:sz w:val="28"/>
        </w:rPr>
      </w:pPr>
    </w:p>
    <w:p w14:paraId="0A253A91" w14:textId="62D6B4BA"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Será derecho del Agente o del Transportador solicitar, en cualquier momento, una calibración, verificación, inspección o prueba especial del sistema de medición o de sus componentes, en cuyo caso las partes cooperarán para llevar a cabo dicha operación. El costo de esta prueba especial estará a cargo de quien la solicite, a menos que, como resultado de dicha prueba, se detecte un error superior a los valores máximos permisibles establecidos en la presente </w:t>
      </w:r>
      <w:r w:rsidR="0078787E">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78787E">
        <w:rPr>
          <w:rFonts w:ascii="Bookman Old Style" w:hAnsi="Bookman Old Style"/>
        </w:rPr>
        <w:t xml:space="preserve">a modifiquen, </w:t>
      </w:r>
      <w:r w:rsidRPr="00026F1E">
        <w:rPr>
          <w:rFonts w:ascii="Bookman Old Style" w:hAnsi="Bookman Old Style"/>
        </w:rPr>
        <w:t>adicionen</w:t>
      </w:r>
      <w:r w:rsidR="0078787E">
        <w:rPr>
          <w:rFonts w:ascii="Bookman Old Style" w:hAnsi="Bookman Old Style"/>
        </w:rPr>
        <w:t xml:space="preserve"> o sustituyan</w:t>
      </w:r>
      <w:r w:rsidRPr="00026F1E">
        <w:rPr>
          <w:rFonts w:ascii="Bookman Old Style" w:hAnsi="Bookman Old Style"/>
        </w:rPr>
        <w:t xml:space="preserve">, en cuyo caso dichos costos correrán a cargo del propietario del equipo. </w:t>
      </w:r>
    </w:p>
    <w:p w14:paraId="51447702" w14:textId="77777777" w:rsidR="00B11846" w:rsidRPr="005C2084" w:rsidRDefault="00B11846" w:rsidP="00EF792E">
      <w:pPr>
        <w:pStyle w:val="Default"/>
        <w:ind w:left="708"/>
        <w:jc w:val="both"/>
        <w:rPr>
          <w:rFonts w:ascii="Bookman Old Style" w:hAnsi="Bookman Old Style"/>
          <w:sz w:val="32"/>
        </w:rPr>
      </w:pPr>
    </w:p>
    <w:p w14:paraId="4A96799E" w14:textId="61E025A6"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En todos los casos, cuando se detecte un error superior a los límites establecidos en la presente </w:t>
      </w:r>
      <w:r w:rsidR="00450937" w:rsidRPr="00026F1E">
        <w:rPr>
          <w:rFonts w:ascii="Bookman Old Style" w:hAnsi="Bookman Old Style"/>
        </w:rPr>
        <w:t>resolución</w:t>
      </w:r>
      <w:r w:rsidRPr="00026F1E">
        <w:rPr>
          <w:rFonts w:ascii="Bookman Old Style" w:hAnsi="Bookman Old Style"/>
        </w:rPr>
        <w:t>, o aquellas</w:t>
      </w:r>
      <w:r w:rsidR="00A703B1">
        <w:rPr>
          <w:rFonts w:ascii="Bookman Old Style" w:hAnsi="Bookman Old Style"/>
        </w:rPr>
        <w:t xml:space="preserve"> normas</w:t>
      </w:r>
      <w:r w:rsidRPr="00026F1E">
        <w:rPr>
          <w:rFonts w:ascii="Bookman Old Style" w:hAnsi="Bookman Old Style"/>
        </w:rPr>
        <w:t xml:space="preserve"> que l</w:t>
      </w:r>
      <w:r w:rsidR="0078787E">
        <w:rPr>
          <w:rFonts w:ascii="Bookman Old Style" w:hAnsi="Bookman Old Style"/>
        </w:rPr>
        <w:t>a modifiquen,</w:t>
      </w:r>
      <w:r w:rsidRPr="00026F1E">
        <w:rPr>
          <w:rFonts w:ascii="Bookman Old Style" w:hAnsi="Bookman Old Style"/>
        </w:rPr>
        <w:t xml:space="preserve"> adicionen</w:t>
      </w:r>
      <w:r w:rsidR="0078787E">
        <w:rPr>
          <w:rFonts w:ascii="Bookman Old Style" w:hAnsi="Bookman Old Style"/>
        </w:rPr>
        <w:t xml:space="preserve"> o sustituyan</w:t>
      </w:r>
      <w:r w:rsidRPr="00026F1E">
        <w:rPr>
          <w:rFonts w:ascii="Bookman Old Style" w:hAnsi="Bookman Old Style"/>
        </w:rPr>
        <w:t xml:space="preserve">, los equipos deberán ser ajustados. </w:t>
      </w:r>
    </w:p>
    <w:p w14:paraId="09C47FD6" w14:textId="77777777" w:rsidR="00B11846" w:rsidRPr="005C2084" w:rsidRDefault="00B11846" w:rsidP="00EF792E">
      <w:pPr>
        <w:pStyle w:val="Default"/>
        <w:ind w:left="708"/>
        <w:jc w:val="both"/>
        <w:rPr>
          <w:rFonts w:ascii="Bookman Old Style" w:hAnsi="Bookman Old Style"/>
          <w:sz w:val="32"/>
        </w:rPr>
      </w:pPr>
    </w:p>
    <w:p w14:paraId="5268FBA0" w14:textId="1E20D3B4"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El Transportador dará aviso al Agente sobre la fecha y hora en que se efectuará verificación de los equipos, por lo menos con (3) tres días hábiles de anticipación a fin de que la otra parte pueda disponer la presencia de sus representantes. Si, dado el aviso requerido, el Agente no se presenta, el Transportador podrá proceder a realizar la prueba y a hacer los ajustes necesarios, informando al Agente sobre los ajustes efectuados. El Agente podrá solicitar aclaración o información adicional sobre las pruebas o ajustes realizados. </w:t>
      </w:r>
    </w:p>
    <w:p w14:paraId="2089FC86" w14:textId="77777777" w:rsidR="00B11846" w:rsidRPr="005C2084" w:rsidRDefault="00B11846" w:rsidP="00EF792E">
      <w:pPr>
        <w:pStyle w:val="Default"/>
        <w:ind w:left="708"/>
        <w:rPr>
          <w:rFonts w:ascii="Bookman Old Style" w:hAnsi="Bookman Old Style"/>
          <w:sz w:val="32"/>
        </w:rPr>
      </w:pPr>
      <w:r w:rsidRPr="00026F1E">
        <w:rPr>
          <w:rFonts w:ascii="Bookman Old Style" w:hAnsi="Bookman Old Style"/>
        </w:rPr>
        <w:t xml:space="preserve"> </w:t>
      </w:r>
    </w:p>
    <w:p w14:paraId="68A95A86"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5.5.6. Control de Entregas y Recepciones</w:t>
      </w:r>
    </w:p>
    <w:p w14:paraId="4402A936" w14:textId="77777777" w:rsidR="00B11846" w:rsidRPr="00026F1E" w:rsidRDefault="00B11846" w:rsidP="00EF792E">
      <w:pPr>
        <w:pStyle w:val="Default"/>
        <w:ind w:left="708"/>
        <w:jc w:val="both"/>
        <w:rPr>
          <w:rFonts w:ascii="Bookman Old Style" w:hAnsi="Bookman Old Style"/>
        </w:rPr>
      </w:pPr>
    </w:p>
    <w:p w14:paraId="352250FD" w14:textId="6C665F2E"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 xml:space="preserve">Los Transportadores pondrán a disposición de los Remitentes, durante los cinco (5) primeros días de cada mes, la información relacionada con volumen a condiciones estándar, energía, poder calorífico, presión y temperatura medidas. También el Transportador deberá notificar a los Remitentes sobre cualquier cambio que ocurra en el sistema indicando los motivos que justificaron dicho cambio. A solicitud de cualquier Remitente, el Transportador le informará otros parámetros relacionados con sus Puntos de Entrada y Salida. </w:t>
      </w:r>
    </w:p>
    <w:p w14:paraId="0089C19F" w14:textId="77777777" w:rsidR="00B11846" w:rsidRPr="005C2084" w:rsidRDefault="00B11846" w:rsidP="00EF792E">
      <w:pPr>
        <w:pStyle w:val="Default"/>
        <w:ind w:left="708"/>
        <w:jc w:val="both"/>
        <w:rPr>
          <w:rFonts w:ascii="Bookman Old Style" w:hAnsi="Bookman Old Style"/>
          <w:sz w:val="32"/>
        </w:rPr>
      </w:pPr>
      <w:r w:rsidRPr="00026F1E">
        <w:rPr>
          <w:rFonts w:ascii="Bookman Old Style" w:hAnsi="Bookman Old Style"/>
        </w:rPr>
        <w:t xml:space="preserve"> </w:t>
      </w:r>
    </w:p>
    <w:p w14:paraId="3FD59DB8"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5.6.1. Obligaciones del Transportador</w:t>
      </w:r>
    </w:p>
    <w:p w14:paraId="01107517" w14:textId="77777777" w:rsidR="00B11846" w:rsidRPr="00026F1E" w:rsidRDefault="00B11846" w:rsidP="00EF792E">
      <w:pPr>
        <w:pStyle w:val="Default"/>
        <w:ind w:left="708"/>
        <w:jc w:val="both"/>
        <w:rPr>
          <w:rFonts w:ascii="Bookman Old Style" w:hAnsi="Bookman Old Style"/>
        </w:rPr>
      </w:pPr>
    </w:p>
    <w:p w14:paraId="6F6898BE" w14:textId="77777777" w:rsidR="00B11846" w:rsidRDefault="00B11846" w:rsidP="00EF792E">
      <w:pPr>
        <w:pStyle w:val="Default"/>
        <w:ind w:left="708"/>
        <w:jc w:val="both"/>
        <w:rPr>
          <w:rFonts w:ascii="Bookman Old Style" w:hAnsi="Bookman Old Style"/>
        </w:rPr>
      </w:pPr>
      <w:r w:rsidRPr="00026F1E">
        <w:rPr>
          <w:rFonts w:ascii="Bookman Old Style" w:hAnsi="Bookman Old Style"/>
        </w:rPr>
        <w:t xml:space="preserve">Con relación a los procedimientos de medición, son obligaciones del Transportador las siguientes: </w:t>
      </w:r>
    </w:p>
    <w:p w14:paraId="4DBDAABA" w14:textId="77777777" w:rsidR="005C2084" w:rsidRPr="00026F1E" w:rsidRDefault="005C2084" w:rsidP="00EF792E">
      <w:pPr>
        <w:pStyle w:val="Default"/>
        <w:ind w:left="708"/>
        <w:jc w:val="both"/>
        <w:rPr>
          <w:rFonts w:ascii="Bookman Old Style" w:hAnsi="Bookman Old Style"/>
        </w:rPr>
      </w:pPr>
    </w:p>
    <w:p w14:paraId="1AB8A35E" w14:textId="6F114897"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No ejecutar ningún Contrato de Transporte hasta tanto se cuente con los Sistemas de Medición para transferencia de custodia debidamente instalados y operando a conformidad del Transportador, o se haya definido por las partes una metodología de medición de conformidad con lo establecido para Estaciones de Salida en los numerales 5.1 a 5.5 de la presente </w:t>
      </w:r>
      <w:r w:rsidR="00B27188" w:rsidRPr="00026F1E">
        <w:rPr>
          <w:rFonts w:ascii="Bookman Old Style" w:hAnsi="Bookman Old Style"/>
        </w:rPr>
        <w:t>resolución</w:t>
      </w:r>
      <w:r w:rsidRPr="00026F1E">
        <w:rPr>
          <w:rFonts w:ascii="Bookman Old Style" w:hAnsi="Bookman Old Style"/>
        </w:rPr>
        <w:t>, o aquellas</w:t>
      </w:r>
      <w:r w:rsidR="00A703B1">
        <w:rPr>
          <w:rFonts w:ascii="Bookman Old Style" w:hAnsi="Bookman Old Style"/>
        </w:rPr>
        <w:t xml:space="preserve"> normas</w:t>
      </w:r>
      <w:r w:rsidRPr="00026F1E">
        <w:rPr>
          <w:rFonts w:ascii="Bookman Old Style" w:hAnsi="Bookman Old Style"/>
        </w:rPr>
        <w:t xml:space="preserve"> que l</w:t>
      </w:r>
      <w:r w:rsidR="0078787E">
        <w:rPr>
          <w:rFonts w:ascii="Bookman Old Style" w:hAnsi="Bookman Old Style"/>
        </w:rPr>
        <w:t>a modifiquen,</w:t>
      </w:r>
      <w:r w:rsidRPr="00026F1E">
        <w:rPr>
          <w:rFonts w:ascii="Bookman Old Style" w:hAnsi="Bookman Old Style"/>
        </w:rPr>
        <w:t xml:space="preserve"> adicionen</w:t>
      </w:r>
      <w:r w:rsidR="0078787E">
        <w:rPr>
          <w:rFonts w:ascii="Bookman Old Style" w:hAnsi="Bookman Old Style"/>
        </w:rPr>
        <w:t xml:space="preserve"> o sustituyan</w:t>
      </w:r>
      <w:r w:rsidRPr="00026F1E">
        <w:rPr>
          <w:rFonts w:ascii="Bookman Old Style" w:hAnsi="Bookman Old Style"/>
        </w:rPr>
        <w:t xml:space="preserve">. </w:t>
      </w:r>
    </w:p>
    <w:p w14:paraId="38601335" w14:textId="77777777" w:rsidR="00B11846" w:rsidRPr="00026F1E" w:rsidRDefault="00B11846" w:rsidP="00EF792E">
      <w:pPr>
        <w:pStyle w:val="Default"/>
        <w:ind w:left="1275" w:hanging="567"/>
        <w:jc w:val="both"/>
        <w:rPr>
          <w:rFonts w:ascii="Bookman Old Style" w:hAnsi="Bookman Old Style"/>
        </w:rPr>
      </w:pPr>
    </w:p>
    <w:p w14:paraId="58CDABB9" w14:textId="051AA94B"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Realizar la medición de los parámetros arriba señalados, con la periodicidad establecida en la presente </w:t>
      </w:r>
      <w:r w:rsidR="00B27188" w:rsidRPr="00026F1E">
        <w:rPr>
          <w:rFonts w:ascii="Bookman Old Style" w:hAnsi="Bookman Old Style"/>
        </w:rPr>
        <w:t>resolución</w:t>
      </w:r>
      <w:r w:rsidR="0078787E">
        <w:rPr>
          <w:rFonts w:ascii="Bookman Old Style" w:hAnsi="Bookman Old Style"/>
        </w:rPr>
        <w:t>, o aquellas</w:t>
      </w:r>
      <w:r w:rsidR="00A703B1">
        <w:rPr>
          <w:rFonts w:ascii="Bookman Old Style" w:hAnsi="Bookman Old Style"/>
        </w:rPr>
        <w:t xml:space="preserve"> normas</w:t>
      </w:r>
      <w:r w:rsidR="0078787E">
        <w:rPr>
          <w:rFonts w:ascii="Bookman Old Style" w:hAnsi="Bookman Old Style"/>
        </w:rPr>
        <w:t xml:space="preserve"> </w:t>
      </w:r>
      <w:r w:rsidR="0078787E">
        <w:rPr>
          <w:rFonts w:ascii="Bookman Old Style" w:hAnsi="Bookman Old Style"/>
        </w:rPr>
        <w:lastRenderedPageBreak/>
        <w:t xml:space="preserve">que la modifiquen, </w:t>
      </w:r>
      <w:r w:rsidRPr="00026F1E">
        <w:rPr>
          <w:rFonts w:ascii="Bookman Old Style" w:hAnsi="Bookman Old Style"/>
        </w:rPr>
        <w:t>adicionen</w:t>
      </w:r>
      <w:r w:rsidR="0078787E">
        <w:rPr>
          <w:rFonts w:ascii="Bookman Old Style" w:hAnsi="Bookman Old Style"/>
        </w:rPr>
        <w:t xml:space="preserve"> o sustituyan</w:t>
      </w:r>
      <w:r w:rsidRPr="00026F1E">
        <w:rPr>
          <w:rFonts w:ascii="Bookman Old Style" w:hAnsi="Bookman Old Style"/>
        </w:rPr>
        <w:t>, para Estaciones de Entrada, o la que establezcan las partes para Estaciones de Salida.</w:t>
      </w:r>
    </w:p>
    <w:p w14:paraId="6541BF62" w14:textId="77777777" w:rsidR="00B11846" w:rsidRPr="00026F1E" w:rsidRDefault="00B11846" w:rsidP="00EF792E">
      <w:pPr>
        <w:pStyle w:val="Prrafodelista"/>
        <w:ind w:left="1275" w:hanging="567"/>
        <w:rPr>
          <w:sz w:val="24"/>
          <w:szCs w:val="24"/>
        </w:rPr>
      </w:pPr>
    </w:p>
    <w:p w14:paraId="2657F103" w14:textId="77777777"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Tomar y exigir a los Agentes todas las precauciones para que no se alteren los medidores de flujo, equipos de medida y sistemas de medición. </w:t>
      </w:r>
    </w:p>
    <w:p w14:paraId="16C5D4D6" w14:textId="77777777" w:rsidR="00B11846" w:rsidRPr="00026F1E" w:rsidRDefault="00B11846" w:rsidP="00EF792E">
      <w:pPr>
        <w:pStyle w:val="Prrafodelista"/>
        <w:ind w:left="1275" w:hanging="567"/>
        <w:rPr>
          <w:sz w:val="24"/>
          <w:szCs w:val="24"/>
        </w:rPr>
      </w:pPr>
    </w:p>
    <w:p w14:paraId="3E82D9ED" w14:textId="77777777"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Facilitar el Acceso al Remitente al cual preste el servicio, a la información del Sistema de Medición. En caso de Sistemas de Medición con Equipos de Telemetría deberá permitir el acceso a los datos de medición, de acuerdo con la periodicidad de comunicación de recibo de la información con que cuente el Transportador, a través de su página web. </w:t>
      </w:r>
    </w:p>
    <w:p w14:paraId="3CEF3E2D" w14:textId="77777777" w:rsidR="00B11846" w:rsidRPr="00026F1E" w:rsidRDefault="00B11846" w:rsidP="00EF792E">
      <w:pPr>
        <w:pStyle w:val="Prrafodelista"/>
        <w:ind w:left="1275" w:hanging="567"/>
        <w:rPr>
          <w:sz w:val="24"/>
          <w:szCs w:val="24"/>
        </w:rPr>
      </w:pPr>
    </w:p>
    <w:p w14:paraId="41311F76" w14:textId="71EAAC94"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Colocar en el </w:t>
      </w:r>
      <w:r w:rsidR="00A94D17">
        <w:rPr>
          <w:rFonts w:ascii="Bookman Old Style" w:hAnsi="Bookman Old Style"/>
        </w:rPr>
        <w:t xml:space="preserve">Boletín Electrónico de Operaciones, </w:t>
      </w:r>
      <w:r w:rsidRPr="00A94D17">
        <w:rPr>
          <w:rFonts w:ascii="Bookman Old Style" w:hAnsi="Bookman Old Style"/>
        </w:rPr>
        <w:t>BEO</w:t>
      </w:r>
      <w:r w:rsidR="00A94D17" w:rsidRPr="00A94D17">
        <w:rPr>
          <w:rFonts w:ascii="Bookman Old Style" w:hAnsi="Bookman Old Style"/>
        </w:rPr>
        <w:t>,</w:t>
      </w:r>
      <w:r w:rsidRPr="00026F1E">
        <w:rPr>
          <w:rFonts w:ascii="Bookman Old Style" w:hAnsi="Bookman Old Style"/>
        </w:rPr>
        <w:t xml:space="preserve"> la información indicada en el presente Reglamento.  La falta de Medición del consumo, por acción u omisión de la empresa Transportadora, le hará perder el derecho al cobro del Servicio de Transporte. La que tenga lugar por acción u omisión del Agente, justificará la suspensión del servicio o la terminación del Contrato, sin perjuicio de que el Transportador determine el consumo en las formas a las que se refiere el artículo 146 de la Ley 142</w:t>
      </w:r>
      <w:r w:rsidR="00B27188" w:rsidRPr="00026F1E">
        <w:rPr>
          <w:rFonts w:ascii="Bookman Old Style" w:hAnsi="Bookman Old Style"/>
        </w:rPr>
        <w:t xml:space="preserve"> de 19</w:t>
      </w:r>
      <w:r w:rsidRPr="00026F1E">
        <w:rPr>
          <w:rFonts w:ascii="Bookman Old Style" w:hAnsi="Bookman Old Style"/>
        </w:rPr>
        <w:t xml:space="preserve">94, cuando esta práctica sea posible. </w:t>
      </w:r>
    </w:p>
    <w:p w14:paraId="1490C6EA" w14:textId="77777777" w:rsidR="00B11846" w:rsidRPr="00026F1E" w:rsidRDefault="00B11846" w:rsidP="00EF792E">
      <w:pPr>
        <w:pStyle w:val="Prrafodelista"/>
        <w:ind w:left="1275" w:hanging="567"/>
        <w:rPr>
          <w:sz w:val="24"/>
          <w:szCs w:val="24"/>
        </w:rPr>
      </w:pPr>
    </w:p>
    <w:p w14:paraId="112BB8B5" w14:textId="77777777"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Disponer de los servicios de comunicaciones necesarios para la transmisión de señales desde los puntos de medida hasta los CPC. </w:t>
      </w:r>
    </w:p>
    <w:p w14:paraId="5559A5FC" w14:textId="77777777" w:rsidR="00B11846" w:rsidRPr="00026F1E" w:rsidRDefault="00B11846" w:rsidP="00EF792E">
      <w:pPr>
        <w:pStyle w:val="Prrafodelista"/>
        <w:ind w:left="1275" w:hanging="567"/>
        <w:rPr>
          <w:sz w:val="24"/>
          <w:szCs w:val="24"/>
        </w:rPr>
      </w:pPr>
    </w:p>
    <w:p w14:paraId="6B419128" w14:textId="77777777"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Producir las cuentas de balance diarias del usuario cuando esto aplique, así como los reportes de la información recolectada según lo establezca la CREG. </w:t>
      </w:r>
    </w:p>
    <w:p w14:paraId="4D6A98DA" w14:textId="77777777" w:rsidR="00B11846" w:rsidRPr="00026F1E" w:rsidRDefault="00B11846" w:rsidP="00EF792E">
      <w:pPr>
        <w:pStyle w:val="Prrafodelista"/>
        <w:ind w:left="1275" w:hanging="567"/>
        <w:rPr>
          <w:sz w:val="24"/>
          <w:szCs w:val="24"/>
        </w:rPr>
      </w:pPr>
    </w:p>
    <w:p w14:paraId="0D76BDA3" w14:textId="2E5E49CB" w:rsidR="00B11846" w:rsidRPr="00026F1E" w:rsidRDefault="00B11846" w:rsidP="00EF792E">
      <w:pPr>
        <w:pStyle w:val="Default"/>
        <w:numPr>
          <w:ilvl w:val="0"/>
          <w:numId w:val="35"/>
        </w:numPr>
        <w:ind w:left="1275" w:hanging="567"/>
        <w:jc w:val="both"/>
        <w:rPr>
          <w:rFonts w:ascii="Bookman Old Style" w:hAnsi="Bookman Old Style"/>
        </w:rPr>
      </w:pPr>
      <w:r w:rsidRPr="00026F1E">
        <w:rPr>
          <w:rFonts w:ascii="Bookman Old Style" w:hAnsi="Bookman Old Style"/>
        </w:rPr>
        <w:t xml:space="preserve">Informar las anomalías que afecten el correcto funcionamiento del Sistema de Medición a sus propietarios. </w:t>
      </w:r>
    </w:p>
    <w:p w14:paraId="16F9FD00" w14:textId="77777777" w:rsidR="00B11846" w:rsidRPr="005C2084" w:rsidRDefault="00B11846" w:rsidP="00B11846">
      <w:pPr>
        <w:pStyle w:val="Default"/>
        <w:jc w:val="both"/>
        <w:rPr>
          <w:rFonts w:ascii="Bookman Old Style" w:hAnsi="Bookman Old Style"/>
          <w:sz w:val="32"/>
        </w:rPr>
      </w:pPr>
    </w:p>
    <w:p w14:paraId="0F6BA997" w14:textId="77777777" w:rsidR="00B11846" w:rsidRPr="00026F1E" w:rsidRDefault="00B11846" w:rsidP="00EF792E">
      <w:pPr>
        <w:pStyle w:val="Default"/>
        <w:ind w:left="708"/>
        <w:jc w:val="both"/>
        <w:rPr>
          <w:rFonts w:ascii="Bookman Old Style" w:hAnsi="Bookman Old Style"/>
          <w:b/>
          <w:bCs/>
        </w:rPr>
      </w:pPr>
      <w:r w:rsidRPr="00026F1E">
        <w:rPr>
          <w:rFonts w:ascii="Bookman Old Style" w:hAnsi="Bookman Old Style"/>
          <w:b/>
          <w:bCs/>
        </w:rPr>
        <w:t>5.6.2. Obligaciones del Agente</w:t>
      </w:r>
    </w:p>
    <w:p w14:paraId="3055CF5D" w14:textId="77777777" w:rsidR="00B11846" w:rsidRPr="00026F1E" w:rsidRDefault="00B11846" w:rsidP="00EF792E">
      <w:pPr>
        <w:pStyle w:val="Default"/>
        <w:ind w:left="708"/>
        <w:jc w:val="both"/>
        <w:rPr>
          <w:rFonts w:ascii="Bookman Old Style" w:hAnsi="Bookman Old Style"/>
        </w:rPr>
      </w:pPr>
    </w:p>
    <w:p w14:paraId="6700DD87" w14:textId="77777777" w:rsidR="00B11846" w:rsidRPr="00026F1E" w:rsidRDefault="00B11846" w:rsidP="00EF792E">
      <w:pPr>
        <w:pStyle w:val="Default"/>
        <w:ind w:left="708"/>
        <w:jc w:val="both"/>
        <w:rPr>
          <w:rFonts w:ascii="Bookman Old Style" w:hAnsi="Bookman Old Style"/>
        </w:rPr>
      </w:pPr>
      <w:r w:rsidRPr="00026F1E">
        <w:rPr>
          <w:rFonts w:ascii="Bookman Old Style" w:hAnsi="Bookman Old Style"/>
        </w:rPr>
        <w:t>Con relación a los procedimientos de medición, son obligaciones del Agente las siguientes:</w:t>
      </w:r>
    </w:p>
    <w:p w14:paraId="273F6D78" w14:textId="77777777" w:rsidR="00B11846" w:rsidRPr="00026F1E" w:rsidRDefault="00B11846" w:rsidP="00EF792E">
      <w:pPr>
        <w:pStyle w:val="Default"/>
        <w:ind w:left="708"/>
        <w:jc w:val="both"/>
        <w:rPr>
          <w:rFonts w:ascii="Bookman Old Style" w:hAnsi="Bookman Old Style"/>
        </w:rPr>
      </w:pPr>
    </w:p>
    <w:p w14:paraId="47575DE0" w14:textId="6ADD4D07"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 xml:space="preserve">No entregar/recibir gas hasta tanto se hayan instalado, calibrado, verificado e inspeccionado los sistemas de medición para transferencia de custodia respectivos, o se haya definido por las partes una metodología de medición de conformidad con lo establecido para Puntos de Entrada y de Salida en los numerales 5.1 a 5.5 de la presente </w:t>
      </w:r>
      <w:r w:rsidR="0078787E">
        <w:rPr>
          <w:rFonts w:ascii="Bookman Old Style" w:hAnsi="Bookman Old Style"/>
        </w:rPr>
        <w:t>r</w:t>
      </w:r>
      <w:r w:rsidRPr="00026F1E">
        <w:rPr>
          <w:rFonts w:ascii="Bookman Old Style" w:hAnsi="Bookman Old Style"/>
        </w:rPr>
        <w:t xml:space="preserve">esolución, o aquellas </w:t>
      </w:r>
      <w:r w:rsidR="00A703B1">
        <w:rPr>
          <w:rFonts w:ascii="Bookman Old Style" w:hAnsi="Bookman Old Style"/>
        </w:rPr>
        <w:t xml:space="preserve">normas </w:t>
      </w:r>
      <w:r w:rsidRPr="00026F1E">
        <w:rPr>
          <w:rFonts w:ascii="Bookman Old Style" w:hAnsi="Bookman Old Style"/>
        </w:rPr>
        <w:t>que l</w:t>
      </w:r>
      <w:r w:rsidR="0078787E">
        <w:rPr>
          <w:rFonts w:ascii="Bookman Old Style" w:hAnsi="Bookman Old Style"/>
        </w:rPr>
        <w:t>a</w:t>
      </w:r>
      <w:r w:rsidRPr="00026F1E">
        <w:rPr>
          <w:rFonts w:ascii="Bookman Old Style" w:hAnsi="Bookman Old Style"/>
        </w:rPr>
        <w:t xml:space="preserve"> </w:t>
      </w:r>
      <w:r w:rsidR="0078787E" w:rsidRPr="00026F1E">
        <w:rPr>
          <w:rFonts w:ascii="Bookman Old Style" w:hAnsi="Bookman Old Style"/>
        </w:rPr>
        <w:t>modifiquen,</w:t>
      </w:r>
      <w:r w:rsidR="0078787E">
        <w:rPr>
          <w:rFonts w:ascii="Bookman Old Style" w:hAnsi="Bookman Old Style"/>
        </w:rPr>
        <w:t xml:space="preserve"> </w:t>
      </w:r>
      <w:r w:rsidRPr="00026F1E">
        <w:rPr>
          <w:rFonts w:ascii="Bookman Old Style" w:hAnsi="Bookman Old Style"/>
        </w:rPr>
        <w:t>adicionen</w:t>
      </w:r>
      <w:r w:rsidR="0078787E">
        <w:rPr>
          <w:rFonts w:ascii="Bookman Old Style" w:hAnsi="Bookman Old Style"/>
        </w:rPr>
        <w:t xml:space="preserve"> o sustituyan</w:t>
      </w:r>
      <w:r w:rsidRPr="00026F1E">
        <w:rPr>
          <w:rFonts w:ascii="Bookman Old Style" w:hAnsi="Bookman Old Style"/>
        </w:rPr>
        <w:t>.</w:t>
      </w:r>
    </w:p>
    <w:p w14:paraId="7DB92693" w14:textId="77777777" w:rsidR="00B11846" w:rsidRPr="00026F1E" w:rsidRDefault="00B11846" w:rsidP="00EF792E">
      <w:pPr>
        <w:pStyle w:val="Default"/>
        <w:ind w:left="1275" w:hanging="567"/>
        <w:jc w:val="both"/>
        <w:rPr>
          <w:rFonts w:ascii="Bookman Old Style" w:hAnsi="Bookman Old Style"/>
        </w:rPr>
      </w:pPr>
    </w:p>
    <w:p w14:paraId="4309CB31" w14:textId="77777777"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Mantener un espacio adecuado para el sistema de medición y equipo conexo. Dicho espacio deberá permanecer adecuadamente ventilado, seco y libre de vapores corrosivos, no sujeto a temperaturas extremas y de fácil acceso para el Transportador.</w:t>
      </w:r>
    </w:p>
    <w:p w14:paraId="69C4DEF4" w14:textId="77777777" w:rsidR="00B11846" w:rsidRPr="00026F1E" w:rsidRDefault="00B11846" w:rsidP="00EF792E">
      <w:pPr>
        <w:pStyle w:val="Prrafodelista"/>
        <w:ind w:left="1275" w:hanging="567"/>
        <w:rPr>
          <w:sz w:val="24"/>
          <w:szCs w:val="24"/>
        </w:rPr>
      </w:pPr>
    </w:p>
    <w:p w14:paraId="40AA33C5" w14:textId="0321FF8E"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 xml:space="preserve">Los sistemas de comunicación utilizados en </w:t>
      </w:r>
      <w:r w:rsidR="00B27188" w:rsidRPr="00026F1E">
        <w:rPr>
          <w:rFonts w:ascii="Bookman Old Style" w:hAnsi="Bookman Old Style"/>
        </w:rPr>
        <w:t xml:space="preserve">equipos </w:t>
      </w:r>
      <w:r w:rsidRPr="00026F1E">
        <w:rPr>
          <w:rFonts w:ascii="Bookman Old Style" w:hAnsi="Bookman Old Style"/>
        </w:rPr>
        <w:t xml:space="preserve">de </w:t>
      </w:r>
      <w:r w:rsidR="00B27188" w:rsidRPr="00026F1E">
        <w:rPr>
          <w:rFonts w:ascii="Bookman Old Style" w:hAnsi="Bookman Old Style"/>
        </w:rPr>
        <w:t xml:space="preserve">telemetría </w:t>
      </w:r>
      <w:r w:rsidRPr="00026F1E">
        <w:rPr>
          <w:rFonts w:ascii="Bookman Old Style" w:hAnsi="Bookman Old Style"/>
        </w:rPr>
        <w:t>deberán garantizar un índice de continuidad del servicio, éste será acordado entre el Transportador y el Agente.</w:t>
      </w:r>
    </w:p>
    <w:p w14:paraId="5C90F371" w14:textId="77777777" w:rsidR="00B11846" w:rsidRPr="00026F1E" w:rsidRDefault="00B11846" w:rsidP="00EF792E">
      <w:pPr>
        <w:pStyle w:val="Prrafodelista"/>
        <w:ind w:left="1275" w:hanging="567"/>
        <w:rPr>
          <w:sz w:val="24"/>
          <w:szCs w:val="24"/>
        </w:rPr>
      </w:pPr>
    </w:p>
    <w:p w14:paraId="3FD81EF3" w14:textId="77777777"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El Computador de Flujo o Unidad Correctora que deberá instalar el Agente, tendrá al menos un puerto de comunicaciones de uso exclusivo para el Transportador, donde se conectará un dispositivo externo de transmisión de datos. Los elementos necesarios para la comunicación (antena, cableado, dispositivo de transmisión) incluyendo la alimentación eléctrica y el mantenimiento periódico de éstos hacen parte integral del Equipo de Telemetría. La solución de comunicaciones, el tipo de puertos y el protocolo a usar deben ser convenidos con el Transportador a fin de facilitar su integración al CPC.</w:t>
      </w:r>
    </w:p>
    <w:p w14:paraId="61283581" w14:textId="77777777" w:rsidR="00B11846" w:rsidRPr="00026F1E" w:rsidRDefault="00B11846" w:rsidP="00EF792E">
      <w:pPr>
        <w:pStyle w:val="Prrafodelista"/>
        <w:ind w:left="1275" w:hanging="567"/>
        <w:rPr>
          <w:sz w:val="24"/>
          <w:szCs w:val="24"/>
        </w:rPr>
      </w:pPr>
    </w:p>
    <w:p w14:paraId="5E997EE9" w14:textId="46E0FAE1"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 xml:space="preserve">El Computador de Flujo o Unidad Correctora que deberá instalar el Agente tendrá que satisfacer los requerimientos de la presente </w:t>
      </w:r>
      <w:r w:rsidR="00B27188" w:rsidRPr="00026F1E">
        <w:rPr>
          <w:rFonts w:ascii="Bookman Old Style" w:hAnsi="Bookman Old Style"/>
        </w:rPr>
        <w:t>resolución</w:t>
      </w:r>
      <w:r w:rsidRPr="00026F1E">
        <w:rPr>
          <w:rFonts w:ascii="Bookman Old Style" w:hAnsi="Bookman Old Style"/>
        </w:rPr>
        <w:t xml:space="preserve">, o aquellas </w:t>
      </w:r>
      <w:r w:rsidR="00A703B1">
        <w:rPr>
          <w:rFonts w:ascii="Bookman Old Style" w:hAnsi="Bookman Old Style"/>
        </w:rPr>
        <w:t xml:space="preserve">normas </w:t>
      </w:r>
      <w:r w:rsidRPr="00026F1E">
        <w:rPr>
          <w:rFonts w:ascii="Bookman Old Style" w:hAnsi="Bookman Old Style"/>
        </w:rPr>
        <w:t>que lo modifiquen o adicionen.</w:t>
      </w:r>
    </w:p>
    <w:p w14:paraId="41A6A3CF" w14:textId="77777777" w:rsidR="00B11846" w:rsidRPr="00026F1E" w:rsidRDefault="00B11846" w:rsidP="00EF792E">
      <w:pPr>
        <w:pStyle w:val="Prrafodelista"/>
        <w:ind w:left="1275" w:hanging="567"/>
        <w:rPr>
          <w:sz w:val="24"/>
          <w:szCs w:val="24"/>
        </w:rPr>
      </w:pPr>
    </w:p>
    <w:p w14:paraId="30E71D02" w14:textId="77777777"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No adulterar, modificar, ni retirar medidores u otros equipos del Sistema de Medición y permitir el acceso a los mismos sólo al personal autorizado por el Transportador, con excepción de los eventos en que se requiera su reparación o reemplazo.</w:t>
      </w:r>
    </w:p>
    <w:p w14:paraId="2D50A347" w14:textId="77777777" w:rsidR="00B11846" w:rsidRPr="00026F1E" w:rsidRDefault="00B11846" w:rsidP="00EF792E">
      <w:pPr>
        <w:pStyle w:val="Prrafodelista"/>
        <w:ind w:left="1275" w:hanging="567"/>
        <w:rPr>
          <w:sz w:val="24"/>
          <w:szCs w:val="24"/>
        </w:rPr>
      </w:pPr>
    </w:p>
    <w:p w14:paraId="0994B490" w14:textId="51F3D99B"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 xml:space="preserve">Tomar y cumplir todas las precauciones incluidas las exigidas por el </w:t>
      </w:r>
      <w:r w:rsidR="005B47E8" w:rsidRPr="00026F1E">
        <w:rPr>
          <w:rFonts w:ascii="Bookman Old Style" w:hAnsi="Bookman Old Style"/>
        </w:rPr>
        <w:t>T</w:t>
      </w:r>
      <w:r w:rsidRPr="00026F1E">
        <w:rPr>
          <w:rFonts w:ascii="Bookman Old Style" w:hAnsi="Bookman Old Style"/>
        </w:rPr>
        <w:t xml:space="preserve">ransportador para que no se alteren los medidores de flujo, equipos de medida y sistemas de medición. </w:t>
      </w:r>
    </w:p>
    <w:p w14:paraId="28DF9CA8" w14:textId="77777777" w:rsidR="00B11846" w:rsidRPr="00026F1E" w:rsidRDefault="00B11846" w:rsidP="00EF792E">
      <w:pPr>
        <w:pStyle w:val="Prrafodelista"/>
        <w:ind w:left="1275" w:hanging="567"/>
        <w:rPr>
          <w:sz w:val="24"/>
          <w:szCs w:val="24"/>
        </w:rPr>
      </w:pPr>
    </w:p>
    <w:p w14:paraId="2589902E" w14:textId="7241C1BE" w:rsidR="00B11846" w:rsidRPr="00026F1E" w:rsidRDefault="00B11846" w:rsidP="00EF792E">
      <w:pPr>
        <w:pStyle w:val="Default"/>
        <w:numPr>
          <w:ilvl w:val="0"/>
          <w:numId w:val="36"/>
        </w:numPr>
        <w:ind w:left="1275" w:hanging="567"/>
        <w:jc w:val="both"/>
        <w:rPr>
          <w:rFonts w:ascii="Bookman Old Style" w:hAnsi="Bookman Old Style"/>
        </w:rPr>
      </w:pPr>
      <w:r w:rsidRPr="00026F1E">
        <w:rPr>
          <w:rFonts w:ascii="Bookman Old Style" w:hAnsi="Bookman Old Style"/>
        </w:rPr>
        <w:t xml:space="preserve">Facilitar el acceso al Transportador a los Sistemas de Medición. </w:t>
      </w:r>
    </w:p>
    <w:p w14:paraId="296D0290" w14:textId="77777777" w:rsidR="00B11846" w:rsidRPr="00026F1E" w:rsidRDefault="00B11846" w:rsidP="00EF792E">
      <w:pPr>
        <w:pStyle w:val="ARTICULOS"/>
        <w:numPr>
          <w:ilvl w:val="0"/>
          <w:numId w:val="0"/>
        </w:numPr>
        <w:ind w:left="708" w:firstLine="1"/>
        <w:rPr>
          <w:lang w:val="es-CO"/>
        </w:rPr>
      </w:pPr>
    </w:p>
    <w:p w14:paraId="56081D96" w14:textId="77777777" w:rsidR="00B00841" w:rsidRPr="00026F1E" w:rsidRDefault="00B00841" w:rsidP="00B00841">
      <w:pPr>
        <w:pStyle w:val="Default"/>
        <w:ind w:left="708"/>
        <w:rPr>
          <w:rFonts w:ascii="Bookman Old Style" w:hAnsi="Bookman Old Style"/>
        </w:rPr>
      </w:pPr>
    </w:p>
    <w:p w14:paraId="1063E414" w14:textId="77777777" w:rsidR="00B00841" w:rsidRPr="00026F1E" w:rsidRDefault="00B00841" w:rsidP="00B00841">
      <w:pPr>
        <w:jc w:val="both"/>
        <w:rPr>
          <w:rFonts w:eastAsia="Calibri"/>
          <w:b/>
        </w:rPr>
      </w:pPr>
      <w:r w:rsidRPr="00026F1E">
        <w:rPr>
          <w:rFonts w:eastAsia="Calibri"/>
          <w:b/>
        </w:rPr>
        <w:t xml:space="preserve">5.6.3 Bitácora de actividades de medición. </w:t>
      </w:r>
    </w:p>
    <w:p w14:paraId="77FDDA55" w14:textId="77777777" w:rsidR="00A94D17" w:rsidRDefault="00B00841" w:rsidP="00B00841">
      <w:pPr>
        <w:jc w:val="both"/>
        <w:rPr>
          <w:rFonts w:eastAsia="Calibri"/>
        </w:rPr>
      </w:pPr>
      <w:r w:rsidRPr="00026F1E">
        <w:rPr>
          <w:rFonts w:eastAsia="Calibri"/>
        </w:rPr>
        <w:t>Los Agentes deberán implementar una bitácora de control de ejecución y seguimiento a las actividades de control, auditorías, calibraciones, capacitaciones, verificaciones entre otras que se ejecuten en forma puntual o periódica</w:t>
      </w:r>
      <w:r w:rsidR="002A043A">
        <w:rPr>
          <w:rFonts w:eastAsia="Calibri"/>
        </w:rPr>
        <w:t xml:space="preserve"> </w:t>
      </w:r>
      <w:r w:rsidR="002A043A" w:rsidRPr="00A94D17">
        <w:rPr>
          <w:rFonts w:eastAsia="Calibri"/>
        </w:rPr>
        <w:t>en los sistemas de medición de los puntos de transferencia de custodia que incluya la documentación requerida en la norma técnica NTC6167-2016</w:t>
      </w:r>
      <w:r w:rsidRPr="00A94D17">
        <w:rPr>
          <w:rFonts w:eastAsia="Calibri"/>
        </w:rPr>
        <w:t>.</w:t>
      </w:r>
      <w:r w:rsidRPr="00026F1E">
        <w:rPr>
          <w:rFonts w:eastAsia="Calibri"/>
        </w:rPr>
        <w:t xml:space="preserve"> </w:t>
      </w:r>
    </w:p>
    <w:p w14:paraId="0D29B9D3" w14:textId="77777777" w:rsidR="00A94D17" w:rsidRDefault="00A94D17" w:rsidP="00B00841">
      <w:pPr>
        <w:jc w:val="both"/>
        <w:rPr>
          <w:rFonts w:eastAsia="Calibri"/>
        </w:rPr>
      </w:pPr>
    </w:p>
    <w:p w14:paraId="63318BE9" w14:textId="60ADF8AC" w:rsidR="00B00841" w:rsidRDefault="0078787E" w:rsidP="00B00841">
      <w:pPr>
        <w:jc w:val="both"/>
        <w:rPr>
          <w:rFonts w:eastAsia="Calibri"/>
        </w:rPr>
      </w:pPr>
      <w:r w:rsidRPr="00A94D17">
        <w:rPr>
          <w:rFonts w:eastAsia="Calibri"/>
        </w:rPr>
        <w:t xml:space="preserve">La información contenida en dicha bitácora deberá conservarse como mínimo por un término de cinco (5) años contados a partir de la fecha de </w:t>
      </w:r>
      <w:r w:rsidR="00A94D17" w:rsidRPr="00A94D17">
        <w:rPr>
          <w:rFonts w:eastAsia="Calibri"/>
        </w:rPr>
        <w:t>la recolección</w:t>
      </w:r>
      <w:r w:rsidRPr="00A94D17">
        <w:rPr>
          <w:rFonts w:eastAsia="Calibri"/>
        </w:rPr>
        <w:t xml:space="preserve"> de la información</w:t>
      </w:r>
      <w:r w:rsidR="00A94D17" w:rsidRPr="00A94D17">
        <w:rPr>
          <w:rFonts w:eastAsia="Calibri"/>
        </w:rPr>
        <w:t xml:space="preserve"> según los procedimientos previstos en la norma técnica NTC 6167 de 2016</w:t>
      </w:r>
      <w:r w:rsidRPr="00A94D17">
        <w:rPr>
          <w:rFonts w:eastAsia="Calibri"/>
        </w:rPr>
        <w:t>.</w:t>
      </w:r>
      <w:r>
        <w:rPr>
          <w:rFonts w:eastAsia="Calibri"/>
        </w:rPr>
        <w:t xml:space="preserve"> </w:t>
      </w:r>
    </w:p>
    <w:p w14:paraId="39915F6A" w14:textId="77777777" w:rsidR="005C2084" w:rsidRDefault="005C2084" w:rsidP="00B00841">
      <w:pPr>
        <w:jc w:val="both"/>
        <w:rPr>
          <w:rFonts w:eastAsia="Calibri"/>
        </w:rPr>
      </w:pPr>
    </w:p>
    <w:p w14:paraId="3EEE2882" w14:textId="77777777" w:rsidR="000B63D6" w:rsidRPr="00026F1E" w:rsidRDefault="000B63D6" w:rsidP="0083006B">
      <w:pPr>
        <w:pStyle w:val="ARTICULOS"/>
        <w:keepNext/>
        <w:numPr>
          <w:ilvl w:val="0"/>
          <w:numId w:val="49"/>
        </w:numPr>
        <w:ind w:left="142" w:firstLine="0"/>
        <w:outlineLvl w:val="0"/>
      </w:pPr>
      <w:r w:rsidRPr="00026F1E">
        <w:rPr>
          <w:b/>
        </w:rPr>
        <w:t xml:space="preserve">ESTÁNDARES Y NORMAS TÉCNICAS APLICABLES, CUMPLIMIENTO DE NORMAS Y ESTÁNDARES, RESOLUCIÓN DE CONFLICTOS SOBRE NORMAS TECNICAS, </w:t>
      </w:r>
      <w:r w:rsidR="003A2BF3" w:rsidRPr="00026F1E">
        <w:t xml:space="preserve">Se modifican las secciones: Estándares y normas técnicas aplicables, cumplimiento de normas y estándares, resolución de conflictos sobre normas técnicas </w:t>
      </w:r>
      <w:r w:rsidRPr="00026F1E">
        <w:t xml:space="preserve">correspondientes a los numerales 6, 6.1 y 6.2 del Anexo General de la Resolución CREG 071 de </w:t>
      </w:r>
      <w:r w:rsidRPr="00026F1E">
        <w:lastRenderedPageBreak/>
        <w:t>1999, modificada por la Resolución CREG 041 de 2008</w:t>
      </w:r>
      <w:r w:rsidR="00B11846" w:rsidRPr="00026F1E">
        <w:t>, los cuales quedarán así:</w:t>
      </w:r>
    </w:p>
    <w:p w14:paraId="59198E04" w14:textId="77777777" w:rsidR="005836EB" w:rsidRPr="00673C7D" w:rsidRDefault="005836EB" w:rsidP="005836EB">
      <w:pPr>
        <w:pStyle w:val="Prrafodelista"/>
        <w:rPr>
          <w:sz w:val="22"/>
          <w:szCs w:val="24"/>
          <w:lang w:val="x-none"/>
        </w:rPr>
      </w:pPr>
    </w:p>
    <w:p w14:paraId="446A173B" w14:textId="77777777" w:rsidR="00B11846" w:rsidRPr="00026F1E" w:rsidRDefault="00B11846" w:rsidP="003A2BF3">
      <w:pPr>
        <w:pStyle w:val="Default"/>
        <w:ind w:left="708"/>
        <w:jc w:val="both"/>
        <w:rPr>
          <w:rFonts w:ascii="Bookman Old Style" w:hAnsi="Bookman Old Style"/>
          <w:b/>
          <w:bCs/>
        </w:rPr>
      </w:pPr>
      <w:r w:rsidRPr="00026F1E">
        <w:rPr>
          <w:rFonts w:ascii="Bookman Old Style" w:hAnsi="Bookman Old Style"/>
          <w:b/>
          <w:bCs/>
        </w:rPr>
        <w:t>6. ESTÁNDARES Y NORMAS TÉCNICAS APLICABLES</w:t>
      </w:r>
    </w:p>
    <w:p w14:paraId="3509FBDD" w14:textId="77777777" w:rsidR="00B11846" w:rsidRPr="00026F1E" w:rsidRDefault="00B11846" w:rsidP="003A2BF3">
      <w:pPr>
        <w:pStyle w:val="Default"/>
        <w:ind w:left="708"/>
        <w:jc w:val="both"/>
        <w:rPr>
          <w:rFonts w:ascii="Bookman Old Style" w:hAnsi="Bookman Old Style"/>
        </w:rPr>
      </w:pPr>
    </w:p>
    <w:p w14:paraId="5B10276C" w14:textId="5FB27D6C"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Los estándares, normas técnicas y de seguridad que deberán aplicar para el diseño, construcción, operación, mantenimiento y puesta en marcha del Sistema Nacional de Transporte, tomarán en consideración la compilación del Código de Normas Técnicas y de seguridad efectuada por el Ministerio de Minas y Energía. </w:t>
      </w:r>
    </w:p>
    <w:p w14:paraId="15C547C8"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 </w:t>
      </w:r>
    </w:p>
    <w:p w14:paraId="4C5F8C90" w14:textId="77777777" w:rsidR="00B11846" w:rsidRPr="00026F1E" w:rsidRDefault="00B11846" w:rsidP="003A2BF3">
      <w:pPr>
        <w:pStyle w:val="Default"/>
        <w:ind w:left="708"/>
        <w:rPr>
          <w:rFonts w:ascii="Bookman Old Style" w:hAnsi="Bookman Old Style"/>
          <w:b/>
          <w:bCs/>
        </w:rPr>
      </w:pPr>
      <w:r w:rsidRPr="00026F1E">
        <w:rPr>
          <w:rFonts w:ascii="Bookman Old Style" w:hAnsi="Bookman Old Style"/>
          <w:b/>
          <w:bCs/>
        </w:rPr>
        <w:t>6.1 CUMPLIMIENTO DE NORMAS Y ESTÁNDARES</w:t>
      </w:r>
    </w:p>
    <w:p w14:paraId="08A0400A" w14:textId="77777777" w:rsidR="00B11846" w:rsidRPr="00026F1E" w:rsidRDefault="00B11846" w:rsidP="003A2BF3">
      <w:pPr>
        <w:pStyle w:val="Default"/>
        <w:ind w:left="708"/>
        <w:rPr>
          <w:rFonts w:ascii="Bookman Old Style" w:hAnsi="Bookman Old Style"/>
        </w:rPr>
      </w:pPr>
    </w:p>
    <w:p w14:paraId="06C57D4D" w14:textId="400574F6"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El Sistema de Transporte y las conexiones existentes o futuras deben cumplir con los requisitos establecidos en las normas técnicas aplicables de acuerdo con la presente </w:t>
      </w:r>
      <w:r w:rsidR="002E54FB" w:rsidRPr="00026F1E">
        <w:rPr>
          <w:rFonts w:ascii="Bookman Old Style" w:hAnsi="Bookman Old Style"/>
        </w:rPr>
        <w:t>resolución</w:t>
      </w:r>
      <w:r w:rsidRPr="00026F1E">
        <w:rPr>
          <w:rFonts w:ascii="Bookman Old Style" w:hAnsi="Bookman Old Style"/>
        </w:rPr>
        <w:t>, o aquellas</w:t>
      </w:r>
      <w:r w:rsidR="00824791" w:rsidRPr="00026F1E">
        <w:rPr>
          <w:rFonts w:ascii="Bookman Old Style" w:hAnsi="Bookman Old Style"/>
        </w:rPr>
        <w:t xml:space="preserve"> </w:t>
      </w:r>
      <w:r w:rsidR="00A703B1">
        <w:rPr>
          <w:rFonts w:ascii="Bookman Old Style" w:hAnsi="Bookman Old Style"/>
        </w:rPr>
        <w:t xml:space="preserve">normas </w:t>
      </w:r>
      <w:r w:rsidR="00824791" w:rsidRPr="00026F1E">
        <w:rPr>
          <w:rFonts w:ascii="Bookman Old Style" w:hAnsi="Bookman Old Style"/>
        </w:rPr>
        <w:t>que l</w:t>
      </w:r>
      <w:r w:rsidR="004D5F1D">
        <w:rPr>
          <w:rFonts w:ascii="Bookman Old Style" w:hAnsi="Bookman Old Style"/>
        </w:rPr>
        <w:t>a</w:t>
      </w:r>
      <w:r w:rsidR="00824791" w:rsidRPr="00026F1E">
        <w:rPr>
          <w:rFonts w:ascii="Bookman Old Style" w:hAnsi="Bookman Old Style"/>
        </w:rPr>
        <w:t xml:space="preserve"> modifiquen adicionen</w:t>
      </w:r>
      <w:r w:rsidR="004D5F1D">
        <w:rPr>
          <w:rFonts w:ascii="Bookman Old Style" w:hAnsi="Bookman Old Style"/>
        </w:rPr>
        <w:t xml:space="preserve"> o sustituyan</w:t>
      </w:r>
      <w:r w:rsidR="00824791" w:rsidRPr="00026F1E">
        <w:rPr>
          <w:rFonts w:ascii="Bookman Old Style" w:hAnsi="Bookman Old Style"/>
        </w:rPr>
        <w:t>,</w:t>
      </w:r>
      <w:r w:rsidRPr="00026F1E">
        <w:rPr>
          <w:rFonts w:ascii="Bookman Old Style" w:hAnsi="Bookman Old Style"/>
        </w:rPr>
        <w:t xml:space="preserve"> y las disposiciones normativas dadas por la Superintendencia de Industria y Comercio o el Ministerio de Minas y Energía, el cual las compilará en un Reglamento de Normas Técnicas y de Seguridad en Gas Combustible. Se aceptarán, las normas aplicables emitidas por las siguientes agremiaciones: </w:t>
      </w:r>
    </w:p>
    <w:p w14:paraId="6164B941" w14:textId="77777777" w:rsidR="00B11846" w:rsidRPr="00026F1E" w:rsidRDefault="00B11846" w:rsidP="003A2BF3">
      <w:pPr>
        <w:pStyle w:val="Default"/>
        <w:ind w:left="708"/>
        <w:jc w:val="both"/>
        <w:rPr>
          <w:rFonts w:ascii="Bookman Old Style" w:hAnsi="Bookman Old Style"/>
        </w:rPr>
      </w:pPr>
    </w:p>
    <w:p w14:paraId="7023DAFC"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AGA: American Gas Association </w:t>
      </w:r>
    </w:p>
    <w:p w14:paraId="2A94F6BA"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ANSI: American National Standards Institute </w:t>
      </w:r>
    </w:p>
    <w:p w14:paraId="2FC9F6BE"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API: American Petroleum Institute </w:t>
      </w:r>
    </w:p>
    <w:p w14:paraId="720BA133"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ASME: American Society of Mechanical Engineers </w:t>
      </w:r>
    </w:p>
    <w:p w14:paraId="43341AFC"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ASTM: American Society for Testing and Materials </w:t>
      </w:r>
    </w:p>
    <w:p w14:paraId="40FC2052"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AWS: American Welding Society </w:t>
      </w:r>
    </w:p>
    <w:p w14:paraId="2370BD69"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DOT - PHMSA: US Department of Transportation - Pipeline and Hazardous Materials Safety Administration </w:t>
      </w:r>
    </w:p>
    <w:p w14:paraId="371F33E5"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GERG: </w:t>
      </w:r>
      <w:proofErr w:type="spellStart"/>
      <w:r w:rsidRPr="00026F1E">
        <w:rPr>
          <w:rFonts w:ascii="Bookman Old Style" w:hAnsi="Bookman Old Style"/>
          <w:lang w:val="en-US"/>
        </w:rPr>
        <w:t>Groupe</w:t>
      </w:r>
      <w:proofErr w:type="spellEnd"/>
      <w:r w:rsidRPr="00026F1E">
        <w:rPr>
          <w:rFonts w:ascii="Bookman Old Style" w:hAnsi="Bookman Old Style"/>
          <w:lang w:val="en-US"/>
        </w:rPr>
        <w:t xml:space="preserve"> </w:t>
      </w:r>
      <w:proofErr w:type="spellStart"/>
      <w:r w:rsidRPr="00026F1E">
        <w:rPr>
          <w:rFonts w:ascii="Bookman Old Style" w:hAnsi="Bookman Old Style"/>
          <w:lang w:val="en-US"/>
        </w:rPr>
        <w:t>Européen</w:t>
      </w:r>
      <w:proofErr w:type="spellEnd"/>
      <w:r w:rsidRPr="00026F1E">
        <w:rPr>
          <w:rFonts w:ascii="Bookman Old Style" w:hAnsi="Bookman Old Style"/>
          <w:lang w:val="en-US"/>
        </w:rPr>
        <w:t xml:space="preserve"> de </w:t>
      </w:r>
      <w:proofErr w:type="spellStart"/>
      <w:r w:rsidRPr="00026F1E">
        <w:rPr>
          <w:rFonts w:ascii="Bookman Old Style" w:hAnsi="Bookman Old Style"/>
          <w:lang w:val="en-US"/>
        </w:rPr>
        <w:t>Recherches</w:t>
      </w:r>
      <w:proofErr w:type="spellEnd"/>
      <w:r w:rsidRPr="00026F1E">
        <w:rPr>
          <w:rFonts w:ascii="Bookman Old Style" w:hAnsi="Bookman Old Style"/>
          <w:lang w:val="en-US"/>
        </w:rPr>
        <w:t xml:space="preserve"> </w:t>
      </w:r>
      <w:proofErr w:type="spellStart"/>
      <w:r w:rsidRPr="00026F1E">
        <w:rPr>
          <w:rFonts w:ascii="Bookman Old Style" w:hAnsi="Bookman Old Style"/>
          <w:lang w:val="en-US"/>
        </w:rPr>
        <w:t>Gazières</w:t>
      </w:r>
      <w:proofErr w:type="spellEnd"/>
      <w:r w:rsidRPr="00026F1E">
        <w:rPr>
          <w:rFonts w:ascii="Bookman Old Style" w:hAnsi="Bookman Old Style"/>
          <w:lang w:val="en-US"/>
        </w:rPr>
        <w:t xml:space="preserve"> </w:t>
      </w:r>
    </w:p>
    <w:p w14:paraId="4316AE5C"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GPA: Gas Processors Association </w:t>
      </w:r>
    </w:p>
    <w:p w14:paraId="582BD4EA"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ICONTEC: Instituto Colombiano de Normas Técnicas y Certificación </w:t>
      </w:r>
    </w:p>
    <w:p w14:paraId="2493F884"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IEC: International </w:t>
      </w:r>
      <w:proofErr w:type="spellStart"/>
      <w:r w:rsidRPr="00026F1E">
        <w:rPr>
          <w:rFonts w:ascii="Bookman Old Style" w:hAnsi="Bookman Old Style"/>
          <w:lang w:val="en-US"/>
        </w:rPr>
        <w:t>Electrothecnical</w:t>
      </w:r>
      <w:proofErr w:type="spellEnd"/>
      <w:r w:rsidRPr="00026F1E">
        <w:rPr>
          <w:rFonts w:ascii="Bookman Old Style" w:hAnsi="Bookman Old Style"/>
          <w:lang w:val="en-US"/>
        </w:rPr>
        <w:t xml:space="preserve"> </w:t>
      </w:r>
      <w:proofErr w:type="spellStart"/>
      <w:r w:rsidRPr="00026F1E">
        <w:rPr>
          <w:rFonts w:ascii="Bookman Old Style" w:hAnsi="Bookman Old Style"/>
          <w:lang w:val="en-US"/>
        </w:rPr>
        <w:t>Comission</w:t>
      </w:r>
      <w:proofErr w:type="spellEnd"/>
      <w:r w:rsidRPr="00026F1E">
        <w:rPr>
          <w:rFonts w:ascii="Bookman Old Style" w:hAnsi="Bookman Old Style"/>
          <w:lang w:val="en-US"/>
        </w:rPr>
        <w:t xml:space="preserve"> </w:t>
      </w:r>
    </w:p>
    <w:p w14:paraId="5BB19BD2"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ISO: International Organization for Standardization </w:t>
      </w:r>
    </w:p>
    <w:p w14:paraId="47B3A626"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MID-EU: Measuring Instruments Directive – Europe Union </w:t>
      </w:r>
    </w:p>
    <w:p w14:paraId="51F9D7FF"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NACE: National Association of Corrosion Engineers</w:t>
      </w:r>
    </w:p>
    <w:p w14:paraId="78E02375"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NEMA: National Electrical Manufacturing Association </w:t>
      </w:r>
    </w:p>
    <w:p w14:paraId="49BD26D4" w14:textId="77777777" w:rsidR="00B11846" w:rsidRPr="00026F1E" w:rsidRDefault="00B11846" w:rsidP="003A2BF3">
      <w:pPr>
        <w:pStyle w:val="Default"/>
        <w:ind w:left="708"/>
        <w:jc w:val="both"/>
        <w:rPr>
          <w:rFonts w:ascii="Bookman Old Style" w:hAnsi="Bookman Old Style"/>
          <w:lang w:val="en-US"/>
        </w:rPr>
      </w:pPr>
      <w:r w:rsidRPr="00026F1E">
        <w:rPr>
          <w:rFonts w:ascii="Bookman Old Style" w:hAnsi="Bookman Old Style"/>
          <w:lang w:val="en-US"/>
        </w:rPr>
        <w:t xml:space="preserve">NFPA: National Fire Protection Association </w:t>
      </w:r>
    </w:p>
    <w:p w14:paraId="78877F6F"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OIML: </w:t>
      </w:r>
      <w:proofErr w:type="spellStart"/>
      <w:r w:rsidRPr="00026F1E">
        <w:rPr>
          <w:rFonts w:ascii="Bookman Old Style" w:hAnsi="Bookman Old Style"/>
        </w:rPr>
        <w:t>Organisation</w:t>
      </w:r>
      <w:proofErr w:type="spellEnd"/>
      <w:r w:rsidRPr="00026F1E">
        <w:rPr>
          <w:rFonts w:ascii="Bookman Old Style" w:hAnsi="Bookman Old Style"/>
        </w:rPr>
        <w:t xml:space="preserve"> </w:t>
      </w:r>
      <w:proofErr w:type="spellStart"/>
      <w:r w:rsidRPr="00026F1E">
        <w:rPr>
          <w:rFonts w:ascii="Bookman Old Style" w:hAnsi="Bookman Old Style"/>
        </w:rPr>
        <w:t>Internationale</w:t>
      </w:r>
      <w:proofErr w:type="spellEnd"/>
      <w:r w:rsidRPr="00026F1E">
        <w:rPr>
          <w:rFonts w:ascii="Bookman Old Style" w:hAnsi="Bookman Old Style"/>
        </w:rPr>
        <w:t xml:space="preserve"> de </w:t>
      </w:r>
      <w:proofErr w:type="spellStart"/>
      <w:r w:rsidRPr="00026F1E">
        <w:rPr>
          <w:rFonts w:ascii="Bookman Old Style" w:hAnsi="Bookman Old Style"/>
        </w:rPr>
        <w:t>Métrologie</w:t>
      </w:r>
      <w:proofErr w:type="spellEnd"/>
      <w:r w:rsidRPr="00026F1E">
        <w:rPr>
          <w:rFonts w:ascii="Bookman Old Style" w:hAnsi="Bookman Old Style"/>
        </w:rPr>
        <w:t xml:space="preserve"> Légale </w:t>
      </w:r>
    </w:p>
    <w:p w14:paraId="0130BF29"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RETIE: Reglamento Técnico de Instalaciones Eléctricas </w:t>
      </w:r>
    </w:p>
    <w:p w14:paraId="462248DB"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UL: </w:t>
      </w:r>
      <w:proofErr w:type="spellStart"/>
      <w:r w:rsidRPr="00026F1E">
        <w:rPr>
          <w:rFonts w:ascii="Bookman Old Style" w:hAnsi="Bookman Old Style"/>
        </w:rPr>
        <w:t>Underwrite</w:t>
      </w:r>
      <w:proofErr w:type="spellEnd"/>
      <w:r w:rsidRPr="00026F1E">
        <w:rPr>
          <w:rFonts w:ascii="Bookman Old Style" w:hAnsi="Bookman Old Style"/>
        </w:rPr>
        <w:t xml:space="preserve"> </w:t>
      </w:r>
      <w:proofErr w:type="spellStart"/>
      <w:r w:rsidRPr="00026F1E">
        <w:rPr>
          <w:rFonts w:ascii="Bookman Old Style" w:hAnsi="Bookman Old Style"/>
        </w:rPr>
        <w:t>Laboratories</w:t>
      </w:r>
      <w:proofErr w:type="spellEnd"/>
      <w:r w:rsidRPr="00026F1E">
        <w:rPr>
          <w:rFonts w:ascii="Bookman Old Style" w:hAnsi="Bookman Old Style"/>
        </w:rPr>
        <w:t xml:space="preserve"> Inc. </w:t>
      </w:r>
    </w:p>
    <w:p w14:paraId="2C51E5E8" w14:textId="77777777" w:rsidR="00B11846" w:rsidRDefault="00B11846" w:rsidP="003A2BF3">
      <w:pPr>
        <w:pStyle w:val="Default"/>
        <w:ind w:left="708"/>
        <w:jc w:val="both"/>
        <w:rPr>
          <w:rFonts w:ascii="Bookman Old Style" w:hAnsi="Bookman Old Style"/>
        </w:rPr>
      </w:pPr>
    </w:p>
    <w:p w14:paraId="5CEDCD3F" w14:textId="77777777"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En materia de seguridad también deberá acogerse el Reglamento de Normas Técnicas y de Seguridad en Gas Combustible compilado por el Ministerio de Minas y Energía y a toda la reglamentación que sobre la materia expida el Ministerio de Minas y Energía. </w:t>
      </w:r>
    </w:p>
    <w:p w14:paraId="29E7CD2B" w14:textId="77777777" w:rsidR="00B11846" w:rsidRPr="005C2084" w:rsidRDefault="00B11846" w:rsidP="003A2BF3">
      <w:pPr>
        <w:pStyle w:val="Default"/>
        <w:ind w:left="708"/>
        <w:jc w:val="both"/>
        <w:rPr>
          <w:rFonts w:ascii="Bookman Old Style" w:hAnsi="Bookman Old Style"/>
          <w:sz w:val="18"/>
        </w:rPr>
      </w:pPr>
    </w:p>
    <w:p w14:paraId="3CB6B7F3" w14:textId="3F498AAD"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Las normas ambientales a las que deberán acogerse todos aquellos a los cuales aplique este Reglamento, serán aquellas expedidas por el Ministerio del Medio Ambiente, de conformidad con lo dispuesto en la Ley 99 de 199</w:t>
      </w:r>
      <w:r w:rsidR="00F170EF" w:rsidRPr="00026F1E">
        <w:rPr>
          <w:rFonts w:ascii="Bookman Old Style" w:hAnsi="Bookman Old Style"/>
        </w:rPr>
        <w:t>3</w:t>
      </w:r>
      <w:r w:rsidRPr="00026F1E">
        <w:rPr>
          <w:rFonts w:ascii="Bookman Old Style" w:hAnsi="Bookman Old Style"/>
        </w:rPr>
        <w:t xml:space="preserve"> </w:t>
      </w:r>
      <w:r w:rsidRPr="00026F1E">
        <w:rPr>
          <w:rFonts w:ascii="Bookman Old Style" w:hAnsi="Bookman Old Style"/>
        </w:rPr>
        <w:lastRenderedPageBreak/>
        <w:t xml:space="preserve">y demás que la modifiquen, </w:t>
      </w:r>
      <w:r w:rsidR="004D5F1D">
        <w:rPr>
          <w:rFonts w:ascii="Bookman Old Style" w:hAnsi="Bookman Old Style"/>
        </w:rPr>
        <w:t>adicionen o sustituyan</w:t>
      </w:r>
      <w:r w:rsidRPr="00026F1E">
        <w:rPr>
          <w:rFonts w:ascii="Bookman Old Style" w:hAnsi="Bookman Old Style"/>
        </w:rPr>
        <w:t xml:space="preserve">; o aquellas que establezcan otras autoridades ambientales competentes. </w:t>
      </w:r>
    </w:p>
    <w:p w14:paraId="48BBAA23" w14:textId="77777777" w:rsidR="00B11846" w:rsidRPr="005C2084" w:rsidRDefault="00B11846" w:rsidP="003A2BF3">
      <w:pPr>
        <w:pStyle w:val="Default"/>
        <w:ind w:left="708"/>
        <w:jc w:val="both"/>
        <w:rPr>
          <w:rFonts w:ascii="Bookman Old Style" w:hAnsi="Bookman Old Style"/>
          <w:sz w:val="20"/>
        </w:rPr>
      </w:pPr>
    </w:p>
    <w:p w14:paraId="627AD7C8" w14:textId="5D828B8C"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El Transportador estará obligado a comunicar al propietario de la Conexión, las normas específicas que deberán cumplirse y se abstendrá de prestar el Servicio de Transporte a través de las Conexiones, en los Puntos de Entrada o en los Puntos de Salida de su Sistema de Transporte, que no cumplan con los requisitos técnicos y de seguridad establecidos por las normas y estándares aplicables. </w:t>
      </w:r>
    </w:p>
    <w:p w14:paraId="1DB4F00C" w14:textId="77777777" w:rsidR="00B11846" w:rsidRPr="00026F1E" w:rsidRDefault="00B11846" w:rsidP="003A2BF3">
      <w:pPr>
        <w:pStyle w:val="Default"/>
        <w:ind w:left="708"/>
        <w:rPr>
          <w:rFonts w:ascii="Bookman Old Style" w:hAnsi="Bookman Old Style"/>
        </w:rPr>
      </w:pPr>
      <w:r w:rsidRPr="00026F1E">
        <w:rPr>
          <w:rFonts w:ascii="Bookman Old Style" w:hAnsi="Bookman Old Style"/>
        </w:rPr>
        <w:t xml:space="preserve"> </w:t>
      </w:r>
    </w:p>
    <w:p w14:paraId="4169AE69" w14:textId="77777777" w:rsidR="00B11846" w:rsidRPr="00026F1E" w:rsidRDefault="00B11846" w:rsidP="003A2BF3">
      <w:pPr>
        <w:pStyle w:val="Default"/>
        <w:ind w:left="708"/>
        <w:rPr>
          <w:rFonts w:ascii="Bookman Old Style" w:hAnsi="Bookman Old Style"/>
          <w:b/>
          <w:bCs/>
        </w:rPr>
      </w:pPr>
      <w:r w:rsidRPr="00026F1E">
        <w:rPr>
          <w:rFonts w:ascii="Bookman Old Style" w:hAnsi="Bookman Old Style"/>
          <w:b/>
          <w:bCs/>
        </w:rPr>
        <w:t>6.2 RESOLUCIÓN DE CONFLICTOS SOBRE NORMAS TECNICAS</w:t>
      </w:r>
    </w:p>
    <w:p w14:paraId="0E54D8E0" w14:textId="77777777" w:rsidR="005938A8" w:rsidRPr="00026F1E" w:rsidRDefault="005938A8" w:rsidP="005938A8">
      <w:pPr>
        <w:pStyle w:val="Default"/>
        <w:ind w:left="708"/>
        <w:rPr>
          <w:rFonts w:ascii="Bookman Old Style" w:hAnsi="Bookman Old Style"/>
        </w:rPr>
      </w:pPr>
    </w:p>
    <w:p w14:paraId="6810BDF9" w14:textId="77777777" w:rsidR="00B11846" w:rsidRPr="00026F1E" w:rsidRDefault="005938A8" w:rsidP="005938A8">
      <w:pPr>
        <w:ind w:left="709"/>
        <w:jc w:val="both"/>
        <w:rPr>
          <w:rFonts w:cs="Calibri"/>
          <w:color w:val="000000"/>
          <w:lang w:val="es-CO" w:eastAsia="es-CO"/>
        </w:rPr>
      </w:pPr>
      <w:r w:rsidRPr="00026F1E">
        <w:rPr>
          <w:rFonts w:cs="Calibri"/>
          <w:color w:val="000000"/>
          <w:lang w:val="es-CO" w:eastAsia="es-CO"/>
        </w:rPr>
        <w:t>Las discrepancias entre normas internacionales aplicables deberán ser resueltas por el Ministerio de Minas y Energía, así como las que se presenten entre el Transportador y el propietario de la Conexión.</w:t>
      </w:r>
    </w:p>
    <w:p w14:paraId="052BFA67" w14:textId="77777777" w:rsidR="005938A8" w:rsidRPr="005C2084" w:rsidRDefault="005938A8" w:rsidP="005938A8">
      <w:pPr>
        <w:pStyle w:val="Default"/>
        <w:ind w:left="708"/>
        <w:rPr>
          <w:rFonts w:ascii="Bookman Old Style" w:hAnsi="Bookman Old Style"/>
          <w:sz w:val="20"/>
        </w:rPr>
      </w:pPr>
    </w:p>
    <w:p w14:paraId="0331EEE7" w14:textId="0359D1EA" w:rsidR="00B11846" w:rsidRPr="00026F1E" w:rsidRDefault="00B11846" w:rsidP="003A2BF3">
      <w:pPr>
        <w:pStyle w:val="Default"/>
        <w:ind w:left="708"/>
        <w:jc w:val="both"/>
        <w:rPr>
          <w:rFonts w:ascii="Bookman Old Style" w:hAnsi="Bookman Old Style"/>
        </w:rPr>
      </w:pPr>
      <w:r w:rsidRPr="00026F1E">
        <w:rPr>
          <w:rFonts w:ascii="Bookman Old Style" w:hAnsi="Bookman Old Style"/>
        </w:rPr>
        <w:t xml:space="preserve">Las discrepancias entre normas internacionales o nacionales aplicables </w:t>
      </w:r>
      <w:r w:rsidR="00DB79BD" w:rsidRPr="00026F1E">
        <w:rPr>
          <w:rFonts w:ascii="Bookman Old Style" w:hAnsi="Bookman Old Style"/>
        </w:rPr>
        <w:t>podrán</w:t>
      </w:r>
      <w:r w:rsidRPr="00026F1E">
        <w:rPr>
          <w:rFonts w:ascii="Bookman Old Style" w:hAnsi="Bookman Old Style"/>
        </w:rPr>
        <w:t xml:space="preserve"> ser resueltas </w:t>
      </w:r>
      <w:r w:rsidR="00DB79BD" w:rsidRPr="00026F1E">
        <w:rPr>
          <w:rFonts w:ascii="Bookman Old Style" w:hAnsi="Bookman Old Style"/>
        </w:rPr>
        <w:t xml:space="preserve">entre las partes interesadas </w:t>
      </w:r>
      <w:r w:rsidRPr="00026F1E">
        <w:rPr>
          <w:rFonts w:ascii="Bookman Old Style" w:hAnsi="Bookman Old Style"/>
        </w:rPr>
        <w:t xml:space="preserve">en primera instancia remitiéndose a la fuente original en el caso de las normas que corresponden a adopciones, adaptaciones o traducciones de otras normas. En caso de </w:t>
      </w:r>
      <w:r w:rsidR="00DB79BD" w:rsidRPr="00026F1E">
        <w:rPr>
          <w:rFonts w:ascii="Bookman Old Style" w:hAnsi="Bookman Old Style"/>
        </w:rPr>
        <w:t>no resolver</w:t>
      </w:r>
      <w:r w:rsidR="004D5F1D">
        <w:rPr>
          <w:rFonts w:ascii="Bookman Old Style" w:hAnsi="Bookman Old Style"/>
        </w:rPr>
        <w:t>se</w:t>
      </w:r>
      <w:r w:rsidR="00DB79BD" w:rsidRPr="00026F1E">
        <w:rPr>
          <w:rFonts w:ascii="Bookman Old Style" w:hAnsi="Bookman Old Style"/>
        </w:rPr>
        <w:t xml:space="preserve"> e</w:t>
      </w:r>
      <w:r w:rsidRPr="00026F1E">
        <w:rPr>
          <w:rFonts w:ascii="Bookman Old Style" w:hAnsi="Bookman Old Style"/>
        </w:rPr>
        <w:t xml:space="preserve">l conflicto deberá solicitarse </w:t>
      </w:r>
      <w:r w:rsidR="00DB79BD" w:rsidRPr="00026F1E">
        <w:rPr>
          <w:rFonts w:ascii="Bookman Old Style" w:hAnsi="Bookman Old Style"/>
        </w:rPr>
        <w:t>la intervención</w:t>
      </w:r>
      <w:r w:rsidRPr="00026F1E">
        <w:rPr>
          <w:rFonts w:ascii="Bookman Old Style" w:hAnsi="Bookman Old Style"/>
        </w:rPr>
        <w:t xml:space="preserve"> por parte de</w:t>
      </w:r>
      <w:r w:rsidR="00DB79BD" w:rsidRPr="00026F1E">
        <w:rPr>
          <w:rFonts w:ascii="Bookman Old Style" w:hAnsi="Bookman Old Style"/>
        </w:rPr>
        <w:t>l Ministerio de Minas y Energía</w:t>
      </w:r>
      <w:r w:rsidRPr="00026F1E">
        <w:rPr>
          <w:rFonts w:ascii="Bookman Old Style" w:hAnsi="Bookman Old Style"/>
        </w:rPr>
        <w:t xml:space="preserve">. </w:t>
      </w:r>
    </w:p>
    <w:p w14:paraId="2DA6D136" w14:textId="77777777" w:rsidR="00B11846" w:rsidRPr="005C2084" w:rsidRDefault="00B11846" w:rsidP="005836EB">
      <w:pPr>
        <w:pStyle w:val="Prrafodelista"/>
        <w:rPr>
          <w:sz w:val="24"/>
          <w:szCs w:val="24"/>
        </w:rPr>
      </w:pPr>
    </w:p>
    <w:p w14:paraId="6C9B3C7A" w14:textId="0B5E192A" w:rsidR="004D5F1D" w:rsidRPr="007C59DC" w:rsidRDefault="00C33ADC" w:rsidP="000F2E72">
      <w:pPr>
        <w:pStyle w:val="ARTICULOS"/>
        <w:ind w:left="0" w:firstLine="0"/>
      </w:pPr>
      <w:r w:rsidRPr="007C59DC">
        <w:rPr>
          <w:b/>
        </w:rPr>
        <w:t>TRANSICIÓN</w:t>
      </w:r>
      <w:r w:rsidRPr="007C59DC">
        <w:rPr>
          <w:b/>
          <w:lang w:val="es-CO"/>
        </w:rPr>
        <w:t xml:space="preserve">. </w:t>
      </w:r>
      <w:r w:rsidR="004D5F1D" w:rsidRPr="007C59DC">
        <w:rPr>
          <w:lang w:val="es-CO"/>
        </w:rPr>
        <w:t>Los agentes tendrán un plazo máximo de un (1) año contado a partir de la entrada en vigencia de la presente resolución</w:t>
      </w:r>
      <w:r w:rsidR="004D5F1D" w:rsidRPr="007C59DC">
        <w:rPr>
          <w:b/>
          <w:lang w:val="es-CO"/>
        </w:rPr>
        <w:t xml:space="preserve">  </w:t>
      </w:r>
      <w:r w:rsidR="004D5F1D" w:rsidRPr="007C59DC">
        <w:rPr>
          <w:lang w:val="es-CO"/>
        </w:rPr>
        <w:t>p</w:t>
      </w:r>
      <w:r w:rsidRPr="007C59DC">
        <w:rPr>
          <w:lang w:val="es-CO"/>
        </w:rPr>
        <w:t xml:space="preserve">ara </w:t>
      </w:r>
      <w:r w:rsidR="00EB6055" w:rsidRPr="007C59DC">
        <w:rPr>
          <w:lang w:val="es-CO"/>
        </w:rPr>
        <w:t xml:space="preserve">realizar </w:t>
      </w:r>
      <w:r w:rsidRPr="007C59DC">
        <w:rPr>
          <w:lang w:val="es-CO"/>
        </w:rPr>
        <w:t xml:space="preserve">la verificación inicial de las estaciones de medición </w:t>
      </w:r>
      <w:r w:rsidR="008C11A0" w:rsidRPr="007C59DC">
        <w:rPr>
          <w:lang w:val="es-CO"/>
        </w:rPr>
        <w:t xml:space="preserve">que se encuentren operando </w:t>
      </w:r>
      <w:r w:rsidR="00125A2C">
        <w:rPr>
          <w:lang w:val="es-CO"/>
        </w:rPr>
        <w:t>con el fin de</w:t>
      </w:r>
      <w:r w:rsidR="00A94D17" w:rsidRPr="007C59DC">
        <w:rPr>
          <w:lang w:val="es-CO"/>
        </w:rPr>
        <w:t xml:space="preserve"> dar</w:t>
      </w:r>
      <w:r w:rsidR="008C11A0" w:rsidRPr="007C59DC">
        <w:rPr>
          <w:lang w:val="es-CO"/>
        </w:rPr>
        <w:t xml:space="preserve"> cumplimiento a lo previsto en</w:t>
      </w:r>
      <w:r w:rsidR="00EB6055" w:rsidRPr="007C59DC">
        <w:rPr>
          <w:lang w:val="es-CO"/>
        </w:rPr>
        <w:t xml:space="preserve"> el numeral 6.3 de la norma </w:t>
      </w:r>
      <w:r w:rsidR="008C11A0" w:rsidRPr="007C59DC">
        <w:rPr>
          <w:lang w:val="es-CO"/>
        </w:rPr>
        <w:t xml:space="preserve">técnica </w:t>
      </w:r>
      <w:r w:rsidR="004D5F1D" w:rsidRPr="007C59DC">
        <w:rPr>
          <w:lang w:val="es-CO"/>
        </w:rPr>
        <w:t>NTC 6167 del 2016.</w:t>
      </w:r>
    </w:p>
    <w:p w14:paraId="57163C1D" w14:textId="77777777" w:rsidR="00C33ADC" w:rsidRPr="005C2084" w:rsidRDefault="00C33ADC" w:rsidP="00C33ADC">
      <w:pPr>
        <w:pStyle w:val="ARTICULOS"/>
        <w:numPr>
          <w:ilvl w:val="0"/>
          <w:numId w:val="0"/>
        </w:numPr>
        <w:ind w:left="360" w:hanging="360"/>
        <w:rPr>
          <w:sz w:val="20"/>
        </w:rPr>
      </w:pPr>
    </w:p>
    <w:p w14:paraId="73B4CE6C" w14:textId="2086E4BD" w:rsidR="00671E74" w:rsidRPr="00026F1E" w:rsidRDefault="00671E74" w:rsidP="00125A2C">
      <w:pPr>
        <w:pStyle w:val="ARTICULOS"/>
        <w:ind w:left="0" w:firstLine="0"/>
      </w:pPr>
      <w:r w:rsidRPr="00026F1E">
        <w:rPr>
          <w:b/>
        </w:rPr>
        <w:t>VIGENCIA</w:t>
      </w:r>
      <w:r w:rsidR="00A703B1">
        <w:t xml:space="preserve">.  La presente </w:t>
      </w:r>
      <w:r w:rsidR="00A703B1">
        <w:rPr>
          <w:lang w:val="es-MX"/>
        </w:rPr>
        <w:t>r</w:t>
      </w:r>
      <w:proofErr w:type="spellStart"/>
      <w:r w:rsidRPr="00026F1E">
        <w:t>esolución</w:t>
      </w:r>
      <w:proofErr w:type="spellEnd"/>
      <w:r w:rsidRPr="00026F1E">
        <w:t xml:space="preserve"> rige a partir de la fecha de su publicación en el </w:t>
      </w:r>
      <w:r w:rsidRPr="005C2084">
        <w:rPr>
          <w:i/>
        </w:rPr>
        <w:t>Diario Oficial</w:t>
      </w:r>
      <w:r w:rsidR="00106F04" w:rsidRPr="00026F1E">
        <w:rPr>
          <w:lang w:val="es-CO"/>
        </w:rPr>
        <w:t xml:space="preserve"> y deroga todas aquellas disposiciones que le sean contrarias</w:t>
      </w:r>
      <w:r w:rsidRPr="00026F1E">
        <w:t xml:space="preserve">. </w:t>
      </w:r>
    </w:p>
    <w:p w14:paraId="4DF48B82" w14:textId="77777777" w:rsidR="00671E74" w:rsidRPr="00673C7D" w:rsidRDefault="00671E74" w:rsidP="00671E74">
      <w:pPr>
        <w:pStyle w:val="Ttulo5"/>
        <w:jc w:val="both"/>
        <w:rPr>
          <w:rFonts w:ascii="Bookman Old Style" w:hAnsi="Bookman Old Style"/>
          <w:sz w:val="20"/>
          <w:szCs w:val="24"/>
        </w:rPr>
      </w:pPr>
    </w:p>
    <w:p w14:paraId="6B8AED0F" w14:textId="77777777" w:rsidR="000C3234" w:rsidRDefault="000C3234" w:rsidP="00671E74">
      <w:pPr>
        <w:jc w:val="center"/>
        <w:rPr>
          <w:rFonts w:cs="Arial"/>
          <w:b/>
          <w:bCs/>
          <w:color w:val="000000"/>
        </w:rPr>
      </w:pPr>
    </w:p>
    <w:p w14:paraId="3998CCE0" w14:textId="77777777" w:rsidR="00671E74" w:rsidRPr="00026F1E" w:rsidRDefault="00671E74" w:rsidP="00671E74">
      <w:pPr>
        <w:jc w:val="center"/>
        <w:rPr>
          <w:rFonts w:cs="Arial"/>
          <w:b/>
          <w:bCs/>
          <w:color w:val="000000"/>
        </w:rPr>
      </w:pPr>
      <w:r w:rsidRPr="00026F1E">
        <w:rPr>
          <w:rFonts w:cs="Arial"/>
          <w:b/>
          <w:bCs/>
          <w:color w:val="000000"/>
        </w:rPr>
        <w:t>PUBLÍQUESE Y CÚMPLASE</w:t>
      </w:r>
    </w:p>
    <w:p w14:paraId="35F86E44" w14:textId="77777777" w:rsidR="00671E74" w:rsidRPr="00026F1E" w:rsidRDefault="00671E74" w:rsidP="00671E74">
      <w:pPr>
        <w:rPr>
          <w:rFonts w:cs="Arial"/>
        </w:rPr>
      </w:pPr>
    </w:p>
    <w:p w14:paraId="16AAE5B8" w14:textId="77777777" w:rsidR="00EC75D4" w:rsidRPr="00026F1E" w:rsidRDefault="000C43CB" w:rsidP="00EF792E">
      <w:pPr>
        <w:ind w:left="0"/>
        <w:rPr>
          <w:rFonts w:cs="Arial"/>
        </w:rPr>
      </w:pPr>
      <w:r w:rsidRPr="00026F1E">
        <w:rPr>
          <w:rFonts w:cs="Arial"/>
        </w:rPr>
        <w:t>Firma de Proyecto</w:t>
      </w:r>
    </w:p>
    <w:p w14:paraId="353B9478" w14:textId="77777777" w:rsidR="00EC75D4" w:rsidRDefault="00EC75D4" w:rsidP="00EC75D4">
      <w:pPr>
        <w:rPr>
          <w:rFonts w:cs="Arial"/>
          <w:sz w:val="36"/>
        </w:rPr>
      </w:pPr>
    </w:p>
    <w:p w14:paraId="4BB546F8" w14:textId="77777777" w:rsidR="000C3234" w:rsidRPr="005C2084" w:rsidRDefault="000C3234" w:rsidP="00EC75D4">
      <w:pPr>
        <w:rPr>
          <w:rFonts w:cs="Arial"/>
          <w:sz w:val="36"/>
        </w:rPr>
      </w:pPr>
    </w:p>
    <w:p w14:paraId="004B895A" w14:textId="77777777" w:rsidR="005C2084" w:rsidRPr="005C2084" w:rsidRDefault="005C2084" w:rsidP="00EC75D4">
      <w:pPr>
        <w:rPr>
          <w:rFonts w:cs="Arial"/>
          <w:sz w:val="20"/>
        </w:rPr>
      </w:pPr>
    </w:p>
    <w:p w14:paraId="6CE0E4C2" w14:textId="77777777" w:rsidR="005C2084" w:rsidRPr="00026F1E" w:rsidRDefault="005C2084" w:rsidP="00EC75D4">
      <w:pPr>
        <w:rPr>
          <w:rFonts w:cs="Arial"/>
        </w:rPr>
      </w:pPr>
    </w:p>
    <w:tbl>
      <w:tblPr>
        <w:tblW w:w="9498" w:type="dxa"/>
        <w:tblInd w:w="-142" w:type="dxa"/>
        <w:tblLayout w:type="fixed"/>
        <w:tblCellMar>
          <w:left w:w="0" w:type="dxa"/>
          <w:right w:w="0" w:type="dxa"/>
        </w:tblCellMar>
        <w:tblLook w:val="04A0" w:firstRow="1" w:lastRow="0" w:firstColumn="1" w:lastColumn="0" w:noHBand="0" w:noVBand="1"/>
      </w:tblPr>
      <w:tblGrid>
        <w:gridCol w:w="4962"/>
        <w:gridCol w:w="4536"/>
      </w:tblGrid>
      <w:tr w:rsidR="005C2084" w:rsidRPr="00C2343E" w14:paraId="1292264A" w14:textId="77777777" w:rsidTr="002F06CE">
        <w:tc>
          <w:tcPr>
            <w:tcW w:w="4962" w:type="dxa"/>
            <w:hideMark/>
          </w:tcPr>
          <w:p w14:paraId="2D25FA9B" w14:textId="77777777" w:rsidR="005C2084" w:rsidRDefault="005C2084" w:rsidP="002F06CE">
            <w:pPr>
              <w:snapToGrid w:val="0"/>
              <w:ind w:left="0"/>
              <w:jc w:val="center"/>
              <w:rPr>
                <w:rFonts w:cs="Arial"/>
                <w:b/>
                <w:bCs/>
              </w:rPr>
            </w:pPr>
            <w:r w:rsidRPr="00B12332">
              <w:rPr>
                <w:rFonts w:cs="Arial"/>
                <w:b/>
                <w:bCs/>
              </w:rPr>
              <w:t>RUTTY PAOLA ORTIZ JARA</w:t>
            </w:r>
            <w:r>
              <w:rPr>
                <w:rFonts w:cs="Arial"/>
                <w:b/>
                <w:bCs/>
              </w:rPr>
              <w:t xml:space="preserve"> </w:t>
            </w:r>
          </w:p>
          <w:p w14:paraId="250BE4A7" w14:textId="77777777" w:rsidR="005C2084" w:rsidRPr="00C2343E" w:rsidRDefault="005C2084" w:rsidP="002F06CE">
            <w:pPr>
              <w:snapToGrid w:val="0"/>
              <w:ind w:left="0"/>
              <w:jc w:val="center"/>
              <w:rPr>
                <w:rFonts w:cs="Arial"/>
                <w:b/>
                <w:bCs/>
              </w:rPr>
            </w:pPr>
            <w:r>
              <w:rPr>
                <w:rFonts w:cs="Arial"/>
              </w:rPr>
              <w:t>Viceministra de Energía</w:t>
            </w:r>
          </w:p>
        </w:tc>
        <w:tc>
          <w:tcPr>
            <w:tcW w:w="4536" w:type="dxa"/>
            <w:hideMark/>
          </w:tcPr>
          <w:p w14:paraId="544F9410" w14:textId="77777777" w:rsidR="005C2084" w:rsidRDefault="005C2084" w:rsidP="002F06CE">
            <w:pPr>
              <w:snapToGrid w:val="0"/>
              <w:ind w:left="0"/>
              <w:jc w:val="center"/>
              <w:rPr>
                <w:rFonts w:cs="Arial"/>
                <w:b/>
                <w:bCs/>
              </w:rPr>
            </w:pPr>
            <w:r>
              <w:rPr>
                <w:rFonts w:cs="Arial"/>
                <w:b/>
                <w:bCs/>
              </w:rPr>
              <w:t>GERMÁN CASTRO FERREIRA</w:t>
            </w:r>
          </w:p>
          <w:p w14:paraId="0BF008E6" w14:textId="77777777" w:rsidR="005C2084" w:rsidRPr="00C2343E" w:rsidRDefault="005C2084" w:rsidP="002F06CE">
            <w:pPr>
              <w:snapToGrid w:val="0"/>
              <w:ind w:left="0"/>
              <w:jc w:val="center"/>
              <w:rPr>
                <w:rFonts w:cs="Arial"/>
                <w:b/>
                <w:bCs/>
              </w:rPr>
            </w:pPr>
            <w:r w:rsidRPr="00C2343E">
              <w:rPr>
                <w:rFonts w:cs="Arial"/>
              </w:rPr>
              <w:t>Director Ejecutivo</w:t>
            </w:r>
          </w:p>
        </w:tc>
      </w:tr>
      <w:tr w:rsidR="005C2084" w:rsidRPr="00C2343E" w14:paraId="5BB6460F" w14:textId="77777777" w:rsidTr="002F06CE">
        <w:tc>
          <w:tcPr>
            <w:tcW w:w="4962" w:type="dxa"/>
            <w:hideMark/>
          </w:tcPr>
          <w:p w14:paraId="0BD3AA58" w14:textId="77777777" w:rsidR="005C2084" w:rsidRDefault="005C2084" w:rsidP="002F06CE">
            <w:pPr>
              <w:snapToGrid w:val="0"/>
              <w:ind w:left="0"/>
              <w:jc w:val="center"/>
              <w:rPr>
                <w:rFonts w:cs="Arial"/>
              </w:rPr>
            </w:pPr>
            <w:r>
              <w:rPr>
                <w:rFonts w:cs="Arial"/>
              </w:rPr>
              <w:t>Delegada del Ministro de Minas y Energía</w:t>
            </w:r>
          </w:p>
          <w:p w14:paraId="523AB40E" w14:textId="77777777" w:rsidR="005C2084" w:rsidRPr="00C2343E" w:rsidRDefault="005C2084" w:rsidP="002F06CE">
            <w:pPr>
              <w:snapToGrid w:val="0"/>
              <w:ind w:left="0"/>
              <w:jc w:val="center"/>
              <w:rPr>
                <w:rFonts w:cs="Arial"/>
              </w:rPr>
            </w:pPr>
            <w:r>
              <w:rPr>
                <w:rFonts w:cs="Arial"/>
              </w:rPr>
              <w:t>Presidente</w:t>
            </w:r>
          </w:p>
        </w:tc>
        <w:tc>
          <w:tcPr>
            <w:tcW w:w="4536" w:type="dxa"/>
            <w:hideMark/>
          </w:tcPr>
          <w:p w14:paraId="311A5EDE" w14:textId="77777777" w:rsidR="005C2084" w:rsidRPr="00C2343E" w:rsidRDefault="005C2084" w:rsidP="002F06CE">
            <w:pPr>
              <w:snapToGrid w:val="0"/>
              <w:jc w:val="both"/>
              <w:rPr>
                <w:rFonts w:cs="Arial"/>
              </w:rPr>
            </w:pPr>
            <w:r w:rsidRPr="00C2343E">
              <w:rPr>
                <w:rFonts w:cs="Arial"/>
              </w:rPr>
              <w:t xml:space="preserve">          </w:t>
            </w:r>
          </w:p>
        </w:tc>
      </w:tr>
    </w:tbl>
    <w:p w14:paraId="39C9ADBA" w14:textId="77777777" w:rsidR="00EC75D4" w:rsidRPr="00026F1E" w:rsidRDefault="00EC75D4" w:rsidP="005C2084">
      <w:pPr>
        <w:ind w:left="0"/>
        <w:rPr>
          <w:rFonts w:cs="Arial"/>
        </w:rPr>
      </w:pPr>
    </w:p>
    <w:sectPr w:rsidR="00EC75D4" w:rsidRPr="00026F1E" w:rsidSect="00EC75D4">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CDA7D" w14:textId="77777777" w:rsidR="00365C97" w:rsidRDefault="00365C97">
      <w:r>
        <w:separator/>
      </w:r>
    </w:p>
  </w:endnote>
  <w:endnote w:type="continuationSeparator" w:id="0">
    <w:p w14:paraId="7B56E9D5" w14:textId="77777777" w:rsidR="00365C97" w:rsidRDefault="0036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5268" w14:textId="77777777" w:rsidR="00365C97" w:rsidRDefault="00365C97">
      <w:r>
        <w:separator/>
      </w:r>
    </w:p>
  </w:footnote>
  <w:footnote w:type="continuationSeparator" w:id="0">
    <w:p w14:paraId="57772BD2" w14:textId="77777777" w:rsidR="00365C97" w:rsidRDefault="00365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B8AF" w14:textId="77777777" w:rsidR="00460E51" w:rsidRDefault="00460E51" w:rsidP="00951F79">
    <w:pPr>
      <w:pStyle w:val="Ttulo1"/>
      <w:ind w:right="6"/>
      <w:jc w:val="left"/>
      <w:rPr>
        <w:rFonts w:ascii="Bookman Old Style" w:hAnsi="Bookman Old Style" w:cs="Arial"/>
        <w:b w:val="0"/>
        <w:sz w:val="22"/>
        <w:szCs w:val="22"/>
      </w:rPr>
    </w:pPr>
  </w:p>
  <w:p w14:paraId="36CDF54E" w14:textId="01689117" w:rsidR="00460E51" w:rsidRPr="00951F79" w:rsidRDefault="00460E5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36679">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36679" w:rsidRPr="00A36679">
        <w:rPr>
          <w:rFonts w:ascii="Bookman Old Style" w:hAnsi="Bookman Old Style" w:cs="Arial"/>
          <w:b w:val="0"/>
          <w:noProof/>
          <w:sz w:val="22"/>
          <w:szCs w:val="22"/>
        </w:rPr>
        <w:t>25</w:t>
      </w:r>
    </w:fldSimple>
  </w:p>
  <w:p w14:paraId="1648821D" w14:textId="77777777" w:rsidR="00460E51" w:rsidRDefault="00460E51"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595E9F07" wp14:editId="1E07C5DB">
              <wp:simplePos x="0" y="0"/>
              <wp:positionH relativeFrom="column">
                <wp:posOffset>-175260</wp:posOffset>
              </wp:positionH>
              <wp:positionV relativeFrom="paragraph">
                <wp:posOffset>139065</wp:posOffset>
              </wp:positionV>
              <wp:extent cx="6267450" cy="9900920"/>
              <wp:effectExtent l="9525" t="10795" r="9525"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5A1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6B43EAA" w14:textId="77777777" w:rsidR="00460E51" w:rsidRPr="0035377C" w:rsidRDefault="00460E51" w:rsidP="0035377C">
    <w:pPr>
      <w:ind w:left="0"/>
      <w:jc w:val="both"/>
      <w:rPr>
        <w:sz w:val="22"/>
        <w:szCs w:val="22"/>
      </w:rPr>
    </w:pPr>
    <w:r w:rsidRPr="0035377C">
      <w:rPr>
        <w:sz w:val="22"/>
        <w:szCs w:val="22"/>
      </w:rPr>
      <w:t xml:space="preserve">Por </w:t>
    </w:r>
    <w:r w:rsidRPr="0035377C">
      <w:rPr>
        <w:rFonts w:cs="Arial"/>
        <w:sz w:val="22"/>
        <w:szCs w:val="22"/>
      </w:rPr>
      <w:t>la cual se ordena hacer público un proyecto de resolución de carácter general, “</w:t>
    </w:r>
    <w:r w:rsidRPr="0035377C">
      <w:rPr>
        <w:rFonts w:cs="Arial"/>
        <w:sz w:val="22"/>
        <w:szCs w:val="22"/>
        <w:lang w:val="es-ES_tradnl"/>
      </w:rPr>
      <w:t>P</w:t>
    </w:r>
    <w:proofErr w:type="spellStart"/>
    <w:r w:rsidRPr="0035377C">
      <w:rPr>
        <w:rFonts w:cs="Arial"/>
        <w:sz w:val="22"/>
        <w:szCs w:val="22"/>
      </w:rPr>
      <w:t>or</w:t>
    </w:r>
    <w:proofErr w:type="spellEnd"/>
    <w:r w:rsidRPr="0035377C">
      <w:rPr>
        <w:rFonts w:cs="Arial"/>
        <w:sz w:val="22"/>
        <w:szCs w:val="22"/>
      </w:rPr>
      <w:t xml:space="preserve"> la cual se modifica el Reglamento Único de Transp</w:t>
    </w:r>
    <w:r>
      <w:rPr>
        <w:rFonts w:cs="Arial"/>
        <w:sz w:val="22"/>
        <w:szCs w:val="22"/>
      </w:rPr>
      <w:t>orte de Gas Natural</w:t>
    </w:r>
    <w:r w:rsidRPr="0035377C">
      <w:rPr>
        <w:rFonts w:cs="Arial"/>
        <w:sz w:val="22"/>
        <w:szCs w:val="22"/>
      </w:rPr>
      <w:t xml:space="preserve"> - RUT – adoptado mediante Resolución CREG 071 de 1999”</w:t>
    </w:r>
  </w:p>
  <w:p w14:paraId="7BD4FF6F" w14:textId="77777777" w:rsidR="00460E51" w:rsidRPr="005E0A2A" w:rsidRDefault="00460E51" w:rsidP="00AD01E4">
    <w:pPr>
      <w:pBdr>
        <w:bottom w:val="single" w:sz="4" w:space="1" w:color="auto"/>
      </w:pBdr>
      <w:ind w:left="142" w:right="148"/>
      <w:rPr>
        <w:b/>
        <w:sz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3DDE" w14:textId="77777777" w:rsidR="00460E51" w:rsidRDefault="00460E51"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1FD19DC" w14:textId="77777777" w:rsidR="00460E51" w:rsidRDefault="00460E51">
    <w:pPr>
      <w:pStyle w:val="Encabezado"/>
      <w:jc w:val="center"/>
      <w:rPr>
        <w:rFonts w:ascii="Arial" w:hAnsi="Arial" w:cs="Arial"/>
        <w:spacing w:val="20"/>
        <w:sz w:val="20"/>
      </w:rPr>
    </w:pPr>
  </w:p>
  <w:p w14:paraId="35D5C6D8" w14:textId="77777777" w:rsidR="00460E51" w:rsidRDefault="00460E5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B3E3522" wp14:editId="0C891346">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91D9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6AF1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5594A"/>
    <w:multiLevelType w:val="hybridMultilevel"/>
    <w:tmpl w:val="E95AD6D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F1773F"/>
    <w:multiLevelType w:val="hybridMultilevel"/>
    <w:tmpl w:val="F724B9D4"/>
    <w:lvl w:ilvl="0" w:tplc="240A0017">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18496F6B"/>
    <w:multiLevelType w:val="hybridMultilevel"/>
    <w:tmpl w:val="705019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2EDD17EB"/>
    <w:multiLevelType w:val="hybridMultilevel"/>
    <w:tmpl w:val="52A26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2A43EA"/>
    <w:multiLevelType w:val="hybridMultilevel"/>
    <w:tmpl w:val="D51048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673BD"/>
    <w:multiLevelType w:val="hybridMultilevel"/>
    <w:tmpl w:val="D4427DA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EC1BFF"/>
    <w:multiLevelType w:val="hybridMultilevel"/>
    <w:tmpl w:val="F64415D4"/>
    <w:lvl w:ilvl="0" w:tplc="2152C5E8">
      <w:start w:val="1"/>
      <w:numFmt w:val="decimal"/>
      <w:lvlText w:val="%1."/>
      <w:lvlJc w:val="left"/>
      <w:pPr>
        <w:ind w:left="825" w:hanging="46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B53264"/>
    <w:multiLevelType w:val="hybridMultilevel"/>
    <w:tmpl w:val="2F0E73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FE4535"/>
    <w:multiLevelType w:val="hybridMultilevel"/>
    <w:tmpl w:val="A072D4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943305"/>
    <w:multiLevelType w:val="hybridMultilevel"/>
    <w:tmpl w:val="8FA65BD8"/>
    <w:lvl w:ilvl="0" w:tplc="240A001B">
      <w:start w:val="1"/>
      <w:numFmt w:val="lowerRoman"/>
      <w:lvlText w:val="%1."/>
      <w:lvlJc w:val="righ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2" w15:restartNumberingAfterBreak="0">
    <w:nsid w:val="47A96AFA"/>
    <w:multiLevelType w:val="hybridMultilevel"/>
    <w:tmpl w:val="8FA65BD8"/>
    <w:lvl w:ilvl="0" w:tplc="240A001B">
      <w:start w:val="1"/>
      <w:numFmt w:val="lowerRoman"/>
      <w:lvlText w:val="%1."/>
      <w:lvlJc w:val="righ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82259"/>
    <w:multiLevelType w:val="hybridMultilevel"/>
    <w:tmpl w:val="206AF83C"/>
    <w:lvl w:ilvl="0" w:tplc="8822FB30">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7" w15:restartNumberingAfterBreak="0">
    <w:nsid w:val="4B7B75A0"/>
    <w:multiLevelType w:val="hybridMultilevel"/>
    <w:tmpl w:val="AB9AB272"/>
    <w:lvl w:ilvl="0" w:tplc="481E05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035A35"/>
    <w:multiLevelType w:val="hybridMultilevel"/>
    <w:tmpl w:val="C136C70E"/>
    <w:lvl w:ilvl="0" w:tplc="721C2564">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9" w15:restartNumberingAfterBreak="0">
    <w:nsid w:val="4CC15F16"/>
    <w:multiLevelType w:val="hybridMultilevel"/>
    <w:tmpl w:val="A11C4316"/>
    <w:lvl w:ilvl="0" w:tplc="BE7E70FA">
      <w:start w:val="1"/>
      <w:numFmt w:val="lowerRoman"/>
      <w:lvlText w:val="(%1)"/>
      <w:lvlJc w:val="left"/>
      <w:pPr>
        <w:ind w:left="1080" w:hanging="72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FD41DA"/>
    <w:multiLevelType w:val="hybridMultilevel"/>
    <w:tmpl w:val="12BE4D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2" w15:restartNumberingAfterBreak="0">
    <w:nsid w:val="55D92E1D"/>
    <w:multiLevelType w:val="hybridMultilevel"/>
    <w:tmpl w:val="63E0F882"/>
    <w:lvl w:ilvl="0" w:tplc="240422A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78E7EFD"/>
    <w:multiLevelType w:val="hybridMultilevel"/>
    <w:tmpl w:val="EF1CAC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8" w15:restartNumberingAfterBreak="0">
    <w:nsid w:val="69495710"/>
    <w:multiLevelType w:val="hybridMultilevel"/>
    <w:tmpl w:val="1B18E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432BD8"/>
    <w:multiLevelType w:val="hybridMultilevel"/>
    <w:tmpl w:val="1F3E190C"/>
    <w:lvl w:ilvl="0" w:tplc="68D4F308">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rPr>
    </w:lvl>
    <w:lvl w:ilvl="1" w:tplc="240A0019">
      <w:start w:val="1"/>
      <w:numFmt w:val="lowerLetter"/>
      <w:lvlText w:val="%2."/>
      <w:lvlJc w:val="left"/>
      <w:pPr>
        <w:ind w:left="-1331" w:hanging="360"/>
      </w:pPr>
    </w:lvl>
    <w:lvl w:ilvl="2" w:tplc="240A000F">
      <w:start w:val="1"/>
      <w:numFmt w:val="decimal"/>
      <w:lvlText w:val="%3."/>
      <w:lvlJc w:val="left"/>
      <w:pPr>
        <w:ind w:left="-611" w:hanging="180"/>
      </w:pPr>
    </w:lvl>
    <w:lvl w:ilvl="3" w:tplc="240A000F" w:tentative="1">
      <w:start w:val="1"/>
      <w:numFmt w:val="decimal"/>
      <w:lvlText w:val="%4."/>
      <w:lvlJc w:val="left"/>
      <w:pPr>
        <w:ind w:left="109" w:hanging="360"/>
      </w:pPr>
    </w:lvl>
    <w:lvl w:ilvl="4" w:tplc="240A0019" w:tentative="1">
      <w:start w:val="1"/>
      <w:numFmt w:val="lowerLetter"/>
      <w:lvlText w:val="%5."/>
      <w:lvlJc w:val="left"/>
      <w:pPr>
        <w:ind w:left="829" w:hanging="360"/>
      </w:pPr>
    </w:lvl>
    <w:lvl w:ilvl="5" w:tplc="240A001B" w:tentative="1">
      <w:start w:val="1"/>
      <w:numFmt w:val="lowerRoman"/>
      <w:lvlText w:val="%6."/>
      <w:lvlJc w:val="right"/>
      <w:pPr>
        <w:ind w:left="1549" w:hanging="180"/>
      </w:pPr>
    </w:lvl>
    <w:lvl w:ilvl="6" w:tplc="240A000F" w:tentative="1">
      <w:start w:val="1"/>
      <w:numFmt w:val="decimal"/>
      <w:lvlText w:val="%7."/>
      <w:lvlJc w:val="left"/>
      <w:pPr>
        <w:ind w:left="2269" w:hanging="360"/>
      </w:pPr>
    </w:lvl>
    <w:lvl w:ilvl="7" w:tplc="240A0019" w:tentative="1">
      <w:start w:val="1"/>
      <w:numFmt w:val="lowerLetter"/>
      <w:lvlText w:val="%8."/>
      <w:lvlJc w:val="left"/>
      <w:pPr>
        <w:ind w:left="2989" w:hanging="360"/>
      </w:pPr>
    </w:lvl>
    <w:lvl w:ilvl="8" w:tplc="240A001B" w:tentative="1">
      <w:start w:val="1"/>
      <w:numFmt w:val="lowerRoman"/>
      <w:lvlText w:val="%9."/>
      <w:lvlJc w:val="right"/>
      <w:pPr>
        <w:ind w:left="3709" w:hanging="180"/>
      </w:pPr>
    </w:lvl>
  </w:abstractNum>
  <w:abstractNum w:abstractNumId="41" w15:restartNumberingAfterBreak="0">
    <w:nsid w:val="771114D7"/>
    <w:multiLevelType w:val="hybridMultilevel"/>
    <w:tmpl w:val="FF867B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A966F7"/>
    <w:multiLevelType w:val="hybridMultilevel"/>
    <w:tmpl w:val="D376EEC2"/>
    <w:lvl w:ilvl="0" w:tplc="721C2564">
      <w:start w:val="1"/>
      <w:numFmt w:val="lowerRoman"/>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5" w15:restartNumberingAfterBreak="0">
    <w:nsid w:val="7E73664B"/>
    <w:multiLevelType w:val="hybridMultilevel"/>
    <w:tmpl w:val="8A2C2C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7"/>
  </w:num>
  <w:num w:numId="3">
    <w:abstractNumId w:val="42"/>
  </w:num>
  <w:num w:numId="4">
    <w:abstractNumId w:val="10"/>
  </w:num>
  <w:num w:numId="5">
    <w:abstractNumId w:val="33"/>
  </w:num>
  <w:num w:numId="6">
    <w:abstractNumId w:val="6"/>
  </w:num>
  <w:num w:numId="7">
    <w:abstractNumId w:val="4"/>
  </w:num>
  <w:num w:numId="8">
    <w:abstractNumId w:val="35"/>
  </w:num>
  <w:num w:numId="9">
    <w:abstractNumId w:val="34"/>
  </w:num>
  <w:num w:numId="10">
    <w:abstractNumId w:val="24"/>
  </w:num>
  <w:num w:numId="11">
    <w:abstractNumId w:val="43"/>
  </w:num>
  <w:num w:numId="12">
    <w:abstractNumId w:val="39"/>
  </w:num>
  <w:num w:numId="13">
    <w:abstractNumId w:val="16"/>
  </w:num>
  <w:num w:numId="14">
    <w:abstractNumId w:val="3"/>
  </w:num>
  <w:num w:numId="15">
    <w:abstractNumId w:val="26"/>
  </w:num>
  <w:num w:numId="16">
    <w:abstractNumId w:val="2"/>
  </w:num>
  <w:num w:numId="17">
    <w:abstractNumId w:val="14"/>
  </w:num>
  <w:num w:numId="18">
    <w:abstractNumId w:val="1"/>
  </w:num>
  <w:num w:numId="19">
    <w:abstractNumId w:val="37"/>
  </w:num>
  <w:num w:numId="20">
    <w:abstractNumId w:val="31"/>
  </w:num>
  <w:num w:numId="21">
    <w:abstractNumId w:val="11"/>
  </w:num>
  <w:num w:numId="22">
    <w:abstractNumId w:val="12"/>
  </w:num>
  <w:num w:numId="23">
    <w:abstractNumId w:val="0"/>
  </w:num>
  <w:num w:numId="24">
    <w:abstractNumId w:val="20"/>
  </w:num>
  <w:num w:numId="25">
    <w:abstractNumId w:val="28"/>
  </w:num>
  <w:num w:numId="26">
    <w:abstractNumId w:val="25"/>
  </w:num>
  <w:num w:numId="27">
    <w:abstractNumId w:val="15"/>
  </w:num>
  <w:num w:numId="28">
    <w:abstractNumId w:val="29"/>
  </w:num>
  <w:num w:numId="29">
    <w:abstractNumId w:val="9"/>
  </w:num>
  <w:num w:numId="30">
    <w:abstractNumId w:val="19"/>
  </w:num>
  <w:num w:numId="31">
    <w:abstractNumId w:val="45"/>
  </w:num>
  <w:num w:numId="32">
    <w:abstractNumId w:val="36"/>
  </w:num>
  <w:num w:numId="33">
    <w:abstractNumId w:val="41"/>
  </w:num>
  <w:num w:numId="34">
    <w:abstractNumId w:val="13"/>
  </w:num>
  <w:num w:numId="35">
    <w:abstractNumId w:val="18"/>
  </w:num>
  <w:num w:numId="36">
    <w:abstractNumId w:val="38"/>
  </w:num>
  <w:num w:numId="37">
    <w:abstractNumId w:val="40"/>
  </w:num>
  <w:num w:numId="38">
    <w:abstractNumId w:val="30"/>
  </w:num>
  <w:num w:numId="39">
    <w:abstractNumId w:val="27"/>
  </w:num>
  <w:num w:numId="40">
    <w:abstractNumId w:val="8"/>
  </w:num>
  <w:num w:numId="41">
    <w:abstractNumId w:val="17"/>
  </w:num>
  <w:num w:numId="42">
    <w:abstractNumId w:val="22"/>
  </w:num>
  <w:num w:numId="43">
    <w:abstractNumId w:val="21"/>
  </w:num>
  <w:num w:numId="44">
    <w:abstractNumId w:val="40"/>
    <w:lvlOverride w:ilvl="0">
      <w:startOverride w:val="1"/>
    </w:lvlOverride>
  </w:num>
  <w:num w:numId="45">
    <w:abstractNumId w:val="40"/>
    <w:lvlOverride w:ilvl="0">
      <w:startOverride w:val="1"/>
    </w:lvlOverride>
  </w:num>
  <w:num w:numId="46">
    <w:abstractNumId w:val="40"/>
  </w:num>
  <w:num w:numId="47">
    <w:abstractNumId w:val="40"/>
  </w:num>
  <w:num w:numId="48">
    <w:abstractNumId w:val="40"/>
  </w:num>
  <w:num w:numId="49">
    <w:abstractNumId w:val="40"/>
    <w:lvlOverride w:ilvl="0">
      <w:startOverride w:val="1"/>
    </w:lvlOverride>
  </w:num>
  <w:num w:numId="50">
    <w:abstractNumId w:val="40"/>
  </w:num>
  <w:num w:numId="51">
    <w:abstractNumId w:val="40"/>
  </w:num>
  <w:num w:numId="52">
    <w:abstractNumId w:val="40"/>
  </w:num>
  <w:num w:numId="53">
    <w:abstractNumId w:val="40"/>
  </w:num>
  <w:num w:numId="54">
    <w:abstractNumId w:val="44"/>
  </w:num>
  <w:num w:numId="55">
    <w:abstractNumId w:val="5"/>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43"/>
    <w:rsid w:val="00006AE2"/>
    <w:rsid w:val="000076A1"/>
    <w:rsid w:val="00012259"/>
    <w:rsid w:val="000209DF"/>
    <w:rsid w:val="00025083"/>
    <w:rsid w:val="00025383"/>
    <w:rsid w:val="00026F1E"/>
    <w:rsid w:val="00033AFF"/>
    <w:rsid w:val="00045D3D"/>
    <w:rsid w:val="00063657"/>
    <w:rsid w:val="00075AAE"/>
    <w:rsid w:val="00076680"/>
    <w:rsid w:val="00076A1D"/>
    <w:rsid w:val="0008073E"/>
    <w:rsid w:val="00085E18"/>
    <w:rsid w:val="00091CDB"/>
    <w:rsid w:val="00094810"/>
    <w:rsid w:val="0009761E"/>
    <w:rsid w:val="000A19AC"/>
    <w:rsid w:val="000A2BCA"/>
    <w:rsid w:val="000B2EC9"/>
    <w:rsid w:val="000B63D6"/>
    <w:rsid w:val="000B6618"/>
    <w:rsid w:val="000C3234"/>
    <w:rsid w:val="000C3BE9"/>
    <w:rsid w:val="000C43CB"/>
    <w:rsid w:val="000C4E0F"/>
    <w:rsid w:val="000D26F8"/>
    <w:rsid w:val="000F2E72"/>
    <w:rsid w:val="000F4717"/>
    <w:rsid w:val="000F4B1E"/>
    <w:rsid w:val="00106654"/>
    <w:rsid w:val="00106F04"/>
    <w:rsid w:val="00116BEC"/>
    <w:rsid w:val="00125A2C"/>
    <w:rsid w:val="001262DA"/>
    <w:rsid w:val="00134AD2"/>
    <w:rsid w:val="00134CE1"/>
    <w:rsid w:val="0013526C"/>
    <w:rsid w:val="001405C6"/>
    <w:rsid w:val="00141013"/>
    <w:rsid w:val="00151D0F"/>
    <w:rsid w:val="00152119"/>
    <w:rsid w:val="00164F2C"/>
    <w:rsid w:val="00171993"/>
    <w:rsid w:val="001730EC"/>
    <w:rsid w:val="00177E26"/>
    <w:rsid w:val="00180DAC"/>
    <w:rsid w:val="00192CBF"/>
    <w:rsid w:val="00192FF1"/>
    <w:rsid w:val="00194678"/>
    <w:rsid w:val="001A5111"/>
    <w:rsid w:val="001A5F1B"/>
    <w:rsid w:val="001B1C22"/>
    <w:rsid w:val="001B34C6"/>
    <w:rsid w:val="001D7832"/>
    <w:rsid w:val="001E69F7"/>
    <w:rsid w:val="00210DC1"/>
    <w:rsid w:val="00211D34"/>
    <w:rsid w:val="00214F04"/>
    <w:rsid w:val="00216CA0"/>
    <w:rsid w:val="0023083F"/>
    <w:rsid w:val="002352B9"/>
    <w:rsid w:val="0024441C"/>
    <w:rsid w:val="00244540"/>
    <w:rsid w:val="00247FF5"/>
    <w:rsid w:val="00252758"/>
    <w:rsid w:val="0025297C"/>
    <w:rsid w:val="00255776"/>
    <w:rsid w:val="00256671"/>
    <w:rsid w:val="0026482A"/>
    <w:rsid w:val="00266CD6"/>
    <w:rsid w:val="002673AC"/>
    <w:rsid w:val="00275DAB"/>
    <w:rsid w:val="00282325"/>
    <w:rsid w:val="00282866"/>
    <w:rsid w:val="002903C0"/>
    <w:rsid w:val="002A043A"/>
    <w:rsid w:val="002A782A"/>
    <w:rsid w:val="002B11E2"/>
    <w:rsid w:val="002B24B8"/>
    <w:rsid w:val="002B6300"/>
    <w:rsid w:val="002D04CE"/>
    <w:rsid w:val="002D1611"/>
    <w:rsid w:val="002D3AE9"/>
    <w:rsid w:val="002D4510"/>
    <w:rsid w:val="002E54FB"/>
    <w:rsid w:val="002F0734"/>
    <w:rsid w:val="002F46E7"/>
    <w:rsid w:val="003101DA"/>
    <w:rsid w:val="00310E4F"/>
    <w:rsid w:val="003111C3"/>
    <w:rsid w:val="00314757"/>
    <w:rsid w:val="003163BC"/>
    <w:rsid w:val="003211CE"/>
    <w:rsid w:val="00323DFC"/>
    <w:rsid w:val="00333C30"/>
    <w:rsid w:val="0035377C"/>
    <w:rsid w:val="0035403A"/>
    <w:rsid w:val="003622B4"/>
    <w:rsid w:val="0036394B"/>
    <w:rsid w:val="00365C97"/>
    <w:rsid w:val="00366DB6"/>
    <w:rsid w:val="003709B5"/>
    <w:rsid w:val="00371DF0"/>
    <w:rsid w:val="00373EDF"/>
    <w:rsid w:val="003759C2"/>
    <w:rsid w:val="00394A03"/>
    <w:rsid w:val="00397365"/>
    <w:rsid w:val="003A2BF3"/>
    <w:rsid w:val="003A31F6"/>
    <w:rsid w:val="003B3FFE"/>
    <w:rsid w:val="003C3447"/>
    <w:rsid w:val="003D076C"/>
    <w:rsid w:val="003D0F01"/>
    <w:rsid w:val="003E0D08"/>
    <w:rsid w:val="003E78B5"/>
    <w:rsid w:val="0041092D"/>
    <w:rsid w:val="00415BAB"/>
    <w:rsid w:val="00415ED2"/>
    <w:rsid w:val="00417F13"/>
    <w:rsid w:val="0042068C"/>
    <w:rsid w:val="00433438"/>
    <w:rsid w:val="00440E0C"/>
    <w:rsid w:val="00442CFF"/>
    <w:rsid w:val="0044318E"/>
    <w:rsid w:val="00443B35"/>
    <w:rsid w:val="00450937"/>
    <w:rsid w:val="004552C8"/>
    <w:rsid w:val="00460E51"/>
    <w:rsid w:val="00465423"/>
    <w:rsid w:val="0047122B"/>
    <w:rsid w:val="00473B7A"/>
    <w:rsid w:val="004960E9"/>
    <w:rsid w:val="004A2E88"/>
    <w:rsid w:val="004A5305"/>
    <w:rsid w:val="004B5679"/>
    <w:rsid w:val="004C1C9B"/>
    <w:rsid w:val="004D5F1D"/>
    <w:rsid w:val="004D7634"/>
    <w:rsid w:val="004E16A1"/>
    <w:rsid w:val="004E611A"/>
    <w:rsid w:val="004E78B3"/>
    <w:rsid w:val="004F6460"/>
    <w:rsid w:val="00504477"/>
    <w:rsid w:val="005300D3"/>
    <w:rsid w:val="005319F3"/>
    <w:rsid w:val="0053254E"/>
    <w:rsid w:val="00542A10"/>
    <w:rsid w:val="00544F82"/>
    <w:rsid w:val="005508F5"/>
    <w:rsid w:val="005509D2"/>
    <w:rsid w:val="00553D30"/>
    <w:rsid w:val="00556E53"/>
    <w:rsid w:val="00566586"/>
    <w:rsid w:val="0056730D"/>
    <w:rsid w:val="00577C9D"/>
    <w:rsid w:val="005836EB"/>
    <w:rsid w:val="0058550E"/>
    <w:rsid w:val="00587B03"/>
    <w:rsid w:val="005927AA"/>
    <w:rsid w:val="005938A8"/>
    <w:rsid w:val="00593C4F"/>
    <w:rsid w:val="005946A8"/>
    <w:rsid w:val="00597D67"/>
    <w:rsid w:val="005A4407"/>
    <w:rsid w:val="005A59EF"/>
    <w:rsid w:val="005B13DB"/>
    <w:rsid w:val="005B1C4F"/>
    <w:rsid w:val="005B1C7E"/>
    <w:rsid w:val="005B47E8"/>
    <w:rsid w:val="005C2084"/>
    <w:rsid w:val="005C3DB2"/>
    <w:rsid w:val="005C693E"/>
    <w:rsid w:val="005C6976"/>
    <w:rsid w:val="005D2907"/>
    <w:rsid w:val="005E0A2A"/>
    <w:rsid w:val="005E0CDD"/>
    <w:rsid w:val="005E1800"/>
    <w:rsid w:val="005E5AB5"/>
    <w:rsid w:val="005F070B"/>
    <w:rsid w:val="005F6F41"/>
    <w:rsid w:val="00611EA3"/>
    <w:rsid w:val="00625DC6"/>
    <w:rsid w:val="00627FB4"/>
    <w:rsid w:val="00641CFB"/>
    <w:rsid w:val="0064391D"/>
    <w:rsid w:val="0064669C"/>
    <w:rsid w:val="00650DB1"/>
    <w:rsid w:val="00651821"/>
    <w:rsid w:val="00653F17"/>
    <w:rsid w:val="00654384"/>
    <w:rsid w:val="00654439"/>
    <w:rsid w:val="00654A15"/>
    <w:rsid w:val="006675CD"/>
    <w:rsid w:val="00671E74"/>
    <w:rsid w:val="00673BF0"/>
    <w:rsid w:val="00673C7D"/>
    <w:rsid w:val="0067661A"/>
    <w:rsid w:val="00684D9B"/>
    <w:rsid w:val="0068510A"/>
    <w:rsid w:val="00695051"/>
    <w:rsid w:val="00697556"/>
    <w:rsid w:val="006A27CC"/>
    <w:rsid w:val="006B4647"/>
    <w:rsid w:val="006B4C2B"/>
    <w:rsid w:val="006B5ACD"/>
    <w:rsid w:val="006B6194"/>
    <w:rsid w:val="006B6D47"/>
    <w:rsid w:val="006B7693"/>
    <w:rsid w:val="006C2C09"/>
    <w:rsid w:val="006C3277"/>
    <w:rsid w:val="006C5607"/>
    <w:rsid w:val="006C5AFE"/>
    <w:rsid w:val="006D5080"/>
    <w:rsid w:val="006E3483"/>
    <w:rsid w:val="006F2EC8"/>
    <w:rsid w:val="006F3ADD"/>
    <w:rsid w:val="006F6D95"/>
    <w:rsid w:val="00706F13"/>
    <w:rsid w:val="007072E8"/>
    <w:rsid w:val="0071618D"/>
    <w:rsid w:val="00721596"/>
    <w:rsid w:val="00721887"/>
    <w:rsid w:val="00725FA4"/>
    <w:rsid w:val="007274A2"/>
    <w:rsid w:val="00740446"/>
    <w:rsid w:val="00741A26"/>
    <w:rsid w:val="00743296"/>
    <w:rsid w:val="007438A9"/>
    <w:rsid w:val="0074491E"/>
    <w:rsid w:val="00750E23"/>
    <w:rsid w:val="0075391A"/>
    <w:rsid w:val="00761ED0"/>
    <w:rsid w:val="0076247A"/>
    <w:rsid w:val="00766199"/>
    <w:rsid w:val="0077298E"/>
    <w:rsid w:val="00774DE6"/>
    <w:rsid w:val="00775964"/>
    <w:rsid w:val="007765FE"/>
    <w:rsid w:val="00776892"/>
    <w:rsid w:val="0078787E"/>
    <w:rsid w:val="00794E2E"/>
    <w:rsid w:val="007956D5"/>
    <w:rsid w:val="00795BFB"/>
    <w:rsid w:val="007A34FD"/>
    <w:rsid w:val="007A4AD7"/>
    <w:rsid w:val="007A5939"/>
    <w:rsid w:val="007B2760"/>
    <w:rsid w:val="007B3524"/>
    <w:rsid w:val="007C1CD9"/>
    <w:rsid w:val="007C59DC"/>
    <w:rsid w:val="007F23FA"/>
    <w:rsid w:val="007F45DF"/>
    <w:rsid w:val="008013E3"/>
    <w:rsid w:val="00803634"/>
    <w:rsid w:val="008055AF"/>
    <w:rsid w:val="008055C3"/>
    <w:rsid w:val="00806C01"/>
    <w:rsid w:val="00806DFE"/>
    <w:rsid w:val="008110C7"/>
    <w:rsid w:val="00811C53"/>
    <w:rsid w:val="008148CC"/>
    <w:rsid w:val="00817F21"/>
    <w:rsid w:val="008211A4"/>
    <w:rsid w:val="00824791"/>
    <w:rsid w:val="00826E6F"/>
    <w:rsid w:val="0083006B"/>
    <w:rsid w:val="00835883"/>
    <w:rsid w:val="0084633A"/>
    <w:rsid w:val="0084693A"/>
    <w:rsid w:val="008536CC"/>
    <w:rsid w:val="00862130"/>
    <w:rsid w:val="00873150"/>
    <w:rsid w:val="0087657D"/>
    <w:rsid w:val="00877016"/>
    <w:rsid w:val="008807D5"/>
    <w:rsid w:val="00880832"/>
    <w:rsid w:val="00886EE1"/>
    <w:rsid w:val="0088727D"/>
    <w:rsid w:val="008944D6"/>
    <w:rsid w:val="00897C75"/>
    <w:rsid w:val="008A6749"/>
    <w:rsid w:val="008B47F9"/>
    <w:rsid w:val="008C1130"/>
    <w:rsid w:val="008C11A0"/>
    <w:rsid w:val="008C5E18"/>
    <w:rsid w:val="008D18E6"/>
    <w:rsid w:val="008D7A9B"/>
    <w:rsid w:val="008E0060"/>
    <w:rsid w:val="008E1E02"/>
    <w:rsid w:val="008E7091"/>
    <w:rsid w:val="008E76AC"/>
    <w:rsid w:val="008F1556"/>
    <w:rsid w:val="008F21F6"/>
    <w:rsid w:val="008F6B07"/>
    <w:rsid w:val="009052F7"/>
    <w:rsid w:val="00911396"/>
    <w:rsid w:val="0092162D"/>
    <w:rsid w:val="0093379F"/>
    <w:rsid w:val="009355A7"/>
    <w:rsid w:val="00951F79"/>
    <w:rsid w:val="00957001"/>
    <w:rsid w:val="009612FB"/>
    <w:rsid w:val="009638AC"/>
    <w:rsid w:val="00965672"/>
    <w:rsid w:val="0096581A"/>
    <w:rsid w:val="00971734"/>
    <w:rsid w:val="00974AB5"/>
    <w:rsid w:val="00982D55"/>
    <w:rsid w:val="00985FF2"/>
    <w:rsid w:val="0098706D"/>
    <w:rsid w:val="009935FB"/>
    <w:rsid w:val="009A1DC1"/>
    <w:rsid w:val="009C72F2"/>
    <w:rsid w:val="009D07E6"/>
    <w:rsid w:val="009D198B"/>
    <w:rsid w:val="009E42C9"/>
    <w:rsid w:val="009F4A54"/>
    <w:rsid w:val="009F4BEC"/>
    <w:rsid w:val="009F4CB5"/>
    <w:rsid w:val="009F57CC"/>
    <w:rsid w:val="009F5874"/>
    <w:rsid w:val="00A02D5F"/>
    <w:rsid w:val="00A0395C"/>
    <w:rsid w:val="00A05DCE"/>
    <w:rsid w:val="00A061FD"/>
    <w:rsid w:val="00A25FD7"/>
    <w:rsid w:val="00A36679"/>
    <w:rsid w:val="00A375C7"/>
    <w:rsid w:val="00A42893"/>
    <w:rsid w:val="00A43AFF"/>
    <w:rsid w:val="00A5305E"/>
    <w:rsid w:val="00A53271"/>
    <w:rsid w:val="00A54F3E"/>
    <w:rsid w:val="00A678AA"/>
    <w:rsid w:val="00A703B1"/>
    <w:rsid w:val="00A76B85"/>
    <w:rsid w:val="00A7793A"/>
    <w:rsid w:val="00A80762"/>
    <w:rsid w:val="00A831D2"/>
    <w:rsid w:val="00A86E49"/>
    <w:rsid w:val="00A94D17"/>
    <w:rsid w:val="00A97D92"/>
    <w:rsid w:val="00AA4CC7"/>
    <w:rsid w:val="00AA5E8E"/>
    <w:rsid w:val="00AB1C3F"/>
    <w:rsid w:val="00AB2BAD"/>
    <w:rsid w:val="00AB6CA7"/>
    <w:rsid w:val="00AC1AB6"/>
    <w:rsid w:val="00AD01E4"/>
    <w:rsid w:val="00AD0858"/>
    <w:rsid w:val="00AD0EA8"/>
    <w:rsid w:val="00AE02E3"/>
    <w:rsid w:val="00AE42D3"/>
    <w:rsid w:val="00AE7340"/>
    <w:rsid w:val="00AF1BBD"/>
    <w:rsid w:val="00B00841"/>
    <w:rsid w:val="00B03AD7"/>
    <w:rsid w:val="00B04096"/>
    <w:rsid w:val="00B10207"/>
    <w:rsid w:val="00B11846"/>
    <w:rsid w:val="00B141E7"/>
    <w:rsid w:val="00B14FBA"/>
    <w:rsid w:val="00B27188"/>
    <w:rsid w:val="00B351B4"/>
    <w:rsid w:val="00B373E1"/>
    <w:rsid w:val="00B46BCA"/>
    <w:rsid w:val="00B478AA"/>
    <w:rsid w:val="00B53AEC"/>
    <w:rsid w:val="00B53CDA"/>
    <w:rsid w:val="00B5622F"/>
    <w:rsid w:val="00B67FC2"/>
    <w:rsid w:val="00B87806"/>
    <w:rsid w:val="00B87ACA"/>
    <w:rsid w:val="00B87EC9"/>
    <w:rsid w:val="00B91931"/>
    <w:rsid w:val="00BA2116"/>
    <w:rsid w:val="00BA36A6"/>
    <w:rsid w:val="00BA5F89"/>
    <w:rsid w:val="00BB5F12"/>
    <w:rsid w:val="00BC157A"/>
    <w:rsid w:val="00BC38FD"/>
    <w:rsid w:val="00BE1D65"/>
    <w:rsid w:val="00BE6D30"/>
    <w:rsid w:val="00BF19CB"/>
    <w:rsid w:val="00BF3717"/>
    <w:rsid w:val="00BF37FE"/>
    <w:rsid w:val="00BF3F81"/>
    <w:rsid w:val="00BF4327"/>
    <w:rsid w:val="00C034CB"/>
    <w:rsid w:val="00C051A8"/>
    <w:rsid w:val="00C054BC"/>
    <w:rsid w:val="00C17897"/>
    <w:rsid w:val="00C33ADC"/>
    <w:rsid w:val="00C37F57"/>
    <w:rsid w:val="00C409D5"/>
    <w:rsid w:val="00C435C3"/>
    <w:rsid w:val="00C44ABF"/>
    <w:rsid w:val="00C44E5F"/>
    <w:rsid w:val="00C51B7C"/>
    <w:rsid w:val="00C6014F"/>
    <w:rsid w:val="00C60E70"/>
    <w:rsid w:val="00C6234B"/>
    <w:rsid w:val="00C63EAE"/>
    <w:rsid w:val="00C66953"/>
    <w:rsid w:val="00C7168E"/>
    <w:rsid w:val="00C73260"/>
    <w:rsid w:val="00C7629F"/>
    <w:rsid w:val="00C82743"/>
    <w:rsid w:val="00C8661B"/>
    <w:rsid w:val="00CA03C8"/>
    <w:rsid w:val="00CA139A"/>
    <w:rsid w:val="00CA2899"/>
    <w:rsid w:val="00CA3A3D"/>
    <w:rsid w:val="00CA3AA6"/>
    <w:rsid w:val="00CA77FB"/>
    <w:rsid w:val="00CB2E56"/>
    <w:rsid w:val="00CB379B"/>
    <w:rsid w:val="00CB4E03"/>
    <w:rsid w:val="00CB5DD0"/>
    <w:rsid w:val="00CC51D4"/>
    <w:rsid w:val="00CC65DA"/>
    <w:rsid w:val="00CD0E32"/>
    <w:rsid w:val="00CD1A9B"/>
    <w:rsid w:val="00CE0C60"/>
    <w:rsid w:val="00CF0A9D"/>
    <w:rsid w:val="00CF21B9"/>
    <w:rsid w:val="00CF6BF9"/>
    <w:rsid w:val="00D03800"/>
    <w:rsid w:val="00D065D3"/>
    <w:rsid w:val="00D14C94"/>
    <w:rsid w:val="00D20BE4"/>
    <w:rsid w:val="00D342A6"/>
    <w:rsid w:val="00D45CA6"/>
    <w:rsid w:val="00D464BF"/>
    <w:rsid w:val="00D53E26"/>
    <w:rsid w:val="00D7711A"/>
    <w:rsid w:val="00D944BC"/>
    <w:rsid w:val="00DA1E8E"/>
    <w:rsid w:val="00DB182C"/>
    <w:rsid w:val="00DB3E34"/>
    <w:rsid w:val="00DB79BD"/>
    <w:rsid w:val="00DC136F"/>
    <w:rsid w:val="00DC25E2"/>
    <w:rsid w:val="00DD0A35"/>
    <w:rsid w:val="00DD4F0E"/>
    <w:rsid w:val="00DE0ED7"/>
    <w:rsid w:val="00DF0BF0"/>
    <w:rsid w:val="00DF3CA2"/>
    <w:rsid w:val="00E01463"/>
    <w:rsid w:val="00E05E0A"/>
    <w:rsid w:val="00E060BE"/>
    <w:rsid w:val="00E14411"/>
    <w:rsid w:val="00E16FE9"/>
    <w:rsid w:val="00E26EB5"/>
    <w:rsid w:val="00E35801"/>
    <w:rsid w:val="00E37EFA"/>
    <w:rsid w:val="00E513F9"/>
    <w:rsid w:val="00E534CF"/>
    <w:rsid w:val="00E57129"/>
    <w:rsid w:val="00E807F8"/>
    <w:rsid w:val="00E81CB4"/>
    <w:rsid w:val="00E8585B"/>
    <w:rsid w:val="00E87F41"/>
    <w:rsid w:val="00E97C4B"/>
    <w:rsid w:val="00EA3F15"/>
    <w:rsid w:val="00EA705B"/>
    <w:rsid w:val="00EA7847"/>
    <w:rsid w:val="00EB4C2F"/>
    <w:rsid w:val="00EB6055"/>
    <w:rsid w:val="00EC75D4"/>
    <w:rsid w:val="00EE03E7"/>
    <w:rsid w:val="00EE2E6E"/>
    <w:rsid w:val="00EE55B5"/>
    <w:rsid w:val="00EF792E"/>
    <w:rsid w:val="00F04640"/>
    <w:rsid w:val="00F0759E"/>
    <w:rsid w:val="00F16A43"/>
    <w:rsid w:val="00F170EF"/>
    <w:rsid w:val="00F32BA1"/>
    <w:rsid w:val="00F35598"/>
    <w:rsid w:val="00F44850"/>
    <w:rsid w:val="00F45C7B"/>
    <w:rsid w:val="00F46780"/>
    <w:rsid w:val="00F6629C"/>
    <w:rsid w:val="00F77D2D"/>
    <w:rsid w:val="00F821A3"/>
    <w:rsid w:val="00F87170"/>
    <w:rsid w:val="00F9314A"/>
    <w:rsid w:val="00F93A87"/>
    <w:rsid w:val="00F940B2"/>
    <w:rsid w:val="00FA5B7F"/>
    <w:rsid w:val="00FB1CFC"/>
    <w:rsid w:val="00FB7668"/>
    <w:rsid w:val="00FC35F8"/>
    <w:rsid w:val="00FC58EF"/>
    <w:rsid w:val="00FC7275"/>
    <w:rsid w:val="00FD13EB"/>
    <w:rsid w:val="00FD33DF"/>
    <w:rsid w:val="00FE1156"/>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F12AA"/>
  <w15:chartTrackingRefBased/>
  <w15:docId w15:val="{738636C3-C3DC-4C37-AE36-1A345C6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2E"/>
    <w:pPr>
      <w:ind w:left="567"/>
    </w:pPr>
    <w:rPr>
      <w:rFonts w:ascii="Bookman Old Style" w:hAnsi="Bookman Old Style"/>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371DF0"/>
    <w:pPr>
      <w:overflowPunct w:val="0"/>
      <w:autoSpaceDE w:val="0"/>
      <w:autoSpaceDN w:val="0"/>
      <w:adjustRightInd w:val="0"/>
      <w:ind w:left="0"/>
      <w:jc w:val="both"/>
      <w:textAlignment w:val="baseline"/>
    </w:pPr>
    <w:rPr>
      <w:rFonts w:ascii="Arial" w:hAnsi="Arial"/>
      <w:sz w:val="22"/>
      <w:szCs w:val="20"/>
      <w:lang w:val="es-ES_tradnl"/>
    </w:rPr>
  </w:style>
  <w:style w:type="paragraph" w:styleId="Listaconvietas">
    <w:name w:val="List Bullet"/>
    <w:basedOn w:val="Normal"/>
    <w:uiPriority w:val="99"/>
    <w:unhideWhenUsed/>
    <w:rsid w:val="00971734"/>
    <w:pPr>
      <w:numPr>
        <w:numId w:val="23"/>
      </w:numPr>
      <w:contextualSpacing/>
    </w:pPr>
  </w:style>
  <w:style w:type="paragraph" w:customStyle="1" w:styleId="Default">
    <w:name w:val="Default"/>
    <w:rsid w:val="004E78B3"/>
    <w:pPr>
      <w:widowControl w:val="0"/>
      <w:autoSpaceDE w:val="0"/>
      <w:autoSpaceDN w:val="0"/>
      <w:adjustRightInd w:val="0"/>
    </w:pPr>
    <w:rPr>
      <w:rFonts w:ascii="Calibri" w:hAnsi="Calibri" w:cs="Calibri"/>
      <w:color w:val="000000"/>
      <w:sz w:val="24"/>
      <w:szCs w:val="24"/>
    </w:rPr>
  </w:style>
  <w:style w:type="paragraph" w:customStyle="1" w:styleId="ARTICULOS">
    <w:name w:val="ARTICULOS"/>
    <w:basedOn w:val="Normal"/>
    <w:link w:val="ARTICULOSCar"/>
    <w:qFormat/>
    <w:rsid w:val="004C1C9B"/>
    <w:pPr>
      <w:widowControl w:val="0"/>
      <w:numPr>
        <w:numId w:val="37"/>
      </w:numPr>
      <w:adjustRightInd w:val="0"/>
      <w:jc w:val="both"/>
      <w:textAlignment w:val="baseline"/>
    </w:pPr>
    <w:rPr>
      <w:bCs/>
      <w:lang w:val="x-none" w:eastAsia="x-none"/>
    </w:rPr>
  </w:style>
  <w:style w:type="character" w:customStyle="1" w:styleId="ARTICULOSCar">
    <w:name w:val="ARTICULOS Car"/>
    <w:link w:val="ARTICULOS"/>
    <w:rsid w:val="004C1C9B"/>
    <w:rPr>
      <w:rFonts w:ascii="Bookman Old Style" w:hAnsi="Bookman Old Style"/>
      <w:bCs/>
      <w:sz w:val="24"/>
      <w:szCs w:val="24"/>
      <w:lang w:val="x-none" w:eastAsia="x-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4C1C9B"/>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4C1C9B"/>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4C1C9B"/>
    <w:rPr>
      <w:vertAlign w:val="superscript"/>
    </w:rPr>
  </w:style>
  <w:style w:type="character" w:styleId="Hipervnculo">
    <w:name w:val="Hyperlink"/>
    <w:uiPriority w:val="99"/>
    <w:unhideWhenUsed/>
    <w:rsid w:val="004C1C9B"/>
    <w:rPr>
      <w:color w:val="0000FF"/>
      <w:u w:val="single"/>
    </w:rPr>
  </w:style>
  <w:style w:type="character" w:customStyle="1" w:styleId="A2">
    <w:name w:val="A2"/>
    <w:uiPriority w:val="99"/>
    <w:rsid w:val="00440E0C"/>
    <w:rPr>
      <w:rFonts w:cs="Franklin Gothic Book"/>
      <w:color w:val="211D1E"/>
      <w:sz w:val="22"/>
      <w:szCs w:val="22"/>
    </w:rPr>
  </w:style>
  <w:style w:type="character" w:styleId="Refdecomentario">
    <w:name w:val="annotation reference"/>
    <w:semiHidden/>
    <w:unhideWhenUsed/>
    <w:rsid w:val="00E26EB5"/>
    <w:rPr>
      <w:sz w:val="16"/>
      <w:szCs w:val="16"/>
    </w:rPr>
  </w:style>
  <w:style w:type="paragraph" w:styleId="Textocomentario">
    <w:name w:val="annotation text"/>
    <w:basedOn w:val="Normal"/>
    <w:link w:val="TextocomentarioCar"/>
    <w:semiHidden/>
    <w:unhideWhenUsed/>
    <w:rsid w:val="00E26EB5"/>
    <w:rPr>
      <w:sz w:val="20"/>
      <w:szCs w:val="20"/>
    </w:rPr>
  </w:style>
  <w:style w:type="character" w:customStyle="1" w:styleId="TextocomentarioCar">
    <w:name w:val="Texto comentario Car"/>
    <w:link w:val="Textocomentario"/>
    <w:semiHidden/>
    <w:rsid w:val="00E26EB5"/>
    <w:rPr>
      <w:lang w:val="es-ES" w:eastAsia="es-ES"/>
    </w:rPr>
  </w:style>
  <w:style w:type="paragraph" w:styleId="Asuntodelcomentario">
    <w:name w:val="annotation subject"/>
    <w:basedOn w:val="Textocomentario"/>
    <w:next w:val="Textocomentario"/>
    <w:link w:val="AsuntodelcomentarioCar"/>
    <w:uiPriority w:val="99"/>
    <w:semiHidden/>
    <w:unhideWhenUsed/>
    <w:rsid w:val="00E26EB5"/>
    <w:rPr>
      <w:b/>
      <w:bCs/>
    </w:rPr>
  </w:style>
  <w:style w:type="character" w:customStyle="1" w:styleId="AsuntodelcomentarioCar">
    <w:name w:val="Asunto del comentario Car"/>
    <w:link w:val="Asuntodelcomentario"/>
    <w:uiPriority w:val="99"/>
    <w:semiHidden/>
    <w:rsid w:val="00E26EB5"/>
    <w:rPr>
      <w:b/>
      <w:bCs/>
      <w:lang w:val="es-ES" w:eastAsia="es-ES"/>
    </w:rPr>
  </w:style>
  <w:style w:type="paragraph" w:styleId="Revisin">
    <w:name w:val="Revision"/>
    <w:hidden/>
    <w:uiPriority w:val="99"/>
    <w:semiHidden/>
    <w:rsid w:val="00556E53"/>
    <w:rPr>
      <w:rFonts w:ascii="Bookman Old Style" w:hAnsi="Bookman Old Style"/>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02900">
      <w:bodyDiv w:val="1"/>
      <w:marLeft w:val="0"/>
      <w:marRight w:val="0"/>
      <w:marTop w:val="0"/>
      <w:marBottom w:val="0"/>
      <w:divBdr>
        <w:top w:val="none" w:sz="0" w:space="0" w:color="auto"/>
        <w:left w:val="none" w:sz="0" w:space="0" w:color="auto"/>
        <w:bottom w:val="none" w:sz="0" w:space="0" w:color="auto"/>
        <w:right w:val="none" w:sz="0" w:space="0" w:color="auto"/>
      </w:divBdr>
    </w:div>
    <w:div w:id="5393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AFE3-424C-4E64-9CB3-8CCF294B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25</Pages>
  <Words>9676</Words>
  <Characters>52923</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62475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2017-09-08T22:21:00Z</cp:lastPrinted>
  <dcterms:created xsi:type="dcterms:W3CDTF">2017-10-26T21:53:00Z</dcterms:created>
  <dcterms:modified xsi:type="dcterms:W3CDTF">2017-10-26T21:53:00Z</dcterms:modified>
</cp:coreProperties>
</file>