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49D9" w:rsidRPr="004B3B4B" w:rsidRDefault="006249D9" w:rsidP="006249D9">
      <w:pPr>
        <w:pStyle w:val="Encabezado"/>
        <w:tabs>
          <w:tab w:val="clear" w:pos="8504"/>
          <w:tab w:val="left" w:pos="2977"/>
        </w:tabs>
        <w:ind w:left="709"/>
        <w:jc w:val="both"/>
        <w:rPr>
          <w:rFonts w:ascii="Bookman Old Style" w:hAnsi="Bookman Old Style"/>
          <w:color w:val="000000" w:themeColor="text1"/>
          <w:szCs w:val="24"/>
          <w:lang w:val="es-ES"/>
        </w:rPr>
      </w:pPr>
      <w:bookmarkStart w:id="0" w:name="_GoBack"/>
      <w:bookmarkEnd w:id="0"/>
      <w:r>
        <w:rPr>
          <w:rFonts w:ascii="Bookman Old Style" w:hAnsi="Bookman Old Style"/>
          <w:noProof/>
          <w:color w:val="000000" w:themeColor="text1"/>
          <w:szCs w:val="24"/>
          <w:lang w:eastAsia="es-CO"/>
        </w:rPr>
        <w:drawing>
          <wp:anchor distT="0" distB="0" distL="114300" distR="114300" simplePos="0" relativeHeight="251659264" behindDoc="0" locked="0" layoutInCell="1" allowOverlap="1" wp14:anchorId="30D0E34F" wp14:editId="58AD1D32">
            <wp:simplePos x="0" y="0"/>
            <wp:positionH relativeFrom="column">
              <wp:posOffset>2570480</wp:posOffset>
            </wp:positionH>
            <wp:positionV relativeFrom="paragraph">
              <wp:posOffset>-657225</wp:posOffset>
            </wp:positionV>
            <wp:extent cx="666750" cy="6191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r w:rsidR="00551BF1">
        <w:rPr>
          <w:rFonts w:ascii="Bookman Old Style" w:hAnsi="Bookman Old Style"/>
          <w:color w:val="000000" w:themeColor="text1"/>
          <w:szCs w:val="24"/>
          <w:lang w:val="es-ES"/>
        </w:rPr>
        <w:tab/>
      </w:r>
    </w:p>
    <w:p w:rsidR="006249D9" w:rsidRPr="004B3B4B" w:rsidRDefault="006249D9" w:rsidP="006249D9">
      <w:pPr>
        <w:pStyle w:val="Encabezado"/>
        <w:tabs>
          <w:tab w:val="clear" w:pos="8504"/>
        </w:tabs>
        <w:ind w:left="0"/>
        <w:jc w:val="both"/>
        <w:rPr>
          <w:rFonts w:ascii="Bookman Old Style" w:hAnsi="Bookman Old Style"/>
          <w:color w:val="000000" w:themeColor="text1"/>
          <w:szCs w:val="24"/>
          <w:lang w:val="es-ES"/>
        </w:rPr>
      </w:pPr>
    </w:p>
    <w:p w:rsidR="006249D9" w:rsidRPr="004B3B4B" w:rsidRDefault="006249D9" w:rsidP="006249D9">
      <w:pPr>
        <w:pStyle w:val="Ttulo4"/>
        <w:ind w:left="0"/>
        <w:rPr>
          <w:rFonts w:ascii="Bookman Old Style" w:hAnsi="Bookman Old Style"/>
          <w:b w:val="0"/>
          <w:bCs/>
          <w:noProof/>
          <w:sz w:val="24"/>
          <w:szCs w:val="24"/>
          <w:lang w:val="es-ES"/>
        </w:rPr>
      </w:pPr>
      <w:r w:rsidRPr="004B3B4B">
        <w:rPr>
          <w:rFonts w:ascii="Bookman Old Style" w:hAnsi="Bookman Old Style"/>
          <w:b w:val="0"/>
          <w:bCs/>
          <w:sz w:val="24"/>
          <w:szCs w:val="24"/>
        </w:rPr>
        <w:t>Ministerio de Minas y Energía</w:t>
      </w:r>
    </w:p>
    <w:p w:rsidR="006249D9" w:rsidRPr="004B3B4B" w:rsidRDefault="006249D9" w:rsidP="006249D9">
      <w:pPr>
        <w:pStyle w:val="Ttulo4"/>
        <w:ind w:left="0"/>
        <w:rPr>
          <w:rFonts w:ascii="Bookman Old Style" w:hAnsi="Bookman Old Style"/>
          <w:b w:val="0"/>
          <w:bCs/>
          <w:sz w:val="24"/>
          <w:szCs w:val="24"/>
        </w:rPr>
      </w:pPr>
    </w:p>
    <w:p w:rsidR="006249D9" w:rsidRPr="004B3B4B" w:rsidRDefault="006249D9" w:rsidP="006249D9">
      <w:pPr>
        <w:pStyle w:val="Ttulo3"/>
        <w:ind w:left="0"/>
        <w:rPr>
          <w:rFonts w:ascii="Bookman Old Style" w:hAnsi="Bookman Old Style" w:cs="Arial"/>
          <w:spacing w:val="20"/>
          <w:szCs w:val="24"/>
        </w:rPr>
      </w:pPr>
      <w:r w:rsidRPr="004B3B4B">
        <w:rPr>
          <w:rFonts w:ascii="Bookman Old Style" w:hAnsi="Bookman Old Style" w:cs="Arial"/>
          <w:spacing w:val="20"/>
          <w:szCs w:val="24"/>
        </w:rPr>
        <w:t>COMISIÓN DE REGULACIÓN DE ENERGÍA Y GAS</w:t>
      </w:r>
    </w:p>
    <w:p w:rsidR="006249D9" w:rsidRPr="004B3B4B" w:rsidRDefault="006249D9" w:rsidP="006249D9">
      <w:pPr>
        <w:pStyle w:val="Ttulo5"/>
        <w:ind w:left="0"/>
        <w:rPr>
          <w:rFonts w:ascii="Bookman Old Style" w:hAnsi="Bookman Old Style"/>
          <w:sz w:val="24"/>
          <w:szCs w:val="24"/>
        </w:rPr>
      </w:pPr>
    </w:p>
    <w:p w:rsidR="006249D9" w:rsidRPr="004B3B4B" w:rsidRDefault="006249D9" w:rsidP="006249D9">
      <w:pPr>
        <w:pStyle w:val="Ttulo5"/>
        <w:ind w:left="0"/>
        <w:rPr>
          <w:rFonts w:ascii="Bookman Old Style" w:hAnsi="Bookman Old Style"/>
          <w:sz w:val="24"/>
          <w:szCs w:val="24"/>
        </w:rPr>
      </w:pPr>
    </w:p>
    <w:p w:rsidR="006249D9" w:rsidRPr="004B3B4B" w:rsidRDefault="006249D9" w:rsidP="006249D9">
      <w:pPr>
        <w:pStyle w:val="Ttulo5"/>
        <w:ind w:left="0"/>
        <w:rPr>
          <w:rFonts w:ascii="Bookman Old Style" w:hAnsi="Bookman Old Style"/>
          <w:sz w:val="24"/>
          <w:szCs w:val="24"/>
        </w:rPr>
      </w:pPr>
      <w:r w:rsidRPr="004B3B4B">
        <w:rPr>
          <w:rFonts w:ascii="Bookman Old Style" w:hAnsi="Bookman Old Style"/>
          <w:sz w:val="24"/>
          <w:szCs w:val="24"/>
        </w:rPr>
        <w:t>RESOLUCIÓN No.                   DE 201</w:t>
      </w:r>
      <w:r>
        <w:rPr>
          <w:rFonts w:ascii="Bookman Old Style" w:hAnsi="Bookman Old Style"/>
          <w:sz w:val="24"/>
          <w:szCs w:val="24"/>
        </w:rPr>
        <w:t>5</w:t>
      </w:r>
    </w:p>
    <w:p w:rsidR="006249D9" w:rsidRPr="004B3B4B" w:rsidRDefault="006249D9" w:rsidP="006249D9">
      <w:pPr>
        <w:ind w:left="0"/>
        <w:jc w:val="center"/>
        <w:rPr>
          <w:rFonts w:ascii="Bookman Old Style" w:hAnsi="Bookman Old Style" w:cs="Arial"/>
          <w:b/>
          <w:snapToGrid w:val="0"/>
          <w:color w:val="000000"/>
          <w:lang w:val="es-ES_tradnl"/>
        </w:rPr>
      </w:pPr>
    </w:p>
    <w:p w:rsidR="006249D9" w:rsidRPr="004B3B4B" w:rsidRDefault="006249D9" w:rsidP="006249D9">
      <w:pPr>
        <w:pStyle w:val="Ttulo3"/>
        <w:ind w:left="0"/>
        <w:rPr>
          <w:rFonts w:ascii="Bookman Old Style" w:hAnsi="Bookman Old Style"/>
          <w:b w:val="0"/>
          <w:szCs w:val="24"/>
        </w:rPr>
      </w:pPr>
      <w:r w:rsidRPr="004B3B4B">
        <w:rPr>
          <w:rFonts w:ascii="Bookman Old Style" w:hAnsi="Bookman Old Style"/>
          <w:b w:val="0"/>
          <w:szCs w:val="24"/>
        </w:rPr>
        <w:t>(                                  )</w:t>
      </w:r>
    </w:p>
    <w:p w:rsidR="006249D9" w:rsidRPr="004B3B4B" w:rsidRDefault="006249D9" w:rsidP="006249D9">
      <w:pPr>
        <w:ind w:left="0"/>
        <w:rPr>
          <w:rFonts w:ascii="Bookman Old Style" w:hAnsi="Bookman Old Style"/>
          <w:bCs/>
          <w:lang w:val="es-CO"/>
        </w:rPr>
      </w:pPr>
    </w:p>
    <w:p w:rsidR="006249D9" w:rsidRPr="004B3B4B" w:rsidRDefault="006249D9" w:rsidP="006249D9">
      <w:pPr>
        <w:jc w:val="both"/>
        <w:rPr>
          <w:rFonts w:ascii="Bookman Old Style" w:hAnsi="Bookman Old Style"/>
          <w:lang w:eastAsia="x-none"/>
        </w:rPr>
      </w:pPr>
    </w:p>
    <w:p w:rsidR="006249D9" w:rsidRPr="00047690" w:rsidRDefault="006249D9" w:rsidP="006249D9">
      <w:pPr>
        <w:ind w:left="0"/>
        <w:jc w:val="both"/>
        <w:rPr>
          <w:rFonts w:ascii="Bookman Old Style" w:hAnsi="Bookman Old Style" w:cs="Arial"/>
          <w:b/>
          <w:bCs/>
          <w:color w:val="000000" w:themeColor="text1"/>
          <w:lang w:eastAsia="es-CO"/>
        </w:rPr>
      </w:pPr>
      <w:r w:rsidRPr="004B3B4B">
        <w:rPr>
          <w:rFonts w:ascii="Bookman Old Style" w:hAnsi="Bookman Old Style" w:cs="Arial"/>
          <w:color w:val="000000" w:themeColor="text1"/>
          <w:lang w:eastAsia="es-CO"/>
        </w:rPr>
        <w:t xml:space="preserve">Por </w:t>
      </w:r>
      <w:r>
        <w:rPr>
          <w:rFonts w:ascii="Bookman Old Style" w:hAnsi="Bookman Old Style" w:cs="Arial"/>
          <w:color w:val="000000" w:themeColor="text1"/>
          <w:lang w:eastAsia="es-CO"/>
        </w:rPr>
        <w:t>el</w:t>
      </w:r>
      <w:r w:rsidRPr="004B3B4B">
        <w:rPr>
          <w:rFonts w:ascii="Bookman Old Style" w:hAnsi="Bookman Old Style" w:cs="Arial"/>
          <w:color w:val="000000" w:themeColor="text1"/>
          <w:lang w:eastAsia="es-CO"/>
        </w:rPr>
        <w:t xml:space="preserve"> cual se dictan disposiciones</w:t>
      </w:r>
      <w:r>
        <w:rPr>
          <w:rFonts w:ascii="Bookman Old Style" w:hAnsi="Bookman Old Style" w:cs="Arial"/>
          <w:color w:val="000000" w:themeColor="text1"/>
          <w:lang w:eastAsia="es-CO"/>
        </w:rPr>
        <w:t xml:space="preserve"> generales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 xml:space="preserve">que regirán </w:t>
      </w:r>
      <w:r w:rsidRPr="004B3B4B">
        <w:rPr>
          <w:rFonts w:ascii="Bookman Old Style" w:hAnsi="Bookman Old Style" w:cs="Arial"/>
          <w:color w:val="000000" w:themeColor="text1"/>
          <w:lang w:eastAsia="es-CO"/>
        </w:rPr>
        <w:t>l</w:t>
      </w:r>
      <w:r>
        <w:rPr>
          <w:rFonts w:ascii="Bookman Old Style" w:hAnsi="Bookman Old Style" w:cs="Arial"/>
          <w:color w:val="000000" w:themeColor="text1"/>
          <w:lang w:eastAsia="es-CO"/>
        </w:rPr>
        <w:t>os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mecanismos de cobertura en las subastas de contratos firmes bimestrales y de largo plazo y en las subastas de capacidad de transporte en los procesos</w:t>
      </w:r>
      <w:r w:rsidR="00A308A0">
        <w:rPr>
          <w:rFonts w:ascii="Bookman Old Style" w:hAnsi="Bookman Old Style" w:cs="Arial"/>
          <w:color w:val="000000" w:themeColor="text1"/>
          <w:lang w:eastAsia="es-CO"/>
        </w:rPr>
        <w:t xml:space="preserve"> úselo o véndalo de largo plazo</w:t>
      </w:r>
      <w:r>
        <w:rPr>
          <w:rFonts w:ascii="Bookman Old Style" w:hAnsi="Bookman Old Style" w:cs="Arial"/>
          <w:color w:val="000000" w:themeColor="text1"/>
          <w:lang w:eastAsia="es-CO"/>
        </w:rPr>
        <w:t>.</w:t>
      </w:r>
    </w:p>
    <w:p w:rsidR="006249D9" w:rsidRPr="004B3B4B" w:rsidRDefault="006249D9" w:rsidP="006249D9">
      <w:pPr>
        <w:ind w:left="0"/>
        <w:jc w:val="center"/>
        <w:rPr>
          <w:rFonts w:ascii="Bookman Old Style" w:hAnsi="Bookman Old Style" w:cs="Arial"/>
          <w:b/>
          <w:bCs/>
          <w:color w:val="000000" w:themeColor="text1"/>
          <w:lang w:eastAsia="es-CO"/>
        </w:rPr>
      </w:pPr>
    </w:p>
    <w:p w:rsidR="006249D9" w:rsidRPr="004B3B4B" w:rsidRDefault="006249D9" w:rsidP="006249D9">
      <w:pPr>
        <w:ind w:left="0"/>
        <w:jc w:val="center"/>
        <w:rPr>
          <w:rFonts w:ascii="Bookman Old Style" w:hAnsi="Bookman Old Style" w:cs="Arial"/>
          <w:b/>
          <w:bCs/>
          <w:color w:val="000000" w:themeColor="text1"/>
          <w:lang w:eastAsia="es-CO"/>
        </w:rPr>
      </w:pPr>
    </w:p>
    <w:p w:rsidR="006249D9" w:rsidRPr="004B3B4B" w:rsidRDefault="006249D9" w:rsidP="006249D9">
      <w:pPr>
        <w:ind w:left="0"/>
        <w:jc w:val="center"/>
        <w:rPr>
          <w:rFonts w:ascii="Bookman Old Style" w:hAnsi="Bookman Old Style" w:cs="Arial"/>
          <w:color w:val="000000" w:themeColor="text1"/>
          <w:lang w:eastAsia="es-CO"/>
        </w:rPr>
      </w:pPr>
      <w:r w:rsidRPr="004B3B4B">
        <w:rPr>
          <w:rFonts w:ascii="Bookman Old Style" w:hAnsi="Bookman Old Style" w:cs="Arial"/>
          <w:b/>
          <w:bCs/>
          <w:color w:val="000000" w:themeColor="text1"/>
          <w:lang w:eastAsia="es-CO"/>
        </w:rPr>
        <w:t>LA COMISIÓN DE REGULACIÓN DE ENERGÍA Y GAS</w:t>
      </w:r>
    </w:p>
    <w:p w:rsidR="006249D9" w:rsidRPr="004B3B4B" w:rsidRDefault="006249D9" w:rsidP="006249D9">
      <w:pPr>
        <w:ind w:left="0"/>
        <w:rPr>
          <w:rFonts w:ascii="Bookman Old Style" w:hAnsi="Bookman Old Style" w:cs="Arial"/>
          <w:color w:val="000000" w:themeColor="text1"/>
          <w:lang w:eastAsia="es-CO"/>
        </w:rPr>
      </w:pPr>
    </w:p>
    <w:p w:rsidR="006249D9" w:rsidRPr="004B3B4B" w:rsidRDefault="006249D9" w:rsidP="006249D9">
      <w:pPr>
        <w:ind w:left="0"/>
        <w:rPr>
          <w:rFonts w:ascii="Bookman Old Style" w:hAnsi="Bookman Old Style" w:cs="Arial"/>
          <w:color w:val="000000" w:themeColor="text1"/>
          <w:lang w:eastAsia="es-CO"/>
        </w:rPr>
      </w:pPr>
    </w:p>
    <w:p w:rsidR="006249D9" w:rsidRPr="004B3B4B" w:rsidRDefault="006249D9" w:rsidP="006249D9">
      <w:pPr>
        <w:ind w:left="0"/>
        <w:jc w:val="center"/>
        <w:rPr>
          <w:rFonts w:ascii="Bookman Old Style" w:hAnsi="Bookman Old Style" w:cs="Arial"/>
          <w:color w:val="000000" w:themeColor="text1"/>
          <w:lang w:eastAsia="es-CO"/>
        </w:rPr>
      </w:pPr>
      <w:r w:rsidRPr="004B3B4B">
        <w:rPr>
          <w:rFonts w:ascii="Bookman Old Style" w:hAnsi="Bookman Old Style" w:cs="Arial"/>
          <w:color w:val="000000" w:themeColor="text1"/>
          <w:lang w:eastAsia="es-CO"/>
        </w:rPr>
        <w:t>En ejercicio de sus facultades legales, en especial de las conferidas por la Ley 142 de 1994, y en desarrollo de</w:t>
      </w:r>
      <w:r>
        <w:rPr>
          <w:rFonts w:ascii="Bookman Old Style" w:hAnsi="Bookman Old Style" w:cs="Arial"/>
          <w:color w:val="000000" w:themeColor="text1"/>
          <w:lang w:eastAsia="es-CO"/>
        </w:rPr>
        <w:t xml:space="preserve"> </w:t>
      </w:r>
      <w:r w:rsidRPr="004B3B4B">
        <w:rPr>
          <w:rFonts w:ascii="Bookman Old Style" w:hAnsi="Bookman Old Style" w:cs="Arial"/>
          <w:color w:val="000000" w:themeColor="text1"/>
          <w:lang w:eastAsia="es-CO"/>
        </w:rPr>
        <w:t>l</w:t>
      </w:r>
      <w:r>
        <w:rPr>
          <w:rFonts w:ascii="Bookman Old Style" w:hAnsi="Bookman Old Style" w:cs="Arial"/>
          <w:color w:val="000000" w:themeColor="text1"/>
          <w:lang w:eastAsia="es-CO"/>
        </w:rPr>
        <w:t>os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d</w:t>
      </w:r>
      <w:r w:rsidRPr="004B3B4B">
        <w:rPr>
          <w:rFonts w:ascii="Bookman Old Style" w:hAnsi="Bookman Old Style" w:cs="Arial"/>
          <w:color w:val="000000" w:themeColor="text1"/>
          <w:lang w:eastAsia="es-CO"/>
        </w:rPr>
        <w:t>ecreto</w:t>
      </w:r>
      <w:r>
        <w:rPr>
          <w:rFonts w:ascii="Bookman Old Style" w:hAnsi="Bookman Old Style" w:cs="Arial"/>
          <w:color w:val="000000" w:themeColor="text1"/>
          <w:lang w:eastAsia="es-CO"/>
        </w:rPr>
        <w:t>s</w:t>
      </w:r>
      <w:r w:rsidRPr="004B3B4B">
        <w:rPr>
          <w:rFonts w:ascii="Bookman Old Style" w:hAnsi="Bookman Old Style" w:cs="Arial"/>
          <w:color w:val="000000" w:themeColor="text1"/>
          <w:lang w:eastAsia="es-CO"/>
        </w:rPr>
        <w:t xml:space="preserve"> 2253 de 1994 y</w:t>
      </w:r>
      <w:r>
        <w:rPr>
          <w:rFonts w:ascii="Bookman Old Style" w:hAnsi="Bookman Old Style" w:cs="Arial"/>
          <w:color w:val="000000" w:themeColor="text1"/>
          <w:lang w:eastAsia="es-CO"/>
        </w:rPr>
        <w:t xml:space="preserve"> 1260 de 2013 y </w:t>
      </w:r>
    </w:p>
    <w:p w:rsidR="006249D9" w:rsidRPr="004B3B4B" w:rsidRDefault="006249D9" w:rsidP="006249D9">
      <w:pPr>
        <w:ind w:left="0"/>
        <w:rPr>
          <w:rFonts w:ascii="Bookman Old Style" w:hAnsi="Bookman Old Style" w:cs="Arial"/>
          <w:color w:val="000000" w:themeColor="text1"/>
          <w:lang w:eastAsia="es-CO"/>
        </w:rPr>
      </w:pPr>
    </w:p>
    <w:p w:rsidR="006249D9" w:rsidRPr="004B3B4B" w:rsidRDefault="006249D9" w:rsidP="006249D9">
      <w:pPr>
        <w:ind w:left="0"/>
        <w:rPr>
          <w:rFonts w:ascii="Bookman Old Style" w:hAnsi="Bookman Old Style" w:cs="Arial"/>
          <w:color w:val="000000" w:themeColor="text1"/>
          <w:lang w:eastAsia="es-CO"/>
        </w:rPr>
      </w:pPr>
    </w:p>
    <w:p w:rsidR="006249D9" w:rsidRPr="004B3B4B" w:rsidRDefault="006249D9" w:rsidP="006249D9">
      <w:pPr>
        <w:ind w:left="0"/>
        <w:jc w:val="center"/>
        <w:rPr>
          <w:rFonts w:ascii="Bookman Old Style" w:hAnsi="Bookman Old Style" w:cs="Arial"/>
          <w:b/>
          <w:bCs/>
          <w:color w:val="000000" w:themeColor="text1"/>
          <w:lang w:val="pt-BR" w:eastAsia="es-CO"/>
        </w:rPr>
      </w:pPr>
      <w:r w:rsidRPr="004B3B4B">
        <w:rPr>
          <w:rFonts w:ascii="Bookman Old Style" w:hAnsi="Bookman Old Style" w:cs="Arial"/>
          <w:b/>
          <w:bCs/>
          <w:color w:val="000000" w:themeColor="text1"/>
          <w:lang w:val="pt-BR" w:eastAsia="es-CO"/>
        </w:rPr>
        <w:t>C O N S I D E R A N D O</w:t>
      </w:r>
      <w:proofErr w:type="gramStart"/>
      <w:r w:rsidRPr="004B3B4B">
        <w:rPr>
          <w:rFonts w:ascii="Bookman Old Style" w:hAnsi="Bookman Old Style" w:cs="Arial"/>
          <w:b/>
          <w:bCs/>
          <w:color w:val="000000" w:themeColor="text1"/>
          <w:lang w:val="pt-BR" w:eastAsia="es-CO"/>
        </w:rPr>
        <w:t xml:space="preserve">  </w:t>
      </w:r>
      <w:proofErr w:type="gramEnd"/>
      <w:r w:rsidRPr="004B3B4B">
        <w:rPr>
          <w:rFonts w:ascii="Bookman Old Style" w:hAnsi="Bookman Old Style" w:cs="Arial"/>
          <w:b/>
          <w:bCs/>
          <w:color w:val="000000" w:themeColor="text1"/>
          <w:lang w:val="pt-BR" w:eastAsia="es-CO"/>
        </w:rPr>
        <w:t>Q U E:</w:t>
      </w:r>
    </w:p>
    <w:p w:rsidR="006249D9" w:rsidRPr="004B3B4B" w:rsidRDefault="006249D9" w:rsidP="006249D9">
      <w:pPr>
        <w:ind w:left="0"/>
        <w:jc w:val="center"/>
        <w:rPr>
          <w:rFonts w:ascii="Bookman Old Style" w:hAnsi="Bookman Old Style" w:cs="Arial"/>
          <w:color w:val="000000" w:themeColor="text1"/>
          <w:lang w:val="pt-BR" w:eastAsia="es-CO"/>
        </w:rPr>
      </w:pPr>
    </w:p>
    <w:p w:rsidR="006249D9" w:rsidRPr="004B3B4B" w:rsidRDefault="006249D9" w:rsidP="006249D9">
      <w:pPr>
        <w:ind w:left="0"/>
        <w:jc w:val="both"/>
        <w:rPr>
          <w:rFonts w:ascii="Bookman Old Style" w:hAnsi="Bookman Old Style" w:cs="Arial"/>
          <w:color w:val="000000" w:themeColor="text1"/>
          <w:lang w:val="pt-BR"/>
        </w:rPr>
      </w:pPr>
    </w:p>
    <w:p w:rsidR="006249D9" w:rsidRPr="007F1878" w:rsidRDefault="006249D9" w:rsidP="006249D9">
      <w:pPr>
        <w:ind w:left="0"/>
        <w:jc w:val="both"/>
        <w:rPr>
          <w:rFonts w:ascii="Bookman Old Style" w:hAnsi="Bookman Old Style" w:cs="Arial"/>
          <w:color w:val="000000" w:themeColor="text1"/>
        </w:rPr>
      </w:pPr>
      <w:r w:rsidRPr="007F1878">
        <w:rPr>
          <w:rFonts w:ascii="Bookman Old Style" w:hAnsi="Bookman Old Style" w:cs="Arial"/>
          <w:color w:val="000000" w:themeColor="text1"/>
        </w:rPr>
        <w:t xml:space="preserve">De acuerdo con lo establecido en el literal a) del numeral 74.1 del artículo 74 de la Ley 142 de 1994, es función de la Comisión de Regulación de Energía y Gas, CREG, regular el ejercicio de las actividades de los sectores de energía </w:t>
      </w:r>
      <w:r>
        <w:rPr>
          <w:rFonts w:ascii="Bookman Old Style" w:hAnsi="Bookman Old Style" w:cs="Arial"/>
          <w:color w:val="000000" w:themeColor="text1"/>
        </w:rPr>
        <w:t xml:space="preserve">eléctrica </w:t>
      </w:r>
      <w:r w:rsidRPr="007F1878">
        <w:rPr>
          <w:rFonts w:ascii="Bookman Old Style" w:hAnsi="Bookman Old Style" w:cs="Arial"/>
          <w:color w:val="000000" w:themeColor="text1"/>
        </w:rPr>
        <w:t>y gas combustible para asegurar la disponibilidad de una oferta energética eficiente, propiciar la competencia en el sector de minas y energía, proponer la adopción de las medidas necesarias para impedir abusos de posición dominante y buscar la liberación gradual de los mercados hacia la libre competencia.</w:t>
      </w:r>
    </w:p>
    <w:p w:rsidR="006249D9" w:rsidRPr="007F1878" w:rsidRDefault="006249D9" w:rsidP="006249D9">
      <w:pPr>
        <w:ind w:left="0"/>
        <w:jc w:val="both"/>
        <w:rPr>
          <w:rFonts w:ascii="Bookman Old Style" w:hAnsi="Bookman Old Style" w:cs="Arial"/>
          <w:color w:val="000000" w:themeColor="text1"/>
        </w:rPr>
      </w:pPr>
    </w:p>
    <w:p w:rsidR="006249D9" w:rsidRPr="007F1878" w:rsidRDefault="006249D9" w:rsidP="006249D9">
      <w:pPr>
        <w:ind w:left="0"/>
        <w:jc w:val="both"/>
        <w:rPr>
          <w:rFonts w:ascii="Bookman Old Style" w:hAnsi="Bookman Old Style" w:cs="Arial"/>
          <w:color w:val="000000" w:themeColor="text1"/>
        </w:rPr>
      </w:pPr>
      <w:r w:rsidRPr="007F1878">
        <w:rPr>
          <w:rFonts w:ascii="Bookman Old Style" w:hAnsi="Bookman Old Style" w:cs="Arial"/>
          <w:color w:val="000000" w:themeColor="text1"/>
        </w:rPr>
        <w:t>De acuerdo con lo establecido en el literal c) del numeral 74.1 del artículo 74 de la Ley 142 de 1994, es función de la CREG establecer el reglamento de operación para regular el funcionamiento del mercado mayorista de energía y gas combustible.</w:t>
      </w:r>
    </w:p>
    <w:p w:rsidR="006249D9" w:rsidRPr="007F1878" w:rsidRDefault="006249D9" w:rsidP="006249D9">
      <w:pPr>
        <w:ind w:left="0"/>
        <w:jc w:val="both"/>
        <w:rPr>
          <w:rFonts w:ascii="Bookman Old Style" w:hAnsi="Bookman Old Style" w:cs="Arial"/>
          <w:color w:val="000000" w:themeColor="text1"/>
        </w:rPr>
      </w:pPr>
    </w:p>
    <w:p w:rsidR="006249D9" w:rsidRPr="007F1878" w:rsidRDefault="006249D9" w:rsidP="006249D9">
      <w:pPr>
        <w:ind w:left="0"/>
        <w:jc w:val="both"/>
        <w:rPr>
          <w:rFonts w:ascii="Bookman Old Style" w:hAnsi="Bookman Old Style" w:cs="Arial"/>
          <w:color w:val="000000" w:themeColor="text1"/>
        </w:rPr>
      </w:pPr>
      <w:r w:rsidRPr="007F1878">
        <w:rPr>
          <w:rFonts w:ascii="Bookman Old Style" w:hAnsi="Bookman Old Style" w:cs="Arial"/>
          <w:color w:val="000000" w:themeColor="text1"/>
        </w:rPr>
        <w:t>La CREG expidió disposiciones relacionadas con aspectos comerciales del mercado mayorista de gas natural, que hacen parte del reglamento de operación de gas natural, mediante la Resolución CREG 089 de 2013.</w:t>
      </w:r>
    </w:p>
    <w:p w:rsidR="006249D9" w:rsidRDefault="006249D9" w:rsidP="006249D9">
      <w:pPr>
        <w:pStyle w:val="Textosinformato"/>
        <w:jc w:val="both"/>
        <w:rPr>
          <w:rFonts w:ascii="Bookman Old Style" w:hAnsi="Bookman Old Style" w:cs="Arial"/>
          <w:color w:val="000000" w:themeColor="text1"/>
          <w:sz w:val="24"/>
          <w:szCs w:val="24"/>
          <w:shd w:val="clear" w:color="auto" w:fill="FFFFFF"/>
        </w:rPr>
      </w:pPr>
    </w:p>
    <w:p w:rsidR="006249D9" w:rsidRDefault="006249D9" w:rsidP="006249D9">
      <w:pPr>
        <w:ind w:left="0"/>
        <w:jc w:val="both"/>
        <w:rPr>
          <w:rFonts w:ascii="Bookman Old Style" w:hAnsi="Bookman Old Style" w:cs="Arial"/>
          <w:color w:val="000000" w:themeColor="text1"/>
          <w:lang w:eastAsia="es-CO"/>
        </w:rPr>
      </w:pPr>
      <w:r>
        <w:rPr>
          <w:rFonts w:ascii="Bookman Old Style" w:hAnsi="Bookman Old Style" w:cs="Arial"/>
          <w:color w:val="000000" w:themeColor="text1"/>
          <w:lang w:eastAsia="es-CO"/>
        </w:rPr>
        <w:t>A partir de las disposiciones contenidas en las resoluciones CREG 089 de 2013 y 136 de 2014 le corresponde a la CREG definir los mecanismos de cobertura para las subastas de contratos firmes bimestrales, contratos de largo plazo y para las subastas de capacidad de transporte en los procesos de úselo o véndalo de largo plazo.</w:t>
      </w:r>
    </w:p>
    <w:p w:rsidR="006249D9" w:rsidRDefault="006249D9" w:rsidP="006249D9">
      <w:pPr>
        <w:ind w:left="0"/>
        <w:jc w:val="both"/>
        <w:rPr>
          <w:rFonts w:ascii="Bookman Old Style" w:hAnsi="Bookman Old Style" w:cs="Arial"/>
          <w:color w:val="000000" w:themeColor="text1"/>
          <w:lang w:eastAsia="es-CO"/>
        </w:rPr>
      </w:pPr>
      <w:r>
        <w:rPr>
          <w:rFonts w:ascii="Bookman Old Style" w:hAnsi="Bookman Old Style" w:cs="Arial"/>
          <w:color w:val="000000" w:themeColor="text1"/>
          <w:lang w:eastAsia="es-CO"/>
        </w:rPr>
        <w:lastRenderedPageBreak/>
        <w:t xml:space="preserve">Mediante la Resolución CREG 163 de 2014 se definieron los criterios para </w:t>
      </w:r>
      <w:r w:rsidRPr="004B3B4B">
        <w:rPr>
          <w:rFonts w:ascii="Bookman Old Style" w:hAnsi="Bookman Old Style" w:cs="Arial"/>
          <w:color w:val="000000" w:themeColor="text1"/>
          <w:lang w:eastAsia="es-CO"/>
        </w:rPr>
        <w:t xml:space="preserve">para la </w:t>
      </w:r>
      <w:r>
        <w:rPr>
          <w:rFonts w:ascii="Bookman Old Style" w:hAnsi="Bookman Old Style" w:cs="Arial"/>
          <w:color w:val="000000" w:themeColor="text1"/>
          <w:lang w:eastAsia="es-CO"/>
        </w:rPr>
        <w:t xml:space="preserve">constitución </w:t>
      </w:r>
      <w:r w:rsidRPr="004B3B4B">
        <w:rPr>
          <w:rFonts w:ascii="Bookman Old Style" w:hAnsi="Bookman Old Style" w:cs="Arial"/>
          <w:color w:val="000000" w:themeColor="text1"/>
          <w:lang w:eastAsia="es-CO"/>
        </w:rPr>
        <w:t>de</w:t>
      </w:r>
      <w:r>
        <w:rPr>
          <w:rFonts w:ascii="Bookman Old Style" w:hAnsi="Bookman Old Style" w:cs="Arial"/>
          <w:color w:val="000000" w:themeColor="text1"/>
          <w:lang w:eastAsia="es-CO"/>
        </w:rPr>
        <w:t xml:space="preserve"> </w:t>
      </w:r>
      <w:r w:rsidRPr="004B3B4B">
        <w:rPr>
          <w:rFonts w:ascii="Bookman Old Style" w:hAnsi="Bookman Old Style" w:cs="Arial"/>
          <w:color w:val="000000" w:themeColor="text1"/>
          <w:lang w:eastAsia="es-CO"/>
        </w:rPr>
        <w:t>l</w:t>
      </w:r>
      <w:r>
        <w:rPr>
          <w:rFonts w:ascii="Bookman Old Style" w:hAnsi="Bookman Old Style" w:cs="Arial"/>
          <w:color w:val="000000" w:themeColor="text1"/>
          <w:lang w:eastAsia="es-CO"/>
        </w:rPr>
        <w:t>os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 xml:space="preserve">instrumentos fiduciarios a cargo del gestor del mercado de gas natural con el objeto de administrar los mecanismos de cobertura del mercado. </w:t>
      </w:r>
    </w:p>
    <w:p w:rsidR="00A308A0" w:rsidRDefault="00A308A0" w:rsidP="006249D9">
      <w:pPr>
        <w:ind w:left="0"/>
        <w:jc w:val="both"/>
        <w:rPr>
          <w:rFonts w:ascii="Bookman Old Style" w:hAnsi="Bookman Old Style" w:cs="Arial"/>
          <w:color w:val="000000" w:themeColor="text1"/>
          <w:lang w:eastAsia="es-CO"/>
        </w:rPr>
      </w:pPr>
    </w:p>
    <w:p w:rsidR="00053B08" w:rsidRPr="004B3B4B" w:rsidRDefault="00053B08" w:rsidP="00053B08">
      <w:pPr>
        <w:ind w:left="0"/>
        <w:jc w:val="both"/>
        <w:rPr>
          <w:rFonts w:ascii="Bookman Old Style" w:hAnsi="Bookman Old Style" w:cs="Tahoma"/>
          <w:color w:val="000000" w:themeColor="text1"/>
        </w:rPr>
      </w:pPr>
      <w:r w:rsidRPr="004B3B4B">
        <w:rPr>
          <w:rFonts w:ascii="Bookman Old Style" w:hAnsi="Bookman Old Style" w:cs="Arial"/>
          <w:color w:val="000000" w:themeColor="text1"/>
          <w:shd w:val="clear" w:color="auto" w:fill="FFFFFF"/>
        </w:rPr>
        <w:t xml:space="preserve">Teniendo en cuenta lo establecido en el artículo 4 del Decreto 2897 de 2010, reglamentario de la Ley 1340 de 2009, no es necesaria la remisión del presente acto administrativo a la Superintendencia de Industria y Comercio, ya que en éste se </w:t>
      </w:r>
      <w:proofErr w:type="spellStart"/>
      <w:r w:rsidR="00C44664" w:rsidRPr="004B3B4B">
        <w:rPr>
          <w:rFonts w:ascii="Bookman Old Style" w:hAnsi="Bookman Old Style" w:cs="Arial"/>
          <w:color w:val="000000" w:themeColor="text1"/>
          <w:lang w:eastAsia="es-CO"/>
        </w:rPr>
        <w:t>se</w:t>
      </w:r>
      <w:proofErr w:type="spellEnd"/>
      <w:r w:rsidR="00C44664" w:rsidRPr="004B3B4B">
        <w:rPr>
          <w:rFonts w:ascii="Bookman Old Style" w:hAnsi="Bookman Old Style" w:cs="Arial"/>
          <w:color w:val="000000" w:themeColor="text1"/>
          <w:lang w:eastAsia="es-CO"/>
        </w:rPr>
        <w:t xml:space="preserve"> dictan disposiciones</w:t>
      </w:r>
      <w:r w:rsidR="00C44664">
        <w:rPr>
          <w:rFonts w:ascii="Bookman Old Style" w:hAnsi="Bookman Old Style" w:cs="Arial"/>
          <w:color w:val="000000" w:themeColor="text1"/>
          <w:lang w:eastAsia="es-CO"/>
        </w:rPr>
        <w:t xml:space="preserve"> generales</w:t>
      </w:r>
      <w:r w:rsidR="00C44664" w:rsidRPr="004B3B4B">
        <w:rPr>
          <w:rFonts w:ascii="Bookman Old Style" w:hAnsi="Bookman Old Style" w:cs="Arial"/>
          <w:color w:val="000000" w:themeColor="text1"/>
          <w:lang w:eastAsia="es-CO"/>
        </w:rPr>
        <w:t xml:space="preserve"> </w:t>
      </w:r>
      <w:r w:rsidR="00C44664">
        <w:rPr>
          <w:rFonts w:ascii="Bookman Old Style" w:hAnsi="Bookman Old Style" w:cs="Arial"/>
          <w:color w:val="000000" w:themeColor="text1"/>
          <w:lang w:eastAsia="es-CO"/>
        </w:rPr>
        <w:t xml:space="preserve">que regirán </w:t>
      </w:r>
      <w:r w:rsidR="00C44664" w:rsidRPr="004B3B4B">
        <w:rPr>
          <w:rFonts w:ascii="Bookman Old Style" w:hAnsi="Bookman Old Style" w:cs="Arial"/>
          <w:color w:val="000000" w:themeColor="text1"/>
          <w:lang w:eastAsia="es-CO"/>
        </w:rPr>
        <w:t>l</w:t>
      </w:r>
      <w:r w:rsidR="00C44664">
        <w:rPr>
          <w:rFonts w:ascii="Bookman Old Style" w:hAnsi="Bookman Old Style" w:cs="Arial"/>
          <w:color w:val="000000" w:themeColor="text1"/>
          <w:lang w:eastAsia="es-CO"/>
        </w:rPr>
        <w:t>os</w:t>
      </w:r>
      <w:r w:rsidR="00C44664" w:rsidRPr="004B3B4B">
        <w:rPr>
          <w:rFonts w:ascii="Bookman Old Style" w:hAnsi="Bookman Old Style" w:cs="Arial"/>
          <w:color w:val="000000" w:themeColor="text1"/>
          <w:lang w:eastAsia="es-CO"/>
        </w:rPr>
        <w:t xml:space="preserve"> </w:t>
      </w:r>
      <w:r w:rsidR="00C44664">
        <w:rPr>
          <w:rFonts w:ascii="Bookman Old Style" w:hAnsi="Bookman Old Style" w:cs="Arial"/>
          <w:color w:val="000000" w:themeColor="text1"/>
          <w:lang w:eastAsia="es-CO"/>
        </w:rPr>
        <w:t xml:space="preserve">mecanismos de cobertura en las subastas de contratos firmes bimestrales y de largo plazo y en las subastas de capacidad de transporte en los procesos úselo o véndalo de largo plazo, </w:t>
      </w:r>
      <w:r w:rsidRPr="004B3B4B">
        <w:rPr>
          <w:rFonts w:ascii="Bookman Old Style" w:hAnsi="Bookman Old Style" w:cs="Arial"/>
          <w:color w:val="000000" w:themeColor="text1"/>
          <w:shd w:val="clear" w:color="auto" w:fill="FFFFFF"/>
        </w:rPr>
        <w:t>previamente impuestas en la</w:t>
      </w:r>
      <w:r>
        <w:rPr>
          <w:rFonts w:ascii="Bookman Old Style" w:hAnsi="Bookman Old Style" w:cs="Arial"/>
          <w:color w:val="000000" w:themeColor="text1"/>
          <w:shd w:val="clear" w:color="auto" w:fill="FFFFFF"/>
        </w:rPr>
        <w:t>s resoluciones CREG 089 y</w:t>
      </w:r>
      <w:r w:rsidRPr="004B3B4B">
        <w:rPr>
          <w:rFonts w:ascii="Bookman Old Style" w:hAnsi="Bookman Old Style" w:cs="Arial"/>
          <w:color w:val="000000" w:themeColor="text1"/>
          <w:shd w:val="clear" w:color="auto" w:fill="FFFFFF"/>
        </w:rPr>
        <w:t xml:space="preserve"> </w:t>
      </w:r>
      <w:r>
        <w:rPr>
          <w:rFonts w:ascii="Bookman Old Style" w:hAnsi="Bookman Old Style" w:cs="Arial"/>
          <w:color w:val="000000" w:themeColor="text1"/>
          <w:shd w:val="clear" w:color="auto" w:fill="FFFFFF"/>
        </w:rPr>
        <w:t>124</w:t>
      </w:r>
      <w:r w:rsidRPr="004B3B4B">
        <w:rPr>
          <w:rFonts w:ascii="Bookman Old Style" w:hAnsi="Bookman Old Style" w:cs="Arial"/>
          <w:color w:val="000000" w:themeColor="text1"/>
          <w:shd w:val="clear" w:color="auto" w:fill="FFFFFF"/>
        </w:rPr>
        <w:t xml:space="preserve"> de 2013.</w:t>
      </w:r>
    </w:p>
    <w:p w:rsidR="00053B08" w:rsidRPr="004B3B4B" w:rsidRDefault="00053B08" w:rsidP="00053B08">
      <w:pPr>
        <w:ind w:left="0"/>
        <w:jc w:val="both"/>
        <w:rPr>
          <w:rFonts w:ascii="Bookman Old Style" w:hAnsi="Bookman Old Style" w:cs="Arial"/>
          <w:color w:val="000000" w:themeColor="text1"/>
        </w:rPr>
      </w:pPr>
    </w:p>
    <w:p w:rsidR="00053B08" w:rsidRDefault="00053B08" w:rsidP="00053B08">
      <w:pPr>
        <w:ind w:left="0"/>
        <w:jc w:val="both"/>
        <w:rPr>
          <w:rFonts w:ascii="Bookman Old Style" w:hAnsi="Bookman Old Style" w:cs="Arial"/>
          <w:color w:val="000000" w:themeColor="text1"/>
        </w:rPr>
      </w:pPr>
      <w:r w:rsidRPr="004B3B4B">
        <w:rPr>
          <w:rFonts w:ascii="Bookman Old Style" w:hAnsi="Bookman Old Style" w:cs="Arial"/>
          <w:color w:val="000000" w:themeColor="text1"/>
        </w:rPr>
        <w:t>Según lo previsto en el artículo 8 del Código de Procedimiento Administrativo y de lo Contencioso Administrativo, la regulación que mediante la presente resolución se adopta ha surtido el proceso de publicidad previo correspondiente</w:t>
      </w:r>
      <w:r>
        <w:rPr>
          <w:rFonts w:ascii="Bookman Old Style" w:hAnsi="Bookman Old Style" w:cs="Arial"/>
          <w:color w:val="000000" w:themeColor="text1"/>
        </w:rPr>
        <w:t xml:space="preserve">, habiéndose puesto en consulta la Resolución CREG 015 de 2015 y recibido comentarios de diferentes agentes, los cuales se responden en el Documento CREG No. </w:t>
      </w:r>
      <w:r w:rsidR="00FB5B62">
        <w:rPr>
          <w:rFonts w:ascii="Bookman Old Style" w:hAnsi="Bookman Old Style" w:cs="Arial"/>
          <w:color w:val="000000" w:themeColor="text1"/>
        </w:rPr>
        <w:t>041</w:t>
      </w:r>
      <w:r>
        <w:rPr>
          <w:rFonts w:ascii="Bookman Old Style" w:hAnsi="Bookman Old Style" w:cs="Arial"/>
          <w:color w:val="000000" w:themeColor="text1"/>
        </w:rPr>
        <w:t xml:space="preserve"> de 2015</w:t>
      </w:r>
      <w:r w:rsidRPr="004B3B4B">
        <w:rPr>
          <w:rFonts w:ascii="Bookman Old Style" w:hAnsi="Bookman Old Style" w:cs="Arial"/>
          <w:color w:val="000000" w:themeColor="text1"/>
        </w:rPr>
        <w:t>.</w:t>
      </w:r>
    </w:p>
    <w:p w:rsidR="00053B08" w:rsidRDefault="00053B08" w:rsidP="00053B08">
      <w:pPr>
        <w:ind w:left="0"/>
        <w:jc w:val="both"/>
        <w:rPr>
          <w:rFonts w:ascii="Bookman Old Style" w:hAnsi="Bookman Old Style" w:cs="Arial"/>
          <w:color w:val="000000" w:themeColor="text1"/>
        </w:rPr>
      </w:pPr>
    </w:p>
    <w:p w:rsidR="00053B08" w:rsidRPr="004B3B4B" w:rsidRDefault="00053B08" w:rsidP="00053B08">
      <w:pPr>
        <w:ind w:left="0"/>
        <w:jc w:val="both"/>
        <w:rPr>
          <w:rFonts w:ascii="Bookman Old Style" w:hAnsi="Bookman Old Style" w:cs="Arial"/>
          <w:color w:val="000000" w:themeColor="text1"/>
        </w:rPr>
      </w:pPr>
      <w:r w:rsidRPr="00DA6B9E">
        <w:rPr>
          <w:rFonts w:ascii="Bookman Old Style" w:hAnsi="Bookman Old Style"/>
        </w:rPr>
        <w:t>La Comisión de Regulación de En</w:t>
      </w:r>
      <w:r>
        <w:rPr>
          <w:rFonts w:ascii="Bookman Old Style" w:hAnsi="Bookman Old Style"/>
        </w:rPr>
        <w:t xml:space="preserve">ergía y Gas en su sesión No. </w:t>
      </w:r>
      <w:r w:rsidR="00FB5B62">
        <w:rPr>
          <w:rFonts w:ascii="Bookman Old Style" w:hAnsi="Bookman Old Style"/>
        </w:rPr>
        <w:t>656</w:t>
      </w:r>
      <w:r w:rsidRPr="00DA6B9E">
        <w:rPr>
          <w:rFonts w:ascii="Bookman Old Style" w:hAnsi="Bookman Old Style"/>
        </w:rPr>
        <w:t xml:space="preserve"> del </w:t>
      </w:r>
      <w:r w:rsidR="00FB5B62">
        <w:rPr>
          <w:rFonts w:ascii="Bookman Old Style" w:hAnsi="Bookman Old Style"/>
        </w:rPr>
        <w:t xml:space="preserve">8 </w:t>
      </w:r>
      <w:r w:rsidRPr="00DA6B9E">
        <w:rPr>
          <w:rFonts w:ascii="Bookman Old Style" w:hAnsi="Bookman Old Style"/>
        </w:rPr>
        <w:t xml:space="preserve">de </w:t>
      </w:r>
      <w:r w:rsidR="00FB5B62">
        <w:rPr>
          <w:rFonts w:ascii="Bookman Old Style" w:hAnsi="Bookman Old Style"/>
        </w:rPr>
        <w:t>mayo</w:t>
      </w:r>
      <w:r>
        <w:rPr>
          <w:rFonts w:ascii="Bookman Old Style" w:hAnsi="Bookman Old Style"/>
        </w:rPr>
        <w:t xml:space="preserve"> </w:t>
      </w:r>
      <w:r w:rsidRPr="00DA6B9E">
        <w:rPr>
          <w:rFonts w:ascii="Bookman Old Style" w:hAnsi="Bookman Old Style"/>
        </w:rPr>
        <w:t>de 201</w:t>
      </w:r>
      <w:r>
        <w:rPr>
          <w:rFonts w:ascii="Bookman Old Style" w:hAnsi="Bookman Old Style"/>
        </w:rPr>
        <w:t>5</w:t>
      </w:r>
      <w:r w:rsidRPr="00DA6B9E">
        <w:rPr>
          <w:rFonts w:ascii="Bookman Old Style" w:hAnsi="Bookman Old Style"/>
        </w:rPr>
        <w:t xml:space="preserve"> acordó expedir esta Resolución</w:t>
      </w:r>
      <w:r w:rsidR="00FB5B62">
        <w:rPr>
          <w:rFonts w:ascii="Bookman Old Style" w:hAnsi="Bookman Old Style"/>
        </w:rPr>
        <w:t>.</w:t>
      </w:r>
    </w:p>
    <w:p w:rsidR="00A308A0" w:rsidRDefault="00A308A0" w:rsidP="006249D9">
      <w:pPr>
        <w:ind w:left="0"/>
        <w:jc w:val="both"/>
        <w:rPr>
          <w:rFonts w:ascii="Bookman Old Style" w:hAnsi="Bookman Old Style" w:cs="Arial"/>
          <w:color w:val="000000" w:themeColor="text1"/>
          <w:lang w:eastAsia="es-CO"/>
        </w:rPr>
      </w:pPr>
    </w:p>
    <w:p w:rsidR="006249D9" w:rsidRPr="004B3B4B" w:rsidRDefault="006249D9" w:rsidP="006249D9">
      <w:pPr>
        <w:ind w:left="0"/>
        <w:jc w:val="center"/>
        <w:rPr>
          <w:rFonts w:ascii="Bookman Old Style" w:hAnsi="Bookman Old Style" w:cs="Arial"/>
          <w:b/>
          <w:bCs/>
          <w:color w:val="000000" w:themeColor="text1"/>
          <w:lang w:val="pt-BR"/>
        </w:rPr>
      </w:pPr>
      <w:r w:rsidRPr="004B3B4B">
        <w:rPr>
          <w:rFonts w:ascii="Bookman Old Style" w:hAnsi="Bookman Old Style" w:cs="Arial"/>
          <w:b/>
          <w:bCs/>
          <w:color w:val="000000" w:themeColor="text1"/>
          <w:lang w:val="pt-BR"/>
        </w:rPr>
        <w:t>R E S U E L V E:</w:t>
      </w:r>
    </w:p>
    <w:p w:rsidR="006249D9" w:rsidRPr="004B3B4B" w:rsidRDefault="006249D9" w:rsidP="006249D9">
      <w:pPr>
        <w:ind w:left="0"/>
        <w:jc w:val="both"/>
        <w:rPr>
          <w:rFonts w:ascii="Bookman Old Style" w:hAnsi="Bookman Old Style" w:cs="Arial"/>
          <w:color w:val="000000" w:themeColor="text1"/>
          <w:lang w:val="pt-BR"/>
        </w:rPr>
      </w:pPr>
    </w:p>
    <w:p w:rsidR="006249D9" w:rsidRPr="004B3B4B" w:rsidRDefault="006249D9" w:rsidP="006249D9">
      <w:pPr>
        <w:ind w:left="0"/>
        <w:jc w:val="both"/>
        <w:rPr>
          <w:rFonts w:ascii="Bookman Old Style" w:hAnsi="Bookman Old Style" w:cs="Arial"/>
          <w:color w:val="000000" w:themeColor="text1"/>
          <w:lang w:val="pt-BR"/>
        </w:rPr>
      </w:pPr>
    </w:p>
    <w:p w:rsidR="006249D9" w:rsidRPr="004B3B4B" w:rsidRDefault="006249D9" w:rsidP="006249D9">
      <w:pPr>
        <w:ind w:left="0"/>
        <w:jc w:val="both"/>
        <w:rPr>
          <w:rFonts w:ascii="Bookman Old Style" w:hAnsi="Bookman Old Style" w:cs="Arial"/>
          <w:bCs/>
          <w:color w:val="000000" w:themeColor="text1"/>
        </w:rPr>
      </w:pPr>
      <w:r w:rsidRPr="004B3B4B">
        <w:rPr>
          <w:rFonts w:ascii="Bookman Old Style" w:hAnsi="Bookman Old Style" w:cs="Arial"/>
          <w:b/>
          <w:bCs/>
          <w:color w:val="000000" w:themeColor="text1"/>
        </w:rPr>
        <w:t xml:space="preserve">Artículo 1. Objeto. </w:t>
      </w:r>
      <w:r w:rsidRPr="004B3B4B">
        <w:rPr>
          <w:rFonts w:ascii="Bookman Old Style" w:hAnsi="Bookman Old Style" w:cs="Arial"/>
          <w:bCs/>
          <w:color w:val="000000" w:themeColor="text1"/>
        </w:rPr>
        <w:t>El objeto de la presente Resolución consiste en dictar las disposiciones generales que</w:t>
      </w:r>
      <w:r>
        <w:rPr>
          <w:rFonts w:ascii="Bookman Old Style" w:hAnsi="Bookman Old Style" w:cs="Arial"/>
          <w:color w:val="000000" w:themeColor="text1"/>
          <w:lang w:eastAsia="es-CO"/>
        </w:rPr>
        <w:t xml:space="preserve"> regirán </w:t>
      </w:r>
      <w:r w:rsidRPr="004B3B4B">
        <w:rPr>
          <w:rFonts w:ascii="Bookman Old Style" w:hAnsi="Bookman Old Style" w:cs="Arial"/>
          <w:color w:val="000000" w:themeColor="text1"/>
          <w:lang w:eastAsia="es-CO"/>
        </w:rPr>
        <w:t>l</w:t>
      </w:r>
      <w:r>
        <w:rPr>
          <w:rFonts w:ascii="Bookman Old Style" w:hAnsi="Bookman Old Style" w:cs="Arial"/>
          <w:color w:val="000000" w:themeColor="text1"/>
          <w:lang w:eastAsia="es-CO"/>
        </w:rPr>
        <w:t>os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mecanismos de cobertura en las i) subastas de gas de contratos firmes bimestrales, ii) subastas de gas natural de contratos de largo plazo, y iii) subastas de capacidad de transporte en los procesos úselo o véndalo de largo plazo</w:t>
      </w:r>
      <w:r>
        <w:rPr>
          <w:rFonts w:ascii="Bookman Old Style" w:hAnsi="Bookman Old Style" w:cs="Arial"/>
          <w:bCs/>
          <w:color w:val="000000" w:themeColor="text1"/>
        </w:rPr>
        <w:t xml:space="preserve"> que se establecen en las resoluciones CREG 089 de 2013 y CREG 136 de 2014, o aquellas que las modifiquen, adicionen o sustituyan.</w:t>
      </w:r>
    </w:p>
    <w:p w:rsidR="006249D9" w:rsidRDefault="006249D9" w:rsidP="006249D9">
      <w:pPr>
        <w:ind w:left="0"/>
        <w:jc w:val="both"/>
        <w:rPr>
          <w:rFonts w:ascii="Bookman Old Style" w:hAnsi="Bookman Old Style" w:cs="Arial"/>
          <w:color w:val="000000" w:themeColor="text1"/>
        </w:rPr>
      </w:pPr>
    </w:p>
    <w:p w:rsidR="006249D9" w:rsidRPr="004B3B4B" w:rsidRDefault="006249D9" w:rsidP="006249D9">
      <w:pPr>
        <w:ind w:left="0"/>
        <w:jc w:val="both"/>
        <w:rPr>
          <w:rFonts w:ascii="Bookman Old Style" w:hAnsi="Bookman Old Style" w:cs="Arial"/>
          <w:bCs/>
          <w:color w:val="000000" w:themeColor="text1"/>
        </w:rPr>
      </w:pPr>
      <w:r>
        <w:rPr>
          <w:rFonts w:ascii="Bookman Old Style" w:hAnsi="Bookman Old Style" w:cs="Arial"/>
          <w:b/>
          <w:color w:val="000000" w:themeColor="text1"/>
        </w:rPr>
        <w:t xml:space="preserve">Parágrafo. </w:t>
      </w:r>
      <w:r>
        <w:rPr>
          <w:rFonts w:ascii="Bookman Old Style" w:hAnsi="Bookman Old Style" w:cs="Arial"/>
          <w:color w:val="000000" w:themeColor="text1"/>
        </w:rPr>
        <w:t xml:space="preserve">Entiéndase por subastas de gas natural de contratos de largo plazo las subastas a las que se refiere el artículo 27 de la Resolución CREG 089 de 2013, </w:t>
      </w:r>
      <w:r>
        <w:rPr>
          <w:rFonts w:ascii="Bookman Old Style" w:hAnsi="Bookman Old Style" w:cs="Arial"/>
          <w:bCs/>
          <w:color w:val="000000" w:themeColor="text1"/>
        </w:rPr>
        <w:t>o aquellas que la modifiquen, adicionen o sustituyan.</w:t>
      </w:r>
    </w:p>
    <w:p w:rsidR="006249D9" w:rsidRPr="004B3B4B" w:rsidRDefault="006249D9" w:rsidP="006249D9">
      <w:pPr>
        <w:ind w:left="0"/>
        <w:jc w:val="both"/>
        <w:rPr>
          <w:rFonts w:ascii="Bookman Old Style" w:hAnsi="Bookman Old Style" w:cs="Arial"/>
          <w:color w:val="000000" w:themeColor="text1"/>
        </w:rPr>
      </w:pPr>
    </w:p>
    <w:p w:rsidR="006249D9" w:rsidRDefault="006249D9" w:rsidP="006249D9">
      <w:pPr>
        <w:ind w:left="0"/>
        <w:jc w:val="both"/>
        <w:rPr>
          <w:rFonts w:ascii="Bookman Old Style" w:hAnsi="Bookman Old Style" w:cs="Arial"/>
          <w:bCs/>
          <w:color w:val="000000" w:themeColor="text1"/>
        </w:rPr>
      </w:pPr>
      <w:r w:rsidRPr="004B3B4B">
        <w:rPr>
          <w:rFonts w:ascii="Bookman Old Style" w:hAnsi="Bookman Old Style" w:cs="Arial"/>
          <w:b/>
          <w:color w:val="000000" w:themeColor="text1"/>
        </w:rPr>
        <w:t>Artículo 2. Disposicione</w:t>
      </w:r>
      <w:r>
        <w:rPr>
          <w:rFonts w:ascii="Bookman Old Style" w:hAnsi="Bookman Old Style" w:cs="Arial"/>
          <w:b/>
          <w:color w:val="000000" w:themeColor="text1"/>
        </w:rPr>
        <w:t>s generales que regirán los mecanismos de cobertura</w:t>
      </w:r>
      <w:r w:rsidRPr="004B3B4B">
        <w:rPr>
          <w:rFonts w:ascii="Bookman Old Style" w:hAnsi="Bookman Old Style" w:cs="Arial"/>
          <w:b/>
          <w:color w:val="000000" w:themeColor="text1"/>
        </w:rPr>
        <w:t xml:space="preserve">. </w:t>
      </w:r>
      <w:r w:rsidRPr="004B3B4B">
        <w:rPr>
          <w:rFonts w:ascii="Bookman Old Style" w:hAnsi="Bookman Old Style" w:cs="Arial"/>
          <w:color w:val="000000" w:themeColor="text1"/>
        </w:rPr>
        <w:t xml:space="preserve">Adóptense las disposiciones contenidas en el Anexo de la presente Resolución para la </w:t>
      </w:r>
      <w:r>
        <w:rPr>
          <w:rFonts w:ascii="Bookman Old Style" w:hAnsi="Bookman Old Style" w:cs="Arial"/>
          <w:color w:val="000000" w:themeColor="text1"/>
        </w:rPr>
        <w:t>adopción de los mecanismos de cobertura</w:t>
      </w:r>
      <w:r w:rsidRPr="004B3B4B">
        <w:rPr>
          <w:rFonts w:ascii="Bookman Old Style" w:hAnsi="Bookman Old Style" w:cs="Arial"/>
          <w:color w:val="000000" w:themeColor="text1"/>
        </w:rPr>
        <w:t xml:space="preserve"> que </w:t>
      </w:r>
      <w:r>
        <w:rPr>
          <w:rFonts w:ascii="Bookman Old Style" w:hAnsi="Bookman Old Style" w:cs="Arial"/>
          <w:color w:val="000000" w:themeColor="text1"/>
        </w:rPr>
        <w:t xml:space="preserve">se ordenan en </w:t>
      </w:r>
      <w:r>
        <w:rPr>
          <w:rFonts w:ascii="Bookman Old Style" w:hAnsi="Bookman Old Style" w:cs="Arial"/>
          <w:bCs/>
          <w:color w:val="000000" w:themeColor="text1"/>
        </w:rPr>
        <w:t>las resoluciones CREG 089 de 2013 y CREG 136 de 2014 o aquellas que las modifiquen, adicionen o sustituyan.</w:t>
      </w:r>
    </w:p>
    <w:p w:rsidR="00D3707B" w:rsidRDefault="00D3707B" w:rsidP="006249D9">
      <w:pPr>
        <w:ind w:left="0"/>
        <w:jc w:val="both"/>
        <w:rPr>
          <w:rFonts w:ascii="Bookman Old Style" w:hAnsi="Bookman Old Style" w:cs="Arial"/>
          <w:bCs/>
          <w:color w:val="000000" w:themeColor="text1"/>
        </w:rPr>
      </w:pPr>
    </w:p>
    <w:p w:rsidR="00537935" w:rsidRDefault="00537935" w:rsidP="006249D9">
      <w:pPr>
        <w:ind w:left="0"/>
        <w:jc w:val="both"/>
        <w:rPr>
          <w:rFonts w:ascii="Bookman Old Style" w:hAnsi="Bookman Old Style" w:cs="Arial"/>
          <w:color w:val="000000" w:themeColor="text1"/>
        </w:rPr>
      </w:pPr>
      <w:r w:rsidRPr="004B3B4B">
        <w:rPr>
          <w:rFonts w:ascii="Bookman Old Style" w:hAnsi="Bookman Old Style" w:cs="Arial"/>
          <w:b/>
          <w:color w:val="000000" w:themeColor="text1"/>
        </w:rPr>
        <w:t xml:space="preserve">Artículo </w:t>
      </w:r>
      <w:r>
        <w:rPr>
          <w:rFonts w:ascii="Bookman Old Style" w:hAnsi="Bookman Old Style" w:cs="Arial"/>
          <w:b/>
          <w:color w:val="000000" w:themeColor="text1"/>
        </w:rPr>
        <w:t>3</w:t>
      </w:r>
      <w:r w:rsidRPr="004B3B4B">
        <w:rPr>
          <w:rFonts w:ascii="Bookman Old Style" w:hAnsi="Bookman Old Style" w:cs="Arial"/>
          <w:b/>
          <w:color w:val="000000" w:themeColor="text1"/>
        </w:rPr>
        <w:t>.</w:t>
      </w:r>
      <w:r w:rsidRPr="004B3B4B">
        <w:rPr>
          <w:rFonts w:ascii="Bookman Old Style" w:hAnsi="Bookman Old Style" w:cs="Arial"/>
          <w:color w:val="000000" w:themeColor="text1"/>
        </w:rPr>
        <w:t xml:space="preserve"> </w:t>
      </w:r>
      <w:r>
        <w:rPr>
          <w:rFonts w:ascii="Bookman Old Style" w:hAnsi="Bookman Old Style" w:cs="Arial"/>
          <w:b/>
          <w:color w:val="000000" w:themeColor="text1"/>
        </w:rPr>
        <w:t xml:space="preserve">Constitución de las fiducias mercantiles. </w:t>
      </w:r>
      <w:r>
        <w:rPr>
          <w:rFonts w:ascii="Bookman Old Style" w:hAnsi="Bookman Old Style" w:cs="Arial"/>
          <w:color w:val="000000" w:themeColor="text1"/>
        </w:rPr>
        <w:t xml:space="preserve">El gestor del mercado de gas natural, en la constitución de las fiducias mercantiles, según las disposiciones </w:t>
      </w:r>
      <w:r w:rsidR="00076746">
        <w:rPr>
          <w:rFonts w:ascii="Bookman Old Style" w:hAnsi="Bookman Old Style" w:cs="Arial"/>
          <w:color w:val="000000" w:themeColor="text1"/>
        </w:rPr>
        <w:t xml:space="preserve">establecidas </w:t>
      </w:r>
      <w:r>
        <w:rPr>
          <w:rFonts w:ascii="Bookman Old Style" w:hAnsi="Bookman Old Style" w:cs="Arial"/>
          <w:color w:val="000000" w:themeColor="text1"/>
        </w:rPr>
        <w:t xml:space="preserve">en la Resolución CREG 163 de 2014, deberá </w:t>
      </w:r>
      <w:r>
        <w:rPr>
          <w:rFonts w:ascii="Bookman Old Style" w:hAnsi="Bookman Old Style" w:cs="Arial"/>
          <w:color w:val="000000" w:themeColor="text1"/>
        </w:rPr>
        <w:lastRenderedPageBreak/>
        <w:t>elaborar con la</w:t>
      </w:r>
      <w:r w:rsidR="0010483B">
        <w:rPr>
          <w:rFonts w:ascii="Bookman Old Style" w:hAnsi="Bookman Old Style" w:cs="Arial"/>
          <w:color w:val="000000" w:themeColor="text1"/>
        </w:rPr>
        <w:t xml:space="preserve"> (</w:t>
      </w:r>
      <w:r>
        <w:rPr>
          <w:rFonts w:ascii="Bookman Old Style" w:hAnsi="Bookman Old Style" w:cs="Arial"/>
          <w:color w:val="000000" w:themeColor="text1"/>
        </w:rPr>
        <w:t>s</w:t>
      </w:r>
      <w:r w:rsidR="0010483B">
        <w:rPr>
          <w:rFonts w:ascii="Bookman Old Style" w:hAnsi="Bookman Old Style" w:cs="Arial"/>
          <w:color w:val="000000" w:themeColor="text1"/>
        </w:rPr>
        <w:t>)</w:t>
      </w:r>
      <w:r>
        <w:rPr>
          <w:rFonts w:ascii="Bookman Old Style" w:hAnsi="Bookman Old Style" w:cs="Arial"/>
          <w:color w:val="000000" w:themeColor="text1"/>
        </w:rPr>
        <w:t xml:space="preserve"> fiduciaria</w:t>
      </w:r>
      <w:r w:rsidR="0010483B">
        <w:rPr>
          <w:rFonts w:ascii="Bookman Old Style" w:hAnsi="Bookman Old Style" w:cs="Arial"/>
          <w:color w:val="000000" w:themeColor="text1"/>
        </w:rPr>
        <w:t xml:space="preserve"> (</w:t>
      </w:r>
      <w:r>
        <w:rPr>
          <w:rFonts w:ascii="Bookman Old Style" w:hAnsi="Bookman Old Style" w:cs="Arial"/>
          <w:color w:val="000000" w:themeColor="text1"/>
        </w:rPr>
        <w:t>s</w:t>
      </w:r>
      <w:r w:rsidR="0010483B">
        <w:rPr>
          <w:rFonts w:ascii="Bookman Old Style" w:hAnsi="Bookman Old Style" w:cs="Arial"/>
          <w:color w:val="000000" w:themeColor="text1"/>
        </w:rPr>
        <w:t>)</w:t>
      </w:r>
      <w:r>
        <w:rPr>
          <w:rFonts w:ascii="Bookman Old Style" w:hAnsi="Bookman Old Style" w:cs="Arial"/>
          <w:color w:val="000000" w:themeColor="text1"/>
        </w:rPr>
        <w:t xml:space="preserve"> que seleccione, los correspondientes reglamentos que rijan la operación de </w:t>
      </w:r>
      <w:r w:rsidR="0010483B">
        <w:rPr>
          <w:rFonts w:ascii="Bookman Old Style" w:hAnsi="Bookman Old Style" w:cs="Arial"/>
          <w:color w:val="000000" w:themeColor="text1"/>
        </w:rPr>
        <w:t xml:space="preserve">cada una de </w:t>
      </w:r>
      <w:r>
        <w:rPr>
          <w:rFonts w:ascii="Bookman Old Style" w:hAnsi="Bookman Old Style" w:cs="Arial"/>
          <w:color w:val="000000" w:themeColor="text1"/>
        </w:rPr>
        <w:t>las fiducias mercantiles.</w:t>
      </w:r>
    </w:p>
    <w:p w:rsidR="00537935" w:rsidRPr="00FB5B62" w:rsidRDefault="00537935" w:rsidP="006249D9">
      <w:pPr>
        <w:ind w:left="0"/>
        <w:jc w:val="both"/>
        <w:rPr>
          <w:rFonts w:ascii="Bookman Old Style" w:hAnsi="Bookman Old Style" w:cs="Arial"/>
          <w:bCs/>
          <w:color w:val="000000" w:themeColor="text1"/>
        </w:rPr>
      </w:pPr>
    </w:p>
    <w:p w:rsidR="0075595E" w:rsidRPr="00D3707B" w:rsidRDefault="00D3707B">
      <w:pPr>
        <w:ind w:left="0"/>
        <w:jc w:val="both"/>
        <w:rPr>
          <w:rFonts w:ascii="Bookman Old Style" w:hAnsi="Bookman Old Style" w:cs="Arial"/>
          <w:bCs/>
          <w:color w:val="000000" w:themeColor="text1"/>
        </w:rPr>
      </w:pPr>
      <w:r>
        <w:rPr>
          <w:rFonts w:ascii="Bookman Old Style" w:hAnsi="Bookman Old Style" w:cs="Arial"/>
          <w:b/>
          <w:bCs/>
          <w:color w:val="000000" w:themeColor="text1"/>
        </w:rPr>
        <w:t>Parágrafo</w:t>
      </w:r>
      <w:r w:rsidR="00007EBA">
        <w:rPr>
          <w:rFonts w:ascii="Bookman Old Style" w:hAnsi="Bookman Old Style" w:cs="Arial"/>
          <w:b/>
          <w:bCs/>
          <w:color w:val="000000" w:themeColor="text1"/>
        </w:rPr>
        <w:t xml:space="preserve"> 1</w:t>
      </w:r>
      <w:r>
        <w:rPr>
          <w:rFonts w:ascii="Bookman Old Style" w:hAnsi="Bookman Old Style" w:cs="Arial"/>
          <w:b/>
          <w:bCs/>
          <w:color w:val="000000" w:themeColor="text1"/>
        </w:rPr>
        <w:t xml:space="preserve">. </w:t>
      </w:r>
      <w:r w:rsidR="0010483B">
        <w:rPr>
          <w:rFonts w:ascii="Bookman Old Style" w:hAnsi="Bookman Old Style" w:cs="Arial"/>
          <w:bCs/>
          <w:color w:val="000000" w:themeColor="text1"/>
        </w:rPr>
        <w:t>En cada uno de los reglamentos deberá</w:t>
      </w:r>
      <w:r w:rsidR="00802033">
        <w:rPr>
          <w:rFonts w:ascii="Bookman Old Style" w:hAnsi="Bookman Old Style" w:cs="Arial"/>
          <w:bCs/>
          <w:color w:val="000000" w:themeColor="text1"/>
        </w:rPr>
        <w:t>n</w:t>
      </w:r>
      <w:r w:rsidR="0010483B">
        <w:rPr>
          <w:rFonts w:ascii="Bookman Old Style" w:hAnsi="Bookman Old Style" w:cs="Arial"/>
          <w:bCs/>
          <w:color w:val="000000" w:themeColor="text1"/>
        </w:rPr>
        <w:t xml:space="preserve"> ser explícito</w:t>
      </w:r>
      <w:r w:rsidR="00802033">
        <w:rPr>
          <w:rFonts w:ascii="Bookman Old Style" w:hAnsi="Bookman Old Style" w:cs="Arial"/>
          <w:bCs/>
          <w:color w:val="000000" w:themeColor="text1"/>
        </w:rPr>
        <w:t>s</w:t>
      </w:r>
      <w:r w:rsidR="0010483B">
        <w:rPr>
          <w:rFonts w:ascii="Bookman Old Style" w:hAnsi="Bookman Old Style" w:cs="Arial"/>
          <w:bCs/>
          <w:color w:val="000000" w:themeColor="text1"/>
        </w:rPr>
        <w:t xml:space="preserve"> y claro</w:t>
      </w:r>
      <w:r w:rsidR="00802033">
        <w:rPr>
          <w:rFonts w:ascii="Bookman Old Style" w:hAnsi="Bookman Old Style" w:cs="Arial"/>
          <w:bCs/>
          <w:color w:val="000000" w:themeColor="text1"/>
        </w:rPr>
        <w:t>s</w:t>
      </w:r>
      <w:r w:rsidR="0010483B">
        <w:rPr>
          <w:rFonts w:ascii="Bookman Old Style" w:hAnsi="Bookman Old Style" w:cs="Arial"/>
          <w:bCs/>
          <w:color w:val="000000" w:themeColor="text1"/>
        </w:rPr>
        <w:t xml:space="preserve"> todos los procedimientos necesarios para cumplir con las disposiciones que se ordenan en esta resolución.</w:t>
      </w:r>
    </w:p>
    <w:p w:rsidR="006249D9" w:rsidRDefault="006249D9" w:rsidP="006249D9">
      <w:pPr>
        <w:ind w:left="0"/>
        <w:jc w:val="both"/>
        <w:rPr>
          <w:rFonts w:ascii="Bookman Old Style" w:hAnsi="Bookman Old Style" w:cs="Arial"/>
          <w:b/>
          <w:color w:val="000000" w:themeColor="text1"/>
        </w:rPr>
      </w:pPr>
    </w:p>
    <w:p w:rsidR="002452AA" w:rsidRPr="002452AA" w:rsidRDefault="002452AA" w:rsidP="006249D9">
      <w:pPr>
        <w:ind w:left="0"/>
        <w:jc w:val="both"/>
        <w:rPr>
          <w:rFonts w:ascii="Bookman Old Style" w:hAnsi="Bookman Old Style" w:cs="Arial"/>
          <w:color w:val="000000" w:themeColor="text1"/>
        </w:rPr>
      </w:pPr>
      <w:r>
        <w:rPr>
          <w:rFonts w:ascii="Bookman Old Style" w:hAnsi="Bookman Old Style" w:cs="Arial"/>
          <w:b/>
          <w:color w:val="000000" w:themeColor="text1"/>
        </w:rPr>
        <w:t xml:space="preserve">Parágrafo </w:t>
      </w:r>
      <w:r w:rsidR="00626026">
        <w:rPr>
          <w:rFonts w:ascii="Bookman Old Style" w:hAnsi="Bookman Old Style" w:cs="Arial"/>
          <w:b/>
          <w:color w:val="000000" w:themeColor="text1"/>
        </w:rPr>
        <w:t>2</w:t>
      </w:r>
      <w:r>
        <w:rPr>
          <w:rFonts w:ascii="Bookman Old Style" w:hAnsi="Bookman Old Style" w:cs="Arial"/>
          <w:b/>
          <w:color w:val="000000" w:themeColor="text1"/>
        </w:rPr>
        <w:t xml:space="preserve">. </w:t>
      </w:r>
      <w:r>
        <w:rPr>
          <w:rFonts w:ascii="Bookman Old Style" w:hAnsi="Bookman Old Style" w:cs="Arial"/>
          <w:color w:val="000000" w:themeColor="text1"/>
        </w:rPr>
        <w:t>El gestor</w:t>
      </w:r>
      <w:r w:rsidR="00F24049">
        <w:rPr>
          <w:rFonts w:ascii="Bookman Old Style" w:hAnsi="Bookman Old Style" w:cs="Arial"/>
          <w:color w:val="000000" w:themeColor="text1"/>
        </w:rPr>
        <w:t xml:space="preserve"> del mercado</w:t>
      </w:r>
      <w:r w:rsidR="00076746">
        <w:rPr>
          <w:rFonts w:ascii="Bookman Old Style" w:hAnsi="Bookman Old Style" w:cs="Arial"/>
          <w:color w:val="000000" w:themeColor="text1"/>
        </w:rPr>
        <w:t>,</w:t>
      </w:r>
      <w:r w:rsidR="00F24049">
        <w:rPr>
          <w:rFonts w:ascii="Bookman Old Style" w:hAnsi="Bookman Old Style" w:cs="Arial"/>
          <w:color w:val="000000" w:themeColor="text1"/>
        </w:rPr>
        <w:t xml:space="preserve"> será el responsable del cálculo de todas </w:t>
      </w:r>
      <w:r w:rsidR="00076746">
        <w:rPr>
          <w:rFonts w:ascii="Bookman Old Style" w:hAnsi="Bookman Old Style" w:cs="Arial"/>
          <w:color w:val="000000" w:themeColor="text1"/>
        </w:rPr>
        <w:t xml:space="preserve">y cada una de la </w:t>
      </w:r>
      <w:r w:rsidR="00F24049">
        <w:rPr>
          <w:rFonts w:ascii="Bookman Old Style" w:hAnsi="Bookman Old Style" w:cs="Arial"/>
          <w:color w:val="000000" w:themeColor="text1"/>
        </w:rPr>
        <w:t>las variables que se consideren necesarias</w:t>
      </w:r>
      <w:r w:rsidR="00076746">
        <w:rPr>
          <w:rFonts w:ascii="Bookman Old Style" w:hAnsi="Bookman Old Style" w:cs="Arial"/>
          <w:color w:val="000000" w:themeColor="text1"/>
        </w:rPr>
        <w:t>,</w:t>
      </w:r>
      <w:r w:rsidR="00F24049">
        <w:rPr>
          <w:rFonts w:ascii="Bookman Old Style" w:hAnsi="Bookman Old Style" w:cs="Arial"/>
          <w:color w:val="000000" w:themeColor="text1"/>
        </w:rPr>
        <w:t xml:space="preserve"> para la estimación de las garantías.</w:t>
      </w:r>
    </w:p>
    <w:p w:rsidR="00802033" w:rsidRDefault="00802033" w:rsidP="006249D9">
      <w:pPr>
        <w:ind w:left="0"/>
        <w:jc w:val="both"/>
        <w:rPr>
          <w:rFonts w:ascii="Bookman Old Style" w:hAnsi="Bookman Old Style" w:cs="Arial"/>
          <w:color w:val="000000" w:themeColor="text1"/>
        </w:rPr>
      </w:pPr>
    </w:p>
    <w:p w:rsidR="006249D9" w:rsidRPr="004B3B4B" w:rsidRDefault="006249D9" w:rsidP="006249D9">
      <w:pPr>
        <w:ind w:left="0"/>
        <w:jc w:val="both"/>
        <w:rPr>
          <w:rFonts w:ascii="Bookman Old Style" w:hAnsi="Bookman Old Style" w:cs="Arial"/>
          <w:color w:val="000000" w:themeColor="text1"/>
        </w:rPr>
      </w:pPr>
      <w:r w:rsidRPr="004B3B4B">
        <w:rPr>
          <w:rFonts w:ascii="Bookman Old Style" w:hAnsi="Bookman Old Style" w:cs="Arial"/>
          <w:b/>
          <w:color w:val="000000" w:themeColor="text1"/>
        </w:rPr>
        <w:t xml:space="preserve">Artículo </w:t>
      </w:r>
      <w:r w:rsidR="00537935">
        <w:rPr>
          <w:rFonts w:ascii="Bookman Old Style" w:hAnsi="Bookman Old Style" w:cs="Arial"/>
          <w:b/>
          <w:color w:val="000000" w:themeColor="text1"/>
        </w:rPr>
        <w:t>4</w:t>
      </w:r>
      <w:r w:rsidRPr="004B3B4B">
        <w:rPr>
          <w:rFonts w:ascii="Bookman Old Style" w:hAnsi="Bookman Old Style" w:cs="Arial"/>
          <w:b/>
          <w:color w:val="000000" w:themeColor="text1"/>
        </w:rPr>
        <w:t>.</w:t>
      </w:r>
      <w:r w:rsidRPr="004B3B4B">
        <w:rPr>
          <w:rFonts w:ascii="Bookman Old Style" w:hAnsi="Bookman Old Style" w:cs="Arial"/>
          <w:color w:val="000000" w:themeColor="text1"/>
        </w:rPr>
        <w:t xml:space="preserve"> </w:t>
      </w:r>
      <w:r w:rsidRPr="004B3B4B">
        <w:rPr>
          <w:rFonts w:ascii="Bookman Old Style" w:hAnsi="Bookman Old Style" w:cs="Arial"/>
          <w:b/>
          <w:color w:val="000000" w:themeColor="text1"/>
        </w:rPr>
        <w:t>Derogatorias y Vigencia</w:t>
      </w:r>
      <w:r w:rsidRPr="004B3B4B">
        <w:rPr>
          <w:rFonts w:ascii="Bookman Old Style" w:hAnsi="Bookman Old Style" w:cs="Arial"/>
          <w:color w:val="000000" w:themeColor="text1"/>
        </w:rPr>
        <w:t xml:space="preserve">. La presente Resolución rige a partir de su publicación en el </w:t>
      </w:r>
      <w:r w:rsidRPr="004B3B4B">
        <w:rPr>
          <w:rFonts w:ascii="Bookman Old Style" w:hAnsi="Bookman Old Style" w:cs="Arial"/>
          <w:i/>
          <w:color w:val="000000" w:themeColor="text1"/>
        </w:rPr>
        <w:t>Diario Oficial</w:t>
      </w:r>
      <w:r w:rsidRPr="004B3B4B">
        <w:rPr>
          <w:rFonts w:ascii="Bookman Old Style" w:hAnsi="Bookman Old Style" w:cs="Arial"/>
          <w:color w:val="000000" w:themeColor="text1"/>
        </w:rPr>
        <w:t xml:space="preserve"> y deroga todas las disposiciones que le sean contrarias.</w:t>
      </w:r>
    </w:p>
    <w:p w:rsidR="006249D9" w:rsidRDefault="006249D9" w:rsidP="006249D9">
      <w:pPr>
        <w:ind w:left="0"/>
        <w:jc w:val="both"/>
        <w:rPr>
          <w:rFonts w:ascii="Bookman Old Style" w:hAnsi="Bookman Old Style"/>
          <w:color w:val="000000" w:themeColor="text1"/>
        </w:rPr>
      </w:pPr>
    </w:p>
    <w:p w:rsidR="006249D9" w:rsidRPr="004B3B4B" w:rsidRDefault="006249D9" w:rsidP="006249D9">
      <w:pPr>
        <w:ind w:left="0"/>
        <w:jc w:val="both"/>
        <w:rPr>
          <w:rFonts w:ascii="Bookman Old Style" w:hAnsi="Bookman Old Style"/>
          <w:color w:val="000000" w:themeColor="text1"/>
        </w:rPr>
      </w:pPr>
    </w:p>
    <w:p w:rsidR="006249D9" w:rsidRPr="004B3B4B" w:rsidRDefault="006249D9" w:rsidP="006249D9">
      <w:pPr>
        <w:ind w:left="0"/>
        <w:jc w:val="center"/>
        <w:rPr>
          <w:rFonts w:ascii="Bookman Old Style" w:hAnsi="Bookman Old Style"/>
          <w:b/>
        </w:rPr>
      </w:pPr>
      <w:r w:rsidRPr="004B3B4B">
        <w:rPr>
          <w:rFonts w:ascii="Bookman Old Style" w:hAnsi="Bookman Old Style"/>
          <w:b/>
        </w:rPr>
        <w:t>PUBLÍQUESE Y CÚMPLASE</w:t>
      </w:r>
    </w:p>
    <w:p w:rsidR="006249D9" w:rsidRPr="004B3B4B" w:rsidRDefault="006249D9" w:rsidP="006249D9">
      <w:pPr>
        <w:ind w:left="0"/>
        <w:jc w:val="both"/>
        <w:rPr>
          <w:rFonts w:ascii="Bookman Old Style" w:hAnsi="Bookman Old Style"/>
          <w:color w:val="000000" w:themeColor="text1"/>
        </w:rPr>
      </w:pPr>
    </w:p>
    <w:p w:rsidR="006249D9" w:rsidRDefault="00FB5B62" w:rsidP="006249D9">
      <w:pPr>
        <w:ind w:left="0"/>
        <w:jc w:val="both"/>
        <w:rPr>
          <w:rFonts w:ascii="Bookman Old Style" w:hAnsi="Bookman Old Style"/>
          <w:color w:val="000000" w:themeColor="text1"/>
        </w:rPr>
      </w:pPr>
      <w:r>
        <w:rPr>
          <w:rFonts w:ascii="Bookman Old Style" w:hAnsi="Bookman Old Style"/>
          <w:color w:val="000000" w:themeColor="text1"/>
        </w:rPr>
        <w:t>Dada en Bogotá, D.C. a</w:t>
      </w:r>
    </w:p>
    <w:p w:rsidR="006249D9" w:rsidRDefault="006249D9" w:rsidP="006249D9">
      <w:pPr>
        <w:ind w:left="0"/>
        <w:jc w:val="both"/>
        <w:rPr>
          <w:rFonts w:ascii="Bookman Old Style" w:hAnsi="Bookman Old Style"/>
          <w:color w:val="000000" w:themeColor="text1"/>
        </w:rPr>
      </w:pPr>
    </w:p>
    <w:p w:rsidR="00CC52DF" w:rsidRDefault="00CC52DF" w:rsidP="006249D9">
      <w:pPr>
        <w:ind w:left="0"/>
        <w:jc w:val="both"/>
        <w:rPr>
          <w:rFonts w:ascii="Bookman Old Style" w:hAnsi="Bookman Old Style"/>
          <w:color w:val="000000" w:themeColor="text1"/>
        </w:rPr>
      </w:pPr>
    </w:p>
    <w:p w:rsidR="00CC52DF" w:rsidRDefault="00CC52DF" w:rsidP="006249D9">
      <w:pPr>
        <w:ind w:left="0"/>
        <w:jc w:val="both"/>
        <w:rPr>
          <w:rFonts w:ascii="Bookman Old Style" w:hAnsi="Bookman Old Style"/>
          <w:color w:val="000000" w:themeColor="text1"/>
        </w:rPr>
      </w:pPr>
    </w:p>
    <w:p w:rsidR="00CC52DF" w:rsidRDefault="00CC52DF" w:rsidP="006249D9">
      <w:pPr>
        <w:ind w:left="0"/>
        <w:jc w:val="both"/>
        <w:rPr>
          <w:rFonts w:ascii="Bookman Old Style" w:hAnsi="Bookman Old Style"/>
          <w:color w:val="000000" w:themeColor="text1"/>
        </w:rPr>
      </w:pPr>
    </w:p>
    <w:p w:rsidR="00FB5B62" w:rsidRPr="004B3B4B" w:rsidRDefault="00FB5B62" w:rsidP="006249D9">
      <w:pPr>
        <w:ind w:left="0"/>
        <w:jc w:val="both"/>
        <w:rPr>
          <w:rFonts w:ascii="Bookman Old Style" w:hAnsi="Bookman Old Style"/>
          <w:color w:val="000000" w:themeColor="text1"/>
        </w:rPr>
      </w:pPr>
    </w:p>
    <w:tbl>
      <w:tblPr>
        <w:tblW w:w="11131" w:type="dxa"/>
        <w:jc w:val="center"/>
        <w:tblInd w:w="1354" w:type="dxa"/>
        <w:tblLayout w:type="fixed"/>
        <w:tblCellMar>
          <w:left w:w="70" w:type="dxa"/>
          <w:right w:w="70" w:type="dxa"/>
        </w:tblCellMar>
        <w:tblLook w:val="0000" w:firstRow="0" w:lastRow="0" w:firstColumn="0" w:lastColumn="0" w:noHBand="0" w:noVBand="0"/>
      </w:tblPr>
      <w:tblGrid>
        <w:gridCol w:w="6348"/>
        <w:gridCol w:w="4783"/>
      </w:tblGrid>
      <w:tr w:rsidR="00CC52DF" w:rsidRPr="00666660" w:rsidTr="009037FB">
        <w:trPr>
          <w:jc w:val="center"/>
        </w:trPr>
        <w:tc>
          <w:tcPr>
            <w:tcW w:w="6348" w:type="dxa"/>
          </w:tcPr>
          <w:p w:rsidR="00CC52DF" w:rsidRDefault="00CC52DF" w:rsidP="009037FB">
            <w:pPr>
              <w:ind w:left="0" w:right="-288"/>
              <w:jc w:val="center"/>
              <w:rPr>
                <w:rFonts w:ascii="Bookman Old Style" w:hAnsi="Bookman Old Style"/>
                <w:b/>
              </w:rPr>
            </w:pPr>
            <w:r>
              <w:rPr>
                <w:rFonts w:ascii="Bookman Old Style" w:hAnsi="Bookman Old Style"/>
                <w:b/>
              </w:rPr>
              <w:t>CARLOS FERNANDO ERASO CALERO</w:t>
            </w:r>
          </w:p>
          <w:p w:rsidR="00CC52DF" w:rsidRDefault="00CC52DF" w:rsidP="009037FB">
            <w:pPr>
              <w:suppressAutoHyphens/>
              <w:ind w:left="0"/>
              <w:jc w:val="center"/>
              <w:rPr>
                <w:rFonts w:ascii="Bookman Old Style" w:hAnsi="Bookman Old Style"/>
              </w:rPr>
            </w:pPr>
            <w:r>
              <w:rPr>
                <w:rFonts w:ascii="Bookman Old Style" w:hAnsi="Bookman Old Style"/>
              </w:rPr>
              <w:t>Viceministro de E</w:t>
            </w:r>
            <w:r w:rsidRPr="00EF4ACC">
              <w:rPr>
                <w:rFonts w:ascii="Bookman Old Style" w:hAnsi="Bookman Old Style"/>
              </w:rPr>
              <w:t>nergía</w:t>
            </w:r>
          </w:p>
          <w:p w:rsidR="00CC52DF" w:rsidRDefault="00CC52DF" w:rsidP="009037FB">
            <w:pPr>
              <w:suppressAutoHyphens/>
              <w:ind w:left="0"/>
              <w:jc w:val="center"/>
            </w:pPr>
            <w:r>
              <w:rPr>
                <w:rFonts w:ascii="Bookman Old Style" w:hAnsi="Bookman Old Style"/>
              </w:rPr>
              <w:t>Delegado del Ministro de Minas y Energía</w:t>
            </w:r>
          </w:p>
          <w:p w:rsidR="00CC52DF" w:rsidRPr="00BD0865" w:rsidRDefault="00CC52DF" w:rsidP="009037FB">
            <w:pPr>
              <w:tabs>
                <w:tab w:val="left" w:pos="-720"/>
              </w:tabs>
              <w:suppressAutoHyphens/>
              <w:ind w:left="0"/>
              <w:jc w:val="center"/>
              <w:rPr>
                <w:rFonts w:ascii="Bookman Old Style" w:hAnsi="Bookman Old Style" w:cs="Arial"/>
                <w:b/>
                <w:strike/>
                <w:spacing w:val="-3"/>
              </w:rPr>
            </w:pPr>
            <w:r w:rsidRPr="00EF4ACC">
              <w:rPr>
                <w:rFonts w:ascii="Bookman Old Style" w:hAnsi="Bookman Old Style"/>
              </w:rPr>
              <w:t>Presidente</w:t>
            </w:r>
          </w:p>
        </w:tc>
        <w:tc>
          <w:tcPr>
            <w:tcW w:w="4783" w:type="dxa"/>
          </w:tcPr>
          <w:p w:rsidR="00CC52DF" w:rsidRDefault="00CC52DF" w:rsidP="009037FB">
            <w:pPr>
              <w:ind w:left="-143"/>
              <w:jc w:val="center"/>
              <w:rPr>
                <w:rFonts w:ascii="Bookman Old Style" w:hAnsi="Bookman Old Style"/>
                <w:b/>
              </w:rPr>
            </w:pPr>
            <w:r>
              <w:rPr>
                <w:rFonts w:ascii="Bookman Old Style" w:hAnsi="Bookman Old Style"/>
                <w:b/>
              </w:rPr>
              <w:t>JORGE PINTO NOLLA</w:t>
            </w:r>
          </w:p>
          <w:p w:rsidR="00CC52DF" w:rsidRPr="00666660" w:rsidRDefault="00CC52DF" w:rsidP="009037FB">
            <w:pPr>
              <w:tabs>
                <w:tab w:val="left" w:pos="-720"/>
              </w:tabs>
              <w:suppressAutoHyphens/>
              <w:ind w:left="-143"/>
              <w:jc w:val="center"/>
              <w:rPr>
                <w:rFonts w:ascii="Bookman Old Style" w:hAnsi="Bookman Old Style" w:cs="Arial"/>
                <w:b/>
                <w:spacing w:val="-3"/>
              </w:rPr>
            </w:pPr>
            <w:r w:rsidRPr="00666660">
              <w:rPr>
                <w:rFonts w:ascii="Bookman Old Style" w:hAnsi="Bookman Old Style" w:cs="Arial"/>
                <w:spacing w:val="-3"/>
              </w:rPr>
              <w:t>Director Ejecutivo</w:t>
            </w:r>
          </w:p>
        </w:tc>
      </w:tr>
    </w:tbl>
    <w:p w:rsidR="006249D9" w:rsidRDefault="006249D9" w:rsidP="006249D9">
      <w:pPr>
        <w:ind w:left="0"/>
        <w:jc w:val="center"/>
        <w:rPr>
          <w:rFonts w:ascii="Bookman Old Style" w:hAnsi="Bookman Old Style"/>
          <w:color w:val="000000" w:themeColor="text1"/>
        </w:rPr>
      </w:pPr>
    </w:p>
    <w:p w:rsidR="006249D9" w:rsidRDefault="006249D9" w:rsidP="006249D9">
      <w:pPr>
        <w:ind w:left="0"/>
        <w:jc w:val="center"/>
        <w:rPr>
          <w:rFonts w:ascii="Bookman Old Style" w:hAnsi="Bookman Old Style"/>
          <w:color w:val="000000" w:themeColor="text1"/>
        </w:rPr>
      </w:pPr>
    </w:p>
    <w:p w:rsidR="006249D9" w:rsidRPr="004B3B4B" w:rsidRDefault="006249D9" w:rsidP="006249D9">
      <w:pPr>
        <w:ind w:left="0"/>
        <w:jc w:val="center"/>
        <w:rPr>
          <w:rFonts w:ascii="Bookman Old Style" w:hAnsi="Bookman Old Style"/>
          <w:color w:val="000000" w:themeColor="text1"/>
        </w:rPr>
      </w:pPr>
    </w:p>
    <w:p w:rsidR="006249D9" w:rsidRPr="004B3B4B" w:rsidRDefault="006249D9" w:rsidP="006249D9">
      <w:pPr>
        <w:ind w:left="0"/>
        <w:jc w:val="center"/>
        <w:rPr>
          <w:rFonts w:ascii="Bookman Old Style" w:hAnsi="Bookman Old Style"/>
          <w:color w:val="000000" w:themeColor="text1"/>
        </w:rPr>
      </w:pPr>
    </w:p>
    <w:p w:rsidR="006249D9" w:rsidRPr="004B3B4B" w:rsidRDefault="006249D9" w:rsidP="006249D9">
      <w:pPr>
        <w:tabs>
          <w:tab w:val="left" w:pos="1478"/>
        </w:tabs>
        <w:ind w:left="0"/>
        <w:rPr>
          <w:rFonts w:ascii="Bookman Old Style" w:hAnsi="Bookman Old Style" w:cs="Arial"/>
          <w:color w:val="000000" w:themeColor="text1"/>
        </w:rPr>
      </w:pPr>
    </w:p>
    <w:p w:rsidR="006249D9" w:rsidRPr="004B3B4B" w:rsidRDefault="006249D9" w:rsidP="006249D9">
      <w:pPr>
        <w:ind w:left="0"/>
        <w:rPr>
          <w:rFonts w:ascii="Bookman Old Style" w:hAnsi="Bookman Old Style" w:cs="Arial"/>
          <w:color w:val="000000" w:themeColor="text1"/>
        </w:rPr>
      </w:pPr>
      <w:r w:rsidRPr="004B3B4B">
        <w:rPr>
          <w:rFonts w:ascii="Bookman Old Style" w:hAnsi="Bookman Old Style" w:cs="Arial"/>
          <w:color w:val="000000" w:themeColor="text1"/>
        </w:rPr>
        <w:br w:type="page"/>
      </w:r>
    </w:p>
    <w:p w:rsidR="006249D9" w:rsidRPr="004B3B4B" w:rsidRDefault="006249D9" w:rsidP="006249D9">
      <w:pPr>
        <w:tabs>
          <w:tab w:val="left" w:pos="1478"/>
        </w:tabs>
        <w:ind w:left="0"/>
        <w:jc w:val="center"/>
        <w:rPr>
          <w:rFonts w:ascii="Bookman Old Style" w:hAnsi="Bookman Old Style" w:cs="Arial"/>
          <w:b/>
          <w:color w:val="000000" w:themeColor="text1"/>
        </w:rPr>
      </w:pPr>
      <w:r w:rsidRPr="004B3B4B">
        <w:rPr>
          <w:rFonts w:ascii="Bookman Old Style" w:hAnsi="Bookman Old Style" w:cs="Arial"/>
          <w:b/>
          <w:color w:val="000000" w:themeColor="text1"/>
        </w:rPr>
        <w:lastRenderedPageBreak/>
        <w:t>Anexo</w:t>
      </w: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bookmarkStart w:id="1" w:name="_Ref390416550"/>
    </w:p>
    <w:p w:rsidR="006249D9" w:rsidRDefault="006249D9" w:rsidP="006249D9">
      <w:pPr>
        <w:pStyle w:val="Prrafodelista"/>
        <w:numPr>
          <w:ilvl w:val="0"/>
          <w:numId w:val="5"/>
        </w:numPr>
        <w:tabs>
          <w:tab w:val="left" w:pos="567"/>
        </w:tabs>
        <w:ind w:left="0" w:firstLine="0"/>
        <w:jc w:val="both"/>
        <w:rPr>
          <w:rFonts w:ascii="Bookman Old Style" w:hAnsi="Bookman Old Style" w:cs="Arial"/>
          <w:b/>
          <w:color w:val="000000" w:themeColor="text1"/>
          <w:sz w:val="24"/>
          <w:szCs w:val="24"/>
        </w:rPr>
      </w:pPr>
      <w:r>
        <w:rPr>
          <w:rFonts w:ascii="Bookman Old Style" w:hAnsi="Bookman Old Style" w:cs="Arial"/>
          <w:b/>
          <w:color w:val="000000" w:themeColor="text1"/>
          <w:sz w:val="24"/>
          <w:szCs w:val="24"/>
        </w:rPr>
        <w:t>Criterios generales que deben cumplir las garantías</w:t>
      </w: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Pr="004A36F8" w:rsidRDefault="006249D9" w:rsidP="006249D9">
      <w:pPr>
        <w:pStyle w:val="Prrafodelista"/>
        <w:numPr>
          <w:ilvl w:val="1"/>
          <w:numId w:val="5"/>
        </w:numPr>
        <w:tabs>
          <w:tab w:val="left" w:pos="1478"/>
        </w:tabs>
        <w:ind w:left="720"/>
        <w:jc w:val="both"/>
        <w:rPr>
          <w:rFonts w:ascii="Bookman Old Style" w:hAnsi="Bookman Old Style" w:cs="Arial"/>
          <w:sz w:val="24"/>
          <w:szCs w:val="24"/>
        </w:rPr>
      </w:pPr>
      <w:bookmarkStart w:id="2" w:name="_Ref410653176"/>
      <w:r w:rsidRPr="004A36F8">
        <w:rPr>
          <w:rFonts w:ascii="Bookman Old Style" w:hAnsi="Bookman Old Style" w:cs="Arial"/>
          <w:sz w:val="24"/>
          <w:szCs w:val="24"/>
        </w:rPr>
        <w:t>Cuando se trate de garantías otorgadas por una entidad financiera domiciliada en Colombia se deberá acreditar una calificación de riesgo crediticio de la deuda de largo plazo de grado de inversión por parte de una agencia calificadora de riesgos vigilada por la Superintendencia Financiera de Colombia.</w:t>
      </w:r>
      <w:bookmarkEnd w:id="2"/>
    </w:p>
    <w:p w:rsidR="006249D9" w:rsidRPr="00C44559" w:rsidRDefault="006249D9" w:rsidP="006249D9">
      <w:pPr>
        <w:pStyle w:val="Prrafodelista"/>
        <w:tabs>
          <w:tab w:val="left" w:pos="1478"/>
        </w:tabs>
        <w:ind w:left="1430"/>
        <w:jc w:val="both"/>
        <w:rPr>
          <w:rFonts w:ascii="Bookman Old Style" w:hAnsi="Bookman Old Style" w:cs="Arial"/>
          <w:color w:val="000000" w:themeColor="text1"/>
          <w:sz w:val="24"/>
          <w:szCs w:val="24"/>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bookmarkStart w:id="3" w:name="_Ref410653183"/>
      <w:r w:rsidRPr="00C44559">
        <w:rPr>
          <w:rFonts w:ascii="Bookman Old Style" w:hAnsi="Bookman Old Style" w:cs="Arial"/>
          <w:color w:val="000000" w:themeColor="text1"/>
          <w:sz w:val="24"/>
          <w:szCs w:val="24"/>
        </w:rPr>
        <w:t xml:space="preserve">Cuando se trate de garantías otorgadas por una </w:t>
      </w:r>
      <w:r>
        <w:rPr>
          <w:rFonts w:ascii="Bookman Old Style" w:hAnsi="Bookman Old Style" w:cs="Arial"/>
          <w:color w:val="000000" w:themeColor="text1"/>
          <w:sz w:val="24"/>
          <w:szCs w:val="24"/>
        </w:rPr>
        <w:t>entidad financiera del exterior</w:t>
      </w:r>
      <w:r w:rsidRPr="00C44559">
        <w:rPr>
          <w:rFonts w:ascii="Bookman Old Style" w:hAnsi="Bookman Old Style" w:cs="Arial"/>
          <w:color w:val="000000" w:themeColor="text1"/>
          <w:sz w:val="24"/>
          <w:szCs w:val="24"/>
        </w:rPr>
        <w:t xml:space="preserve"> ésta deberá estar incluida en el listado de entidades financieras del exterior contenido en el anexo No. 1 de la Circular Reglamentaria Externa DCIN-83 de 2003 del Banco de la República o en las normas que lo modifiquen, adicionen o sustituyan y acreditar una calificación de deuda de largo plazo de Standard &amp; </w:t>
      </w:r>
      <w:proofErr w:type="spellStart"/>
      <w:r w:rsidRPr="00C44559">
        <w:rPr>
          <w:rFonts w:ascii="Bookman Old Style" w:hAnsi="Bookman Old Style" w:cs="Arial"/>
          <w:color w:val="000000" w:themeColor="text1"/>
          <w:sz w:val="24"/>
          <w:szCs w:val="24"/>
        </w:rPr>
        <w:t>Poor’s</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Corporation</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Fitch</w:t>
      </w:r>
      <w:proofErr w:type="spellEnd"/>
      <w:r w:rsidRPr="00C44559">
        <w:rPr>
          <w:rFonts w:ascii="Bookman Old Style" w:hAnsi="Bookman Old Style" w:cs="Arial"/>
          <w:color w:val="000000" w:themeColor="text1"/>
          <w:sz w:val="24"/>
          <w:szCs w:val="24"/>
        </w:rPr>
        <w:t xml:space="preserve"> Ratings o de </w:t>
      </w:r>
      <w:proofErr w:type="spellStart"/>
      <w:r w:rsidRPr="00C44559">
        <w:rPr>
          <w:rFonts w:ascii="Bookman Old Style" w:hAnsi="Bookman Old Style" w:cs="Arial"/>
          <w:color w:val="000000" w:themeColor="text1"/>
          <w:sz w:val="24"/>
          <w:szCs w:val="24"/>
        </w:rPr>
        <w:t>Moody’s</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Investor’s</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Services</w:t>
      </w:r>
      <w:proofErr w:type="spellEnd"/>
      <w:r w:rsidRPr="00C44559">
        <w:rPr>
          <w:rFonts w:ascii="Bookman Old Style" w:hAnsi="Bookman Old Style" w:cs="Arial"/>
          <w:color w:val="000000" w:themeColor="text1"/>
          <w:sz w:val="24"/>
          <w:szCs w:val="24"/>
        </w:rPr>
        <w:t xml:space="preserve"> Inc., de al menos grado de inversión.</w:t>
      </w:r>
      <w:bookmarkEnd w:id="3"/>
    </w:p>
    <w:p w:rsidR="006249D9" w:rsidRPr="00282A76" w:rsidRDefault="006249D9" w:rsidP="006249D9">
      <w:pPr>
        <w:pStyle w:val="Prrafodelista"/>
        <w:ind w:left="0"/>
        <w:jc w:val="both"/>
        <w:rPr>
          <w:rFonts w:ascii="Bookman Old Style" w:hAnsi="Bookman Old Style" w:cs="Arial"/>
          <w:color w:val="000000" w:themeColor="text1"/>
          <w:sz w:val="24"/>
          <w:szCs w:val="24"/>
          <w:lang w:val="es-ES"/>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La entidad financiera otorgante</w:t>
      </w:r>
      <w:r>
        <w:rPr>
          <w:rFonts w:ascii="Bookman Old Style" w:hAnsi="Bookman Old Style" w:cs="Arial"/>
          <w:color w:val="000000" w:themeColor="text1"/>
          <w:sz w:val="24"/>
          <w:szCs w:val="24"/>
        </w:rPr>
        <w:t xml:space="preserve"> de la garantía</w:t>
      </w:r>
      <w:r w:rsidRPr="00C44559">
        <w:rPr>
          <w:rFonts w:ascii="Bookman Old Style" w:hAnsi="Bookman Old Style" w:cs="Arial"/>
          <w:color w:val="000000" w:themeColor="text1"/>
          <w:sz w:val="24"/>
          <w:szCs w:val="24"/>
        </w:rPr>
        <w:t xml:space="preserve"> deberá pagar al primer requerimiento del beneficiario</w:t>
      </w:r>
      <w:r>
        <w:rPr>
          <w:rFonts w:ascii="Bookman Old Style" w:hAnsi="Bookman Old Style" w:cs="Arial"/>
          <w:color w:val="000000" w:themeColor="text1"/>
          <w:sz w:val="24"/>
          <w:szCs w:val="24"/>
        </w:rPr>
        <w:t xml:space="preserve"> los correspondientes recursos</w:t>
      </w:r>
      <w:r w:rsidRPr="00C44559">
        <w:rPr>
          <w:rFonts w:ascii="Bookman Old Style" w:hAnsi="Bookman Old Style" w:cs="Arial"/>
          <w:color w:val="000000" w:themeColor="text1"/>
          <w:sz w:val="24"/>
          <w:szCs w:val="24"/>
        </w:rPr>
        <w:t xml:space="preserve"> en la </w:t>
      </w:r>
      <w:r>
        <w:rPr>
          <w:rFonts w:ascii="Bookman Old Style" w:hAnsi="Bookman Old Style" w:cs="Arial"/>
          <w:color w:val="000000" w:themeColor="text1"/>
          <w:sz w:val="24"/>
          <w:szCs w:val="24"/>
        </w:rPr>
        <w:t>cuenta bancaria de la entidad financiera en Colombia que para tales efectos se haya constituido.</w:t>
      </w:r>
    </w:p>
    <w:p w:rsidR="006249D9" w:rsidRPr="00282A76" w:rsidRDefault="006249D9" w:rsidP="006249D9">
      <w:pPr>
        <w:pStyle w:val="Prrafodelista"/>
        <w:rPr>
          <w:rFonts w:ascii="Bookman Old Style" w:hAnsi="Bookman Old Style" w:cs="Arial"/>
          <w:color w:val="000000" w:themeColor="text1"/>
          <w:sz w:val="24"/>
          <w:szCs w:val="24"/>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Las garantías deben ser otorgadas de manera irrevocable e incondicional a la orden del fideicomiso o patrimonio autónomo que se conforme.</w:t>
      </w:r>
    </w:p>
    <w:p w:rsidR="006249D9" w:rsidRPr="00282A76" w:rsidRDefault="006249D9" w:rsidP="006249D9">
      <w:pPr>
        <w:pStyle w:val="Prrafodelista"/>
        <w:rPr>
          <w:rFonts w:ascii="Bookman Old Style" w:hAnsi="Bookman Old Style" w:cs="Arial"/>
          <w:color w:val="000000" w:themeColor="text1"/>
          <w:sz w:val="24"/>
          <w:szCs w:val="24"/>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El fideicomiso o patrimonio autónomo que se conforme debe tener la preferencia para obtener incondicionalmente y de manera inmediata el pago de la obligación garantizada en el momento de su ejecución, en la cuenta bancaria en Colombia que para tales efectos establezca el fideicomiso o patrimonio autónomo.</w:t>
      </w:r>
    </w:p>
    <w:p w:rsidR="006249D9" w:rsidRPr="00282A76" w:rsidRDefault="006249D9" w:rsidP="006249D9">
      <w:pPr>
        <w:pStyle w:val="Prrafodelista"/>
        <w:rPr>
          <w:rFonts w:ascii="Bookman Old Style" w:hAnsi="Bookman Old Style" w:cs="Arial"/>
          <w:color w:val="000000" w:themeColor="text1"/>
          <w:sz w:val="24"/>
          <w:szCs w:val="24"/>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 xml:space="preserve">Las garantías deben ser líquidas y fácilmente </w:t>
      </w:r>
      <w:r w:rsidR="0000328D">
        <w:rPr>
          <w:rFonts w:ascii="Bookman Old Style" w:hAnsi="Bookman Old Style" w:cs="Arial"/>
          <w:color w:val="000000" w:themeColor="text1"/>
          <w:sz w:val="24"/>
          <w:szCs w:val="24"/>
        </w:rPr>
        <w:t>ejecutables</w:t>
      </w:r>
      <w:r w:rsidR="0000328D" w:rsidRPr="00C44559">
        <w:rPr>
          <w:rFonts w:ascii="Bookman Old Style" w:hAnsi="Bookman Old Style" w:cs="Arial"/>
          <w:color w:val="000000" w:themeColor="text1"/>
          <w:sz w:val="24"/>
          <w:szCs w:val="24"/>
        </w:rPr>
        <w:t xml:space="preserve"> </w:t>
      </w:r>
      <w:r w:rsidRPr="00C44559">
        <w:rPr>
          <w:rFonts w:ascii="Bookman Old Style" w:hAnsi="Bookman Old Style" w:cs="Arial"/>
          <w:color w:val="000000" w:themeColor="text1"/>
          <w:sz w:val="24"/>
          <w:szCs w:val="24"/>
        </w:rPr>
        <w:t>en el momento en que deban hacerse efectivas.</w:t>
      </w:r>
    </w:p>
    <w:p w:rsidR="006249D9" w:rsidRPr="00282A76" w:rsidRDefault="006249D9" w:rsidP="006249D9">
      <w:pPr>
        <w:pStyle w:val="Prrafodelista"/>
        <w:rPr>
          <w:rFonts w:ascii="Bookman Old Style" w:hAnsi="Bookman Old Style" w:cs="Arial"/>
          <w:color w:val="000000" w:themeColor="text1"/>
          <w:sz w:val="24"/>
          <w:szCs w:val="24"/>
          <w:lang w:val="es-MX"/>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 xml:space="preserve">La entidad financiera otorgante deberá pagar dentro de los </w:t>
      </w:r>
      <w:r w:rsidR="009E76E6">
        <w:rPr>
          <w:rFonts w:ascii="Bookman Old Style" w:hAnsi="Bookman Old Style" w:cs="Arial"/>
          <w:color w:val="000000" w:themeColor="text1"/>
          <w:sz w:val="24"/>
          <w:szCs w:val="24"/>
        </w:rPr>
        <w:t>ocho</w:t>
      </w:r>
      <w:r w:rsidR="009E76E6" w:rsidRPr="00C44559">
        <w:rPr>
          <w:rFonts w:ascii="Bookman Old Style" w:hAnsi="Bookman Old Style" w:cs="Arial"/>
          <w:color w:val="000000" w:themeColor="text1"/>
          <w:sz w:val="24"/>
          <w:szCs w:val="24"/>
        </w:rPr>
        <w:t xml:space="preserve"> </w:t>
      </w:r>
      <w:r w:rsidRPr="00C44559">
        <w:rPr>
          <w:rFonts w:ascii="Bookman Old Style" w:hAnsi="Bookman Old Style" w:cs="Arial"/>
          <w:color w:val="000000" w:themeColor="text1"/>
          <w:sz w:val="24"/>
          <w:szCs w:val="24"/>
        </w:rPr>
        <w:t>(</w:t>
      </w:r>
      <w:r w:rsidR="009E76E6">
        <w:rPr>
          <w:rFonts w:ascii="Bookman Old Style" w:hAnsi="Bookman Old Style" w:cs="Arial"/>
          <w:color w:val="000000" w:themeColor="text1"/>
          <w:sz w:val="24"/>
          <w:szCs w:val="24"/>
        </w:rPr>
        <w:t>8</w:t>
      </w:r>
      <w:r w:rsidRPr="00C44559">
        <w:rPr>
          <w:rFonts w:ascii="Bookman Old Style" w:hAnsi="Bookman Old Style" w:cs="Arial"/>
          <w:color w:val="000000" w:themeColor="text1"/>
          <w:sz w:val="24"/>
          <w:szCs w:val="24"/>
        </w:rPr>
        <w:t>) días hábiles siguientes a la fecha en que se realice el primer requerimiento siempre que se trate de una entidad financiera domiciliada en Colombia, o dentro de los quince</w:t>
      </w:r>
      <w:r w:rsidR="00F80839">
        <w:rPr>
          <w:rFonts w:ascii="Bookman Old Style" w:hAnsi="Bookman Old Style" w:cs="Arial"/>
          <w:color w:val="000000" w:themeColor="text1"/>
          <w:sz w:val="24"/>
          <w:szCs w:val="24"/>
        </w:rPr>
        <w:t xml:space="preserve"> (15)</w:t>
      </w:r>
      <w:r w:rsidRPr="00C44559">
        <w:rPr>
          <w:rFonts w:ascii="Bookman Old Style" w:hAnsi="Bookman Old Style" w:cs="Arial"/>
          <w:color w:val="000000" w:themeColor="text1"/>
          <w:sz w:val="24"/>
          <w:szCs w:val="24"/>
        </w:rPr>
        <w:t xml:space="preserve"> días calendario siguientes a la fecha en que se realice el primer requerimiento, siempre que se trate de una entidad financiera del exterior.</w:t>
      </w:r>
    </w:p>
    <w:p w:rsidR="006249D9" w:rsidRPr="00C44559" w:rsidRDefault="006249D9" w:rsidP="006249D9">
      <w:pPr>
        <w:pStyle w:val="Prrafodelista"/>
        <w:tabs>
          <w:tab w:val="left" w:pos="1478"/>
        </w:tabs>
        <w:ind w:left="720"/>
        <w:jc w:val="both"/>
        <w:rPr>
          <w:rFonts w:ascii="Bookman Old Style" w:hAnsi="Bookman Old Style" w:cs="Arial"/>
          <w:color w:val="000000" w:themeColor="text1"/>
          <w:sz w:val="24"/>
          <w:szCs w:val="24"/>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 xml:space="preserve">El valor pagado por la entidad financiera otorgante deberá ser igual al valor total de la cobertura conforme </w:t>
      </w:r>
      <w:r>
        <w:rPr>
          <w:rFonts w:ascii="Bookman Old Style" w:hAnsi="Bookman Old Style" w:cs="Arial"/>
          <w:color w:val="000000" w:themeColor="text1"/>
          <w:sz w:val="24"/>
          <w:szCs w:val="24"/>
        </w:rPr>
        <w:t>a</w:t>
      </w:r>
      <w:r w:rsidRPr="00C44559">
        <w:rPr>
          <w:rFonts w:ascii="Bookman Old Style" w:hAnsi="Bookman Old Style" w:cs="Arial"/>
          <w:color w:val="000000" w:themeColor="text1"/>
          <w:sz w:val="24"/>
          <w:szCs w:val="24"/>
        </w:rPr>
        <w:t xml:space="preserve"> lo indicado en </w:t>
      </w:r>
      <w:r>
        <w:rPr>
          <w:rFonts w:ascii="Bookman Old Style" w:hAnsi="Bookman Old Style" w:cs="Arial"/>
          <w:color w:val="000000" w:themeColor="text1"/>
          <w:sz w:val="24"/>
          <w:szCs w:val="24"/>
        </w:rPr>
        <w:t>el</w:t>
      </w:r>
      <w:r w:rsidRPr="00C44559">
        <w:rPr>
          <w:rFonts w:ascii="Bookman Old Style" w:hAnsi="Bookman Old Style" w:cs="Arial"/>
          <w:color w:val="000000" w:themeColor="text1"/>
          <w:sz w:val="24"/>
          <w:szCs w:val="24"/>
        </w:rPr>
        <w:t xml:space="preserve"> presente </w:t>
      </w:r>
      <w:r>
        <w:rPr>
          <w:rFonts w:ascii="Bookman Old Style" w:hAnsi="Bookman Old Style" w:cs="Arial"/>
          <w:color w:val="000000" w:themeColor="text1"/>
          <w:sz w:val="24"/>
          <w:szCs w:val="24"/>
        </w:rPr>
        <w:t>anexo</w:t>
      </w:r>
      <w:r w:rsidRPr="00C44559">
        <w:rPr>
          <w:rFonts w:ascii="Bookman Old Style" w:hAnsi="Bookman Old Style" w:cs="Arial"/>
          <w:color w:val="000000" w:themeColor="text1"/>
          <w:sz w:val="24"/>
          <w:szCs w:val="24"/>
        </w:rPr>
        <w:t xml:space="preserve">. Por tanto, el valor pagado deberá ser neto, libre de cualquier tipo de deducción, depósito, comisión, encaje, impuesto, tasa, contribución, afectación o retención por parte de la entidad financiera otorgante y/o de </w:t>
      </w:r>
      <w:r w:rsidRPr="00C44559">
        <w:rPr>
          <w:rFonts w:ascii="Bookman Old Style" w:hAnsi="Bookman Old Style" w:cs="Arial"/>
          <w:color w:val="000000" w:themeColor="text1"/>
          <w:sz w:val="24"/>
          <w:szCs w:val="24"/>
        </w:rPr>
        <w:lastRenderedPageBreak/>
        <w:t>las autoridades cambiarias, tributarias o de cualquier otra índole que pueda afectar el valor del desembolso de la garantía.</w:t>
      </w:r>
    </w:p>
    <w:p w:rsidR="006249D9" w:rsidRPr="00282A76" w:rsidRDefault="006249D9" w:rsidP="006249D9">
      <w:pPr>
        <w:pStyle w:val="Prrafodelista"/>
        <w:ind w:left="0"/>
        <w:jc w:val="both"/>
        <w:rPr>
          <w:rFonts w:ascii="Bookman Old Style" w:hAnsi="Bookman Old Style" w:cs="Arial"/>
          <w:color w:val="000000" w:themeColor="text1"/>
          <w:sz w:val="24"/>
          <w:szCs w:val="24"/>
          <w:lang w:val="es-ES"/>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La entidad financiera otorgante de la garantía deberá renunciar a requerimientos judiciales, extrajudiciales o de cualquier otro tipo, para el pago de la obligación garantizada, tanto en Colombia como en el exterior.</w:t>
      </w:r>
    </w:p>
    <w:p w:rsidR="006249D9" w:rsidRPr="00282A76" w:rsidRDefault="006249D9" w:rsidP="006249D9">
      <w:pPr>
        <w:pStyle w:val="Prrafodelista"/>
        <w:ind w:left="0"/>
        <w:jc w:val="both"/>
        <w:rPr>
          <w:rFonts w:ascii="Bookman Old Style" w:hAnsi="Bookman Old Style" w:cs="Arial"/>
          <w:color w:val="000000" w:themeColor="text1"/>
          <w:sz w:val="24"/>
          <w:szCs w:val="24"/>
          <w:lang w:val="es-ES"/>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Cuando se trate de garantías expedidas por entidades financieras domiciliadas en Colombia, el valor de la garantía constituida deberá estar calculado en moneda nacional o en dólares de los Estados Unidos de América y ser exigible de acuerdo con la Ley Colombiana.</w:t>
      </w:r>
    </w:p>
    <w:p w:rsidR="006249D9" w:rsidRPr="00282A76" w:rsidRDefault="006249D9" w:rsidP="006249D9">
      <w:pPr>
        <w:pStyle w:val="Prrafodelista"/>
        <w:ind w:left="0"/>
        <w:jc w:val="both"/>
        <w:rPr>
          <w:rFonts w:ascii="Bookman Old Style" w:hAnsi="Bookman Old Style" w:cs="Arial"/>
          <w:color w:val="000000" w:themeColor="text1"/>
          <w:sz w:val="24"/>
          <w:szCs w:val="24"/>
          <w:lang w:val="es-ES"/>
        </w:rPr>
      </w:pPr>
    </w:p>
    <w:p w:rsidR="006249D9" w:rsidRPr="00C4455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sidRPr="00C44559">
        <w:rPr>
          <w:rFonts w:ascii="Bookman Old Style" w:hAnsi="Bookman Old Style" w:cs="Arial"/>
          <w:color w:val="000000" w:themeColor="text1"/>
          <w:sz w:val="24"/>
          <w:szCs w:val="24"/>
        </w:rPr>
        <w:t>Cuando se trate de garantías expedidas por entidades financieras del exterior, el valor de la garantía constituida deberá estar calculad</w:t>
      </w:r>
      <w:r>
        <w:rPr>
          <w:rFonts w:ascii="Bookman Old Style" w:hAnsi="Bookman Old Style" w:cs="Arial"/>
          <w:color w:val="000000" w:themeColor="text1"/>
          <w:sz w:val="24"/>
          <w:szCs w:val="24"/>
        </w:rPr>
        <w:t>a</w:t>
      </w:r>
      <w:r w:rsidRPr="00C44559">
        <w:rPr>
          <w:rFonts w:ascii="Bookman Old Style" w:hAnsi="Bookman Old Style" w:cs="Arial"/>
          <w:color w:val="000000" w:themeColor="text1"/>
          <w:sz w:val="24"/>
          <w:szCs w:val="24"/>
        </w:rPr>
        <w:t xml:space="preserve"> en dólares de los Estados Unidos de América a la tasa representativa del mercado del último día hábil del mes anterior a su presentación, y ser exigible de acuerdo con las Normas RUU 600 de la Cámara de Comercio Internacional -CCI- (ICC </w:t>
      </w:r>
      <w:proofErr w:type="spellStart"/>
      <w:r w:rsidRPr="00C44559">
        <w:rPr>
          <w:rFonts w:ascii="Bookman Old Style" w:hAnsi="Bookman Old Style" w:cs="Arial"/>
          <w:color w:val="000000" w:themeColor="text1"/>
          <w:sz w:val="24"/>
          <w:szCs w:val="24"/>
        </w:rPr>
        <w:t>Uniform</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Customs</w:t>
      </w:r>
      <w:proofErr w:type="spellEnd"/>
      <w:r w:rsidRPr="00C44559">
        <w:rPr>
          <w:rFonts w:ascii="Bookman Old Style" w:hAnsi="Bookman Old Style" w:cs="Arial"/>
          <w:color w:val="000000" w:themeColor="text1"/>
          <w:sz w:val="24"/>
          <w:szCs w:val="24"/>
        </w:rPr>
        <w:t xml:space="preserve"> and </w:t>
      </w:r>
      <w:proofErr w:type="spellStart"/>
      <w:r w:rsidRPr="00C44559">
        <w:rPr>
          <w:rFonts w:ascii="Bookman Old Style" w:hAnsi="Bookman Old Style" w:cs="Arial"/>
          <w:color w:val="000000" w:themeColor="text1"/>
          <w:sz w:val="24"/>
          <w:szCs w:val="24"/>
        </w:rPr>
        <w:t>Practice</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for</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Documentary</w:t>
      </w:r>
      <w:proofErr w:type="spellEnd"/>
      <w:r w:rsidRPr="00C44559">
        <w:rPr>
          <w:rFonts w:ascii="Bookman Old Style" w:hAnsi="Bookman Old Style" w:cs="Arial"/>
          <w:color w:val="000000" w:themeColor="text1"/>
          <w:sz w:val="24"/>
          <w:szCs w:val="24"/>
        </w:rPr>
        <w:t xml:space="preserve"> </w:t>
      </w:r>
      <w:proofErr w:type="spellStart"/>
      <w:r w:rsidRPr="00C44559">
        <w:rPr>
          <w:rFonts w:ascii="Bookman Old Style" w:hAnsi="Bookman Old Style" w:cs="Arial"/>
          <w:color w:val="000000" w:themeColor="text1"/>
          <w:sz w:val="24"/>
          <w:szCs w:val="24"/>
        </w:rPr>
        <w:t>Credits</w:t>
      </w:r>
      <w:proofErr w:type="spellEnd"/>
      <w:r w:rsidRPr="00C44559">
        <w:rPr>
          <w:rFonts w:ascii="Bookman Old Style" w:hAnsi="Bookman Old Style" w:cs="Arial"/>
          <w:color w:val="000000" w:themeColor="text1"/>
          <w:sz w:val="24"/>
          <w:szCs w:val="24"/>
        </w:rPr>
        <w:t xml:space="preserve"> UCP 600) o aquellas Normas que las modifiquen, adicionan o sustituyan y con las normas del estado Nueva York de los Estados Unidos de América. Estas garantías deberán prever mecanismos expeditos y eficaces para resolver definitivamente cualquier disputa que pueda surgir en relación con la garantía entre el beneficiario y el otorgante aplicando las normas que rigen su exigibilidad, tales como la decisión definitiva bajo las reglas de conciliación y arbitraje de la C</w:t>
      </w:r>
      <w:r>
        <w:rPr>
          <w:rFonts w:ascii="Bookman Old Style" w:hAnsi="Bookman Old Style" w:cs="Arial"/>
          <w:color w:val="000000" w:themeColor="text1"/>
          <w:sz w:val="24"/>
          <w:szCs w:val="24"/>
        </w:rPr>
        <w:t xml:space="preserve">ámara de </w:t>
      </w:r>
      <w:r w:rsidRPr="00C44559">
        <w:rPr>
          <w:rFonts w:ascii="Bookman Old Style" w:hAnsi="Bookman Old Style" w:cs="Arial"/>
          <w:color w:val="000000" w:themeColor="text1"/>
          <w:sz w:val="24"/>
          <w:szCs w:val="24"/>
        </w:rPr>
        <w:t>C</w:t>
      </w:r>
      <w:r>
        <w:rPr>
          <w:rFonts w:ascii="Bookman Old Style" w:hAnsi="Bookman Old Style" w:cs="Arial"/>
          <w:color w:val="000000" w:themeColor="text1"/>
          <w:sz w:val="24"/>
          <w:szCs w:val="24"/>
        </w:rPr>
        <w:t xml:space="preserve">omercio </w:t>
      </w:r>
      <w:r w:rsidRPr="00C44559">
        <w:rPr>
          <w:rFonts w:ascii="Bookman Old Style" w:hAnsi="Bookman Old Style" w:cs="Arial"/>
          <w:color w:val="000000" w:themeColor="text1"/>
          <w:sz w:val="24"/>
          <w:szCs w:val="24"/>
        </w:rPr>
        <w:t>I</w:t>
      </w:r>
      <w:r>
        <w:rPr>
          <w:rFonts w:ascii="Bookman Old Style" w:hAnsi="Bookman Old Style" w:cs="Arial"/>
          <w:color w:val="000000" w:themeColor="text1"/>
          <w:sz w:val="24"/>
          <w:szCs w:val="24"/>
        </w:rPr>
        <w:t>nternacional, CCI</w:t>
      </w:r>
      <w:r w:rsidRPr="00C44559">
        <w:rPr>
          <w:rFonts w:ascii="Bookman Old Style" w:hAnsi="Bookman Old Style" w:cs="Arial"/>
          <w:color w:val="000000" w:themeColor="text1"/>
          <w:sz w:val="24"/>
          <w:szCs w:val="24"/>
        </w:rPr>
        <w:t>, por uno o más árbitros designados según lo establecen las mencionadas reglas, o a través de los jueces del Estado de Nueva York.</w:t>
      </w:r>
    </w:p>
    <w:p w:rsidR="006249D9" w:rsidRPr="00282A76" w:rsidRDefault="006249D9" w:rsidP="006249D9">
      <w:pPr>
        <w:pStyle w:val="Prrafodelista"/>
        <w:ind w:left="0"/>
        <w:jc w:val="both"/>
        <w:rPr>
          <w:rFonts w:ascii="Bookman Old Style" w:hAnsi="Bookman Old Style" w:cs="Arial"/>
          <w:color w:val="000000" w:themeColor="text1"/>
          <w:sz w:val="24"/>
          <w:szCs w:val="24"/>
          <w:lang w:val="es-ES"/>
        </w:rPr>
      </w:pPr>
    </w:p>
    <w:p w:rsidR="006249D9" w:rsidRPr="00282A76" w:rsidRDefault="006249D9" w:rsidP="006249D9">
      <w:pPr>
        <w:pStyle w:val="ARTICULOS"/>
        <w:numPr>
          <w:ilvl w:val="0"/>
          <w:numId w:val="0"/>
        </w:numPr>
        <w:tabs>
          <w:tab w:val="left" w:pos="1560"/>
        </w:tabs>
        <w:rPr>
          <w:color w:val="000000" w:themeColor="text1"/>
          <w:lang w:val="es-ES"/>
        </w:rPr>
      </w:pPr>
      <w:r>
        <w:rPr>
          <w:b/>
          <w:color w:val="000000" w:themeColor="text1"/>
          <w:lang w:val="es-ES"/>
        </w:rPr>
        <w:t xml:space="preserve">Parágrafo 1. </w:t>
      </w:r>
      <w:r w:rsidRPr="00282A76">
        <w:rPr>
          <w:color w:val="000000" w:themeColor="text1"/>
          <w:lang w:val="es-ES"/>
        </w:rPr>
        <w:t xml:space="preserve">Para efectos de demostrar el cumplimiento de los criterios </w:t>
      </w:r>
      <w:r>
        <w:rPr>
          <w:color w:val="000000" w:themeColor="text1"/>
          <w:lang w:val="es-ES"/>
        </w:rPr>
        <w:fldChar w:fldCharType="begin"/>
      </w:r>
      <w:r>
        <w:rPr>
          <w:color w:val="000000" w:themeColor="text1"/>
          <w:lang w:val="es-ES"/>
        </w:rPr>
        <w:instrText xml:space="preserve"> REF _Ref410653176 \r \h </w:instrText>
      </w:r>
      <w:r>
        <w:rPr>
          <w:color w:val="000000" w:themeColor="text1"/>
          <w:lang w:val="es-ES"/>
        </w:rPr>
      </w:r>
      <w:r>
        <w:rPr>
          <w:color w:val="000000" w:themeColor="text1"/>
          <w:lang w:val="es-ES"/>
        </w:rPr>
        <w:fldChar w:fldCharType="separate"/>
      </w:r>
      <w:r w:rsidR="00B74ABD">
        <w:rPr>
          <w:color w:val="000000" w:themeColor="text1"/>
          <w:lang w:val="es-ES"/>
        </w:rPr>
        <w:t>1.1</w:t>
      </w:r>
      <w:r>
        <w:rPr>
          <w:color w:val="000000" w:themeColor="text1"/>
          <w:lang w:val="es-ES"/>
        </w:rPr>
        <w:fldChar w:fldCharType="end"/>
      </w:r>
      <w:r>
        <w:rPr>
          <w:color w:val="000000" w:themeColor="text1"/>
          <w:lang w:val="es-ES"/>
        </w:rPr>
        <w:t xml:space="preserve"> y </w:t>
      </w:r>
      <w:r>
        <w:rPr>
          <w:color w:val="000000" w:themeColor="text1"/>
          <w:lang w:val="es-ES"/>
        </w:rPr>
        <w:fldChar w:fldCharType="begin"/>
      </w:r>
      <w:r>
        <w:rPr>
          <w:color w:val="000000" w:themeColor="text1"/>
          <w:lang w:val="es-ES"/>
        </w:rPr>
        <w:instrText xml:space="preserve"> REF _Ref410653183 \r \h </w:instrText>
      </w:r>
      <w:r>
        <w:rPr>
          <w:color w:val="000000" w:themeColor="text1"/>
          <w:lang w:val="es-ES"/>
        </w:rPr>
      </w:r>
      <w:r>
        <w:rPr>
          <w:color w:val="000000" w:themeColor="text1"/>
          <w:lang w:val="es-ES"/>
        </w:rPr>
        <w:fldChar w:fldCharType="separate"/>
      </w:r>
      <w:r w:rsidR="00B74ABD">
        <w:rPr>
          <w:color w:val="000000" w:themeColor="text1"/>
          <w:lang w:val="es-ES"/>
        </w:rPr>
        <w:t>1.2</w:t>
      </w:r>
      <w:r>
        <w:rPr>
          <w:color w:val="000000" w:themeColor="text1"/>
          <w:lang w:val="es-ES"/>
        </w:rPr>
        <w:fldChar w:fldCharType="end"/>
      </w:r>
      <w:r>
        <w:rPr>
          <w:color w:val="000000" w:themeColor="text1"/>
          <w:lang w:val="es-ES"/>
        </w:rPr>
        <w:t xml:space="preserve"> </w:t>
      </w:r>
      <w:r w:rsidRPr="00282A76">
        <w:rPr>
          <w:color w:val="000000" w:themeColor="text1"/>
          <w:lang w:val="es-ES"/>
        </w:rPr>
        <w:t xml:space="preserve">del presente </w:t>
      </w:r>
      <w:r>
        <w:rPr>
          <w:color w:val="000000" w:themeColor="text1"/>
          <w:lang w:val="es-ES"/>
        </w:rPr>
        <w:t>numeral</w:t>
      </w:r>
      <w:r w:rsidRPr="00282A76">
        <w:rPr>
          <w:color w:val="000000" w:themeColor="text1"/>
          <w:lang w:val="es-ES"/>
        </w:rPr>
        <w:t>, los interesados deberán acreditar a la fiduciaria, al momento de presentación, ajuste o reposición de las garantías, que la entidad financiera otorgante satisface los requerimientos indicados en estos criterios.</w:t>
      </w:r>
    </w:p>
    <w:p w:rsidR="006249D9" w:rsidRPr="00282A76" w:rsidRDefault="006249D9" w:rsidP="006249D9">
      <w:pPr>
        <w:pStyle w:val="Prrafodelista"/>
        <w:ind w:left="0"/>
        <w:jc w:val="both"/>
        <w:rPr>
          <w:rFonts w:ascii="Bookman Old Style" w:hAnsi="Bookman Old Style" w:cs="Arial"/>
          <w:color w:val="000000" w:themeColor="text1"/>
          <w:sz w:val="24"/>
          <w:szCs w:val="24"/>
          <w:lang w:val="es-ES"/>
        </w:rPr>
      </w:pPr>
    </w:p>
    <w:p w:rsidR="006249D9" w:rsidRPr="00282A76" w:rsidRDefault="006249D9" w:rsidP="006249D9">
      <w:pPr>
        <w:pStyle w:val="ARTICULOS"/>
        <w:numPr>
          <w:ilvl w:val="0"/>
          <w:numId w:val="0"/>
        </w:numPr>
        <w:tabs>
          <w:tab w:val="left" w:pos="1560"/>
        </w:tabs>
        <w:rPr>
          <w:color w:val="000000" w:themeColor="text1"/>
          <w:lang w:val="es-ES"/>
        </w:rPr>
      </w:pPr>
      <w:r>
        <w:rPr>
          <w:b/>
          <w:color w:val="000000" w:themeColor="text1"/>
          <w:lang w:val="es-ES"/>
        </w:rPr>
        <w:t xml:space="preserve">Parágrafo 2. </w:t>
      </w:r>
      <w:r>
        <w:rPr>
          <w:color w:val="000000" w:themeColor="text1"/>
          <w:lang w:val="es-ES"/>
        </w:rPr>
        <w:t>Los agentes que utilicen garantías deben</w:t>
      </w:r>
      <w:r w:rsidRPr="00282A76">
        <w:rPr>
          <w:color w:val="000000" w:themeColor="text1"/>
          <w:lang w:val="es-ES"/>
        </w:rPr>
        <w:t xml:space="preserve"> informar a la fiduciaria cualquier modificación en la calificación de que tratan los numerales </w:t>
      </w:r>
      <w:r>
        <w:rPr>
          <w:color w:val="000000" w:themeColor="text1"/>
          <w:lang w:val="es-ES"/>
        </w:rPr>
        <w:fldChar w:fldCharType="begin"/>
      </w:r>
      <w:r>
        <w:rPr>
          <w:color w:val="000000" w:themeColor="text1"/>
          <w:lang w:val="es-ES"/>
        </w:rPr>
        <w:instrText xml:space="preserve"> REF _Ref410653176 \r \h </w:instrText>
      </w:r>
      <w:r>
        <w:rPr>
          <w:color w:val="000000" w:themeColor="text1"/>
          <w:lang w:val="es-ES"/>
        </w:rPr>
      </w:r>
      <w:r>
        <w:rPr>
          <w:color w:val="000000" w:themeColor="text1"/>
          <w:lang w:val="es-ES"/>
        </w:rPr>
        <w:fldChar w:fldCharType="separate"/>
      </w:r>
      <w:r w:rsidR="00B74ABD">
        <w:rPr>
          <w:color w:val="000000" w:themeColor="text1"/>
          <w:lang w:val="es-ES"/>
        </w:rPr>
        <w:t>1.1</w:t>
      </w:r>
      <w:r>
        <w:rPr>
          <w:color w:val="000000" w:themeColor="text1"/>
          <w:lang w:val="es-ES"/>
        </w:rPr>
        <w:fldChar w:fldCharType="end"/>
      </w:r>
      <w:r>
        <w:rPr>
          <w:color w:val="000000" w:themeColor="text1"/>
          <w:lang w:val="es-ES"/>
        </w:rPr>
        <w:t xml:space="preserve"> y </w:t>
      </w:r>
      <w:r>
        <w:rPr>
          <w:color w:val="000000" w:themeColor="text1"/>
          <w:lang w:val="es-ES"/>
        </w:rPr>
        <w:fldChar w:fldCharType="begin"/>
      </w:r>
      <w:r>
        <w:rPr>
          <w:color w:val="000000" w:themeColor="text1"/>
          <w:lang w:val="es-ES"/>
        </w:rPr>
        <w:instrText xml:space="preserve"> REF _Ref410653183 \r \h </w:instrText>
      </w:r>
      <w:r>
        <w:rPr>
          <w:color w:val="000000" w:themeColor="text1"/>
          <w:lang w:val="es-ES"/>
        </w:rPr>
      </w:r>
      <w:r>
        <w:rPr>
          <w:color w:val="000000" w:themeColor="text1"/>
          <w:lang w:val="es-ES"/>
        </w:rPr>
        <w:fldChar w:fldCharType="separate"/>
      </w:r>
      <w:r w:rsidR="00B74ABD">
        <w:rPr>
          <w:color w:val="000000" w:themeColor="text1"/>
          <w:lang w:val="es-ES"/>
        </w:rPr>
        <w:t>1.2</w:t>
      </w:r>
      <w:r>
        <w:rPr>
          <w:color w:val="000000" w:themeColor="text1"/>
          <w:lang w:val="es-ES"/>
        </w:rPr>
        <w:fldChar w:fldCharType="end"/>
      </w:r>
      <w:r>
        <w:rPr>
          <w:color w:val="000000" w:themeColor="text1"/>
          <w:lang w:val="es-ES"/>
        </w:rPr>
        <w:t xml:space="preserve"> </w:t>
      </w:r>
      <w:r w:rsidRPr="00282A76">
        <w:rPr>
          <w:color w:val="000000" w:themeColor="text1"/>
          <w:lang w:val="es-ES"/>
        </w:rPr>
        <w:t xml:space="preserve">del presente </w:t>
      </w:r>
      <w:r>
        <w:rPr>
          <w:color w:val="000000" w:themeColor="text1"/>
          <w:lang w:val="es-ES"/>
        </w:rPr>
        <w:t>numeral</w:t>
      </w:r>
      <w:r w:rsidRPr="00282A76">
        <w:rPr>
          <w:color w:val="000000" w:themeColor="text1"/>
          <w:lang w:val="es-ES"/>
        </w:rPr>
        <w:t>, así como también toda circunstancia que afecte o pueda llegar a afectar en cualquier forma la garantía o la efectividad de la</w:t>
      </w:r>
      <w:r>
        <w:rPr>
          <w:color w:val="000000" w:themeColor="text1"/>
          <w:lang w:val="es-ES"/>
        </w:rPr>
        <w:t xml:space="preserve"> misma. Dicha información debe</w:t>
      </w:r>
      <w:r w:rsidRPr="00282A76">
        <w:rPr>
          <w:color w:val="000000" w:themeColor="text1"/>
          <w:lang w:val="es-ES"/>
        </w:rPr>
        <w:t xml:space="preserve"> ser comunicada a más tardar </w:t>
      </w:r>
      <w:r>
        <w:rPr>
          <w:color w:val="000000" w:themeColor="text1"/>
          <w:lang w:val="es-ES"/>
        </w:rPr>
        <w:t>cinco</w:t>
      </w:r>
      <w:r w:rsidRPr="00282A76">
        <w:rPr>
          <w:color w:val="000000" w:themeColor="text1"/>
          <w:lang w:val="es-ES"/>
        </w:rPr>
        <w:t xml:space="preserve"> (5) días hábiles después de ocurrido el hecho.</w:t>
      </w:r>
    </w:p>
    <w:p w:rsidR="006249D9" w:rsidRDefault="006249D9" w:rsidP="006249D9">
      <w:pPr>
        <w:pStyle w:val="ARTICULOS"/>
        <w:numPr>
          <w:ilvl w:val="0"/>
          <w:numId w:val="0"/>
        </w:numPr>
        <w:tabs>
          <w:tab w:val="left" w:pos="1560"/>
        </w:tabs>
        <w:ind w:left="360"/>
        <w:rPr>
          <w:rFonts w:cs="Arial"/>
          <w:b/>
          <w:color w:val="000000" w:themeColor="text1"/>
          <w:lang w:val="es-ES"/>
        </w:rPr>
      </w:pPr>
    </w:p>
    <w:p w:rsidR="006249D9" w:rsidRDefault="006249D9" w:rsidP="006249D9">
      <w:pPr>
        <w:pStyle w:val="ARTICULOS"/>
        <w:numPr>
          <w:ilvl w:val="0"/>
          <w:numId w:val="0"/>
        </w:numPr>
        <w:tabs>
          <w:tab w:val="left" w:pos="1560"/>
        </w:tabs>
        <w:rPr>
          <w:color w:val="000000" w:themeColor="text1"/>
          <w:lang w:val="es-ES"/>
        </w:rPr>
      </w:pPr>
      <w:r>
        <w:rPr>
          <w:b/>
          <w:color w:val="000000" w:themeColor="text1"/>
          <w:lang w:val="es-ES"/>
        </w:rPr>
        <w:t xml:space="preserve">Parágrafo 3. </w:t>
      </w:r>
      <w:r w:rsidRPr="00282A76">
        <w:rPr>
          <w:color w:val="000000" w:themeColor="text1"/>
          <w:lang w:val="es-ES"/>
        </w:rPr>
        <w:t>Para la aceptación de una garantía otorgada por una entidad financiera del exterior, el agente o persona jurídica interesada deberá adjuntar los formularios debidamente diligenciados y registrados ante el Banco de la República y que, de acuerdo con las normas del mismo, sean necesarios para el cobro de la garantía por parte de la fiducia.</w:t>
      </w:r>
    </w:p>
    <w:p w:rsidR="00FB5B62" w:rsidRPr="00282A76" w:rsidRDefault="00FB5B62" w:rsidP="006249D9">
      <w:pPr>
        <w:pStyle w:val="ARTICULOS"/>
        <w:numPr>
          <w:ilvl w:val="0"/>
          <w:numId w:val="0"/>
        </w:numPr>
        <w:tabs>
          <w:tab w:val="left" w:pos="1560"/>
        </w:tabs>
        <w:rPr>
          <w:color w:val="000000" w:themeColor="text1"/>
          <w:lang w:val="es-ES"/>
        </w:rPr>
      </w:pP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Default="006249D9" w:rsidP="006249D9">
      <w:pPr>
        <w:pStyle w:val="Prrafodelista"/>
        <w:numPr>
          <w:ilvl w:val="0"/>
          <w:numId w:val="5"/>
        </w:numPr>
        <w:tabs>
          <w:tab w:val="left" w:pos="567"/>
        </w:tabs>
        <w:ind w:left="0" w:firstLine="0"/>
        <w:jc w:val="both"/>
        <w:rPr>
          <w:rFonts w:ascii="Bookman Old Style" w:hAnsi="Bookman Old Style" w:cs="Arial"/>
          <w:b/>
          <w:color w:val="000000" w:themeColor="text1"/>
          <w:sz w:val="24"/>
          <w:szCs w:val="24"/>
        </w:rPr>
      </w:pPr>
      <w:r>
        <w:rPr>
          <w:rFonts w:ascii="Bookman Old Style" w:hAnsi="Bookman Old Style" w:cs="Arial"/>
          <w:b/>
          <w:color w:val="000000" w:themeColor="text1"/>
          <w:sz w:val="24"/>
          <w:szCs w:val="24"/>
        </w:rPr>
        <w:lastRenderedPageBreak/>
        <w:t>Tipos de garantías</w:t>
      </w:r>
    </w:p>
    <w:p w:rsidR="006249D9" w:rsidRDefault="006249D9" w:rsidP="006249D9">
      <w:pPr>
        <w:tabs>
          <w:tab w:val="left" w:pos="567"/>
        </w:tabs>
        <w:ind w:left="0"/>
        <w:jc w:val="both"/>
        <w:rPr>
          <w:rFonts w:ascii="Bookman Old Style" w:hAnsi="Bookman Old Style" w:cs="Arial"/>
          <w:color w:val="000000" w:themeColor="text1"/>
        </w:rPr>
      </w:pPr>
    </w:p>
    <w:p w:rsidR="006249D9" w:rsidRDefault="006249D9" w:rsidP="006249D9">
      <w:pPr>
        <w:tabs>
          <w:tab w:val="left" w:pos="567"/>
        </w:tabs>
        <w:ind w:left="0"/>
        <w:jc w:val="both"/>
        <w:rPr>
          <w:rFonts w:ascii="Bookman Old Style" w:hAnsi="Bookman Old Style" w:cs="Arial"/>
          <w:color w:val="000000" w:themeColor="text1"/>
        </w:rPr>
      </w:pPr>
      <w:r>
        <w:rPr>
          <w:rFonts w:ascii="Bookman Old Style" w:hAnsi="Bookman Old Style" w:cs="Arial"/>
          <w:color w:val="000000" w:themeColor="text1"/>
        </w:rPr>
        <w:t xml:space="preserve">Los tipos de garantías que serán aceptadas para los efectos de la presente resolución son los siguientes: </w:t>
      </w:r>
    </w:p>
    <w:p w:rsidR="006249D9" w:rsidRDefault="006249D9" w:rsidP="006249D9">
      <w:pPr>
        <w:tabs>
          <w:tab w:val="left" w:pos="567"/>
        </w:tabs>
        <w:ind w:left="0"/>
        <w:jc w:val="both"/>
        <w:rPr>
          <w:rFonts w:ascii="Bookman Old Style" w:hAnsi="Bookman Old Style" w:cs="Arial"/>
          <w:color w:val="000000" w:themeColor="text1"/>
        </w:rPr>
      </w:pPr>
    </w:p>
    <w:p w:rsidR="006249D9" w:rsidRPr="00B21619" w:rsidRDefault="006249D9" w:rsidP="006249D9">
      <w:pPr>
        <w:pStyle w:val="Prrafodelista"/>
        <w:numPr>
          <w:ilvl w:val="0"/>
          <w:numId w:val="39"/>
        </w:numPr>
        <w:tabs>
          <w:tab w:val="left" w:pos="1478"/>
        </w:tabs>
        <w:jc w:val="both"/>
        <w:rPr>
          <w:rFonts w:ascii="Bookman Old Style" w:hAnsi="Bookman Old Style"/>
          <w:bCs/>
          <w:color w:val="000000" w:themeColor="text1"/>
          <w:sz w:val="24"/>
          <w:szCs w:val="24"/>
          <w:lang w:val="es-ES"/>
        </w:rPr>
      </w:pPr>
      <w:bookmarkStart w:id="4" w:name="_Ref410740570"/>
      <w:r w:rsidRPr="00B21619">
        <w:rPr>
          <w:rFonts w:ascii="Bookman Old Style" w:hAnsi="Bookman Old Style"/>
          <w:bCs/>
          <w:color w:val="000000" w:themeColor="text1"/>
          <w:sz w:val="24"/>
          <w:szCs w:val="24"/>
          <w:lang w:val="es-ES"/>
        </w:rPr>
        <w:t>Garantía bancaria de una entidad financiera en Colombia: instrumento mediante el cual una institución financiera, debidamente autorizada por la Superintendencia Financiera, garantiza de forma incondicional e irrevocable el pago de las obligaciones indicadas en la presente resolución. La forma y perfeccionamiento de esta garantía se regirá por las normas del Código de Comercio que regulan la materia y por las demás disposiciones aplicables o aquellas que las modifiquen, adicionen o sustituyan.</w:t>
      </w:r>
      <w:bookmarkEnd w:id="4"/>
    </w:p>
    <w:p w:rsidR="006249D9" w:rsidRPr="00B21619" w:rsidRDefault="006249D9" w:rsidP="006249D9">
      <w:pPr>
        <w:pStyle w:val="Prrafodelista"/>
        <w:tabs>
          <w:tab w:val="left" w:pos="1478"/>
        </w:tabs>
        <w:ind w:left="720"/>
        <w:jc w:val="both"/>
        <w:rPr>
          <w:rFonts w:ascii="Bookman Old Style" w:hAnsi="Bookman Old Style"/>
          <w:bCs/>
          <w:color w:val="000000" w:themeColor="text1"/>
          <w:sz w:val="24"/>
          <w:szCs w:val="24"/>
          <w:lang w:val="es-ES"/>
        </w:rPr>
      </w:pPr>
    </w:p>
    <w:p w:rsidR="006249D9" w:rsidRPr="00B21619" w:rsidRDefault="006249D9" w:rsidP="006249D9">
      <w:pPr>
        <w:pStyle w:val="Prrafodelista"/>
        <w:numPr>
          <w:ilvl w:val="0"/>
          <w:numId w:val="39"/>
        </w:numPr>
        <w:tabs>
          <w:tab w:val="left" w:pos="1478"/>
        </w:tabs>
        <w:jc w:val="both"/>
        <w:rPr>
          <w:rFonts w:ascii="Bookman Old Style" w:hAnsi="Bookman Old Style"/>
          <w:bCs/>
          <w:color w:val="000000" w:themeColor="text1"/>
          <w:sz w:val="24"/>
          <w:szCs w:val="24"/>
          <w:lang w:val="es-ES"/>
        </w:rPr>
      </w:pPr>
      <w:r w:rsidRPr="00B21619">
        <w:rPr>
          <w:rFonts w:ascii="Bookman Old Style" w:hAnsi="Bookman Old Style"/>
          <w:bCs/>
          <w:color w:val="000000" w:themeColor="text1"/>
          <w:sz w:val="24"/>
          <w:szCs w:val="24"/>
          <w:lang w:val="es-ES"/>
        </w:rPr>
        <w:t xml:space="preserve">Carta de crédito stand </w:t>
      </w:r>
      <w:proofErr w:type="spellStart"/>
      <w:r w:rsidRPr="00B21619">
        <w:rPr>
          <w:rFonts w:ascii="Bookman Old Style" w:hAnsi="Bookman Old Style"/>
          <w:bCs/>
          <w:color w:val="000000" w:themeColor="text1"/>
          <w:sz w:val="24"/>
          <w:szCs w:val="24"/>
          <w:lang w:val="es-ES"/>
        </w:rPr>
        <w:t>by</w:t>
      </w:r>
      <w:proofErr w:type="spellEnd"/>
      <w:r w:rsidRPr="00B21619">
        <w:rPr>
          <w:rFonts w:ascii="Bookman Old Style" w:hAnsi="Bookman Old Style"/>
          <w:bCs/>
          <w:color w:val="000000" w:themeColor="text1"/>
          <w:sz w:val="24"/>
          <w:szCs w:val="24"/>
          <w:lang w:val="es-ES"/>
        </w:rPr>
        <w:t xml:space="preserve"> de una entidad financiera en Colombia: crédito documental e irrevocable, mediante el cual una institución financiera, debidamente autorizada por la Superintendencia Financiera, se compromete directamente o por intermedio de un banco corresponsal, al pago de las obligaciones indicadas en la presente resolución, contra la previa presentación de la carta de crédito stand </w:t>
      </w:r>
      <w:proofErr w:type="spellStart"/>
      <w:r w:rsidRPr="00B21619">
        <w:rPr>
          <w:rFonts w:ascii="Bookman Old Style" w:hAnsi="Bookman Old Style"/>
          <w:bCs/>
          <w:color w:val="000000" w:themeColor="text1"/>
          <w:sz w:val="24"/>
          <w:szCs w:val="24"/>
          <w:lang w:val="es-ES"/>
        </w:rPr>
        <w:t>by</w:t>
      </w:r>
      <w:proofErr w:type="spellEnd"/>
      <w:r w:rsidRPr="00B21619">
        <w:rPr>
          <w:rFonts w:ascii="Bookman Old Style" w:hAnsi="Bookman Old Style"/>
          <w:bCs/>
          <w:color w:val="000000" w:themeColor="text1"/>
          <w:sz w:val="24"/>
          <w:szCs w:val="24"/>
          <w:lang w:val="es-ES"/>
        </w:rPr>
        <w:t>. La forma y perfeccionamiento de ésta se regirán por las normas del Código de Comercio que regulan la materia y por las demás disposiciones aplicables o aquellas que las modifiquen, adicionen o sustituyan.</w:t>
      </w:r>
    </w:p>
    <w:p w:rsidR="006249D9" w:rsidRPr="00B21619" w:rsidRDefault="006249D9" w:rsidP="006249D9">
      <w:pPr>
        <w:tabs>
          <w:tab w:val="left" w:pos="1478"/>
        </w:tabs>
        <w:jc w:val="both"/>
        <w:rPr>
          <w:rFonts w:ascii="Bookman Old Style" w:hAnsi="Bookman Old Style"/>
          <w:bCs/>
          <w:color w:val="000000" w:themeColor="text1"/>
          <w:lang w:eastAsia="x-none"/>
        </w:rPr>
      </w:pPr>
    </w:p>
    <w:p w:rsidR="006249D9" w:rsidRPr="00B21619" w:rsidRDefault="006249D9" w:rsidP="006249D9">
      <w:pPr>
        <w:pStyle w:val="Prrafodelista"/>
        <w:numPr>
          <w:ilvl w:val="0"/>
          <w:numId w:val="39"/>
        </w:numPr>
        <w:tabs>
          <w:tab w:val="left" w:pos="1478"/>
        </w:tabs>
        <w:jc w:val="both"/>
        <w:rPr>
          <w:rFonts w:ascii="Bookman Old Style" w:hAnsi="Bookman Old Style"/>
          <w:bCs/>
          <w:color w:val="000000" w:themeColor="text1"/>
          <w:sz w:val="24"/>
          <w:szCs w:val="24"/>
          <w:lang w:val="es-ES"/>
        </w:rPr>
      </w:pPr>
      <w:r w:rsidRPr="00B21619">
        <w:rPr>
          <w:rFonts w:ascii="Bookman Old Style" w:hAnsi="Bookman Old Style"/>
          <w:bCs/>
          <w:color w:val="000000" w:themeColor="text1"/>
          <w:sz w:val="24"/>
          <w:szCs w:val="24"/>
          <w:lang w:val="es-ES"/>
        </w:rPr>
        <w:t xml:space="preserve">Carta de crédito stand </w:t>
      </w:r>
      <w:proofErr w:type="spellStart"/>
      <w:r w:rsidRPr="00B21619">
        <w:rPr>
          <w:rFonts w:ascii="Bookman Old Style" w:hAnsi="Bookman Old Style"/>
          <w:bCs/>
          <w:color w:val="000000" w:themeColor="text1"/>
          <w:sz w:val="24"/>
          <w:szCs w:val="24"/>
          <w:lang w:val="es-ES"/>
        </w:rPr>
        <w:t>by</w:t>
      </w:r>
      <w:proofErr w:type="spellEnd"/>
      <w:r w:rsidRPr="00B21619">
        <w:rPr>
          <w:rFonts w:ascii="Bookman Old Style" w:hAnsi="Bookman Old Style"/>
          <w:bCs/>
          <w:color w:val="000000" w:themeColor="text1"/>
          <w:sz w:val="24"/>
          <w:szCs w:val="24"/>
          <w:lang w:val="es-ES"/>
        </w:rPr>
        <w:t xml:space="preserve"> de una entidad financiera del exterior: crédito documental e irrevocable mediante el cual una institución financiera del exterior se compromete directamente o por intermedio de un banco corresponsal al pago de las obligaciones establecidas en la presente resolución, contra la previa presentación de la carta de crédito stand </w:t>
      </w:r>
      <w:proofErr w:type="spellStart"/>
      <w:r w:rsidRPr="00B21619">
        <w:rPr>
          <w:rFonts w:ascii="Bookman Old Style" w:hAnsi="Bookman Old Style"/>
          <w:bCs/>
          <w:color w:val="000000" w:themeColor="text1"/>
          <w:sz w:val="24"/>
          <w:szCs w:val="24"/>
          <w:lang w:val="es-ES"/>
        </w:rPr>
        <w:t>by</w:t>
      </w:r>
      <w:proofErr w:type="spellEnd"/>
      <w:r w:rsidRPr="00B21619">
        <w:rPr>
          <w:rFonts w:ascii="Bookman Old Style" w:hAnsi="Bookman Old Style"/>
          <w:bCs/>
          <w:color w:val="000000" w:themeColor="text1"/>
          <w:sz w:val="24"/>
          <w:szCs w:val="24"/>
          <w:lang w:val="es-ES"/>
        </w:rPr>
        <w:t>.</w:t>
      </w:r>
    </w:p>
    <w:p w:rsidR="006249D9" w:rsidRPr="00B21619" w:rsidRDefault="006249D9" w:rsidP="006249D9">
      <w:pPr>
        <w:pStyle w:val="Prrafodelista"/>
        <w:rPr>
          <w:rFonts w:ascii="Bookman Old Style" w:hAnsi="Bookman Old Style"/>
          <w:bCs/>
          <w:color w:val="000000" w:themeColor="text1"/>
          <w:sz w:val="24"/>
          <w:szCs w:val="24"/>
          <w:lang w:val="es-ES"/>
        </w:rPr>
      </w:pPr>
    </w:p>
    <w:p w:rsidR="006249D9" w:rsidRPr="00B21619" w:rsidRDefault="006249D9" w:rsidP="006249D9">
      <w:pPr>
        <w:pStyle w:val="Prrafodelista"/>
        <w:numPr>
          <w:ilvl w:val="0"/>
          <w:numId w:val="39"/>
        </w:numPr>
        <w:tabs>
          <w:tab w:val="left" w:pos="1478"/>
        </w:tabs>
        <w:jc w:val="both"/>
        <w:rPr>
          <w:rFonts w:ascii="Bookman Old Style" w:hAnsi="Bookman Old Style"/>
          <w:bCs/>
          <w:color w:val="000000" w:themeColor="text1"/>
          <w:sz w:val="24"/>
          <w:szCs w:val="24"/>
          <w:lang w:val="es-ES"/>
        </w:rPr>
      </w:pPr>
      <w:bookmarkStart w:id="5" w:name="_Ref410740577"/>
      <w:r w:rsidRPr="00B21619">
        <w:rPr>
          <w:rFonts w:ascii="Bookman Old Style" w:hAnsi="Bookman Old Style"/>
          <w:bCs/>
          <w:color w:val="000000" w:themeColor="text1"/>
          <w:sz w:val="24"/>
          <w:szCs w:val="24"/>
          <w:lang w:val="es-ES"/>
        </w:rPr>
        <w:t>Prepago. Recursos en moneda Colombiana que cubren el 100% del valor de la garantía.</w:t>
      </w:r>
      <w:bookmarkEnd w:id="5"/>
    </w:p>
    <w:p w:rsidR="006249D9" w:rsidRPr="00B21619" w:rsidRDefault="006249D9" w:rsidP="006249D9">
      <w:pPr>
        <w:pStyle w:val="Prrafodelista"/>
        <w:rPr>
          <w:rFonts w:ascii="Bookman Old Style" w:hAnsi="Bookman Old Style"/>
          <w:bCs/>
          <w:color w:val="000000" w:themeColor="text1"/>
          <w:sz w:val="24"/>
          <w:szCs w:val="24"/>
          <w:lang w:val="es-ES"/>
        </w:rPr>
      </w:pPr>
    </w:p>
    <w:p w:rsidR="006249D9" w:rsidRDefault="006249D9" w:rsidP="006249D9">
      <w:pPr>
        <w:tabs>
          <w:tab w:val="left" w:pos="1478"/>
        </w:tabs>
        <w:ind w:left="0"/>
        <w:jc w:val="both"/>
        <w:rPr>
          <w:rFonts w:ascii="Bookman Old Style" w:hAnsi="Bookman Old Style" w:cs="Arial"/>
          <w:color w:val="000000" w:themeColor="text1"/>
          <w:lang w:eastAsia="es-CO"/>
        </w:rPr>
      </w:pPr>
      <w:r>
        <w:rPr>
          <w:rFonts w:ascii="Bookman Old Style" w:hAnsi="Bookman Old Style" w:cs="Arial"/>
          <w:b/>
          <w:color w:val="000000" w:themeColor="text1"/>
        </w:rPr>
        <w:t>Parágrafo</w:t>
      </w:r>
      <w:r w:rsidR="00F326E6">
        <w:rPr>
          <w:rFonts w:ascii="Bookman Old Style" w:hAnsi="Bookman Old Style" w:cs="Arial"/>
          <w:b/>
          <w:color w:val="000000" w:themeColor="text1"/>
        </w:rPr>
        <w:t xml:space="preserve"> 1</w:t>
      </w:r>
      <w:r>
        <w:rPr>
          <w:rFonts w:ascii="Bookman Old Style" w:hAnsi="Bookman Old Style" w:cs="Arial"/>
          <w:b/>
          <w:color w:val="000000" w:themeColor="text1"/>
        </w:rPr>
        <w:t xml:space="preserve">. </w:t>
      </w:r>
      <w:r>
        <w:rPr>
          <w:rFonts w:ascii="Bookman Old Style" w:hAnsi="Bookman Old Style" w:cs="Arial"/>
          <w:color w:val="000000" w:themeColor="text1"/>
        </w:rPr>
        <w:t xml:space="preserve">Los vendedores y compradores que requieran acudir a la constitución de garantías para poder participar en las transacciones de </w:t>
      </w:r>
      <w:r>
        <w:rPr>
          <w:rFonts w:ascii="Bookman Old Style" w:hAnsi="Bookman Old Style" w:cs="Arial"/>
          <w:color w:val="000000" w:themeColor="text1"/>
          <w:lang w:eastAsia="es-CO"/>
        </w:rPr>
        <w:t>i) subastas de gas de contratos firmes bimestrales, ii) subastas de gas natural de contratos firmes de largo plazo, y iii) subastas de capacidad de transporte en los procesos úselo o véndalo de largo plazo podrán combinar los tipos de garantías mencionados anteriormente.</w:t>
      </w:r>
    </w:p>
    <w:p w:rsidR="00934D76" w:rsidRDefault="00934D76" w:rsidP="006249D9">
      <w:pPr>
        <w:tabs>
          <w:tab w:val="left" w:pos="1478"/>
        </w:tabs>
        <w:ind w:left="0"/>
        <w:jc w:val="both"/>
        <w:rPr>
          <w:rFonts w:ascii="Bookman Old Style" w:hAnsi="Bookman Old Style" w:cs="Arial"/>
          <w:color w:val="000000" w:themeColor="text1"/>
          <w:lang w:eastAsia="es-CO"/>
        </w:rPr>
      </w:pPr>
    </w:p>
    <w:p w:rsidR="00934D76" w:rsidRDefault="00934D76" w:rsidP="006249D9">
      <w:pPr>
        <w:tabs>
          <w:tab w:val="left" w:pos="1478"/>
        </w:tabs>
        <w:ind w:left="0"/>
        <w:jc w:val="both"/>
        <w:rPr>
          <w:rFonts w:ascii="Bookman Old Style" w:hAnsi="Bookman Old Style" w:cs="Arial"/>
          <w:color w:val="000000" w:themeColor="text1"/>
          <w:lang w:eastAsia="es-CO"/>
        </w:rPr>
      </w:pPr>
      <w:r>
        <w:rPr>
          <w:rFonts w:ascii="Bookman Old Style" w:hAnsi="Bookman Old Style" w:cs="Arial"/>
          <w:color w:val="000000" w:themeColor="text1"/>
          <w:lang w:eastAsia="es-CO"/>
        </w:rPr>
        <w:t>En los casos en donde un vendedor y / o un comprador utilice diferentes tipos de garantías</w:t>
      </w:r>
      <w:r w:rsidR="00053B08">
        <w:rPr>
          <w:rFonts w:ascii="Bookman Old Style" w:hAnsi="Bookman Old Style" w:cs="Arial"/>
          <w:color w:val="000000" w:themeColor="text1"/>
          <w:lang w:eastAsia="es-CO"/>
        </w:rPr>
        <w:t xml:space="preserve">, le corresponde al </w:t>
      </w:r>
      <w:r>
        <w:rPr>
          <w:rFonts w:ascii="Bookman Old Style" w:hAnsi="Bookman Old Style" w:cs="Arial"/>
          <w:color w:val="000000" w:themeColor="text1"/>
          <w:lang w:eastAsia="es-CO"/>
        </w:rPr>
        <w:t xml:space="preserve">gestor del mercado, a través de la fiducia mercantil que para tales efectos constituya, </w:t>
      </w:r>
      <w:r w:rsidR="00053B08">
        <w:rPr>
          <w:rFonts w:ascii="Bookman Old Style" w:hAnsi="Bookman Old Style" w:cs="Arial"/>
          <w:color w:val="000000" w:themeColor="text1"/>
          <w:lang w:eastAsia="es-CO"/>
        </w:rPr>
        <w:t>adoptar</w:t>
      </w:r>
      <w:r>
        <w:rPr>
          <w:rFonts w:ascii="Bookman Old Style" w:hAnsi="Bookman Old Style" w:cs="Arial"/>
          <w:color w:val="000000" w:themeColor="text1"/>
          <w:lang w:eastAsia="es-CO"/>
        </w:rPr>
        <w:t xml:space="preserve"> los mecanismos para que efectivamente </w:t>
      </w:r>
      <w:r w:rsidR="00053B08">
        <w:rPr>
          <w:rFonts w:ascii="Bookman Old Style" w:hAnsi="Bookman Old Style" w:cs="Arial"/>
          <w:color w:val="000000" w:themeColor="text1"/>
          <w:lang w:eastAsia="es-CO"/>
        </w:rPr>
        <w:t>puedan ser aceptadas las mismas.</w:t>
      </w:r>
    </w:p>
    <w:p w:rsidR="00F326E6" w:rsidRDefault="00F326E6" w:rsidP="006249D9">
      <w:pPr>
        <w:tabs>
          <w:tab w:val="left" w:pos="1478"/>
        </w:tabs>
        <w:ind w:left="0"/>
        <w:jc w:val="both"/>
        <w:rPr>
          <w:rFonts w:ascii="Bookman Old Style" w:hAnsi="Bookman Old Style" w:cs="Arial"/>
          <w:color w:val="000000" w:themeColor="text1"/>
          <w:lang w:eastAsia="es-CO"/>
        </w:rPr>
      </w:pPr>
    </w:p>
    <w:p w:rsidR="00F326E6" w:rsidRDefault="00F326E6" w:rsidP="00F326E6">
      <w:pPr>
        <w:tabs>
          <w:tab w:val="left" w:pos="1478"/>
        </w:tabs>
        <w:ind w:left="0"/>
        <w:jc w:val="both"/>
        <w:rPr>
          <w:rFonts w:ascii="Bookman Old Style" w:hAnsi="Bookman Old Style" w:cs="Arial"/>
          <w:color w:val="000000" w:themeColor="text1"/>
          <w:lang w:eastAsia="es-CO"/>
        </w:rPr>
      </w:pPr>
      <w:r>
        <w:rPr>
          <w:rFonts w:ascii="Bookman Old Style" w:hAnsi="Bookman Old Style" w:cs="Arial"/>
          <w:b/>
          <w:color w:val="000000" w:themeColor="text1"/>
        </w:rPr>
        <w:t xml:space="preserve">Parágrafo 2. </w:t>
      </w:r>
      <w:r>
        <w:rPr>
          <w:rFonts w:ascii="Bookman Old Style" w:hAnsi="Bookman Old Style" w:cs="Arial"/>
          <w:color w:val="000000" w:themeColor="text1"/>
        </w:rPr>
        <w:t>Todas las garantías, en caso de ejecución, deberán liquidarse en pesos Colombianos en las cuentas</w:t>
      </w:r>
      <w:r w:rsidR="003D0985">
        <w:rPr>
          <w:rFonts w:ascii="Bookman Old Style" w:hAnsi="Bookman Old Style" w:cs="Arial"/>
          <w:color w:val="000000" w:themeColor="text1"/>
        </w:rPr>
        <w:t xml:space="preserve"> bancarias</w:t>
      </w:r>
      <w:r>
        <w:rPr>
          <w:rFonts w:ascii="Bookman Old Style" w:hAnsi="Bookman Old Style" w:cs="Arial"/>
          <w:color w:val="000000" w:themeColor="text1"/>
        </w:rPr>
        <w:t xml:space="preserve"> que para tales efectos disponga la fiducia mercantil</w:t>
      </w:r>
      <w:r w:rsidR="003D0985">
        <w:rPr>
          <w:rFonts w:ascii="Bookman Old Style" w:hAnsi="Bookman Old Style" w:cs="Arial"/>
          <w:color w:val="000000" w:themeColor="text1"/>
        </w:rPr>
        <w:t>,</w:t>
      </w:r>
      <w:r>
        <w:rPr>
          <w:rFonts w:ascii="Bookman Old Style" w:hAnsi="Bookman Old Style" w:cs="Arial"/>
          <w:color w:val="000000" w:themeColor="text1"/>
        </w:rPr>
        <w:t xml:space="preserve"> que el gestor del mercado constituya.</w:t>
      </w:r>
    </w:p>
    <w:bookmarkEnd w:id="1"/>
    <w:p w:rsidR="006249D9" w:rsidRDefault="006249D9" w:rsidP="006249D9">
      <w:pPr>
        <w:pStyle w:val="Prrafodelista"/>
        <w:numPr>
          <w:ilvl w:val="0"/>
          <w:numId w:val="5"/>
        </w:numPr>
        <w:tabs>
          <w:tab w:val="left" w:pos="567"/>
        </w:tabs>
        <w:ind w:left="0" w:firstLine="0"/>
        <w:jc w:val="both"/>
        <w:rPr>
          <w:rFonts w:ascii="Bookman Old Style" w:hAnsi="Bookman Old Style" w:cs="Arial"/>
          <w:b/>
          <w:color w:val="000000" w:themeColor="text1"/>
          <w:sz w:val="24"/>
          <w:szCs w:val="24"/>
        </w:rPr>
      </w:pPr>
      <w:r>
        <w:rPr>
          <w:rFonts w:ascii="Bookman Old Style" w:hAnsi="Bookman Old Style" w:cs="Arial"/>
          <w:b/>
          <w:color w:val="000000" w:themeColor="text1"/>
          <w:sz w:val="24"/>
          <w:szCs w:val="24"/>
        </w:rPr>
        <w:lastRenderedPageBreak/>
        <w:t>Mecanismos de cobertura en las subastas de contratos firmes bimestrales</w:t>
      </w: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Pr="003702E2"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Garantía de participación</w:t>
      </w: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Sujetos objeto de la constitución de la garantía de participación</w:t>
      </w:r>
      <w:r>
        <w:rPr>
          <w:rFonts w:ascii="Bookman Old Style" w:hAnsi="Bookman Old Style" w:cs="Arial"/>
          <w:color w:val="000000" w:themeColor="text1"/>
          <w:sz w:val="24"/>
          <w:szCs w:val="24"/>
        </w:rPr>
        <w:t>:</w:t>
      </w:r>
    </w:p>
    <w:p w:rsidR="004852E2" w:rsidRPr="003702E2" w:rsidRDefault="004852E2" w:rsidP="004852E2">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tabs>
          <w:tab w:val="left" w:pos="567"/>
        </w:tabs>
        <w:ind w:left="1080"/>
        <w:jc w:val="both"/>
        <w:rPr>
          <w:rFonts w:ascii="Bookman Old Style" w:hAnsi="Bookman Old Style" w:cs="Arial"/>
          <w:color w:val="000000" w:themeColor="text1"/>
        </w:rPr>
      </w:pPr>
      <w:r>
        <w:rPr>
          <w:rFonts w:ascii="Bookman Old Style" w:hAnsi="Bookman Old Style" w:cs="Arial"/>
          <w:color w:val="000000" w:themeColor="text1"/>
        </w:rPr>
        <w:t>Es obligatoria para los siguientes agentes para poder participar en la subasta.</w:t>
      </w:r>
    </w:p>
    <w:p w:rsidR="006249D9" w:rsidRDefault="006249D9" w:rsidP="006249D9">
      <w:pPr>
        <w:tabs>
          <w:tab w:val="left" w:pos="567"/>
        </w:tabs>
        <w:ind w:left="1080"/>
        <w:jc w:val="both"/>
        <w:rPr>
          <w:rFonts w:ascii="Bookman Old Style" w:hAnsi="Bookman Old Style" w:cs="Arial"/>
          <w:color w:val="000000" w:themeColor="text1"/>
        </w:rPr>
      </w:pPr>
    </w:p>
    <w:p w:rsidR="006249D9" w:rsidRPr="003702E2" w:rsidRDefault="006249D9" w:rsidP="006249D9">
      <w:pPr>
        <w:tabs>
          <w:tab w:val="left" w:pos="567"/>
        </w:tabs>
        <w:ind w:left="1080"/>
        <w:jc w:val="both"/>
        <w:rPr>
          <w:rFonts w:ascii="Bookman Old Style" w:hAnsi="Bookman Old Style" w:cs="Arial"/>
          <w:color w:val="000000" w:themeColor="text1"/>
        </w:rPr>
      </w:pPr>
      <w:r w:rsidRPr="003702E2">
        <w:rPr>
          <w:rFonts w:ascii="Bookman Old Style" w:hAnsi="Bookman Old Style" w:cs="Arial"/>
          <w:color w:val="000000" w:themeColor="text1"/>
        </w:rPr>
        <w:t>Los Vendedores:</w:t>
      </w:r>
    </w:p>
    <w:p w:rsidR="006249D9" w:rsidRDefault="006249D9" w:rsidP="006249D9">
      <w:pPr>
        <w:tabs>
          <w:tab w:val="left" w:pos="567"/>
        </w:tabs>
        <w:ind w:left="1080"/>
        <w:jc w:val="both"/>
        <w:rPr>
          <w:rFonts w:ascii="Bookman Old Style" w:hAnsi="Bookman Old Style" w:cs="Arial"/>
          <w:color w:val="000000" w:themeColor="text1"/>
        </w:rPr>
      </w:pPr>
    </w:p>
    <w:p w:rsidR="006249D9" w:rsidRDefault="006249D9" w:rsidP="006249D9">
      <w:pPr>
        <w:tabs>
          <w:tab w:val="left" w:pos="567"/>
        </w:tabs>
        <w:ind w:left="1080"/>
        <w:jc w:val="both"/>
        <w:rPr>
          <w:rFonts w:ascii="Bookman Old Style" w:hAnsi="Bookman Old Style" w:cs="Arial"/>
          <w:color w:val="000000" w:themeColor="text1"/>
        </w:rPr>
      </w:pPr>
      <w:r>
        <w:rPr>
          <w:rFonts w:ascii="Bookman Old Style" w:hAnsi="Bookman Old Style" w:cs="Arial"/>
          <w:color w:val="000000" w:themeColor="text1"/>
        </w:rPr>
        <w:t>Vendedores definidos en los artículos 17 y 34 de la Resolución CREG 089 de 2013, o aquellas que la modifiquen, adicionen o sustituyan.</w:t>
      </w:r>
    </w:p>
    <w:p w:rsidR="006249D9" w:rsidRDefault="006249D9" w:rsidP="006249D9">
      <w:pPr>
        <w:tabs>
          <w:tab w:val="left" w:pos="567"/>
        </w:tabs>
        <w:ind w:left="1080"/>
        <w:jc w:val="both"/>
        <w:rPr>
          <w:rFonts w:ascii="Bookman Old Style" w:hAnsi="Bookman Old Style" w:cs="Arial"/>
          <w:color w:val="000000" w:themeColor="text1"/>
        </w:rPr>
      </w:pPr>
    </w:p>
    <w:p w:rsidR="006249D9" w:rsidRPr="003702E2" w:rsidRDefault="006249D9" w:rsidP="006249D9">
      <w:pPr>
        <w:tabs>
          <w:tab w:val="left" w:pos="567"/>
        </w:tabs>
        <w:ind w:left="1080"/>
        <w:jc w:val="both"/>
        <w:rPr>
          <w:rFonts w:ascii="Bookman Old Style" w:hAnsi="Bookman Old Style" w:cs="Arial"/>
          <w:color w:val="000000" w:themeColor="text1"/>
        </w:rPr>
      </w:pPr>
      <w:r w:rsidRPr="003702E2">
        <w:rPr>
          <w:rFonts w:ascii="Bookman Old Style" w:hAnsi="Bookman Old Style" w:cs="Arial"/>
          <w:color w:val="000000" w:themeColor="text1"/>
        </w:rPr>
        <w:t>Los compradores:</w:t>
      </w:r>
    </w:p>
    <w:p w:rsidR="006249D9" w:rsidRDefault="006249D9" w:rsidP="006249D9">
      <w:pPr>
        <w:tabs>
          <w:tab w:val="left" w:pos="567"/>
        </w:tabs>
        <w:ind w:left="1080"/>
        <w:jc w:val="both"/>
        <w:rPr>
          <w:rFonts w:ascii="Bookman Old Style" w:hAnsi="Bookman Old Style" w:cs="Arial"/>
          <w:color w:val="000000" w:themeColor="text1"/>
        </w:rPr>
      </w:pPr>
    </w:p>
    <w:p w:rsidR="006249D9" w:rsidRDefault="006249D9" w:rsidP="006249D9">
      <w:pPr>
        <w:tabs>
          <w:tab w:val="left" w:pos="567"/>
        </w:tabs>
        <w:ind w:left="1080"/>
        <w:jc w:val="both"/>
        <w:rPr>
          <w:rFonts w:ascii="Bookman Old Style" w:hAnsi="Bookman Old Style" w:cs="Arial"/>
          <w:color w:val="000000" w:themeColor="text1"/>
        </w:rPr>
      </w:pPr>
      <w:r>
        <w:rPr>
          <w:rFonts w:ascii="Bookman Old Style" w:hAnsi="Bookman Old Style" w:cs="Arial"/>
          <w:color w:val="000000" w:themeColor="text1"/>
        </w:rPr>
        <w:t>C</w:t>
      </w:r>
      <w:r w:rsidRPr="006A53DF">
        <w:rPr>
          <w:rFonts w:ascii="Bookman Old Style" w:hAnsi="Bookman Old Style" w:cs="Arial"/>
          <w:color w:val="000000" w:themeColor="text1"/>
        </w:rPr>
        <w:t xml:space="preserve">ompradores </w:t>
      </w:r>
      <w:r>
        <w:rPr>
          <w:rFonts w:ascii="Bookman Old Style" w:hAnsi="Bookman Old Style" w:cs="Arial"/>
          <w:color w:val="000000" w:themeColor="text1"/>
        </w:rPr>
        <w:t>definidos en</w:t>
      </w:r>
      <w:r w:rsidRPr="006A53DF">
        <w:rPr>
          <w:rFonts w:ascii="Bookman Old Style" w:hAnsi="Bookman Old Style" w:cs="Arial"/>
          <w:color w:val="000000" w:themeColor="text1"/>
        </w:rPr>
        <w:t xml:space="preserve"> los artículos 18 y 35 de la Resolución CREG 089 de 2013, o aquellas que la modifiquen</w:t>
      </w:r>
      <w:r w:rsidR="00F80839">
        <w:rPr>
          <w:rFonts w:ascii="Bookman Old Style" w:hAnsi="Bookman Old Style" w:cs="Arial"/>
          <w:color w:val="000000" w:themeColor="text1"/>
        </w:rPr>
        <w:t>, adicionen</w:t>
      </w:r>
      <w:r w:rsidRPr="006A53DF">
        <w:rPr>
          <w:rFonts w:ascii="Bookman Old Style" w:hAnsi="Bookman Old Style" w:cs="Arial"/>
          <w:color w:val="000000" w:themeColor="text1"/>
        </w:rPr>
        <w:t xml:space="preserve"> o sustituyan.</w:t>
      </w:r>
    </w:p>
    <w:p w:rsidR="006249D9" w:rsidRDefault="006249D9" w:rsidP="006249D9">
      <w:pPr>
        <w:tabs>
          <w:tab w:val="left" w:pos="567"/>
        </w:tabs>
        <w:ind w:left="1080"/>
        <w:jc w:val="both"/>
        <w:rPr>
          <w:rFonts w:ascii="Bookman Old Style" w:hAnsi="Bookman Old Style" w:cs="Arial"/>
          <w:color w:val="000000" w:themeColor="text1"/>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Beneficiario de la garantía:</w:t>
      </w:r>
      <w:r>
        <w:rPr>
          <w:rFonts w:ascii="Bookman Old Style" w:hAnsi="Bookman Old Style" w:cs="Arial"/>
          <w:color w:val="000000" w:themeColor="text1"/>
          <w:sz w:val="24"/>
          <w:szCs w:val="24"/>
        </w:rPr>
        <w:t xml:space="preserve"> El beneficiario de la garantía es </w:t>
      </w:r>
      <w:r w:rsidRPr="00253952">
        <w:rPr>
          <w:rFonts w:ascii="Bookman Old Style" w:hAnsi="Bookman Old Style" w:cs="Arial"/>
          <w:color w:val="000000" w:themeColor="text1"/>
          <w:sz w:val="24"/>
          <w:szCs w:val="24"/>
        </w:rPr>
        <w:t xml:space="preserve">la fiducia mercantil </w:t>
      </w:r>
      <w:r>
        <w:rPr>
          <w:rFonts w:ascii="Bookman Old Style" w:hAnsi="Bookman Old Style" w:cs="Arial"/>
          <w:color w:val="000000" w:themeColor="text1"/>
          <w:sz w:val="24"/>
          <w:szCs w:val="24"/>
        </w:rPr>
        <w:t>que para tales efectos constituya el gestor del mercado de gas natural, según lo ordenado en las resoluciones CREG 089 de 2013 y 163 de 2014, o aquellas que las sustituyan, modifiquen o adicionen.</w:t>
      </w:r>
    </w:p>
    <w:p w:rsidR="006249D9" w:rsidRPr="003034FF" w:rsidRDefault="006249D9" w:rsidP="006249D9">
      <w:pPr>
        <w:tabs>
          <w:tab w:val="left" w:pos="567"/>
        </w:tabs>
        <w:ind w:left="360"/>
        <w:jc w:val="both"/>
        <w:rPr>
          <w:rFonts w:ascii="Bookman Old Style" w:hAnsi="Bookman Old Style" w:cs="Arial"/>
          <w:color w:val="000000" w:themeColor="text1"/>
          <w:lang w:val="es-CO"/>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 xml:space="preserve">Beneficiario de los </w:t>
      </w:r>
      <w:r>
        <w:rPr>
          <w:rFonts w:ascii="Bookman Old Style" w:hAnsi="Bookman Old Style" w:cs="Arial"/>
          <w:color w:val="000000" w:themeColor="text1"/>
          <w:sz w:val="24"/>
          <w:szCs w:val="24"/>
        </w:rPr>
        <w:t>recursos</w:t>
      </w:r>
      <w:r w:rsidRPr="003702E2">
        <w:rPr>
          <w:rFonts w:ascii="Bookman Old Style" w:hAnsi="Bookman Old Style" w:cs="Arial"/>
          <w:color w:val="000000" w:themeColor="text1"/>
          <w:sz w:val="24"/>
          <w:szCs w:val="24"/>
        </w:rPr>
        <w:t xml:space="preserve"> que resulten de la ejecución de la garantía de participación:</w:t>
      </w:r>
      <w:r>
        <w:rPr>
          <w:rFonts w:ascii="Bookman Old Style" w:hAnsi="Bookman Old Style" w:cs="Arial"/>
          <w:color w:val="000000" w:themeColor="text1"/>
          <w:sz w:val="24"/>
          <w:szCs w:val="24"/>
        </w:rPr>
        <w:t xml:space="preserve"> Cuando haya lugar a la ejecución de la garantía de participación de un vendedor o un comprador, los recursos que resulten de la ejecución de la misma serán transferidos a las correspondientes contrapartes que hayan resultado con asignaciones en la subasta</w:t>
      </w:r>
      <w:r w:rsidR="0041623A">
        <w:rPr>
          <w:rFonts w:ascii="Bookman Old Style" w:hAnsi="Bookman Old Style" w:cs="Arial"/>
          <w:color w:val="000000" w:themeColor="text1"/>
          <w:sz w:val="24"/>
          <w:szCs w:val="24"/>
        </w:rPr>
        <w:t>,</w:t>
      </w:r>
      <w:r w:rsidR="00365905">
        <w:rPr>
          <w:rFonts w:ascii="Bookman Old Style" w:hAnsi="Bookman Old Style" w:cs="Arial"/>
          <w:color w:val="000000" w:themeColor="text1"/>
          <w:sz w:val="24"/>
          <w:szCs w:val="24"/>
        </w:rPr>
        <w:t xml:space="preserve"> </w:t>
      </w:r>
      <w:r w:rsidR="008D4D38">
        <w:rPr>
          <w:rFonts w:ascii="Bookman Old Style" w:hAnsi="Bookman Old Style" w:cs="Arial"/>
          <w:color w:val="000000" w:themeColor="text1"/>
          <w:sz w:val="24"/>
          <w:szCs w:val="24"/>
        </w:rPr>
        <w:t>en forma proporcional a estas, según corresponda.</w:t>
      </w:r>
    </w:p>
    <w:p w:rsidR="006249D9" w:rsidRPr="00BD7D7B" w:rsidRDefault="006249D9" w:rsidP="006249D9">
      <w:pPr>
        <w:pStyle w:val="Prrafodelista"/>
        <w:rPr>
          <w:rFonts w:ascii="Bookman Old Style" w:hAnsi="Bookman Old Style" w:cs="Arial"/>
          <w:color w:val="000000" w:themeColor="text1"/>
          <w:sz w:val="24"/>
          <w:szCs w:val="24"/>
        </w:rPr>
      </w:pPr>
    </w:p>
    <w:p w:rsidR="006249D9" w:rsidRPr="00102733"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La fiducia mercantil hará las transferencias a los beneficiarios de los recursos que resulten de la ejecución de la garantía, descontando los gastos de transferencias bancarias y GMF.</w:t>
      </w:r>
    </w:p>
    <w:p w:rsidR="006249D9" w:rsidRDefault="006249D9" w:rsidP="006249D9">
      <w:pPr>
        <w:tabs>
          <w:tab w:val="left" w:pos="567"/>
        </w:tabs>
        <w:ind w:left="360"/>
        <w:jc w:val="both"/>
        <w:rPr>
          <w:rFonts w:ascii="Bookman Old Style" w:hAnsi="Bookman Old Style" w:cs="Arial"/>
          <w:color w:val="000000" w:themeColor="text1"/>
          <w:lang w:val="es-CO"/>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Fecha de entrega de la garantía</w:t>
      </w:r>
      <w:r>
        <w:rPr>
          <w:rFonts w:ascii="Bookman Old Style" w:hAnsi="Bookman Old Style" w:cs="Arial"/>
          <w:color w:val="000000" w:themeColor="text1"/>
          <w:sz w:val="24"/>
          <w:szCs w:val="24"/>
        </w:rPr>
        <w:t>: Los vendedores y los compradores tienen plazo hasta las 17:00 horas del decimoprimer día hábil del mes calendario anterior al mes de suministro de energía.</w:t>
      </w:r>
    </w:p>
    <w:p w:rsidR="006249D9" w:rsidRPr="006D62B1"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Vigencia de</w:t>
      </w:r>
      <w:r w:rsidRPr="003702E2">
        <w:rPr>
          <w:rFonts w:ascii="Bookman Old Style" w:hAnsi="Bookman Old Style" w:cs="Arial"/>
          <w:color w:val="000000" w:themeColor="text1"/>
          <w:sz w:val="24"/>
          <w:szCs w:val="24"/>
        </w:rPr>
        <w:t xml:space="preserve"> la garantía:</w:t>
      </w:r>
      <w:r w:rsidRPr="000D58F5">
        <w:rPr>
          <w:rFonts w:ascii="Bookman Old Style" w:hAnsi="Bookman Old Style" w:cs="Arial"/>
          <w:color w:val="000000" w:themeColor="text1"/>
          <w:sz w:val="24"/>
          <w:szCs w:val="24"/>
        </w:rPr>
        <w:t xml:space="preserve"> El </w:t>
      </w:r>
      <w:r>
        <w:rPr>
          <w:rFonts w:ascii="Bookman Old Style" w:hAnsi="Bookman Old Style" w:cs="Arial"/>
          <w:color w:val="000000" w:themeColor="text1"/>
          <w:sz w:val="24"/>
          <w:szCs w:val="24"/>
        </w:rPr>
        <w:t>plazo que cubre la garantía corresponderá al número de días calendario desde la entrega de la garantía hasta el último día hábil previo al primer mes de inicio del compromiso más un (1) día hábil.</w:t>
      </w:r>
    </w:p>
    <w:p w:rsidR="006249D9" w:rsidRPr="00844110"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lastRenderedPageBreak/>
        <w:t>Valor de la garantía para los vendedores: La garantía de participación tiene un valor inicial en la fecha de entrega y un valor final ajustado cuando el gestor del mercado de gas natural conozca la declaración de la oferta.</w:t>
      </w:r>
    </w:p>
    <w:p w:rsidR="006249D9" w:rsidRPr="00463060"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inicial</w:t>
      </w:r>
    </w:p>
    <w:p w:rsidR="006249D9" w:rsidRPr="00B63062" w:rsidRDefault="006249D9" w:rsidP="006249D9">
      <w:pPr>
        <w:pStyle w:val="Prrafodelista"/>
        <w:rPr>
          <w:rFonts w:ascii="Bookman Old Style" w:hAnsi="Bookman Old Style" w:cs="Arial"/>
          <w:color w:val="000000" w:themeColor="text1"/>
          <w:sz w:val="24"/>
          <w:szCs w:val="24"/>
        </w:rPr>
      </w:pPr>
    </w:p>
    <w:p w:rsidR="006249D9" w:rsidRPr="00463060"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ParaPr>
          <m:jc m:val="center"/>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VLRBP</m:t>
              </m:r>
            </m:e>
            <m:sub>
              <m:r>
                <w:rPr>
                  <w:rFonts w:ascii="Cambria Math" w:hAnsi="Cambria Math" w:cs="Arial"/>
                  <w:color w:val="000000" w:themeColor="text1"/>
                  <w:sz w:val="24"/>
                  <w:szCs w:val="24"/>
                </w:rPr>
                <m:t xml:space="preserve">v </m:t>
              </m:r>
            </m:sub>
          </m:sSub>
          <m:r>
            <w:rPr>
              <w:rFonts w:ascii="Cambria Math" w:hAnsi="Cambria Math" w:cs="Arial"/>
              <w:color w:val="000000" w:themeColor="text1"/>
              <w:sz w:val="24"/>
              <w:szCs w:val="24"/>
            </w:rPr>
            <m:t xml:space="preserve">=0,05 ×30 ×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 xml:space="preserve"> ×p ×TRM</m:t>
          </m:r>
        </m:oMath>
      </m:oMathPara>
    </w:p>
    <w:p w:rsidR="006249D9" w:rsidRPr="00B63062"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final</w:t>
      </w:r>
    </w:p>
    <w:p w:rsidR="006249D9" w:rsidRPr="00B63062"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ParaPr>
          <m:jc m:val="center"/>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VLRBP</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 xml:space="preserve">=0,05 ×30 × </m:t>
          </m:r>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up>
              <m:r>
                <w:rPr>
                  <w:rFonts w:ascii="Cambria Math" w:hAnsi="Cambria Math" w:cs="Arial"/>
                  <w:color w:val="000000" w:themeColor="text1"/>
                  <w:sz w:val="24"/>
                  <w:szCs w:val="24"/>
                </w:rPr>
                <m:t>´</m:t>
              </m:r>
            </m:sup>
          </m:sSubSup>
          <m:r>
            <w:rPr>
              <w:rFonts w:ascii="Cambria Math" w:hAnsi="Cambria Math" w:cs="Arial"/>
              <w:color w:val="000000" w:themeColor="text1"/>
              <w:sz w:val="24"/>
              <w:szCs w:val="24"/>
            </w:rPr>
            <m:t xml:space="preserve"> ×p ×TRM</m:t>
          </m:r>
        </m:oMath>
      </m:oMathPara>
    </w:p>
    <w:p w:rsidR="006249D9"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0"/>
        <w:gridCol w:w="7250"/>
      </w:tblGrid>
      <w:tr w:rsidR="006249D9" w:rsidTr="00C23575">
        <w:tc>
          <w:tcPr>
            <w:tcW w:w="1510" w:type="dxa"/>
          </w:tcPr>
          <w:p w:rsidR="006249D9" w:rsidRPr="00FE3867" w:rsidRDefault="006249D9" w:rsidP="00C23575">
            <w:pPr>
              <w:pStyle w:val="Prrafodelista"/>
              <w:ind w:left="0"/>
              <w:rPr>
                <w:rFonts w:ascii="Bookman Old Style" w:hAnsi="Bookman Old Style" w:cs="Arial"/>
                <w:color w:val="000000" w:themeColor="text1"/>
                <w:sz w:val="24"/>
                <w:szCs w:val="24"/>
              </w:rPr>
            </w:pPr>
            <m:oMathPara>
              <m:oMathParaPr>
                <m:jc m:val="left"/>
              </m:oMathParaPr>
              <m:oMath>
                <m:r>
                  <w:rPr>
                    <w:rFonts w:ascii="Cambria Math" w:hAnsi="Cambria Math" w:cs="Arial"/>
                    <w:color w:val="000000" w:themeColor="text1"/>
                    <w:sz w:val="24"/>
                    <w:szCs w:val="24"/>
                  </w:rPr>
                  <m:t>v:</m:t>
                </m:r>
              </m:oMath>
            </m:oMathPara>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tc>
        <w:tc>
          <w:tcPr>
            <w:tcW w:w="7250" w:type="dxa"/>
          </w:tcPr>
          <w:p w:rsidR="006249D9" w:rsidRPr="0016383D" w:rsidRDefault="006249D9" w:rsidP="00C23575">
            <w:pPr>
              <w:pStyle w:val="Prrafodelista"/>
              <w:ind w:left="0"/>
              <w:jc w:val="both"/>
              <w:rPr>
                <w:rFonts w:ascii="Bookman Old Style" w:hAnsi="Bookman Old Style" w:cs="Arial"/>
                <w:color w:val="000000" w:themeColor="text1"/>
                <w:sz w:val="24"/>
                <w:szCs w:val="24"/>
              </w:rPr>
            </w:pPr>
            <w:r w:rsidRPr="0016383D">
              <w:rPr>
                <w:rFonts w:ascii="Bookman Old Style" w:hAnsi="Bookman Old Style" w:cs="Arial"/>
                <w:color w:val="000000" w:themeColor="text1"/>
                <w:sz w:val="24"/>
                <w:szCs w:val="24"/>
              </w:rPr>
              <w:t>Vendedores</w:t>
            </w:r>
            <w:r>
              <w:rPr>
                <w:rFonts w:ascii="Bookman Old Style" w:hAnsi="Bookman Old Style" w:cs="Arial"/>
                <w:color w:val="000000" w:themeColor="text1"/>
                <w:sz w:val="24"/>
                <w:szCs w:val="24"/>
              </w:rPr>
              <w:t>.</w:t>
            </w:r>
            <w:r w:rsidRPr="0016383D">
              <w:rPr>
                <w:rFonts w:ascii="Bookman Old Style" w:hAnsi="Bookman Old Style" w:cs="Arial"/>
                <w:color w:val="000000" w:themeColor="text1"/>
                <w:sz w:val="24"/>
                <w:szCs w:val="24"/>
              </w:rPr>
              <w:t xml:space="preserve"> </w:t>
            </w:r>
          </w:p>
        </w:tc>
      </w:tr>
      <w:tr w:rsidR="006249D9" w:rsidTr="00C23575">
        <w:tc>
          <w:tcPr>
            <w:tcW w:w="1510" w:type="dxa"/>
          </w:tcPr>
          <w:p w:rsidR="006249D9" w:rsidRPr="00FE3867" w:rsidRDefault="008955C4" w:rsidP="00C23575">
            <w:pPr>
              <w:pStyle w:val="Prrafodelista"/>
              <w:tabs>
                <w:tab w:val="left" w:pos="567"/>
              </w:tabs>
              <w:ind w:left="0"/>
              <w:jc w:val="both"/>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VLRBP</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m:t>
                </m:r>
              </m:oMath>
            </m:oMathPara>
          </w:p>
          <w:p w:rsidR="006249D9" w:rsidRDefault="006249D9" w:rsidP="00C23575">
            <w:pPr>
              <w:pStyle w:val="Prrafodelista"/>
              <w:tabs>
                <w:tab w:val="left" w:pos="567"/>
              </w:tabs>
              <w:ind w:left="0"/>
              <w:jc w:val="both"/>
              <w:rPr>
                <w:color w:val="000000" w:themeColor="text1"/>
                <w:sz w:val="24"/>
                <w:szCs w:val="24"/>
              </w:rPr>
            </w:pPr>
          </w:p>
        </w:tc>
        <w:tc>
          <w:tcPr>
            <w:tcW w:w="7250"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Valor de la garantía en pesos Colombianos.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510" w:type="dxa"/>
          </w:tcPr>
          <w:p w:rsidR="006249D9" w:rsidRPr="00FE3867" w:rsidRDefault="006249D9" w:rsidP="00C23575">
            <w:pPr>
              <w:tabs>
                <w:tab w:val="left" w:pos="567"/>
              </w:tabs>
              <w:ind w:left="0"/>
              <w:jc w:val="both"/>
              <w:rPr>
                <w:rFonts w:ascii="Bookman Old Style" w:hAnsi="Bookman Old Style" w:cs="Arial"/>
                <w:color w:val="000000" w:themeColor="text1"/>
              </w:rPr>
            </w:pPr>
            <m:oMath>
              <m:r>
                <w:rPr>
                  <w:rFonts w:ascii="Cambria Math" w:hAnsi="Cambria Math" w:cs="Arial"/>
                  <w:color w:val="000000" w:themeColor="text1"/>
                </w:rPr>
                <m:t>p</m:t>
              </m:r>
            </m:oMath>
            <w:r w:rsidRPr="00FE3867">
              <w:rPr>
                <w:rFonts w:ascii="Bookman Old Style" w:hAnsi="Bookman Old Style" w:cs="Arial"/>
                <w:color w:val="000000" w:themeColor="text1"/>
              </w:rPr>
              <w:t>:</w:t>
            </w:r>
            <m:oMath>
              <m:r>
                <m:rPr>
                  <m:sty m:val="p"/>
                </m:rPr>
                <w:rPr>
                  <w:rFonts w:ascii="Cambria Math" w:hAnsi="Cambria Math" w:cs="Arial"/>
                  <w:color w:val="000000" w:themeColor="text1"/>
                </w:rPr>
                <w:br/>
              </m:r>
            </m:oMath>
          </w:p>
          <w:p w:rsidR="006249D9" w:rsidRDefault="006249D9" w:rsidP="00C23575">
            <w:pPr>
              <w:pStyle w:val="Prrafodelista"/>
              <w:ind w:left="0"/>
              <w:jc w:val="both"/>
              <w:rPr>
                <w:rFonts w:ascii="Bookman Old Style" w:hAnsi="Bookman Old Style" w:cs="Arial"/>
                <w:color w:val="000000" w:themeColor="text1"/>
                <w:sz w:val="24"/>
                <w:szCs w:val="24"/>
              </w:rPr>
            </w:pPr>
          </w:p>
        </w:tc>
        <w:tc>
          <w:tcPr>
            <w:tcW w:w="7250"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 xml:space="preserve">Precio en dólares de los Estados Unidos de América por MBTU. Para la primera subasta bimestral el precio </w:t>
            </w:r>
            <m:oMath>
              <m:r>
                <w:rPr>
                  <w:rFonts w:ascii="Cambria Math" w:hAnsi="Cambria Math" w:cs="Arial"/>
                  <w:color w:val="000000" w:themeColor="text1"/>
                  <w:sz w:val="24"/>
                  <w:szCs w:val="24"/>
                </w:rPr>
                <m:t>p</m:t>
              </m:r>
            </m:oMath>
            <w:r>
              <w:rPr>
                <w:rFonts w:ascii="Bookman Old Style" w:hAnsi="Bookman Old Style" w:cs="Arial"/>
                <w:sz w:val="24"/>
                <w:szCs w:val="24"/>
              </w:rPr>
              <w:t xml:space="preserve"> corresponderá al precio promedio ponderado por cantidad de los contratos firmes a un (1) año, negociados en el año inmediatamente anterior.</w:t>
            </w:r>
          </w:p>
          <w:p w:rsidR="006249D9" w:rsidRDefault="006249D9"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 xml:space="preserve">Después de la primera subasta de contratos firmes bimestrales el precio </w:t>
            </w:r>
            <m:oMath>
              <m:r>
                <w:rPr>
                  <w:rFonts w:ascii="Cambria Math" w:hAnsi="Cambria Math" w:cs="Arial"/>
                  <w:color w:val="000000" w:themeColor="text1"/>
                  <w:sz w:val="24"/>
                  <w:szCs w:val="24"/>
                </w:rPr>
                <m:t>p</m:t>
              </m:r>
            </m:oMath>
            <w:r>
              <w:rPr>
                <w:rFonts w:ascii="Bookman Old Style" w:hAnsi="Bookman Old Style" w:cs="Arial"/>
                <w:sz w:val="24"/>
                <w:szCs w:val="24"/>
              </w:rPr>
              <w:t xml:space="preserve"> por campo o punto de entrada al SNT corresponderá al precio de cierre de la subasta de contratos firmes bimestrales anterior publicado por el gestor del mercado.</w:t>
            </w:r>
          </w:p>
          <w:p w:rsidR="006249D9" w:rsidRDefault="006249D9"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En caso de que no se conozca algún precio de cierre de la subasta anterior se tomará el valor utilizado para este cálculo en la subasta anterior publicado por el gestor del mercado por campo o punto de entrada al SNT.</w:t>
            </w:r>
          </w:p>
          <w:p w:rsidR="006249D9" w:rsidRPr="00CB46CD" w:rsidRDefault="006249D9" w:rsidP="00C23575">
            <w:pPr>
              <w:pStyle w:val="Prrafodelista"/>
              <w:ind w:left="0"/>
              <w:jc w:val="both"/>
              <w:rPr>
                <w:rFonts w:ascii="Bookman Old Style" w:hAnsi="Bookman Old Style" w:cs="Arial"/>
                <w:sz w:val="24"/>
                <w:szCs w:val="24"/>
              </w:rPr>
            </w:pPr>
          </w:p>
        </w:tc>
      </w:tr>
      <w:tr w:rsidR="006249D9" w:rsidTr="00C23575">
        <w:tc>
          <w:tcPr>
            <w:tcW w:w="1510" w:type="dxa"/>
          </w:tcPr>
          <w:p w:rsidR="006249D9" w:rsidRDefault="006249D9" w:rsidP="00C23575">
            <w:pPr>
              <w:pStyle w:val="Prrafodelista"/>
              <w:ind w:left="0"/>
              <w:jc w:val="both"/>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250"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510" w:type="dxa"/>
          </w:tcPr>
          <w:p w:rsidR="006249D9" w:rsidRPr="00FE3867" w:rsidRDefault="008955C4" w:rsidP="00C23575">
            <w:pPr>
              <w:pStyle w:val="Prrafodelista"/>
              <w:ind w:left="0"/>
              <w:jc w:val="both"/>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oMath>
            </m:oMathPara>
          </w:p>
        </w:tc>
        <w:tc>
          <w:tcPr>
            <w:tcW w:w="7250"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Para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la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primera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subasta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en que participe el vendedor</w:t>
            </w:r>
            <m:oMath>
              <m:r>
                <m:rPr>
                  <m:sty m:val="p"/>
                </m:rPr>
                <w:rPr>
                  <w:rFonts w:ascii="Cambria Math" w:hAnsi="Cambria Math" w:cs="Arial"/>
                  <w:color w:val="000000" w:themeColor="text1"/>
                  <w:sz w:val="24"/>
                  <w:szCs w:val="24"/>
                </w:rPr>
                <w:br/>
              </m:r>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el valor de la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oMath>
            <w:r>
              <w:rPr>
                <w:rFonts w:ascii="Bookman Old Style" w:hAnsi="Bookman Old Style" w:cs="Arial"/>
                <w:color w:val="000000" w:themeColor="text1"/>
                <w:sz w:val="24"/>
                <w:szCs w:val="24"/>
              </w:rPr>
              <w:t xml:space="preserve"> corresponderá a 17000 MBTUD. </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Para las siguientes subastas el valor de la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oMath>
            <w:r>
              <w:rPr>
                <w:rFonts w:ascii="Bookman Old Style" w:hAnsi="Bookman Old Style" w:cs="Arial"/>
                <w:color w:val="000000" w:themeColor="text1"/>
                <w:sz w:val="24"/>
                <w:szCs w:val="24"/>
              </w:rPr>
              <w:t xml:space="preserve"> corresponderá al mayor valor observado de oferta del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en las subastas anteriores realizadas en un período no mayor a 12 meses en MBTUD.</w:t>
            </w:r>
          </w:p>
          <w:p w:rsidR="006249D9" w:rsidRPr="0016383D" w:rsidRDefault="006249D9" w:rsidP="00C23575">
            <w:pPr>
              <w:tabs>
                <w:tab w:val="left" w:pos="567"/>
              </w:tabs>
              <w:ind w:left="0"/>
              <w:jc w:val="both"/>
              <w:rPr>
                <w:rFonts w:ascii="Bookman Old Style" w:hAnsi="Bookman Old Style" w:cs="Arial"/>
                <w:color w:val="000000" w:themeColor="text1"/>
              </w:rPr>
            </w:pPr>
          </w:p>
        </w:tc>
      </w:tr>
      <w:tr w:rsidR="006249D9" w:rsidTr="00C23575">
        <w:tc>
          <w:tcPr>
            <w:tcW w:w="1510" w:type="dxa"/>
          </w:tcPr>
          <w:p w:rsidR="006249D9" w:rsidRPr="00FE3867" w:rsidRDefault="008955C4" w:rsidP="00C23575">
            <w:pPr>
              <w:pStyle w:val="Prrafodelista"/>
              <w:ind w:left="0"/>
              <w:rPr>
                <w:rFonts w:ascii="Bookman Old Style" w:hAnsi="Bookman Old Style" w:cs="Arial"/>
                <w:color w:val="000000" w:themeColor="text1"/>
                <w:sz w:val="24"/>
                <w:szCs w:val="24"/>
              </w:rPr>
            </w:pPr>
            <m:oMathPara>
              <m:oMathParaPr>
                <m:jc m:val="left"/>
              </m:oMathParaP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up>
                    <m:r>
                      <w:rPr>
                        <w:rFonts w:ascii="Cambria Math" w:hAnsi="Cambria Math" w:cs="Arial"/>
                        <w:color w:val="000000" w:themeColor="text1"/>
                        <w:sz w:val="24"/>
                        <w:szCs w:val="24"/>
                      </w:rPr>
                      <m:t>'</m:t>
                    </m:r>
                  </m:sup>
                </m:sSubSup>
              </m:oMath>
            </m:oMathPara>
          </w:p>
        </w:tc>
        <w:tc>
          <w:tcPr>
            <w:tcW w:w="7250"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Cantidad de energía que el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declara en la subasta.</w:t>
            </w:r>
          </w:p>
          <w:p w:rsidR="006249D9" w:rsidRDefault="006249D9" w:rsidP="00C23575">
            <w:pPr>
              <w:pStyle w:val="Prrafodelista"/>
              <w:ind w:left="0"/>
              <w:rPr>
                <w:rFonts w:ascii="Bookman Old Style" w:hAnsi="Bookman Old Style" w:cs="Arial"/>
                <w:color w:val="000000" w:themeColor="text1"/>
                <w:sz w:val="24"/>
                <w:szCs w:val="24"/>
              </w:rPr>
            </w:pPr>
          </w:p>
        </w:tc>
      </w:tr>
    </w:tbl>
    <w:p w:rsidR="006249D9"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garantía para los compradores: La garantía de participación tiene un valor inicial en la fecha de entrega y un valor final ajustado cuando el gestor del mercado de gas conozca la declaración de la demanda.</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inicial</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FC37D0" w:rsidRDefault="008955C4" w:rsidP="006249D9">
      <w:pPr>
        <w:pStyle w:val="Prrafodelista"/>
        <w:tabs>
          <w:tab w:val="left" w:pos="567"/>
        </w:tabs>
        <w:ind w:left="1080"/>
        <w:jc w:val="both"/>
        <w:rPr>
          <w:rFonts w:ascii="Bookman Old Style" w:hAnsi="Bookman Old Style" w:cs="Arial"/>
          <w:color w:val="000000" w:themeColor="text1"/>
          <w:sz w:val="24"/>
          <w:szCs w:val="24"/>
          <w:highlight w:val="yellow"/>
        </w:rPr>
      </w:pPr>
      <m:oMathPara>
        <m:oMathParaPr>
          <m:jc m:val="center"/>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VLRBP</m:t>
              </m:r>
            </m:e>
            <m:sub>
              <m:r>
                <w:rPr>
                  <w:rFonts w:ascii="Cambria Math" w:hAnsi="Cambria Math" w:cs="Arial"/>
                  <w:color w:val="000000" w:themeColor="text1"/>
                  <w:sz w:val="24"/>
                  <w:szCs w:val="24"/>
                </w:rPr>
                <m:t>c =</m:t>
              </m:r>
            </m:sub>
          </m:sSub>
          <m:r>
            <w:rPr>
              <w:rFonts w:ascii="Cambria Math" w:hAnsi="Cambria Math" w:cs="Arial"/>
              <w:color w:val="000000" w:themeColor="text1"/>
              <w:sz w:val="24"/>
              <w:szCs w:val="24"/>
            </w:rPr>
            <m:t xml:space="preserve"> 0,05 ×30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 xml:space="preserve"> ×p ×TRM</m:t>
          </m:r>
        </m:oMath>
      </m:oMathPara>
    </w:p>
    <w:p w:rsidR="006249D9" w:rsidRDefault="006249D9" w:rsidP="006249D9">
      <w:pPr>
        <w:pStyle w:val="Prrafodelista"/>
        <w:rPr>
          <w:rFonts w:ascii="Bookman Old Style" w:hAnsi="Bookman Old Style" w:cs="Arial"/>
          <w:color w:val="000000" w:themeColor="text1"/>
          <w:sz w:val="24"/>
          <w:szCs w:val="24"/>
          <w:highlight w:val="yellow"/>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FC37D0">
        <w:rPr>
          <w:rFonts w:ascii="Bookman Old Style" w:hAnsi="Bookman Old Style" w:cs="Arial"/>
          <w:color w:val="000000" w:themeColor="text1"/>
          <w:sz w:val="24"/>
          <w:szCs w:val="24"/>
        </w:rPr>
        <w:t>Valor final</w:t>
      </w:r>
    </w:p>
    <w:p w:rsidR="006249D9" w:rsidRPr="00FC37D0"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8955C4" w:rsidP="006249D9">
      <w:pPr>
        <w:pStyle w:val="Prrafodelista"/>
        <w:rPr>
          <w:rFonts w:ascii="Bookman Old Style" w:hAnsi="Bookman Old Style" w:cs="Arial"/>
          <w:color w:val="000000" w:themeColor="text1"/>
          <w:sz w:val="24"/>
          <w:szCs w:val="24"/>
          <w:highlight w:val="yellow"/>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VLRBP</m:t>
              </m:r>
            </m:e>
            <m:sub>
              <m:r>
                <w:rPr>
                  <w:rFonts w:ascii="Cambria Math" w:hAnsi="Cambria Math" w:cs="Arial"/>
                  <w:color w:val="000000" w:themeColor="text1"/>
                  <w:sz w:val="24"/>
                  <w:szCs w:val="24"/>
                </w:rPr>
                <m:t>c =</m:t>
              </m:r>
            </m:sub>
          </m:sSub>
          <m:r>
            <w:rPr>
              <w:rFonts w:ascii="Cambria Math" w:hAnsi="Cambria Math" w:cs="Arial"/>
              <w:color w:val="000000" w:themeColor="text1"/>
              <w:sz w:val="24"/>
              <w:szCs w:val="24"/>
            </w:rPr>
            <m:t xml:space="preserve"> 0,05 ×30 ×</m:t>
          </m:r>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up>
              <m:r>
                <w:rPr>
                  <w:rFonts w:ascii="Cambria Math" w:hAnsi="Cambria Math" w:cs="Arial"/>
                  <w:color w:val="000000" w:themeColor="text1"/>
                  <w:sz w:val="24"/>
                  <w:szCs w:val="24"/>
                </w:rPr>
                <m:t>'</m:t>
              </m:r>
            </m:sup>
          </m:sSubSup>
          <m:r>
            <w:rPr>
              <w:rFonts w:ascii="Cambria Math" w:hAnsi="Cambria Math" w:cs="Arial"/>
              <w:color w:val="000000" w:themeColor="text1"/>
              <w:sz w:val="24"/>
              <w:szCs w:val="24"/>
            </w:rPr>
            <m:t xml:space="preserve"> ×p ×TRM</m:t>
          </m:r>
        </m:oMath>
      </m:oMathPara>
    </w:p>
    <w:p w:rsidR="006249D9" w:rsidRPr="00B25D68" w:rsidRDefault="006249D9" w:rsidP="006249D9">
      <w:pPr>
        <w:pStyle w:val="Prrafodelista"/>
        <w:rPr>
          <w:rFonts w:ascii="Bookman Old Style" w:hAnsi="Bookman Old Style" w:cs="Arial"/>
          <w:color w:val="000000" w:themeColor="text1"/>
          <w:sz w:val="24"/>
          <w:szCs w:val="24"/>
          <w:highlight w:val="yellow"/>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roofErr w:type="spellStart"/>
      <w:r w:rsidRPr="00FC37D0">
        <w:rPr>
          <w:rFonts w:ascii="Bookman Old Style" w:hAnsi="Bookman Old Style" w:cs="Arial"/>
          <w:color w:val="000000" w:themeColor="text1"/>
          <w:sz w:val="24"/>
          <w:szCs w:val="24"/>
        </w:rPr>
        <w:t>Donde</w:t>
      </w:r>
      <w:proofErr w:type="spellEnd"/>
      <w:r w:rsidRPr="00FC37D0">
        <w:rPr>
          <w:rFonts w:ascii="Bookman Old Style" w:hAnsi="Bookman Old Style" w:cs="Arial"/>
          <w:color w:val="000000" w:themeColor="text1"/>
          <w:sz w:val="24"/>
          <w:szCs w:val="24"/>
        </w:rPr>
        <w:t>:</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tbl>
      <w:tblPr>
        <w:tblStyle w:val="Tablaconcuadrcula"/>
        <w:tblW w:w="0" w:type="auto"/>
        <w:tblInd w:w="1242" w:type="dxa"/>
        <w:tblBorders>
          <w:top w:val="single" w:sz="4" w:space="0" w:color="FFFFFF" w:themeColor="background1"/>
          <w:left w:val="single" w:sz="4" w:space="0" w:color="FFFFFF" w:themeColor="background1"/>
          <w:bottom w:val="none" w:sz="0" w:space="0" w:color="auto"/>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560"/>
        <w:gridCol w:w="6775"/>
      </w:tblGrid>
      <w:tr w:rsidR="006249D9" w:rsidTr="00C23575">
        <w:tc>
          <w:tcPr>
            <w:tcW w:w="1560" w:type="dxa"/>
          </w:tcPr>
          <w:p w:rsidR="006249D9" w:rsidRPr="0016383D"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w:t>
            </w:r>
          </w:p>
        </w:tc>
        <w:tc>
          <w:tcPr>
            <w:tcW w:w="6775"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Compradores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560" w:type="dxa"/>
          </w:tcPr>
          <w:p w:rsidR="006249D9" w:rsidRPr="00FE3867" w:rsidRDefault="008955C4" w:rsidP="00C23575">
            <w:pPr>
              <w:pStyle w:val="Prrafodelista"/>
              <w:tabs>
                <w:tab w:val="left" w:pos="567"/>
              </w:tabs>
              <w:ind w:left="0"/>
              <w:jc w:val="both"/>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VLRBP</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p w:rsidR="006249D9" w:rsidRDefault="006249D9" w:rsidP="00C23575">
            <w:pPr>
              <w:pStyle w:val="Prrafodelista"/>
              <w:tabs>
                <w:tab w:val="left" w:pos="567"/>
              </w:tabs>
              <w:ind w:left="0"/>
              <w:jc w:val="both"/>
              <w:rPr>
                <w:color w:val="000000" w:themeColor="text1"/>
                <w:sz w:val="24"/>
                <w:szCs w:val="24"/>
              </w:rPr>
            </w:pPr>
          </w:p>
        </w:tc>
        <w:tc>
          <w:tcPr>
            <w:tcW w:w="6775"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Valor de la garantía en pesos Colombianos.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560"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6775"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 xml:space="preserve">Precio en dólares de los Estados Unidos de América. Para la primera subasta bimestral el precio </w:t>
            </w:r>
            <m:oMath>
              <m:r>
                <w:rPr>
                  <w:rFonts w:ascii="Cambria Math" w:hAnsi="Cambria Math" w:cs="Arial"/>
                  <w:color w:val="000000" w:themeColor="text1"/>
                  <w:sz w:val="24"/>
                  <w:szCs w:val="24"/>
                </w:rPr>
                <m:t>p</m:t>
              </m:r>
            </m:oMath>
            <w:r>
              <w:rPr>
                <w:rFonts w:ascii="Bookman Old Style" w:hAnsi="Bookman Old Style" w:cs="Arial"/>
                <w:sz w:val="24"/>
                <w:szCs w:val="24"/>
              </w:rPr>
              <w:t xml:space="preserve"> corresponderá al precio promedio ponderado por cantidad de los contratos firmes a un (1) año, negociados en el año inmediatamente anterior.</w:t>
            </w:r>
          </w:p>
          <w:p w:rsidR="006249D9" w:rsidRDefault="006249D9"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 xml:space="preserve">Después de la primera subasta de contratos firmes bimestrales el precio </w:t>
            </w:r>
            <m:oMath>
              <m:r>
                <w:rPr>
                  <w:rFonts w:ascii="Cambria Math" w:hAnsi="Cambria Math" w:cs="Arial"/>
                  <w:color w:val="000000" w:themeColor="text1"/>
                  <w:sz w:val="24"/>
                  <w:szCs w:val="24"/>
                </w:rPr>
                <m:t>p</m:t>
              </m:r>
            </m:oMath>
            <w:r>
              <w:rPr>
                <w:rFonts w:ascii="Bookman Old Style" w:hAnsi="Bookman Old Style" w:cs="Arial"/>
                <w:sz w:val="24"/>
                <w:szCs w:val="24"/>
              </w:rPr>
              <w:t xml:space="preserve"> por campo o punto de entrada al SNT corresponderá al precio de cierre de la subasta de contratos firmes bimestrales anterior publicado por el gestor del mercado.</w:t>
            </w:r>
          </w:p>
          <w:p w:rsidR="006249D9" w:rsidRDefault="006249D9"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En caso de que no se conozca algún precio de cierre de la subasta anterior se tomará el valor utilizado para este cálculo en la subasta anterior publicado por el gestor del mercado por campo o punto de entrada al SNT.</w:t>
            </w:r>
          </w:p>
          <w:p w:rsidR="006249D9" w:rsidRPr="00CB46CD" w:rsidRDefault="006249D9" w:rsidP="00C23575">
            <w:pPr>
              <w:pStyle w:val="Prrafodelista"/>
              <w:ind w:left="0"/>
              <w:jc w:val="both"/>
              <w:rPr>
                <w:rFonts w:ascii="Bookman Old Style" w:hAnsi="Bookman Old Style" w:cs="Arial"/>
                <w:sz w:val="24"/>
                <w:szCs w:val="24"/>
              </w:rPr>
            </w:pPr>
          </w:p>
        </w:tc>
      </w:tr>
      <w:tr w:rsidR="006249D9" w:rsidTr="00C23575">
        <w:tc>
          <w:tcPr>
            <w:tcW w:w="1560"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6775"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560" w:type="dxa"/>
          </w:tcPr>
          <w:p w:rsidR="006249D9" w:rsidRPr="002705E0"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oMath>
            <w:r w:rsidR="006249D9">
              <w:rPr>
                <w:rFonts w:ascii="Bookman Old Style" w:hAnsi="Bookman Old Style" w:cs="Arial"/>
                <w:color w:val="000000" w:themeColor="text1"/>
                <w:sz w:val="24"/>
                <w:szCs w:val="24"/>
              </w:rPr>
              <w:t>:</w:t>
            </w:r>
          </w:p>
        </w:tc>
        <w:tc>
          <w:tcPr>
            <w:tcW w:w="6775"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Para la primera subasta</w:t>
            </w:r>
            <w:r w:rsidR="00353D16">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en que participe 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valor de la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oMath>
            <w:r>
              <w:rPr>
                <w:rFonts w:ascii="Bookman Old Style" w:hAnsi="Bookman Old Style" w:cs="Arial"/>
                <w:color w:val="000000" w:themeColor="text1"/>
                <w:sz w:val="24"/>
                <w:szCs w:val="24"/>
              </w:rPr>
              <w:t xml:space="preserve"> corresponderá a 17000 MBTUD. </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Para las siguientes subastas el valor de la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oMath>
            <w:r>
              <w:rPr>
                <w:rFonts w:ascii="Bookman Old Style" w:hAnsi="Bookman Old Style" w:cs="Arial"/>
                <w:color w:val="000000" w:themeColor="text1"/>
                <w:sz w:val="24"/>
                <w:szCs w:val="24"/>
              </w:rPr>
              <w:t xml:space="preserve"> corresponderá al mayor valor observado de demanda del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en las subastas anteriores realizadas en un periodo no mayor a 12 meses en MBTUD.</w:t>
            </w:r>
          </w:p>
          <w:p w:rsidR="006249D9" w:rsidRPr="0016383D" w:rsidRDefault="006249D9" w:rsidP="00C23575">
            <w:pPr>
              <w:pStyle w:val="Prrafodelista"/>
              <w:tabs>
                <w:tab w:val="left" w:pos="567"/>
              </w:tabs>
              <w:ind w:left="0"/>
              <w:jc w:val="both"/>
              <w:rPr>
                <w:rFonts w:ascii="Bookman Old Style" w:hAnsi="Bookman Old Style" w:cs="Arial"/>
                <w:color w:val="000000" w:themeColor="text1"/>
              </w:rPr>
            </w:pPr>
            <w:r>
              <w:rPr>
                <w:rFonts w:ascii="Bookman Old Style" w:hAnsi="Bookman Old Style" w:cs="Arial"/>
                <w:color w:val="000000" w:themeColor="text1"/>
                <w:sz w:val="24"/>
                <w:szCs w:val="24"/>
              </w:rPr>
              <w:t xml:space="preserve"> </w:t>
            </w:r>
          </w:p>
        </w:tc>
      </w:tr>
      <w:tr w:rsidR="006249D9" w:rsidTr="00C23575">
        <w:tc>
          <w:tcPr>
            <w:tcW w:w="1560" w:type="dxa"/>
          </w:tcPr>
          <w:p w:rsidR="006249D9" w:rsidRDefault="008955C4" w:rsidP="00C23575">
            <w:pPr>
              <w:pStyle w:val="Prrafodelista"/>
              <w:ind w:left="0"/>
              <w:rPr>
                <w:rFonts w:ascii="Bookman Old Style" w:hAnsi="Bookman Old Style" w:cs="Arial"/>
                <w:color w:val="000000" w:themeColor="text1"/>
                <w:sz w:val="24"/>
                <w:szCs w:val="24"/>
              </w:rPr>
            </w:pPr>
            <m:oMathPara>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up>
                    <m:r>
                      <w:rPr>
                        <w:rFonts w:ascii="Cambria Math" w:hAnsi="Cambria Math" w:cs="Arial"/>
                        <w:color w:val="000000" w:themeColor="text1"/>
                        <w:sz w:val="24"/>
                        <w:szCs w:val="24"/>
                      </w:rPr>
                      <m:t>'</m:t>
                    </m:r>
                  </m:sup>
                </m:sSubSup>
              </m:oMath>
            </m:oMathPara>
          </w:p>
        </w:tc>
        <w:tc>
          <w:tcPr>
            <w:tcW w:w="6775" w:type="dxa"/>
          </w:tcPr>
          <w:p w:rsidR="006249D9" w:rsidRDefault="006249D9" w:rsidP="00C23575">
            <w:pPr>
              <w:pStyle w:val="Prrafodelista"/>
              <w:ind w:left="0"/>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Cantidad de energía que 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declara en la subasta.</w:t>
            </w:r>
          </w:p>
          <w:p w:rsidR="006249D9" w:rsidRDefault="006249D9" w:rsidP="00C23575">
            <w:pPr>
              <w:pStyle w:val="Prrafodelista"/>
              <w:ind w:left="0"/>
              <w:rPr>
                <w:rFonts w:ascii="Bookman Old Style" w:hAnsi="Bookman Old Style" w:cs="Arial"/>
                <w:color w:val="000000" w:themeColor="text1"/>
                <w:sz w:val="24"/>
                <w:szCs w:val="24"/>
              </w:rPr>
            </w:pPr>
          </w:p>
        </w:tc>
      </w:tr>
    </w:tbl>
    <w:p w:rsidR="006249D9" w:rsidRDefault="006249D9" w:rsidP="006249D9">
      <w:pPr>
        <w:pStyle w:val="Prrafodelista"/>
        <w:numPr>
          <w:ilvl w:val="2"/>
          <w:numId w:val="5"/>
        </w:numPr>
        <w:tabs>
          <w:tab w:val="left" w:pos="567"/>
        </w:tabs>
        <w:ind w:left="1077"/>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Evento que da lugar a la ejecución de la garantía de participación:</w:t>
      </w:r>
      <w:r w:rsidRPr="003C2AEC">
        <w:rPr>
          <w:rFonts w:ascii="Bookman Old Style" w:hAnsi="Bookman Old Style" w:cs="Arial"/>
          <w:b/>
          <w:color w:val="000000" w:themeColor="text1"/>
          <w:sz w:val="24"/>
          <w:szCs w:val="24"/>
        </w:rPr>
        <w:t xml:space="preserve"> </w:t>
      </w:r>
      <w:r w:rsidR="004A1A5C">
        <w:rPr>
          <w:rFonts w:ascii="Bookman Old Style" w:hAnsi="Bookman Old Style" w:cs="Arial"/>
          <w:color w:val="000000" w:themeColor="text1"/>
          <w:sz w:val="24"/>
          <w:szCs w:val="24"/>
        </w:rPr>
        <w:t>Los</w:t>
      </w:r>
      <w:r>
        <w:rPr>
          <w:rFonts w:ascii="Bookman Old Style" w:hAnsi="Bookman Old Style" w:cs="Arial"/>
          <w:color w:val="000000" w:themeColor="text1"/>
          <w:sz w:val="24"/>
          <w:szCs w:val="24"/>
        </w:rPr>
        <w:t xml:space="preserve"> evento</w:t>
      </w:r>
      <w:r w:rsidR="004A1A5C">
        <w:rPr>
          <w:rFonts w:ascii="Bookman Old Style" w:hAnsi="Bookman Old Style" w:cs="Arial"/>
          <w:color w:val="000000" w:themeColor="text1"/>
          <w:sz w:val="24"/>
          <w:szCs w:val="24"/>
        </w:rPr>
        <w:t>s</w:t>
      </w:r>
      <w:r>
        <w:rPr>
          <w:rFonts w:ascii="Bookman Old Style" w:hAnsi="Bookman Old Style" w:cs="Arial"/>
          <w:color w:val="000000" w:themeColor="text1"/>
          <w:sz w:val="24"/>
          <w:szCs w:val="24"/>
        </w:rPr>
        <w:t xml:space="preserve"> que da</w:t>
      </w:r>
      <w:r w:rsidR="004A1A5C">
        <w:rPr>
          <w:rFonts w:ascii="Bookman Old Style" w:hAnsi="Bookman Old Style" w:cs="Arial"/>
          <w:color w:val="000000" w:themeColor="text1"/>
          <w:sz w:val="24"/>
          <w:szCs w:val="24"/>
        </w:rPr>
        <w:t>n</w:t>
      </w:r>
      <w:r>
        <w:rPr>
          <w:rFonts w:ascii="Bookman Old Style" w:hAnsi="Bookman Old Style" w:cs="Arial"/>
          <w:color w:val="000000" w:themeColor="text1"/>
          <w:sz w:val="24"/>
          <w:szCs w:val="24"/>
        </w:rPr>
        <w:t xml:space="preserve"> lugar a la ejecución de la garantía </w:t>
      </w:r>
      <w:r w:rsidR="004A1A5C">
        <w:rPr>
          <w:rFonts w:ascii="Bookman Old Style" w:hAnsi="Bookman Old Style" w:cs="Arial"/>
          <w:color w:val="000000" w:themeColor="text1"/>
          <w:sz w:val="24"/>
          <w:szCs w:val="24"/>
        </w:rPr>
        <w:t>son</w:t>
      </w:r>
      <w:r>
        <w:rPr>
          <w:rFonts w:ascii="Bookman Old Style" w:hAnsi="Bookman Old Style" w:cs="Arial"/>
          <w:color w:val="000000" w:themeColor="text1"/>
          <w:sz w:val="24"/>
          <w:szCs w:val="24"/>
        </w:rPr>
        <w:t xml:space="preserve"> la no suscripción del contrato dentro de los siguientes tres días hábiles al decimosegundo día hábil del mes anterior al mes de inicio </w:t>
      </w:r>
      <w:r w:rsidR="004A1A5C">
        <w:rPr>
          <w:rFonts w:ascii="Bookman Old Style" w:hAnsi="Bookman Old Style" w:cs="Arial"/>
          <w:color w:val="000000" w:themeColor="text1"/>
          <w:sz w:val="24"/>
          <w:szCs w:val="24"/>
        </w:rPr>
        <w:t xml:space="preserve">del suministro de la energía o </w:t>
      </w:r>
      <w:r>
        <w:rPr>
          <w:rFonts w:ascii="Bookman Old Style" w:hAnsi="Bookman Old Style" w:cs="Arial"/>
          <w:color w:val="000000" w:themeColor="text1"/>
          <w:sz w:val="24"/>
          <w:szCs w:val="24"/>
        </w:rPr>
        <w:t xml:space="preserve">la no entrega de la garantía </w:t>
      </w:r>
      <m:oMath>
        <m:sSub>
          <m:sSubPr>
            <m:ctrlPr>
              <w:rPr>
                <w:rFonts w:ascii="Cambria Math" w:hAnsi="Cambria Math" w:cs="Arial"/>
                <w:i/>
                <w:sz w:val="24"/>
                <w:szCs w:val="24"/>
              </w:rPr>
            </m:ctrlPr>
          </m:sSubPr>
          <m:e>
            <m:r>
              <w:rPr>
                <w:rFonts w:ascii="Cambria Math" w:hAnsi="Cambria Math" w:cs="Arial"/>
                <w:sz w:val="24"/>
                <w:szCs w:val="24"/>
              </w:rPr>
              <m:t>VLRC</m:t>
            </m:r>
          </m:e>
          <m:sub>
            <m:r>
              <w:rPr>
                <w:rFonts w:ascii="Cambria Math" w:hAnsi="Cambria Math" w:cs="Arial"/>
                <w:sz w:val="24"/>
                <w:szCs w:val="24"/>
              </w:rPr>
              <m:t xml:space="preserve"> </m:t>
            </m:r>
          </m:sub>
        </m:sSub>
      </m:oMath>
      <w:r>
        <w:rPr>
          <w:rFonts w:ascii="Bookman Old Style" w:hAnsi="Bookman Old Style" w:cs="Arial"/>
          <w:sz w:val="24"/>
          <w:szCs w:val="24"/>
        </w:rPr>
        <w:t>para cubrir el primer mes del contrato</w:t>
      </w:r>
      <w:r>
        <w:rPr>
          <w:rFonts w:ascii="Bookman Old Style" w:hAnsi="Bookman Old Style" w:cs="Arial"/>
          <w:color w:val="000000" w:themeColor="text1"/>
          <w:sz w:val="24"/>
          <w:szCs w:val="24"/>
        </w:rPr>
        <w:t xml:space="preserve">, en la fecha establecida en el numeral 3.2. del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o del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según corresponda.</w:t>
      </w:r>
    </w:p>
    <w:p w:rsidR="006249D9" w:rsidRPr="00977AB1" w:rsidRDefault="006249D9" w:rsidP="006249D9">
      <w:pPr>
        <w:tabs>
          <w:tab w:val="left" w:pos="567"/>
        </w:tabs>
        <w:ind w:left="360"/>
        <w:jc w:val="both"/>
        <w:rPr>
          <w:rFonts w:ascii="Bookman Old Style" w:hAnsi="Bookman Old Style" w:cs="Arial"/>
          <w:color w:val="000000" w:themeColor="text1"/>
          <w:lang w:val="es-CO"/>
        </w:rPr>
      </w:pPr>
    </w:p>
    <w:p w:rsidR="006249D9" w:rsidRPr="003702E2"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Garantía de cumplimiento</w:t>
      </w: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Default="006249D9" w:rsidP="006249D9">
      <w:pPr>
        <w:pStyle w:val="Prrafodelista"/>
        <w:tabs>
          <w:tab w:val="left" w:pos="567"/>
        </w:tabs>
        <w:ind w:left="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Los vendedores y compradores podrán acordar los mecanismos de cobertura para el cumplimiento de las obligaciones derivadas de la subasta. En caso de que no se pongan de acuerdo, los vendedores y compradores deberán acogerse al mecanismo de cobertura que se expone a continuación:</w:t>
      </w:r>
    </w:p>
    <w:p w:rsidR="006249D9" w:rsidRDefault="006249D9" w:rsidP="006249D9">
      <w:pPr>
        <w:pStyle w:val="Prrafodelista"/>
        <w:tabs>
          <w:tab w:val="left" w:pos="567"/>
        </w:tabs>
        <w:ind w:left="0"/>
        <w:jc w:val="both"/>
        <w:rPr>
          <w:rFonts w:ascii="Bookman Old Style" w:hAnsi="Bookman Old Style" w:cs="Arial"/>
          <w:b/>
          <w:color w:val="000000" w:themeColor="text1"/>
          <w:sz w:val="24"/>
          <w:szCs w:val="24"/>
        </w:rPr>
      </w:pPr>
    </w:p>
    <w:p w:rsidR="006249D9" w:rsidRPr="003702E2"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bookmarkStart w:id="6" w:name="_Ref410740913"/>
      <w:r w:rsidRPr="003702E2">
        <w:rPr>
          <w:rFonts w:ascii="Bookman Old Style" w:hAnsi="Bookman Old Style" w:cs="Arial"/>
          <w:color w:val="000000" w:themeColor="text1"/>
          <w:sz w:val="24"/>
          <w:szCs w:val="24"/>
        </w:rPr>
        <w:t>Sujetos objeto de la constitución de la garantía de cumplimiento</w:t>
      </w:r>
      <w:r>
        <w:rPr>
          <w:rFonts w:ascii="Bookman Old Style" w:hAnsi="Bookman Old Style" w:cs="Arial"/>
          <w:color w:val="000000" w:themeColor="text1"/>
          <w:sz w:val="24"/>
          <w:szCs w:val="24"/>
        </w:rPr>
        <w:t>:</w:t>
      </w:r>
      <w:bookmarkEnd w:id="6"/>
    </w:p>
    <w:p w:rsidR="006249D9" w:rsidRDefault="006249D9" w:rsidP="006249D9">
      <w:pPr>
        <w:pStyle w:val="Prrafodelista"/>
        <w:tabs>
          <w:tab w:val="left" w:pos="567"/>
        </w:tabs>
        <w:ind w:left="1080"/>
        <w:jc w:val="both"/>
        <w:rPr>
          <w:rFonts w:ascii="Bookman Old Style" w:hAnsi="Bookman Old Style" w:cs="Arial"/>
          <w:b/>
          <w:color w:val="000000" w:themeColor="text1"/>
          <w:sz w:val="24"/>
          <w:szCs w:val="24"/>
        </w:rPr>
      </w:pPr>
    </w:p>
    <w:p w:rsidR="006249D9" w:rsidRPr="00B627BF" w:rsidRDefault="006249D9" w:rsidP="006249D9">
      <w:pPr>
        <w:tabs>
          <w:tab w:val="left" w:pos="567"/>
        </w:tabs>
        <w:ind w:left="1080"/>
        <w:jc w:val="both"/>
        <w:rPr>
          <w:rFonts w:ascii="Bookman Old Style" w:hAnsi="Bookman Old Style" w:cs="Arial"/>
          <w:color w:val="000000" w:themeColor="text1"/>
        </w:rPr>
      </w:pPr>
      <w:r w:rsidRPr="00B627BF">
        <w:rPr>
          <w:rFonts w:ascii="Bookman Old Style" w:hAnsi="Bookman Old Style" w:cs="Arial"/>
          <w:color w:val="000000" w:themeColor="text1"/>
        </w:rPr>
        <w:t>Los Vendedores:</w:t>
      </w:r>
    </w:p>
    <w:p w:rsidR="006249D9" w:rsidRDefault="006249D9" w:rsidP="006249D9">
      <w:pPr>
        <w:tabs>
          <w:tab w:val="left" w:pos="567"/>
        </w:tabs>
        <w:ind w:left="1080"/>
        <w:jc w:val="both"/>
        <w:rPr>
          <w:rFonts w:ascii="Bookman Old Style" w:hAnsi="Bookman Old Style" w:cs="Arial"/>
          <w:color w:val="000000" w:themeColor="text1"/>
        </w:rPr>
      </w:pPr>
    </w:p>
    <w:p w:rsidR="006249D9" w:rsidRDefault="006249D9" w:rsidP="006249D9">
      <w:pPr>
        <w:tabs>
          <w:tab w:val="left" w:pos="567"/>
        </w:tabs>
        <w:ind w:left="1080"/>
        <w:jc w:val="both"/>
        <w:rPr>
          <w:rFonts w:ascii="Bookman Old Style" w:hAnsi="Bookman Old Style" w:cs="Arial"/>
          <w:color w:val="000000" w:themeColor="text1"/>
        </w:rPr>
      </w:pPr>
      <w:r>
        <w:rPr>
          <w:rFonts w:ascii="Bookman Old Style" w:hAnsi="Bookman Old Style" w:cs="Arial"/>
          <w:color w:val="000000" w:themeColor="text1"/>
        </w:rPr>
        <w:t>Vendedores definidos en los artículos 17 y 34 de la Resolución CREG 089 de 2013, o aquellas que la modifiquen, adicionen o sustituyan.</w:t>
      </w:r>
    </w:p>
    <w:p w:rsidR="006249D9" w:rsidRDefault="006249D9" w:rsidP="006249D9">
      <w:pPr>
        <w:tabs>
          <w:tab w:val="left" w:pos="567"/>
        </w:tabs>
        <w:ind w:left="1080"/>
        <w:jc w:val="both"/>
        <w:rPr>
          <w:rFonts w:ascii="Bookman Old Style" w:hAnsi="Bookman Old Style" w:cs="Arial"/>
          <w:color w:val="000000" w:themeColor="text1"/>
        </w:rPr>
      </w:pPr>
    </w:p>
    <w:p w:rsidR="006249D9" w:rsidRDefault="006249D9" w:rsidP="006249D9">
      <w:pPr>
        <w:tabs>
          <w:tab w:val="left" w:pos="567"/>
        </w:tabs>
        <w:ind w:left="1080"/>
        <w:jc w:val="both"/>
        <w:rPr>
          <w:rFonts w:ascii="Bookman Old Style" w:hAnsi="Bookman Old Style" w:cs="Arial"/>
          <w:color w:val="000000" w:themeColor="text1"/>
        </w:rPr>
      </w:pPr>
      <w:r w:rsidRPr="003702E2">
        <w:rPr>
          <w:rFonts w:ascii="Bookman Old Style" w:hAnsi="Bookman Old Style" w:cs="Arial"/>
          <w:color w:val="000000" w:themeColor="text1"/>
        </w:rPr>
        <w:t>Los compradores:</w:t>
      </w:r>
      <w:r>
        <w:rPr>
          <w:rFonts w:ascii="Bookman Old Style" w:hAnsi="Bookman Old Style" w:cs="Arial"/>
          <w:color w:val="000000" w:themeColor="text1"/>
        </w:rPr>
        <w:t xml:space="preserve"> </w:t>
      </w:r>
    </w:p>
    <w:p w:rsidR="006249D9" w:rsidRDefault="006249D9" w:rsidP="006249D9">
      <w:pPr>
        <w:tabs>
          <w:tab w:val="left" w:pos="567"/>
        </w:tabs>
        <w:ind w:left="1080"/>
        <w:jc w:val="both"/>
        <w:rPr>
          <w:rFonts w:ascii="Bookman Old Style" w:hAnsi="Bookman Old Style" w:cs="Arial"/>
          <w:color w:val="000000" w:themeColor="text1"/>
        </w:rPr>
      </w:pPr>
    </w:p>
    <w:p w:rsidR="006249D9" w:rsidRDefault="006249D9" w:rsidP="006249D9">
      <w:pPr>
        <w:tabs>
          <w:tab w:val="left" w:pos="567"/>
        </w:tabs>
        <w:ind w:left="1080"/>
        <w:jc w:val="both"/>
        <w:rPr>
          <w:rFonts w:ascii="Bookman Old Style" w:hAnsi="Bookman Old Style" w:cs="Arial"/>
          <w:color w:val="000000" w:themeColor="text1"/>
        </w:rPr>
      </w:pPr>
      <w:r>
        <w:rPr>
          <w:rFonts w:ascii="Bookman Old Style" w:hAnsi="Bookman Old Style" w:cs="Arial"/>
          <w:color w:val="000000" w:themeColor="text1"/>
        </w:rPr>
        <w:t>C</w:t>
      </w:r>
      <w:r w:rsidRPr="006A53DF">
        <w:rPr>
          <w:rFonts w:ascii="Bookman Old Style" w:hAnsi="Bookman Old Style" w:cs="Arial"/>
          <w:color w:val="000000" w:themeColor="text1"/>
        </w:rPr>
        <w:t xml:space="preserve">ompradores </w:t>
      </w:r>
      <w:r>
        <w:rPr>
          <w:rFonts w:ascii="Bookman Old Style" w:hAnsi="Bookman Old Style" w:cs="Arial"/>
          <w:color w:val="000000" w:themeColor="text1"/>
        </w:rPr>
        <w:t>definidos en</w:t>
      </w:r>
      <w:r w:rsidRPr="006A53DF">
        <w:rPr>
          <w:rFonts w:ascii="Bookman Old Style" w:hAnsi="Bookman Old Style" w:cs="Arial"/>
          <w:color w:val="000000" w:themeColor="text1"/>
        </w:rPr>
        <w:t xml:space="preserve"> los artículos 18 y 35 de la Resolución CREG 089 de 2013, o aquellas que la modifiquen</w:t>
      </w:r>
      <w:r w:rsidR="004A1A5C">
        <w:rPr>
          <w:rFonts w:ascii="Bookman Old Style" w:hAnsi="Bookman Old Style" w:cs="Arial"/>
          <w:color w:val="000000" w:themeColor="text1"/>
        </w:rPr>
        <w:t>, adicionen</w:t>
      </w:r>
      <w:r w:rsidRPr="006A53DF">
        <w:rPr>
          <w:rFonts w:ascii="Bookman Old Style" w:hAnsi="Bookman Old Style" w:cs="Arial"/>
          <w:color w:val="000000" w:themeColor="text1"/>
        </w:rPr>
        <w:t xml:space="preserve"> o sustituyan.</w:t>
      </w:r>
    </w:p>
    <w:p w:rsidR="006249D9" w:rsidRPr="003702E2" w:rsidRDefault="006249D9" w:rsidP="006249D9">
      <w:pPr>
        <w:tabs>
          <w:tab w:val="left" w:pos="567"/>
        </w:tabs>
        <w:ind w:left="360"/>
        <w:jc w:val="both"/>
        <w:rPr>
          <w:rFonts w:ascii="Bookman Old Style" w:hAnsi="Bookman Old Style" w:cs="Arial"/>
          <w:color w:val="000000" w:themeColor="text1"/>
        </w:rPr>
      </w:pPr>
    </w:p>
    <w:p w:rsidR="006249D9" w:rsidRPr="009504B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Beneficiario de la garantía:</w:t>
      </w:r>
      <w:r>
        <w:rPr>
          <w:rFonts w:ascii="Bookman Old Style" w:hAnsi="Bookman Old Style" w:cs="Arial"/>
          <w:color w:val="000000" w:themeColor="text1"/>
          <w:sz w:val="24"/>
          <w:szCs w:val="24"/>
        </w:rPr>
        <w:t xml:space="preserve"> </w:t>
      </w:r>
      <w:r w:rsidRPr="009504B9">
        <w:rPr>
          <w:rFonts w:ascii="Bookman Old Style" w:hAnsi="Bookman Old Style" w:cs="Arial"/>
          <w:color w:val="000000" w:themeColor="text1"/>
          <w:sz w:val="24"/>
          <w:szCs w:val="24"/>
        </w:rPr>
        <w:t>El beneficiario de la garantía es la fiducia mercantil que para tales efectos constituya el gestor del mercado de gas natural, según lo ordenado en las resoluciones CREG 089 de 2013 y 163 de 2014, o aquellas que las sustituyan, modifiquen o adicionen.</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lastRenderedPageBreak/>
        <w:t xml:space="preserve">Beneficiario de los </w:t>
      </w:r>
      <w:r>
        <w:rPr>
          <w:rFonts w:ascii="Bookman Old Style" w:hAnsi="Bookman Old Style" w:cs="Arial"/>
          <w:color w:val="000000" w:themeColor="text1"/>
          <w:sz w:val="24"/>
          <w:szCs w:val="24"/>
        </w:rPr>
        <w:t>recursos</w:t>
      </w:r>
      <w:r w:rsidRPr="003702E2">
        <w:rPr>
          <w:rFonts w:ascii="Bookman Old Style" w:hAnsi="Bookman Old Style" w:cs="Arial"/>
          <w:color w:val="000000" w:themeColor="text1"/>
          <w:sz w:val="24"/>
          <w:szCs w:val="24"/>
        </w:rPr>
        <w:t xml:space="preserve"> que resulten de la ejecución de la garantía de cumplimiento:</w:t>
      </w:r>
      <w:r w:rsidRPr="00B178EE">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Cuando haya lugar a la ejecución de la garantía de cumplimiento de un vendedor o un comprador los recursos que resulten de la ejecución de la misma serán transferidos a las correspondientes contrapartes</w:t>
      </w:r>
      <w:r w:rsidR="00365905">
        <w:rPr>
          <w:rFonts w:ascii="Bookman Old Style" w:hAnsi="Bookman Old Style" w:cs="Arial"/>
          <w:color w:val="000000" w:themeColor="text1"/>
          <w:sz w:val="24"/>
          <w:szCs w:val="24"/>
        </w:rPr>
        <w:t>, en forma proporcional a su participaci</w:t>
      </w:r>
      <w:r w:rsidR="008D4D38">
        <w:rPr>
          <w:rFonts w:ascii="Bookman Old Style" w:hAnsi="Bookman Old Style" w:cs="Arial"/>
          <w:color w:val="000000" w:themeColor="text1"/>
          <w:sz w:val="24"/>
          <w:szCs w:val="24"/>
        </w:rPr>
        <w:t>ón, según corresponda.</w:t>
      </w:r>
    </w:p>
    <w:p w:rsidR="006249D9" w:rsidRPr="00BD7D7B" w:rsidRDefault="006249D9" w:rsidP="006249D9">
      <w:pPr>
        <w:pStyle w:val="Prrafodelista"/>
        <w:tabs>
          <w:tab w:val="left" w:pos="2920"/>
        </w:tabs>
        <w:rPr>
          <w:rFonts w:ascii="Bookman Old Style" w:hAnsi="Bookman Old Style" w:cs="Arial"/>
          <w:color w:val="000000" w:themeColor="text1"/>
          <w:sz w:val="24"/>
          <w:szCs w:val="24"/>
        </w:rPr>
      </w:pPr>
    </w:p>
    <w:p w:rsidR="006249D9" w:rsidRPr="00102733"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La fiducia mercantil hará las transferencias a los beneficiarios de los recursos que resulten de la ejecución de la garantía, descontando los gastos de transferencias bancarias y GMF.</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Fecha de entrega de la garantía</w:t>
      </w:r>
      <w:r>
        <w:rPr>
          <w:rFonts w:ascii="Bookman Old Style" w:hAnsi="Bookman Old Style" w:cs="Arial"/>
          <w:color w:val="000000" w:themeColor="text1"/>
          <w:sz w:val="24"/>
          <w:szCs w:val="24"/>
        </w:rPr>
        <w:t xml:space="preserve"> para cubrir el primer mes del contrato bimestral</w:t>
      </w:r>
      <w:r w:rsidRPr="003702E2">
        <w:rPr>
          <w:rFonts w:ascii="Bookman Old Style" w:hAnsi="Bookman Old Style" w:cs="Arial"/>
          <w:color w:val="000000" w:themeColor="text1"/>
          <w:sz w:val="24"/>
          <w:szCs w:val="24"/>
        </w:rPr>
        <w:t>:</w:t>
      </w:r>
      <w:r>
        <w:rPr>
          <w:rFonts w:ascii="Bookman Old Style" w:hAnsi="Bookman Old Style" w:cs="Arial"/>
          <w:color w:val="000000" w:themeColor="text1"/>
          <w:sz w:val="24"/>
          <w:szCs w:val="24"/>
        </w:rPr>
        <w:t xml:space="preserve"> Los vendedores y los compradores tienen plazo hasta a las 17:00 horas del día hábil anterior al primer mes de inicio del suministro de la energía.</w:t>
      </w:r>
    </w:p>
    <w:p w:rsidR="006249D9" w:rsidRDefault="006249D9" w:rsidP="006249D9">
      <w:pPr>
        <w:tabs>
          <w:tab w:val="left" w:pos="567"/>
        </w:tabs>
        <w:ind w:left="360"/>
        <w:jc w:val="both"/>
        <w:rPr>
          <w:rFonts w:ascii="Bookman Old Style" w:hAnsi="Bookman Old Style" w:cs="Arial"/>
          <w:color w:val="000000" w:themeColor="text1"/>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Fecha de entrega de la garantía </w:t>
      </w:r>
      <w:r>
        <w:rPr>
          <w:rFonts w:ascii="Bookman Old Style" w:hAnsi="Bookman Old Style" w:cs="Arial"/>
          <w:color w:val="000000" w:themeColor="text1"/>
          <w:sz w:val="24"/>
          <w:szCs w:val="24"/>
        </w:rPr>
        <w:t>para cubrir el segundo mes del contrato bimestral</w:t>
      </w:r>
      <w:r w:rsidRPr="002A67A5">
        <w:rPr>
          <w:rFonts w:ascii="Bookman Old Style" w:hAnsi="Bookman Old Style" w:cs="Arial"/>
          <w:color w:val="000000" w:themeColor="text1"/>
          <w:sz w:val="24"/>
          <w:szCs w:val="24"/>
        </w:rPr>
        <w:t xml:space="preserve">: Los vendedores y los compradores </w:t>
      </w:r>
      <w:r>
        <w:rPr>
          <w:rFonts w:ascii="Bookman Old Style" w:hAnsi="Bookman Old Style" w:cs="Arial"/>
          <w:color w:val="000000" w:themeColor="text1"/>
          <w:sz w:val="24"/>
          <w:szCs w:val="24"/>
        </w:rPr>
        <w:t>tienen plazo hasta</w:t>
      </w:r>
      <w:r w:rsidRPr="002A67A5">
        <w:rPr>
          <w:rFonts w:ascii="Bookman Old Style" w:hAnsi="Bookman Old Style" w:cs="Arial"/>
          <w:color w:val="000000" w:themeColor="text1"/>
          <w:sz w:val="24"/>
          <w:szCs w:val="24"/>
        </w:rPr>
        <w:t xml:space="preserve"> las 17:00 horas del día </w:t>
      </w:r>
      <w:r>
        <w:rPr>
          <w:rFonts w:ascii="Bookman Old Style" w:hAnsi="Bookman Old Style" w:cs="Arial"/>
          <w:color w:val="000000" w:themeColor="text1"/>
          <w:sz w:val="24"/>
          <w:szCs w:val="24"/>
        </w:rPr>
        <w:t xml:space="preserve">hábil </w:t>
      </w:r>
      <w:r w:rsidRPr="002A67A5">
        <w:rPr>
          <w:rFonts w:ascii="Bookman Old Style" w:hAnsi="Bookman Old Style" w:cs="Arial"/>
          <w:color w:val="000000" w:themeColor="text1"/>
          <w:sz w:val="24"/>
          <w:szCs w:val="24"/>
        </w:rPr>
        <w:t>anterior al segundo mes de inicio del suministro de la energía del contrato firme bimestral.</w:t>
      </w:r>
    </w:p>
    <w:p w:rsidR="006249D9" w:rsidRPr="002A67A5" w:rsidRDefault="006249D9" w:rsidP="006249D9">
      <w:pPr>
        <w:tabs>
          <w:tab w:val="left" w:pos="567"/>
        </w:tabs>
        <w:ind w:left="360"/>
        <w:jc w:val="both"/>
        <w:rPr>
          <w:rFonts w:ascii="Bookman Old Style" w:hAnsi="Bookman Old Style" w:cs="Arial"/>
          <w:color w:val="000000" w:themeColor="text1"/>
          <w:lang w:val="es-CO"/>
        </w:rPr>
      </w:pPr>
    </w:p>
    <w:p w:rsidR="006249D9" w:rsidRPr="00597BFA"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Vigencia de</w:t>
      </w:r>
      <w:r w:rsidRPr="002A67A5">
        <w:rPr>
          <w:rFonts w:ascii="Bookman Old Style" w:hAnsi="Bookman Old Style" w:cs="Arial"/>
          <w:color w:val="000000" w:themeColor="text1"/>
          <w:sz w:val="24"/>
          <w:szCs w:val="24"/>
        </w:rPr>
        <w:t xml:space="preserve"> la garantía: </w:t>
      </w:r>
      <w:r>
        <w:rPr>
          <w:rFonts w:ascii="Bookman Old Style" w:hAnsi="Bookman Old Style" w:cs="Arial"/>
          <w:color w:val="000000" w:themeColor="text1"/>
          <w:sz w:val="24"/>
          <w:szCs w:val="24"/>
        </w:rPr>
        <w:t>N</w:t>
      </w:r>
      <w:r w:rsidRPr="002A67A5">
        <w:rPr>
          <w:rFonts w:ascii="Bookman Old Style" w:hAnsi="Bookman Old Style" w:cs="Arial"/>
          <w:color w:val="000000" w:themeColor="text1"/>
          <w:sz w:val="24"/>
          <w:szCs w:val="24"/>
        </w:rPr>
        <w:t>úmero de días calendario del mes de suministro</w:t>
      </w:r>
      <w:r>
        <w:rPr>
          <w:rFonts w:ascii="Bookman Old Style" w:hAnsi="Bookman Old Style" w:cs="Arial"/>
          <w:color w:val="000000" w:themeColor="text1"/>
          <w:sz w:val="24"/>
          <w:szCs w:val="24"/>
        </w:rPr>
        <w:t xml:space="preserve"> a cubrir,</w:t>
      </w:r>
      <w:r w:rsidRPr="002A67A5">
        <w:rPr>
          <w:rFonts w:ascii="Bookman Old Style" w:hAnsi="Bookman Old Style" w:cs="Arial"/>
          <w:color w:val="000000" w:themeColor="text1"/>
          <w:sz w:val="24"/>
          <w:szCs w:val="24"/>
        </w:rPr>
        <w:t xml:space="preserve"> más el número de días de plazo para el pago de la factura</w:t>
      </w:r>
      <w:r>
        <w:rPr>
          <w:rFonts w:ascii="Bookman Old Style" w:hAnsi="Bookman Old Style" w:cs="Arial"/>
          <w:color w:val="000000" w:themeColor="text1"/>
          <w:sz w:val="24"/>
          <w:szCs w:val="24"/>
        </w:rPr>
        <w:t xml:space="preserve"> más 1 día hábil </w:t>
      </w:r>
      <w:r w:rsidRPr="00597BFA">
        <w:rPr>
          <w:rFonts w:ascii="Bookman Old Style" w:hAnsi="Bookman Old Style" w:cs="Arial"/>
          <w:color w:val="000000" w:themeColor="text1"/>
          <w:sz w:val="24"/>
          <w:szCs w:val="24"/>
        </w:rPr>
        <w:t>a partir de la entrega de la garantía.</w:t>
      </w:r>
    </w:p>
    <w:p w:rsidR="006249D9" w:rsidRPr="002A67A5" w:rsidRDefault="006249D9" w:rsidP="006249D9">
      <w:pPr>
        <w:tabs>
          <w:tab w:val="left" w:pos="567"/>
        </w:tabs>
        <w:ind w:left="360"/>
        <w:jc w:val="both"/>
        <w:rPr>
          <w:rFonts w:ascii="Bookman Old Style" w:hAnsi="Bookman Old Style" w:cs="Arial"/>
          <w:color w:val="000000" w:themeColor="text1"/>
          <w:lang w:val="es-CO"/>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garantía para los vendedores:</w:t>
      </w:r>
    </w:p>
    <w:p w:rsidR="006249D9" w:rsidRDefault="006249D9" w:rsidP="006249D9">
      <w:pPr>
        <w:pStyle w:val="Prrafodelista"/>
        <w:rPr>
          <w:rFonts w:ascii="Bookman Old Style" w:hAnsi="Bookman Old Style" w:cs="Arial"/>
          <w:color w:val="000000" w:themeColor="text1"/>
          <w:sz w:val="24"/>
          <w:szCs w:val="24"/>
        </w:rPr>
      </w:pPr>
    </w:p>
    <w:p w:rsidR="006249D9" w:rsidRPr="00E771A7" w:rsidRDefault="008955C4" w:rsidP="006249D9">
      <w:pPr>
        <w:pStyle w:val="Prrafodelista"/>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m:t>
              </m:r>
            </m:e>
            <m:sub>
              <m:r>
                <w:rPr>
                  <w:rFonts w:ascii="Cambria Math" w:hAnsi="Cambria Math" w:cs="Arial"/>
                  <w:color w:val="000000" w:themeColor="text1"/>
                  <w:sz w:val="24"/>
                  <w:szCs w:val="24"/>
                </w:rPr>
                <m:t xml:space="preserve">v </m:t>
              </m:r>
            </m:sub>
          </m:sSub>
          <m:r>
            <w:rPr>
              <w:rFonts w:ascii="Cambria Math" w:hAnsi="Cambria Math" w:cs="Arial"/>
              <w:color w:val="000000" w:themeColor="text1"/>
              <w:sz w:val="24"/>
              <w:szCs w:val="24"/>
            </w:rPr>
            <m:t>=</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 xml:space="preserve"> </m:t>
          </m:r>
          <m:r>
            <w:rPr>
              <w:rFonts w:ascii="Cambria Math" w:hAnsi="Cambria Math" w:cs="Arial" w:hint="eastAsia"/>
              <w:color w:val="000000" w:themeColor="text1"/>
              <w:sz w:val="24"/>
              <w:szCs w:val="24"/>
            </w:rPr>
            <m:t>×</m:t>
          </m:r>
          <m:r>
            <w:rPr>
              <w:rFonts w:ascii="Cambria Math" w:hAnsi="Cambria Math" w:cs="Arial"/>
              <w:color w:val="000000" w:themeColor="text1"/>
              <w:sz w:val="24"/>
              <w:szCs w:val="24"/>
            </w:rPr>
            <m:t>pv</m:t>
          </m:r>
        </m:oMath>
      </m:oMathPara>
    </w:p>
    <w:p w:rsidR="006249D9" w:rsidRPr="00E771A7"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7626"/>
      </w:tblGrid>
      <w:tr w:rsidR="006249D9" w:rsidTr="00C23575">
        <w:tc>
          <w:tcPr>
            <w:tcW w:w="1134" w:type="dxa"/>
          </w:tcPr>
          <w:p w:rsidR="006249D9" w:rsidRPr="00AA770E" w:rsidRDefault="008955C4" w:rsidP="00C23575">
            <w:pPr>
              <w:pStyle w:val="Prrafodelista"/>
              <w:ind w:left="0"/>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m:t>
                </m:r>
              </m:oMath>
            </m:oMathPara>
          </w:p>
        </w:tc>
        <w:tc>
          <w:tcPr>
            <w:tcW w:w="7626"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garantía en pesos Colombi</w:t>
            </w:r>
            <w:r w:rsidR="00572C43">
              <w:rPr>
                <w:rFonts w:ascii="Bookman Old Style" w:hAnsi="Bookman Old Style" w:cs="Arial"/>
                <w:color w:val="000000" w:themeColor="text1"/>
                <w:sz w:val="24"/>
                <w:szCs w:val="24"/>
              </w:rPr>
              <w:t>a</w:t>
            </w:r>
            <w:r>
              <w:rPr>
                <w:rFonts w:ascii="Bookman Old Style" w:hAnsi="Bookman Old Style" w:cs="Arial"/>
                <w:color w:val="000000" w:themeColor="text1"/>
                <w:sz w:val="24"/>
                <w:szCs w:val="24"/>
              </w:rPr>
              <w:t>nos.</w:t>
            </w:r>
          </w:p>
          <w:p w:rsidR="006249D9" w:rsidRPr="002A67A5"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134" w:type="dxa"/>
          </w:tcPr>
          <w:p w:rsidR="006249D9"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v</m:t>
                  </m:r>
                </m:sub>
              </m:sSub>
            </m:oMath>
            <w:r w:rsidR="006249D9">
              <w:rPr>
                <w:rFonts w:ascii="Bookman Old Style" w:hAnsi="Bookman Old Style" w:cs="Arial"/>
                <w:color w:val="000000" w:themeColor="text1"/>
                <w:sz w:val="24"/>
                <w:szCs w:val="24"/>
              </w:rPr>
              <w:t>:</w:t>
            </w:r>
          </w:p>
        </w:tc>
        <w:tc>
          <w:tcPr>
            <w:tcW w:w="7626"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Asignación de energía del vendedor</w:t>
            </w:r>
            <w:r w:rsidR="00353D16">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v</m:t>
              </m:r>
            </m:oMath>
            <w:r w:rsidRPr="002A67A5">
              <w:rPr>
                <w:rFonts w:ascii="Bookman Old Style" w:hAnsi="Bookman Old Style" w:cs="Arial"/>
                <w:color w:val="000000" w:themeColor="text1"/>
                <w:sz w:val="24"/>
                <w:szCs w:val="24"/>
              </w:rPr>
              <w:t xml:space="preserve"> en MBTUD, en la subasta.</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134"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pv</m:t>
              </m:r>
            </m:oMath>
            <w:r>
              <w:rPr>
                <w:rFonts w:ascii="Bookman Old Style" w:hAnsi="Bookman Old Style" w:cs="Arial"/>
                <w:color w:val="000000" w:themeColor="text1"/>
                <w:sz w:val="24"/>
                <w:szCs w:val="24"/>
              </w:rPr>
              <w:t>:</w:t>
            </w:r>
          </w:p>
        </w:tc>
        <w:tc>
          <w:tcPr>
            <w:tcW w:w="7626"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Precio en pesos Colombianos por MBTU calculado con la siguiente expresión:</w:t>
            </w:r>
          </w:p>
          <w:p w:rsidR="006249D9" w:rsidRDefault="006249D9" w:rsidP="00C23575">
            <w:pPr>
              <w:pStyle w:val="Prrafodelista"/>
              <w:ind w:left="0"/>
              <w:jc w:val="both"/>
              <w:rPr>
                <w:rFonts w:ascii="Bookman Old Style" w:hAnsi="Bookman Old Style" w:cs="Arial"/>
                <w:color w:val="000000" w:themeColor="text1"/>
                <w:sz w:val="24"/>
                <w:szCs w:val="24"/>
              </w:rPr>
            </w:pPr>
          </w:p>
          <w:p w:rsidR="006249D9" w:rsidRDefault="006249D9" w:rsidP="00C23575">
            <w:pPr>
              <w:pStyle w:val="Prrafodelista"/>
              <w:ind w:left="0"/>
              <w:jc w:val="both"/>
              <w:rPr>
                <w:rFonts w:ascii="Bookman Old Style" w:hAnsi="Bookman Old Style" w:cs="Arial"/>
                <w:color w:val="000000" w:themeColor="text1"/>
                <w:sz w:val="24"/>
                <w:szCs w:val="24"/>
              </w:rPr>
            </w:pPr>
            <m:oMathPara>
              <m:oMath>
                <m:r>
                  <w:rPr>
                    <w:rFonts w:ascii="Cambria Math" w:hAnsi="Cambria Math" w:cs="Arial"/>
                    <w:sz w:val="24"/>
                    <w:szCs w:val="24"/>
                  </w:rPr>
                  <m:t>pv</m:t>
                </m:r>
                <m:r>
                  <w:rPr>
                    <w:rFonts w:ascii="Cambria Math" w:hAnsi="Cambria Math" w:cs="Arial"/>
                    <w:sz w:val="24"/>
                    <w:szCs w:val="24"/>
                    <w:lang w:val="en-US"/>
                  </w:rPr>
                  <m:t xml:space="preserve"> = </m:t>
                </m:r>
                <m:r>
                  <w:rPr>
                    <w:rFonts w:ascii="Cambria Math" w:hAnsi="Cambria Math" w:cs="Arial"/>
                    <w:sz w:val="24"/>
                    <w:szCs w:val="24"/>
                  </w:rPr>
                  <m:t xml:space="preserve">107914 </m:t>
                </m:r>
                <m:r>
                  <w:rPr>
                    <w:rFonts w:ascii="Cambria Math" w:hAnsi="Cambria Math" w:cs="Arial" w:hint="eastAsia"/>
                    <w:sz w:val="24"/>
                    <w:szCs w:val="24"/>
                    <w:lang w:val="en-US"/>
                  </w:rPr>
                  <m:t>×</m:t>
                </m:r>
                <m:r>
                  <w:rPr>
                    <w:rFonts w:ascii="Cambria Math" w:hAnsi="Cambria Math" w:cs="Arial"/>
                    <w:sz w:val="24"/>
                    <w:szCs w:val="24"/>
                    <w:lang w:val="en-US"/>
                  </w:rPr>
                  <m:t xml:space="preserve"> </m:t>
                </m:r>
                <m:f>
                  <m:fPr>
                    <m:ctrlPr>
                      <w:rPr>
                        <w:rFonts w:ascii="Cambria Math" w:hAnsi="Cambria Math" w:cs="Arial"/>
                        <w:i/>
                        <w:sz w:val="24"/>
                        <w:szCs w:val="24"/>
                      </w:rPr>
                    </m:ctrlPr>
                  </m:fPr>
                  <m:num>
                    <m:sSub>
                      <m:sSubPr>
                        <m:ctrlPr>
                          <w:rPr>
                            <w:rFonts w:ascii="Cambria Math" w:hAnsi="Cambria Math" w:cs="Arial"/>
                            <w:i/>
                            <w:sz w:val="24"/>
                            <w:szCs w:val="24"/>
                          </w:rPr>
                        </m:ctrlPr>
                      </m:sSubPr>
                      <m:e>
                        <m:r>
                          <w:rPr>
                            <w:rFonts w:ascii="Cambria Math" w:hAnsi="Cambria Math" w:cs="Arial"/>
                            <w:sz w:val="24"/>
                            <w:szCs w:val="24"/>
                          </w:rPr>
                          <m:t>IPP</m:t>
                        </m:r>
                      </m:e>
                      <m:sub>
                        <m:r>
                          <w:rPr>
                            <w:rFonts w:ascii="Cambria Math" w:hAnsi="Cambria Math" w:cs="Arial"/>
                            <w:sz w:val="24"/>
                            <w:szCs w:val="24"/>
                          </w:rPr>
                          <m:t>m</m:t>
                        </m:r>
                        <m:r>
                          <w:rPr>
                            <w:rFonts w:ascii="Cambria Math" w:hAnsi="Cambria Math" w:cs="Arial"/>
                            <w:sz w:val="24"/>
                            <w:szCs w:val="24"/>
                            <w:lang w:val="en-US"/>
                          </w:rPr>
                          <m:t>-1</m:t>
                        </m:r>
                      </m:sub>
                    </m:sSub>
                  </m:num>
                  <m:den>
                    <m:sSub>
                      <m:sSubPr>
                        <m:ctrlPr>
                          <w:rPr>
                            <w:rFonts w:ascii="Cambria Math" w:hAnsi="Cambria Math" w:cs="Arial"/>
                            <w:i/>
                            <w:sz w:val="24"/>
                            <w:szCs w:val="24"/>
                          </w:rPr>
                        </m:ctrlPr>
                      </m:sSubPr>
                      <m:e>
                        <m:r>
                          <w:rPr>
                            <w:rFonts w:ascii="Cambria Math" w:hAnsi="Cambria Math" w:cs="Arial"/>
                            <w:sz w:val="24"/>
                            <w:szCs w:val="24"/>
                          </w:rPr>
                          <m:t>IPP</m:t>
                        </m:r>
                      </m:e>
                      <m:sub>
                        <m:r>
                          <w:rPr>
                            <w:rFonts w:ascii="Cambria Math" w:hAnsi="Cambria Math" w:cs="Arial"/>
                            <w:sz w:val="24"/>
                            <w:szCs w:val="24"/>
                          </w:rPr>
                          <m:t>diciembre</m:t>
                        </m:r>
                        <m:r>
                          <w:rPr>
                            <w:rFonts w:ascii="Cambria Math" w:hAnsi="Cambria Math" w:cs="Arial"/>
                            <w:sz w:val="24"/>
                            <w:szCs w:val="24"/>
                            <w:lang w:val="en-US"/>
                          </w:rPr>
                          <m:t xml:space="preserve"> 2014</m:t>
                        </m:r>
                      </m:sub>
                    </m:sSub>
                  </m:den>
                </m:f>
              </m:oMath>
            </m:oMathPara>
          </w:p>
          <w:p w:rsidR="003C00D4" w:rsidRDefault="003C00D4" w:rsidP="00C23575">
            <w:pPr>
              <w:pStyle w:val="Prrafodelista"/>
              <w:ind w:left="0"/>
              <w:jc w:val="both"/>
              <w:rPr>
                <w:rFonts w:ascii="Bookman Old Style" w:hAnsi="Bookman Old Style" w:cs="Arial"/>
                <w:color w:val="000000" w:themeColor="text1"/>
                <w:sz w:val="24"/>
                <w:szCs w:val="24"/>
              </w:rPr>
            </w:pPr>
          </w:p>
          <w:p w:rsidR="003C00D4" w:rsidRDefault="003C00D4" w:rsidP="00AB0D15">
            <w:pPr>
              <w:pStyle w:val="Prrafodelista"/>
              <w:ind w:left="0"/>
              <w:jc w:val="both"/>
              <w:rPr>
                <w:rFonts w:ascii="Bookman Old Style" w:hAnsi="Bookman Old Style" w:cs="Arial"/>
                <w:color w:val="000000" w:themeColor="text1"/>
                <w:sz w:val="24"/>
                <w:szCs w:val="24"/>
              </w:rPr>
            </w:pPr>
          </w:p>
        </w:tc>
      </w:tr>
      <w:tr w:rsidR="006249D9" w:rsidTr="00C23575">
        <w:tc>
          <w:tcPr>
            <w:tcW w:w="1134" w:type="dxa"/>
          </w:tcPr>
          <w:p w:rsidR="006249D9" w:rsidRPr="00B506B1"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IPP</m:t>
              </m:r>
            </m:oMath>
            <w:r w:rsidRPr="00B506B1">
              <w:rPr>
                <w:rFonts w:ascii="Bookman Old Style" w:hAnsi="Bookman Old Style" w:cs="Arial"/>
                <w:color w:val="000000" w:themeColor="text1"/>
                <w:sz w:val="24"/>
                <w:szCs w:val="24"/>
              </w:rPr>
              <w:t>:</w:t>
            </w:r>
          </w:p>
        </w:tc>
        <w:tc>
          <w:tcPr>
            <w:tcW w:w="7626" w:type="dxa"/>
          </w:tcPr>
          <w:p w:rsidR="006249D9" w:rsidRPr="00B506B1" w:rsidRDefault="006249D9" w:rsidP="00C23575">
            <w:pPr>
              <w:pStyle w:val="Prrafodelista"/>
              <w:ind w:left="0"/>
              <w:jc w:val="both"/>
              <w:rPr>
                <w:rFonts w:ascii="Bookman Old Style" w:hAnsi="Bookman Old Style" w:cs="Arial"/>
                <w:sz w:val="24"/>
                <w:szCs w:val="24"/>
              </w:rPr>
            </w:pPr>
            <w:r w:rsidRPr="00B506B1">
              <w:rPr>
                <w:rFonts w:ascii="Bookman Old Style" w:hAnsi="Bookman Old Style" w:cs="Arial"/>
                <w:sz w:val="24"/>
                <w:szCs w:val="24"/>
              </w:rPr>
              <w:t xml:space="preserve">Índice de Precios de la Oferta Interna reportado </w:t>
            </w:r>
            <w:r w:rsidR="00EF0142">
              <w:rPr>
                <w:rFonts w:ascii="Bookman Old Style" w:hAnsi="Bookman Old Style" w:cs="Arial"/>
                <w:sz w:val="24"/>
                <w:szCs w:val="24"/>
              </w:rPr>
              <w:t>por la autoridad competente</w:t>
            </w:r>
            <w:r w:rsidRPr="00B506B1">
              <w:rPr>
                <w:rFonts w:ascii="Bookman Old Style" w:hAnsi="Bookman Old Style" w:cs="Arial"/>
                <w:sz w:val="24"/>
                <w:szCs w:val="24"/>
              </w:rPr>
              <w:t>.</w:t>
            </w:r>
          </w:p>
          <w:p w:rsidR="006249D9" w:rsidRPr="00B506B1"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134"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m-1</m:t>
              </m:r>
            </m:oMath>
            <w:r>
              <w:rPr>
                <w:rFonts w:ascii="Bookman Old Style" w:hAnsi="Bookman Old Style" w:cs="Arial"/>
                <w:color w:val="000000" w:themeColor="text1"/>
                <w:sz w:val="24"/>
                <w:szCs w:val="24"/>
              </w:rPr>
              <w:t>:</w:t>
            </w:r>
          </w:p>
        </w:tc>
        <w:tc>
          <w:tcPr>
            <w:tcW w:w="7626"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Mes anterior al mes de la estimación de la garantía.</w:t>
            </w:r>
          </w:p>
        </w:tc>
      </w:tr>
    </w:tbl>
    <w:p w:rsidR="006249D9"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lastRenderedPageBreak/>
        <w:t>Valor de la garantía para los compradores:</w:t>
      </w:r>
    </w:p>
    <w:p w:rsidR="006249D9" w:rsidRDefault="006249D9" w:rsidP="006249D9">
      <w:pPr>
        <w:pStyle w:val="Prrafodelista"/>
        <w:rPr>
          <w:rFonts w:ascii="Bookman Old Style" w:hAnsi="Bookman Old Style" w:cs="Arial"/>
          <w:color w:val="000000" w:themeColor="text1"/>
          <w:sz w:val="24"/>
          <w:szCs w:val="24"/>
        </w:rPr>
      </w:pPr>
    </w:p>
    <w:p w:rsidR="006249D9" w:rsidRPr="00B13026" w:rsidRDefault="008955C4" w:rsidP="006249D9">
      <w:pPr>
        <w:pStyle w:val="Prrafodelista"/>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m:t>
              </m:r>
            </m:e>
            <m:sub>
              <m:r>
                <w:rPr>
                  <w:rFonts w:ascii="Cambria Math" w:hAnsi="Cambria Math" w:cs="Arial"/>
                  <w:color w:val="000000" w:themeColor="text1"/>
                  <w:sz w:val="24"/>
                  <w:szCs w:val="24"/>
                </w:rPr>
                <m:t xml:space="preserve">c </m:t>
              </m:r>
            </m:sub>
          </m:sSub>
          <m:r>
            <w:rPr>
              <w:rFonts w:ascii="Cambria Math" w:hAnsi="Cambria Math" w:cs="Arial"/>
              <w:color w:val="000000" w:themeColor="text1"/>
              <w:sz w:val="24"/>
              <w:szCs w:val="24"/>
            </w:rPr>
            <m:t xml:space="preserve">=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 xml:space="preserve">c </m:t>
              </m:r>
            </m:sub>
          </m:sSub>
          <m:r>
            <w:rPr>
              <w:rFonts w:ascii="Cambria Math" w:hAnsi="Cambria Math" w:cs="Arial"/>
              <w:color w:val="000000" w:themeColor="text1"/>
              <w:sz w:val="24"/>
              <w:szCs w:val="24"/>
            </w:rPr>
            <m:t>×D ×p ×TRM</m:t>
          </m:r>
        </m:oMath>
      </m:oMathPara>
    </w:p>
    <w:p w:rsidR="006249D9" w:rsidRDefault="006249D9" w:rsidP="006249D9">
      <w:pPr>
        <w:tabs>
          <w:tab w:val="left" w:pos="567"/>
        </w:tabs>
        <w:ind w:left="360"/>
        <w:jc w:val="both"/>
        <w:rPr>
          <w:rFonts w:ascii="Bookman Old Style" w:hAnsi="Bookman Old Style" w:cs="Arial"/>
          <w:color w:val="000000" w:themeColor="text1"/>
        </w:rPr>
      </w:pPr>
    </w:p>
    <w:p w:rsidR="006249D9" w:rsidRDefault="006249D9" w:rsidP="006249D9">
      <w:pPr>
        <w:pStyle w:val="Prrafodelista"/>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817" w:type="dxa"/>
        <w:tblBorders>
          <w:top w:val="none" w:sz="0" w:space="0" w:color="auto"/>
          <w:left w:val="none" w:sz="0" w:space="0" w:color="auto"/>
          <w:bottom w:val="none" w:sz="0" w:space="0" w:color="auto"/>
          <w:right w:val="none" w:sz="0" w:space="0" w:color="auto"/>
          <w:insideH w:val="single" w:sz="4" w:space="0" w:color="FFFFFF" w:themeColor="background1"/>
          <w:insideV w:val="none" w:sz="0" w:space="0" w:color="auto"/>
        </w:tblBorders>
        <w:tblLook w:val="04A0" w:firstRow="1" w:lastRow="0" w:firstColumn="1" w:lastColumn="0" w:noHBand="0" w:noVBand="1"/>
      </w:tblPr>
      <w:tblGrid>
        <w:gridCol w:w="1134"/>
        <w:gridCol w:w="7626"/>
      </w:tblGrid>
      <w:tr w:rsidR="006249D9" w:rsidTr="00C23575">
        <w:tc>
          <w:tcPr>
            <w:tcW w:w="1134"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7626"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Precio de cierre de la subasta en dólares de los Estados Unidos de América por MBTU.</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134"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626"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134" w:type="dxa"/>
          </w:tcPr>
          <w:p w:rsidR="006249D9"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c</m:t>
                  </m:r>
                </m:sub>
              </m:sSub>
            </m:oMath>
            <w:r w:rsidR="006249D9">
              <w:rPr>
                <w:rFonts w:ascii="Bookman Old Style" w:hAnsi="Bookman Old Style" w:cs="Arial"/>
                <w:color w:val="000000" w:themeColor="text1"/>
                <w:sz w:val="24"/>
                <w:szCs w:val="24"/>
              </w:rPr>
              <w:t>:</w:t>
            </w:r>
          </w:p>
        </w:tc>
        <w:tc>
          <w:tcPr>
            <w:tcW w:w="7626"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Asignación</w:t>
            </w:r>
            <w:r w:rsidR="00CC52DF">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de</w:t>
            </w:r>
            <w:r w:rsidR="00CC52DF">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energía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al</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comprador</w:t>
            </w:r>
            <w:r w:rsidR="00CC52DF">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c</m:t>
              </m:r>
            </m:oMath>
            <w:r w:rsidRPr="002A67A5">
              <w:rPr>
                <w:rFonts w:ascii="Bookman Old Style" w:hAnsi="Bookman Old Style" w:cs="Arial"/>
                <w:color w:val="000000" w:themeColor="text1"/>
                <w:sz w:val="24"/>
                <w:szCs w:val="24"/>
              </w:rPr>
              <w:t xml:space="preserve"> en la subasta </w:t>
            </w:r>
            <w:r>
              <w:rPr>
                <w:rFonts w:ascii="Bookman Old Style" w:hAnsi="Bookman Old Style" w:cs="Arial"/>
                <w:color w:val="000000" w:themeColor="text1"/>
                <w:sz w:val="24"/>
                <w:szCs w:val="24"/>
              </w:rPr>
              <w:t>en MBTUD</w:t>
            </w:r>
            <w:r w:rsidRPr="002A67A5">
              <w:rPr>
                <w:rFonts w:ascii="Bookman Old Style" w:hAnsi="Bookman Old Style" w:cs="Arial"/>
                <w:color w:val="000000" w:themeColor="text1"/>
                <w:sz w:val="24"/>
                <w:szCs w:val="24"/>
              </w:rPr>
              <w:t>.</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134"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D</m:t>
              </m:r>
            </m:oMath>
            <w:r>
              <w:rPr>
                <w:rFonts w:ascii="Bookman Old Style" w:hAnsi="Bookman Old Style" w:cs="Arial"/>
                <w:color w:val="000000" w:themeColor="text1"/>
                <w:sz w:val="24"/>
                <w:szCs w:val="24"/>
              </w:rPr>
              <w:t>:</w:t>
            </w:r>
          </w:p>
        </w:tc>
        <w:tc>
          <w:tcPr>
            <w:tcW w:w="7626"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color w:val="000000" w:themeColor="text1"/>
                <w:sz w:val="24"/>
                <w:szCs w:val="24"/>
              </w:rPr>
              <w:t>Número de días calendario del mes a cubrir con la garantía.</w:t>
            </w:r>
          </w:p>
        </w:tc>
      </w:tr>
    </w:tbl>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bookmarkStart w:id="7" w:name="_Ref410807779"/>
      <w:r w:rsidRPr="00A54A6F">
        <w:rPr>
          <w:rFonts w:ascii="Bookman Old Style" w:hAnsi="Bookman Old Style" w:cs="Arial"/>
          <w:color w:val="000000" w:themeColor="text1"/>
          <w:sz w:val="24"/>
          <w:szCs w:val="24"/>
        </w:rPr>
        <w:t xml:space="preserve">Eventos que dan lugar a la ejecución de la garantía de cumplimiento para </w:t>
      </w:r>
      <w:r>
        <w:rPr>
          <w:rFonts w:ascii="Bookman Old Style" w:hAnsi="Bookman Old Style" w:cs="Arial"/>
          <w:color w:val="000000" w:themeColor="text1"/>
          <w:sz w:val="24"/>
          <w:szCs w:val="24"/>
        </w:rPr>
        <w:t>un</w:t>
      </w:r>
      <w:r w:rsidRPr="00A54A6F">
        <w:rPr>
          <w:rFonts w:ascii="Bookman Old Style" w:hAnsi="Bookman Old Style" w:cs="Arial"/>
          <w:color w:val="000000" w:themeColor="text1"/>
          <w:sz w:val="24"/>
          <w:szCs w:val="24"/>
        </w:rPr>
        <w:t xml:space="preserve"> vendedor</w:t>
      </w:r>
      <w:r>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w:t>
      </w:r>
      <w:r w:rsidRPr="00A54A6F">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 xml:space="preserve">Los eventos que dan lugar a la ejecución de la garantía son el no pago </w:t>
      </w:r>
      <w:r>
        <w:rPr>
          <w:rFonts w:ascii="Bookman Old Style" w:hAnsi="Bookman Old Style" w:cs="Arial"/>
          <w:color w:val="000000" w:themeColor="text1"/>
          <w:sz w:val="24"/>
          <w:szCs w:val="24"/>
        </w:rPr>
        <w:t>de</w:t>
      </w:r>
      <w:r w:rsidRPr="002A67A5">
        <w:rPr>
          <w:rFonts w:ascii="Bookman Old Style" w:hAnsi="Bookman Old Style" w:cs="Arial"/>
          <w:color w:val="000000" w:themeColor="text1"/>
          <w:sz w:val="24"/>
          <w:szCs w:val="24"/>
        </w:rPr>
        <w:t xml:space="preserve"> la factura mensual de las compensaciones o cuando el vendedor</w:t>
      </w:r>
      <w:r>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no entregue la garantía de cumplimiento del segundo mes del contrato firme bimestral.</w:t>
      </w:r>
    </w:p>
    <w:p w:rsidR="006249D9" w:rsidRPr="00A54A6F"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Eventos que dan lugar a</w:t>
      </w:r>
      <w:r w:rsidRPr="00A54A6F">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l</w:t>
      </w:r>
      <w:r w:rsidRPr="00A54A6F">
        <w:rPr>
          <w:rFonts w:ascii="Bookman Old Style" w:hAnsi="Bookman Old Style" w:cs="Arial"/>
          <w:color w:val="000000" w:themeColor="text1"/>
          <w:sz w:val="24"/>
          <w:szCs w:val="24"/>
        </w:rPr>
        <w:t>a</w:t>
      </w:r>
      <w:r w:rsidRPr="002A67A5">
        <w:rPr>
          <w:rFonts w:ascii="Bookman Old Style" w:hAnsi="Bookman Old Style" w:cs="Arial"/>
          <w:color w:val="000000" w:themeColor="text1"/>
          <w:sz w:val="24"/>
          <w:szCs w:val="24"/>
        </w:rPr>
        <w:t xml:space="preserve"> eje</w:t>
      </w:r>
      <w:r w:rsidRPr="00A54A6F">
        <w:rPr>
          <w:rFonts w:ascii="Bookman Old Style" w:hAnsi="Bookman Old Style" w:cs="Arial"/>
          <w:color w:val="000000" w:themeColor="text1"/>
          <w:sz w:val="24"/>
          <w:szCs w:val="24"/>
        </w:rPr>
        <w:t xml:space="preserve">cución </w:t>
      </w:r>
      <w:r w:rsidRPr="002A67A5">
        <w:rPr>
          <w:rFonts w:ascii="Bookman Old Style" w:hAnsi="Bookman Old Style" w:cs="Arial"/>
          <w:color w:val="000000" w:themeColor="text1"/>
          <w:sz w:val="24"/>
          <w:szCs w:val="24"/>
        </w:rPr>
        <w:t xml:space="preserve">de la garantía de cumplimiento para </w:t>
      </w:r>
      <w:r>
        <w:rPr>
          <w:rFonts w:ascii="Bookman Old Style" w:hAnsi="Bookman Old Style" w:cs="Arial"/>
          <w:color w:val="000000" w:themeColor="text1"/>
          <w:sz w:val="24"/>
          <w:szCs w:val="24"/>
        </w:rPr>
        <w:t xml:space="preserve">un comprador </w:t>
      </w:r>
      <m:oMath>
        <m:r>
          <w:rPr>
            <w:rFonts w:ascii="Cambria Math" w:hAnsi="Cambria Math" w:cs="Arial"/>
            <w:color w:val="000000" w:themeColor="text1"/>
            <w:sz w:val="24"/>
            <w:szCs w:val="24"/>
          </w:rPr>
          <m:t>c</m:t>
        </m:r>
      </m:oMath>
      <w:r w:rsidRPr="002A67A5">
        <w:rPr>
          <w:rFonts w:ascii="Bookman Old Style" w:hAnsi="Bookman Old Style" w:cs="Arial"/>
          <w:color w:val="000000" w:themeColor="text1"/>
          <w:sz w:val="24"/>
          <w:szCs w:val="24"/>
        </w:rPr>
        <w:t>: Los eventos que dan lugar a la ejecución de la garantía son el no pago de la factura mensual en el tiempo previsto en la regulación vigente o cuando el comprador</w:t>
      </w:r>
      <w:r>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no entregue la garantía de cumplimiento del segundo mes del contrato firme bimestral.</w:t>
      </w:r>
      <w:bookmarkEnd w:id="7"/>
    </w:p>
    <w:p w:rsidR="004852E2" w:rsidRPr="004852E2" w:rsidRDefault="004852E2" w:rsidP="004852E2">
      <w:pPr>
        <w:pStyle w:val="Prrafodelista"/>
        <w:rPr>
          <w:rFonts w:ascii="Bookman Old Style" w:hAnsi="Bookman Old Style" w:cs="Arial"/>
          <w:color w:val="000000" w:themeColor="text1"/>
          <w:sz w:val="24"/>
          <w:szCs w:val="24"/>
        </w:rPr>
      </w:pPr>
    </w:p>
    <w:p w:rsidR="004852E2" w:rsidRDefault="004852E2" w:rsidP="004852E2">
      <w:pPr>
        <w:tabs>
          <w:tab w:val="left" w:pos="1478"/>
        </w:tabs>
        <w:ind w:left="0"/>
        <w:jc w:val="both"/>
        <w:rPr>
          <w:rFonts w:ascii="Bookman Old Style" w:hAnsi="Bookman Old Style" w:cs="Arial"/>
          <w:color w:val="000000" w:themeColor="text1"/>
        </w:rPr>
      </w:pPr>
      <w:r>
        <w:rPr>
          <w:rFonts w:ascii="Bookman Old Style" w:hAnsi="Bookman Old Style" w:cs="Arial"/>
          <w:b/>
          <w:color w:val="000000" w:themeColor="text1"/>
        </w:rPr>
        <w:t>Parágrafo</w:t>
      </w:r>
      <w:r w:rsidR="006E5C5D">
        <w:rPr>
          <w:rFonts w:ascii="Bookman Old Style" w:hAnsi="Bookman Old Style" w:cs="Arial"/>
          <w:b/>
          <w:color w:val="000000" w:themeColor="text1"/>
        </w:rPr>
        <w:t>1</w:t>
      </w:r>
      <w:r>
        <w:rPr>
          <w:rFonts w:ascii="Bookman Old Style" w:hAnsi="Bookman Old Style" w:cs="Arial"/>
          <w:b/>
          <w:color w:val="000000" w:themeColor="text1"/>
        </w:rPr>
        <w:t xml:space="preserve">. </w:t>
      </w:r>
      <w:r>
        <w:rPr>
          <w:rFonts w:ascii="Bookman Old Style" w:hAnsi="Bookman Old Style" w:cs="Arial"/>
          <w:color w:val="000000" w:themeColor="text1"/>
        </w:rPr>
        <w:t>En las garantías de participación, e</w:t>
      </w:r>
      <w:r>
        <w:rPr>
          <w:rFonts w:ascii="Bookman Old Style" w:hAnsi="Bookman Old Style" w:cs="Arial"/>
          <w:color w:val="000000" w:themeColor="text1"/>
          <w:lang w:eastAsia="es-CO"/>
        </w:rPr>
        <w:t xml:space="preserve">n los casos en donde los valores finales de las garantías resulten inferiores a los valores iniciales, el gestor del mercado de gas natural, a través de la fiducia mercantil que para tales efectos constituya, </w:t>
      </w:r>
      <w:r w:rsidR="00053B08">
        <w:rPr>
          <w:rFonts w:ascii="Bookman Old Style" w:hAnsi="Bookman Old Style" w:cs="Arial"/>
          <w:color w:val="000000" w:themeColor="text1"/>
          <w:lang w:eastAsia="es-CO"/>
        </w:rPr>
        <w:t>adoptará</w:t>
      </w:r>
      <w:r>
        <w:rPr>
          <w:rFonts w:ascii="Bookman Old Style" w:hAnsi="Bookman Old Style" w:cs="Arial"/>
          <w:color w:val="000000" w:themeColor="text1"/>
          <w:lang w:eastAsia="es-CO"/>
        </w:rPr>
        <w:t xml:space="preserve"> los mecanismos para que efectivamente los agentes puedan realizar los correspondientes ajustes.</w:t>
      </w:r>
    </w:p>
    <w:p w:rsidR="004852E2" w:rsidRDefault="004852E2" w:rsidP="004852E2">
      <w:pPr>
        <w:tabs>
          <w:tab w:val="left" w:pos="1478"/>
        </w:tabs>
        <w:ind w:left="0"/>
        <w:jc w:val="both"/>
        <w:rPr>
          <w:rFonts w:ascii="Bookman Old Style" w:hAnsi="Bookman Old Style" w:cs="Arial"/>
          <w:color w:val="000000" w:themeColor="text1"/>
          <w:lang w:eastAsia="es-CO"/>
        </w:rPr>
      </w:pPr>
    </w:p>
    <w:p w:rsidR="006E5C5D" w:rsidRDefault="006E5C5D" w:rsidP="006E5C5D">
      <w:pPr>
        <w:tabs>
          <w:tab w:val="left" w:pos="1478"/>
        </w:tabs>
        <w:ind w:left="0"/>
        <w:jc w:val="both"/>
        <w:rPr>
          <w:rFonts w:ascii="Bookman Old Style" w:hAnsi="Bookman Old Style" w:cs="Arial"/>
          <w:color w:val="000000" w:themeColor="text1"/>
        </w:rPr>
      </w:pPr>
      <w:r>
        <w:rPr>
          <w:rFonts w:ascii="Bookman Old Style" w:hAnsi="Bookman Old Style" w:cs="Arial"/>
          <w:b/>
          <w:color w:val="000000" w:themeColor="text1"/>
        </w:rPr>
        <w:t xml:space="preserve">Parágrafo 2. </w:t>
      </w:r>
      <w:r w:rsidRPr="00D00D38">
        <w:rPr>
          <w:rFonts w:ascii="Bookman Old Style" w:hAnsi="Bookman Old Style" w:cs="Arial"/>
          <w:color w:val="000000" w:themeColor="text1"/>
        </w:rPr>
        <w:t>E</w:t>
      </w:r>
      <w:r>
        <w:rPr>
          <w:rFonts w:ascii="Bookman Old Style" w:hAnsi="Bookman Old Style" w:cs="Arial"/>
          <w:color w:val="000000" w:themeColor="text1"/>
          <w:lang w:eastAsia="es-CO"/>
        </w:rPr>
        <w:t xml:space="preserve">l gestor del mercado de gas natural, a través de la fiducia mercantil que para tales efectos constituya, </w:t>
      </w:r>
      <w:r w:rsidR="00053B08">
        <w:rPr>
          <w:rFonts w:ascii="Bookman Old Style" w:hAnsi="Bookman Old Style" w:cs="Arial"/>
          <w:color w:val="000000" w:themeColor="text1"/>
          <w:lang w:eastAsia="es-CO"/>
        </w:rPr>
        <w:t>adoptará</w:t>
      </w:r>
      <w:r>
        <w:rPr>
          <w:rFonts w:ascii="Bookman Old Style" w:hAnsi="Bookman Old Style" w:cs="Arial"/>
          <w:color w:val="000000" w:themeColor="text1"/>
          <w:lang w:eastAsia="es-CO"/>
        </w:rPr>
        <w:t xml:space="preserve"> los mecanismos para que a los participantes que no resulten las asignaciones se les regresen las garantías de participación. Esta y otras disposiciones que se consideren necesarias, deberán ser explícitas en el reglamento que rija la operación de la fiducia mercantil.</w:t>
      </w:r>
    </w:p>
    <w:p w:rsidR="006E5C5D" w:rsidRDefault="006E5C5D" w:rsidP="004852E2">
      <w:pPr>
        <w:tabs>
          <w:tab w:val="left" w:pos="1478"/>
        </w:tabs>
        <w:ind w:left="0"/>
        <w:jc w:val="both"/>
        <w:rPr>
          <w:rFonts w:ascii="Bookman Old Style" w:hAnsi="Bookman Old Style" w:cs="Arial"/>
          <w:color w:val="000000" w:themeColor="text1"/>
          <w:lang w:eastAsia="es-CO"/>
        </w:rPr>
      </w:pPr>
    </w:p>
    <w:p w:rsidR="006249D9" w:rsidRPr="002A67A5" w:rsidRDefault="006249D9" w:rsidP="006249D9">
      <w:pPr>
        <w:tabs>
          <w:tab w:val="left" w:pos="567"/>
        </w:tabs>
        <w:ind w:left="360"/>
        <w:jc w:val="both"/>
        <w:rPr>
          <w:rFonts w:ascii="Bookman Old Style" w:hAnsi="Bookman Old Style" w:cs="Arial"/>
          <w:color w:val="000000" w:themeColor="text1"/>
          <w:lang w:val="es-CO"/>
        </w:rPr>
      </w:pPr>
    </w:p>
    <w:p w:rsidR="006249D9" w:rsidRPr="00410D8A" w:rsidRDefault="006249D9" w:rsidP="006249D9">
      <w:pPr>
        <w:pStyle w:val="Prrafodelista"/>
        <w:numPr>
          <w:ilvl w:val="0"/>
          <w:numId w:val="5"/>
        </w:numPr>
        <w:tabs>
          <w:tab w:val="left" w:pos="567"/>
        </w:tabs>
        <w:ind w:left="0" w:firstLine="0"/>
        <w:jc w:val="both"/>
        <w:rPr>
          <w:rFonts w:ascii="Bookman Old Style" w:hAnsi="Bookman Old Style" w:cs="Arial"/>
          <w:b/>
          <w:color w:val="000000" w:themeColor="text1"/>
          <w:sz w:val="24"/>
          <w:szCs w:val="24"/>
        </w:rPr>
      </w:pPr>
      <w:r w:rsidRPr="00410D8A">
        <w:rPr>
          <w:rFonts w:ascii="Bookman Old Style" w:hAnsi="Bookman Old Style" w:cs="Arial"/>
          <w:b/>
          <w:color w:val="000000" w:themeColor="text1"/>
          <w:sz w:val="24"/>
          <w:szCs w:val="24"/>
        </w:rPr>
        <w:lastRenderedPageBreak/>
        <w:t xml:space="preserve">Mecanismos de cobertura en las subastas de contratos firmes de largo plazo </w:t>
      </w:r>
    </w:p>
    <w:p w:rsidR="006249D9" w:rsidRPr="003C2AEC" w:rsidRDefault="006249D9" w:rsidP="006249D9">
      <w:pPr>
        <w:pStyle w:val="Prrafodelista"/>
        <w:tabs>
          <w:tab w:val="left" w:pos="567"/>
        </w:tabs>
        <w:ind w:left="0"/>
        <w:jc w:val="both"/>
        <w:rPr>
          <w:rFonts w:ascii="Bookman Old Style" w:hAnsi="Bookman Old Style" w:cs="Arial"/>
          <w:color w:val="000000" w:themeColor="text1"/>
          <w:sz w:val="24"/>
          <w:szCs w:val="24"/>
        </w:rPr>
      </w:pPr>
    </w:p>
    <w:p w:rsidR="006249D9"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Garantía de participación</w:t>
      </w:r>
    </w:p>
    <w:p w:rsidR="006249D9" w:rsidRDefault="006249D9" w:rsidP="006249D9">
      <w:pPr>
        <w:pStyle w:val="Prrafodelista"/>
        <w:tabs>
          <w:tab w:val="left" w:pos="1478"/>
        </w:tabs>
        <w:ind w:left="720"/>
        <w:jc w:val="both"/>
        <w:rPr>
          <w:rFonts w:ascii="Bookman Old Style" w:hAnsi="Bookman Old Style" w:cs="Arial"/>
          <w:color w:val="000000" w:themeColor="text1"/>
          <w:sz w:val="24"/>
          <w:szCs w:val="24"/>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Sujetos objeto de la constitución de la garantía de participación</w:t>
      </w:r>
      <w:r>
        <w:rPr>
          <w:rFonts w:ascii="Bookman Old Style" w:hAnsi="Bookman Old Style" w:cs="Arial"/>
          <w:color w:val="000000" w:themeColor="text1"/>
          <w:sz w:val="24"/>
          <w:szCs w:val="24"/>
        </w:rPr>
        <w:t>:</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B25D68">
        <w:rPr>
          <w:rFonts w:ascii="Bookman Old Style" w:hAnsi="Bookman Old Style" w:cs="Arial"/>
          <w:color w:val="000000" w:themeColor="text1"/>
          <w:sz w:val="24"/>
          <w:szCs w:val="24"/>
        </w:rPr>
        <w:t>Es obligatoria para los siguientes agentes para poder participar en la subasta.</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Los vendedores:</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Vendedores </w:t>
      </w:r>
      <w:r>
        <w:rPr>
          <w:rFonts w:ascii="Bookman Old Style" w:hAnsi="Bookman Old Style" w:cs="Arial"/>
          <w:color w:val="000000" w:themeColor="text1"/>
          <w:sz w:val="24"/>
          <w:szCs w:val="24"/>
        </w:rPr>
        <w:t>definidos en</w:t>
      </w:r>
      <w:r w:rsidRPr="002A67A5">
        <w:rPr>
          <w:rFonts w:ascii="Bookman Old Style" w:hAnsi="Bookman Old Style" w:cs="Arial"/>
          <w:color w:val="000000" w:themeColor="text1"/>
          <w:sz w:val="24"/>
          <w:szCs w:val="24"/>
        </w:rPr>
        <w:t xml:space="preserve"> el artículo 17 de la Resolución CREG 089 de 2013</w:t>
      </w:r>
      <w:r>
        <w:rPr>
          <w:rFonts w:ascii="Bookman Old Style" w:hAnsi="Bookman Old Style" w:cs="Arial"/>
          <w:color w:val="000000" w:themeColor="text1"/>
          <w:sz w:val="24"/>
          <w:szCs w:val="24"/>
        </w:rPr>
        <w:t>, o aquellos que lo modifique, adicione o sustituya.</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Los compradores:</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Compradores definidos</w:t>
      </w:r>
      <w:r w:rsidRPr="002A67A5">
        <w:rPr>
          <w:rFonts w:ascii="Bookman Old Style" w:hAnsi="Bookman Old Style" w:cs="Arial"/>
          <w:color w:val="000000" w:themeColor="text1"/>
          <w:sz w:val="24"/>
          <w:szCs w:val="24"/>
        </w:rPr>
        <w:t xml:space="preserve"> en el artículo 18 de la Resolución CREG 089 de 2013</w:t>
      </w:r>
      <w:r>
        <w:rPr>
          <w:rFonts w:ascii="Bookman Old Style" w:hAnsi="Bookman Old Style" w:cs="Arial"/>
          <w:color w:val="000000" w:themeColor="text1"/>
          <w:sz w:val="24"/>
          <w:szCs w:val="24"/>
        </w:rPr>
        <w:t>, o aquellos que lo modifique, adicione o sustituya.</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013B9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Beneficiario de la garantía: El beneficiario de la garantía es la fiducia mercantil que para tales efectos constituya el gestor del mercado de gas natural, según lo ordenado en las resolu</w:t>
      </w:r>
      <w:r w:rsidRPr="00013B99">
        <w:rPr>
          <w:rFonts w:ascii="Bookman Old Style" w:hAnsi="Bookman Old Style" w:cs="Arial"/>
          <w:color w:val="000000" w:themeColor="text1"/>
          <w:sz w:val="24"/>
          <w:szCs w:val="24"/>
        </w:rPr>
        <w:t xml:space="preserve">ciones CREG 089 de 2013 y 163 de 2014, o aquellas que las </w:t>
      </w:r>
      <w:r>
        <w:rPr>
          <w:rFonts w:ascii="Bookman Old Style" w:hAnsi="Bookman Old Style" w:cs="Arial"/>
          <w:color w:val="000000" w:themeColor="text1"/>
          <w:sz w:val="24"/>
          <w:szCs w:val="24"/>
        </w:rPr>
        <w:t>sustituyan, modifiquen o adicionen</w:t>
      </w:r>
      <w:r w:rsidRPr="00013B99">
        <w:rPr>
          <w:rFonts w:ascii="Bookman Old Style" w:hAnsi="Bookman Old Style" w:cs="Arial"/>
          <w:color w:val="000000" w:themeColor="text1"/>
          <w:sz w:val="24"/>
          <w:szCs w:val="24"/>
        </w:rPr>
        <w:t>.</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8D4D38" w:rsidRDefault="006249D9" w:rsidP="008D4D38">
      <w:pPr>
        <w:pStyle w:val="Prrafodelista"/>
        <w:numPr>
          <w:ilvl w:val="2"/>
          <w:numId w:val="5"/>
        </w:numPr>
        <w:tabs>
          <w:tab w:val="left" w:pos="567"/>
        </w:tabs>
        <w:jc w:val="both"/>
        <w:rPr>
          <w:rFonts w:ascii="Bookman Old Style" w:hAnsi="Bookman Old Style" w:cs="Arial"/>
          <w:color w:val="000000" w:themeColor="text1"/>
          <w:sz w:val="24"/>
          <w:szCs w:val="24"/>
        </w:rPr>
      </w:pPr>
      <w:r w:rsidRPr="003702E2">
        <w:rPr>
          <w:rFonts w:ascii="Bookman Old Style" w:hAnsi="Bookman Old Style" w:cs="Arial"/>
          <w:color w:val="000000" w:themeColor="text1"/>
          <w:sz w:val="24"/>
          <w:szCs w:val="24"/>
        </w:rPr>
        <w:t xml:space="preserve">Beneficiario de los </w:t>
      </w:r>
      <w:r>
        <w:rPr>
          <w:rFonts w:ascii="Bookman Old Style" w:hAnsi="Bookman Old Style" w:cs="Arial"/>
          <w:color w:val="000000" w:themeColor="text1"/>
          <w:sz w:val="24"/>
          <w:szCs w:val="24"/>
        </w:rPr>
        <w:t>recursos</w:t>
      </w:r>
      <w:r w:rsidRPr="003702E2">
        <w:rPr>
          <w:rFonts w:ascii="Bookman Old Style" w:hAnsi="Bookman Old Style" w:cs="Arial"/>
          <w:color w:val="000000" w:themeColor="text1"/>
          <w:sz w:val="24"/>
          <w:szCs w:val="24"/>
        </w:rPr>
        <w:t xml:space="preserve"> que resulten de la ejecución de la garantía de participación:</w:t>
      </w:r>
      <w:r>
        <w:rPr>
          <w:rFonts w:ascii="Bookman Old Style" w:hAnsi="Bookman Old Style" w:cs="Arial"/>
          <w:color w:val="000000" w:themeColor="text1"/>
          <w:sz w:val="24"/>
          <w:szCs w:val="24"/>
        </w:rPr>
        <w:t xml:space="preserve"> Cuando haya lugar a la ejecución de la garantía de participación de un vendedor o un comprador, los recursos que resulten de la ejecución de la misma serán transferidos a las correspondientes contrapartes que hayan resultado con asignaciones en la subasta</w:t>
      </w:r>
      <w:r w:rsidR="008D4D38">
        <w:rPr>
          <w:rFonts w:ascii="Bookman Old Style" w:hAnsi="Bookman Old Style" w:cs="Arial"/>
          <w:color w:val="000000" w:themeColor="text1"/>
          <w:sz w:val="24"/>
          <w:szCs w:val="24"/>
        </w:rPr>
        <w:t>, en forma proporcional a estas, según corresponda.</w:t>
      </w:r>
    </w:p>
    <w:p w:rsidR="006249D9" w:rsidRPr="002A67A5" w:rsidRDefault="006249D9" w:rsidP="00FB5B62">
      <w:pPr>
        <w:pStyle w:val="Prrafodelista"/>
        <w:tabs>
          <w:tab w:val="left" w:pos="567"/>
        </w:tabs>
        <w:ind w:left="1080"/>
        <w:jc w:val="both"/>
        <w:rPr>
          <w:rFonts w:ascii="Bookman Old Style" w:hAnsi="Bookman Old Style" w:cs="Arial"/>
          <w:color w:val="000000" w:themeColor="text1"/>
          <w:sz w:val="24"/>
          <w:szCs w:val="24"/>
        </w:rPr>
      </w:pPr>
    </w:p>
    <w:p w:rsidR="006249D9" w:rsidRPr="00102733"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La fiducia mercantil hará las transferencias a los beneficiarios de los recursos que resulten de la ejecución de la garantía, descontando los gastos de transferencias bancarias y GMF.</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B25D68"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B25D68">
        <w:rPr>
          <w:rFonts w:ascii="Bookman Old Style" w:hAnsi="Bookman Old Style" w:cs="Arial"/>
          <w:color w:val="000000" w:themeColor="text1"/>
          <w:sz w:val="24"/>
          <w:szCs w:val="24"/>
        </w:rPr>
        <w:t xml:space="preserve">Fecha de entrega de la garantía: Los vendedores y los compradores tendrán hasta las 17:00 horas de un día hábil antes del día décimo hábil antes de la realización de la subasta. </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Vigencia de</w:t>
      </w:r>
      <w:r w:rsidRPr="002A67A5">
        <w:rPr>
          <w:rFonts w:ascii="Bookman Old Style" w:hAnsi="Bookman Old Style" w:cs="Arial"/>
          <w:color w:val="000000" w:themeColor="text1"/>
          <w:sz w:val="24"/>
          <w:szCs w:val="24"/>
        </w:rPr>
        <w:t xml:space="preserve"> la garantía: El plazo que cubre la garantía corresponderá </w:t>
      </w:r>
      <w:r>
        <w:rPr>
          <w:rFonts w:ascii="Bookman Old Style" w:hAnsi="Bookman Old Style" w:cs="Arial"/>
          <w:color w:val="000000" w:themeColor="text1"/>
          <w:sz w:val="24"/>
          <w:szCs w:val="24"/>
        </w:rPr>
        <w:t xml:space="preserve">al número de días calendario desde la entrega de la garantía hasta el </w:t>
      </w:r>
      <w:r w:rsidRPr="006B24FC">
        <w:rPr>
          <w:rFonts w:ascii="Bookman Old Style" w:hAnsi="Bookman Old Style" w:cs="Arial"/>
          <w:sz w:val="24"/>
          <w:szCs w:val="24"/>
        </w:rPr>
        <w:t xml:space="preserve">último día hábil previo al primer mes de inicio del compromiso </w:t>
      </w:r>
      <w:r>
        <w:rPr>
          <w:rFonts w:ascii="Bookman Old Style" w:hAnsi="Bookman Old Style" w:cs="Arial"/>
          <w:sz w:val="24"/>
          <w:szCs w:val="24"/>
        </w:rPr>
        <w:t>más</w:t>
      </w:r>
      <w:r>
        <w:rPr>
          <w:rFonts w:ascii="Bookman Old Style" w:hAnsi="Bookman Old Style" w:cs="Arial"/>
          <w:color w:val="000000" w:themeColor="text1"/>
          <w:sz w:val="24"/>
          <w:szCs w:val="24"/>
        </w:rPr>
        <w:t xml:space="preserve"> </w:t>
      </w:r>
      <w:r w:rsidRPr="002A67A5">
        <w:rPr>
          <w:rFonts w:ascii="Bookman Old Style" w:hAnsi="Bookman Old Style" w:cs="Arial"/>
          <w:color w:val="000000" w:themeColor="text1"/>
          <w:sz w:val="24"/>
          <w:szCs w:val="24"/>
        </w:rPr>
        <w:t>un (1) día hábil.</w:t>
      </w:r>
    </w:p>
    <w:p w:rsidR="006249D9" w:rsidRPr="002A67A5"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bookmarkStart w:id="8" w:name="_Ref410812201"/>
      <w:r>
        <w:rPr>
          <w:rFonts w:ascii="Bookman Old Style" w:hAnsi="Bookman Old Style" w:cs="Arial"/>
          <w:color w:val="000000" w:themeColor="text1"/>
          <w:sz w:val="24"/>
          <w:szCs w:val="24"/>
        </w:rPr>
        <w:t xml:space="preserve">Valor de la garantía para los vendedores: La garantía de participación tiene un valor inicial en la fecha de entrega y un valor final ajustado </w:t>
      </w:r>
      <w:r>
        <w:rPr>
          <w:rFonts w:ascii="Bookman Old Style" w:hAnsi="Bookman Old Style" w:cs="Arial"/>
          <w:color w:val="000000" w:themeColor="text1"/>
          <w:sz w:val="24"/>
          <w:szCs w:val="24"/>
        </w:rPr>
        <w:lastRenderedPageBreak/>
        <w:t>cuando el gestor del mercado de gas natural conozca la declaración de la oferta.</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B13026"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B13026">
        <w:rPr>
          <w:rFonts w:ascii="Bookman Old Style" w:hAnsi="Bookman Old Style" w:cs="Arial"/>
          <w:color w:val="000000" w:themeColor="text1"/>
          <w:sz w:val="24"/>
          <w:szCs w:val="24"/>
        </w:rPr>
        <w:t xml:space="preserve">Valor </w:t>
      </w:r>
      <w:r w:rsidR="00572C43">
        <w:rPr>
          <w:rFonts w:ascii="Bookman Old Style" w:hAnsi="Bookman Old Style" w:cs="Arial"/>
          <w:color w:val="000000" w:themeColor="text1"/>
          <w:sz w:val="24"/>
          <w:szCs w:val="24"/>
        </w:rPr>
        <w:t>inicial</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CC52DF" w:rsidRPr="00B13026" w:rsidRDefault="00CC52DF" w:rsidP="006249D9">
      <w:pPr>
        <w:pStyle w:val="Prrafodelista"/>
        <w:tabs>
          <w:tab w:val="left" w:pos="567"/>
        </w:tabs>
        <w:ind w:left="1080"/>
        <w:jc w:val="both"/>
        <w:rPr>
          <w:rFonts w:ascii="Bookman Old Style" w:hAnsi="Bookman Old Style" w:cs="Arial"/>
          <w:color w:val="000000" w:themeColor="text1"/>
          <w:sz w:val="24"/>
          <w:szCs w:val="24"/>
        </w:rPr>
      </w:pPr>
    </w:p>
    <w:p w:rsidR="006249D9" w:rsidRPr="00B13026"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VLRLP</m:t>
              </m:r>
            </m:e>
            <m:sub>
              <m:r>
                <w:rPr>
                  <w:rFonts w:ascii="Cambria Math" w:hAnsi="Cambria Math" w:cs="Arial"/>
                  <w:color w:val="000000" w:themeColor="text1"/>
                  <w:sz w:val="24"/>
                  <w:szCs w:val="24"/>
                </w:rPr>
                <m:t xml:space="preserve">v </m:t>
              </m:r>
            </m:sub>
          </m:sSub>
          <m:r>
            <w:rPr>
              <w:rFonts w:ascii="Cambria Math" w:hAnsi="Cambria Math" w:cs="Arial"/>
              <w:color w:val="000000" w:themeColor="text1"/>
              <w:sz w:val="24"/>
              <w:szCs w:val="24"/>
            </w:rPr>
            <m:t xml:space="preserve">=0,05 ×30 ×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 xml:space="preserve"> ×p ×TRM</m:t>
          </m:r>
        </m:oMath>
      </m:oMathPara>
    </w:p>
    <w:p w:rsidR="00CC52DF" w:rsidRDefault="00CC52DF" w:rsidP="006249D9">
      <w:pPr>
        <w:pStyle w:val="Prrafodelista"/>
        <w:tabs>
          <w:tab w:val="left" w:pos="567"/>
        </w:tabs>
        <w:ind w:left="1080"/>
        <w:jc w:val="both"/>
        <w:rPr>
          <w:rFonts w:ascii="Bookman Old Style" w:hAnsi="Bookman Old Style" w:cs="Arial"/>
          <w:color w:val="000000" w:themeColor="text1"/>
          <w:sz w:val="24"/>
          <w:szCs w:val="24"/>
        </w:rPr>
      </w:pPr>
    </w:p>
    <w:p w:rsidR="006249D9" w:rsidRPr="00B13026" w:rsidRDefault="00572C43"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final</w:t>
      </w:r>
    </w:p>
    <w:p w:rsidR="006249D9" w:rsidRDefault="006249D9" w:rsidP="006249D9">
      <w:pPr>
        <w:pStyle w:val="Prrafodelista"/>
        <w:rPr>
          <w:rFonts w:ascii="Bookman Old Style" w:hAnsi="Bookman Old Style" w:cs="Arial"/>
          <w:color w:val="000000" w:themeColor="text1"/>
          <w:sz w:val="24"/>
          <w:szCs w:val="24"/>
        </w:rPr>
      </w:pPr>
    </w:p>
    <w:p w:rsidR="006249D9" w:rsidRPr="008F7457" w:rsidRDefault="008955C4" w:rsidP="006249D9">
      <w:pPr>
        <w:pStyle w:val="Prrafodelista"/>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VLRLP</m:t>
              </m:r>
            </m:e>
            <m:sub>
              <m:r>
                <w:rPr>
                  <w:rFonts w:ascii="Cambria Math" w:hAnsi="Cambria Math" w:cs="Arial"/>
                  <w:color w:val="000000" w:themeColor="text1"/>
                  <w:sz w:val="24"/>
                  <w:szCs w:val="24"/>
                </w:rPr>
                <m:t xml:space="preserve">v </m:t>
              </m:r>
            </m:sub>
          </m:sSub>
          <m:r>
            <w:rPr>
              <w:rFonts w:ascii="Cambria Math" w:hAnsi="Cambria Math" w:cs="Arial"/>
              <w:color w:val="000000" w:themeColor="text1"/>
              <w:sz w:val="24"/>
              <w:szCs w:val="24"/>
            </w:rPr>
            <m:t xml:space="preserve">=0,05 ×30 × </m:t>
          </m:r>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up>
              <m:r>
                <w:rPr>
                  <w:rFonts w:ascii="Cambria Math" w:hAnsi="Cambria Math" w:cs="Arial"/>
                  <w:color w:val="000000" w:themeColor="text1"/>
                  <w:sz w:val="24"/>
                  <w:szCs w:val="24"/>
                </w:rPr>
                <m:t>'</m:t>
              </m:r>
            </m:sup>
          </m:sSubSup>
          <m:r>
            <w:rPr>
              <w:rFonts w:ascii="Cambria Math" w:hAnsi="Cambria Math" w:cs="Arial"/>
              <w:color w:val="000000" w:themeColor="text1"/>
              <w:sz w:val="24"/>
              <w:szCs w:val="24"/>
            </w:rPr>
            <m:t>×p ×TRM</m:t>
          </m:r>
        </m:oMath>
      </m:oMathPara>
    </w:p>
    <w:p w:rsidR="006249D9" w:rsidRPr="00B13026"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rPr>
          <w:rFonts w:ascii="Bookman Old Style" w:hAnsi="Bookman Old Style" w:cs="Arial"/>
          <w:color w:val="000000" w:themeColor="text1"/>
          <w:sz w:val="24"/>
          <w:szCs w:val="24"/>
        </w:rPr>
      </w:pPr>
      <w:proofErr w:type="spellStart"/>
      <w:r w:rsidRPr="008F7457">
        <w:rPr>
          <w:rFonts w:ascii="Bookman Old Style" w:hAnsi="Bookman Old Style" w:cs="Arial"/>
          <w:color w:val="000000" w:themeColor="text1"/>
          <w:sz w:val="24"/>
          <w:szCs w:val="24"/>
        </w:rPr>
        <w:t>Donde</w:t>
      </w:r>
      <w:proofErr w:type="spellEnd"/>
      <w:r w:rsidRPr="008F7457">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817" w:type="dxa"/>
        <w:tblBorders>
          <w:top w:val="none" w:sz="0" w:space="0" w:color="auto"/>
          <w:left w:val="none" w:sz="0" w:space="0" w:color="auto"/>
          <w:bottom w:val="none" w:sz="0" w:space="0" w:color="auto"/>
          <w:right w:val="none" w:sz="0" w:space="0" w:color="auto"/>
          <w:insideH w:val="single" w:sz="4" w:space="0" w:color="FFFFFF" w:themeColor="background1"/>
          <w:insideV w:val="none" w:sz="0" w:space="0" w:color="auto"/>
        </w:tblBorders>
        <w:tblLook w:val="04A0" w:firstRow="1" w:lastRow="0" w:firstColumn="1" w:lastColumn="0" w:noHBand="0" w:noVBand="1"/>
      </w:tblPr>
      <w:tblGrid>
        <w:gridCol w:w="1160"/>
        <w:gridCol w:w="7600"/>
      </w:tblGrid>
      <w:tr w:rsidR="006249D9" w:rsidTr="00C23575">
        <w:tc>
          <w:tcPr>
            <w:tcW w:w="1160" w:type="dxa"/>
          </w:tcPr>
          <w:p w:rsidR="006249D9" w:rsidRPr="00FE3867" w:rsidRDefault="006249D9" w:rsidP="00C23575">
            <w:pPr>
              <w:pStyle w:val="Prrafodelista"/>
              <w:ind w:left="0"/>
              <w:rPr>
                <w:rFonts w:ascii="Bookman Old Style" w:hAnsi="Bookman Old Style" w:cs="Arial"/>
                <w:color w:val="000000" w:themeColor="text1"/>
                <w:sz w:val="24"/>
                <w:szCs w:val="24"/>
              </w:rPr>
            </w:pPr>
            <m:oMathPara>
              <m:oMathParaPr>
                <m:jc m:val="left"/>
              </m:oMathParaPr>
              <m:oMath>
                <m:r>
                  <w:rPr>
                    <w:rFonts w:ascii="Cambria Math" w:hAnsi="Cambria Math" w:cs="Arial"/>
                    <w:color w:val="000000" w:themeColor="text1"/>
                    <w:sz w:val="24"/>
                    <w:szCs w:val="24"/>
                  </w:rPr>
                  <m:t>v:</m:t>
                </m:r>
              </m:oMath>
            </m:oMathPara>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tc>
        <w:tc>
          <w:tcPr>
            <w:tcW w:w="7600" w:type="dxa"/>
          </w:tcPr>
          <w:p w:rsidR="006249D9" w:rsidRPr="0016383D" w:rsidRDefault="006249D9" w:rsidP="00C23575">
            <w:pPr>
              <w:pStyle w:val="Prrafodelista"/>
              <w:ind w:left="0"/>
              <w:jc w:val="both"/>
              <w:rPr>
                <w:rFonts w:ascii="Bookman Old Style" w:hAnsi="Bookman Old Style" w:cs="Arial"/>
                <w:color w:val="000000" w:themeColor="text1"/>
                <w:sz w:val="24"/>
                <w:szCs w:val="24"/>
              </w:rPr>
            </w:pPr>
            <w:r w:rsidRPr="0016383D">
              <w:rPr>
                <w:rFonts w:ascii="Bookman Old Style" w:hAnsi="Bookman Old Style" w:cs="Arial"/>
                <w:color w:val="000000" w:themeColor="text1"/>
                <w:sz w:val="24"/>
                <w:szCs w:val="24"/>
              </w:rPr>
              <w:t>Vendedores</w:t>
            </w:r>
            <w:r>
              <w:rPr>
                <w:rFonts w:ascii="Bookman Old Style" w:hAnsi="Bookman Old Style" w:cs="Arial"/>
                <w:color w:val="000000" w:themeColor="text1"/>
                <w:sz w:val="24"/>
                <w:szCs w:val="24"/>
              </w:rPr>
              <w:t>.</w:t>
            </w:r>
            <w:r w:rsidRPr="0016383D">
              <w:rPr>
                <w:rFonts w:ascii="Bookman Old Style" w:hAnsi="Bookman Old Style" w:cs="Arial"/>
                <w:color w:val="000000" w:themeColor="text1"/>
                <w:sz w:val="24"/>
                <w:szCs w:val="24"/>
              </w:rPr>
              <w:t xml:space="preserve"> </w:t>
            </w:r>
          </w:p>
        </w:tc>
      </w:tr>
      <w:tr w:rsidR="006249D9" w:rsidTr="00C23575">
        <w:tc>
          <w:tcPr>
            <w:tcW w:w="1160" w:type="dxa"/>
          </w:tcPr>
          <w:p w:rsidR="006249D9" w:rsidRPr="00FE3867" w:rsidRDefault="008955C4" w:rsidP="00C23575">
            <w:pPr>
              <w:pStyle w:val="Prrafodelista"/>
              <w:tabs>
                <w:tab w:val="left" w:pos="567"/>
              </w:tabs>
              <w:ind w:left="0"/>
              <w:jc w:val="both"/>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VLRLP</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m:t>
                </m:r>
              </m:oMath>
            </m:oMathPara>
          </w:p>
          <w:p w:rsidR="006249D9" w:rsidRDefault="006249D9" w:rsidP="00C23575">
            <w:pPr>
              <w:pStyle w:val="Prrafodelista"/>
              <w:tabs>
                <w:tab w:val="left" w:pos="567"/>
              </w:tabs>
              <w:ind w:left="0"/>
              <w:jc w:val="both"/>
              <w:rPr>
                <w:color w:val="000000" w:themeColor="text1"/>
                <w:sz w:val="24"/>
                <w:szCs w:val="24"/>
              </w:rPr>
            </w:pPr>
          </w:p>
        </w:tc>
        <w:tc>
          <w:tcPr>
            <w:tcW w:w="7600"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Valor de la garantía en pesos Colombianos.</w:t>
            </w:r>
          </w:p>
          <w:p w:rsidR="00CC52DF" w:rsidRDefault="00CC52DF"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160"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7600"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Precio en dólares de los Estados Unidos de América por MBTU que corresponde al promedio ponderado por cantidad de los contratos firmes a un (1) año, negociados en el año inmediatamente anterior.</w:t>
            </w:r>
          </w:p>
          <w:p w:rsidR="006249D9" w:rsidRPr="00CB46CD" w:rsidRDefault="006249D9" w:rsidP="00C23575">
            <w:pPr>
              <w:pStyle w:val="Prrafodelista"/>
              <w:ind w:left="0"/>
              <w:jc w:val="both"/>
              <w:rPr>
                <w:rFonts w:ascii="Bookman Old Style" w:hAnsi="Bookman Old Style" w:cs="Arial"/>
                <w:sz w:val="24"/>
                <w:szCs w:val="24"/>
              </w:rPr>
            </w:pPr>
          </w:p>
        </w:tc>
      </w:tr>
      <w:tr w:rsidR="006249D9" w:rsidTr="00C23575">
        <w:tc>
          <w:tcPr>
            <w:tcW w:w="1160"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600"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160" w:type="dxa"/>
          </w:tcPr>
          <w:p w:rsidR="006249D9"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oMath>
            <w:r w:rsidR="006249D9">
              <w:rPr>
                <w:rFonts w:ascii="Bookman Old Style" w:hAnsi="Bookman Old Style" w:cs="Arial"/>
                <w:color w:val="000000" w:themeColor="text1"/>
                <w:sz w:val="24"/>
                <w:szCs w:val="24"/>
              </w:rPr>
              <w:t>:</w:t>
            </w:r>
          </w:p>
        </w:tc>
        <w:tc>
          <w:tcPr>
            <w:tcW w:w="7600"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Para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la primera subasta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en que participe el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el valor de la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Sub>
            </m:oMath>
            <w:r>
              <w:rPr>
                <w:rFonts w:ascii="Bookman Old Style" w:hAnsi="Bookman Old Style" w:cs="Arial"/>
                <w:color w:val="000000" w:themeColor="text1"/>
                <w:sz w:val="24"/>
                <w:szCs w:val="24"/>
              </w:rPr>
              <w:t xml:space="preserve"> corresponderá a 35000 MBTUD. </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p w:rsidR="006249D9" w:rsidRPr="001907FC" w:rsidRDefault="006249D9" w:rsidP="00C23575">
            <w:pPr>
              <w:pStyle w:val="Prrafodelista"/>
              <w:tabs>
                <w:tab w:val="left" w:pos="567"/>
              </w:tabs>
              <w:ind w:left="0"/>
              <w:jc w:val="both"/>
              <w:rPr>
                <w:rFonts w:ascii="Bookman Old Style" w:hAnsi="Bookman Old Style" w:cs="Arial"/>
                <w:sz w:val="24"/>
                <w:szCs w:val="24"/>
              </w:rPr>
            </w:pPr>
            <w:r w:rsidRPr="001907FC">
              <w:rPr>
                <w:rFonts w:ascii="Bookman Old Style" w:hAnsi="Bookman Old Style" w:cs="Arial"/>
                <w:sz w:val="24"/>
                <w:szCs w:val="24"/>
              </w:rPr>
              <w:t xml:space="preserve">Para las siguientes subastas el valor de la </w:t>
            </w:r>
            <m:oMath>
              <m:sSub>
                <m:sSubPr>
                  <m:ctrlPr>
                    <w:rPr>
                      <w:rFonts w:ascii="Cambria Math" w:hAnsi="Cambria Math" w:cs="Arial"/>
                      <w:i/>
                      <w:sz w:val="24"/>
                      <w:szCs w:val="24"/>
                    </w:rPr>
                  </m:ctrlPr>
                </m:sSubPr>
                <m:e>
                  <m:r>
                    <w:rPr>
                      <w:rFonts w:ascii="Cambria Math" w:hAnsi="Cambria Math" w:cs="Arial"/>
                      <w:sz w:val="24"/>
                      <w:szCs w:val="24"/>
                    </w:rPr>
                    <m:t>Oferta</m:t>
                  </m:r>
                </m:e>
                <m:sub>
                  <m:r>
                    <w:rPr>
                      <w:rFonts w:ascii="Cambria Math" w:hAnsi="Cambria Math" w:cs="Arial"/>
                      <w:sz w:val="24"/>
                      <w:szCs w:val="24"/>
                    </w:rPr>
                    <m:t>v</m:t>
                  </m:r>
                </m:sub>
              </m:sSub>
            </m:oMath>
            <w:r w:rsidRPr="001907FC">
              <w:rPr>
                <w:rFonts w:ascii="Bookman Old Style" w:hAnsi="Bookman Old Style" w:cs="Arial"/>
                <w:sz w:val="24"/>
                <w:szCs w:val="24"/>
              </w:rPr>
              <w:t xml:space="preserve"> corresponderá al mayor valor asignado</w:t>
            </w:r>
            <w:r>
              <w:rPr>
                <w:rFonts w:ascii="Bookman Old Style" w:hAnsi="Bookman Old Style" w:cs="Arial"/>
                <w:sz w:val="24"/>
                <w:szCs w:val="24"/>
              </w:rPr>
              <w:t xml:space="preserve"> al vendedor </w:t>
            </w:r>
            <m:oMath>
              <m:r>
                <w:rPr>
                  <w:rFonts w:ascii="Cambria Math" w:hAnsi="Cambria Math" w:cs="Arial"/>
                  <w:color w:val="000000" w:themeColor="text1"/>
                  <w:sz w:val="24"/>
                  <w:szCs w:val="24"/>
                </w:rPr>
                <m:t>v</m:t>
              </m:r>
            </m:oMath>
            <w:r w:rsidRPr="001907FC">
              <w:rPr>
                <w:rFonts w:ascii="Bookman Old Style" w:hAnsi="Bookman Old Style" w:cs="Arial"/>
                <w:sz w:val="24"/>
                <w:szCs w:val="24"/>
              </w:rPr>
              <w:t xml:space="preserve"> en el mecanismo de comercialización de que trata el artículo 21 de la Resolución CREG 089 de 2013, o la que la modifique, adicione o sustituya, </w:t>
            </w:r>
            <w:r>
              <w:rPr>
                <w:rFonts w:ascii="Bookman Old Style" w:hAnsi="Bookman Old Style" w:cs="Arial"/>
                <w:sz w:val="24"/>
                <w:szCs w:val="24"/>
              </w:rPr>
              <w:t>del año inmediatamente anterior, en</w:t>
            </w:r>
            <w:r w:rsidRPr="001907FC">
              <w:rPr>
                <w:rFonts w:ascii="Bookman Old Style" w:hAnsi="Bookman Old Style" w:cs="Arial"/>
                <w:sz w:val="24"/>
                <w:szCs w:val="24"/>
              </w:rPr>
              <w:t xml:space="preserve"> MBTUD</w:t>
            </w:r>
            <w:r>
              <w:rPr>
                <w:rFonts w:ascii="Bookman Old Style" w:hAnsi="Bookman Old Style" w:cs="Arial"/>
                <w:sz w:val="24"/>
                <w:szCs w:val="24"/>
              </w:rPr>
              <w:t>.</w:t>
            </w:r>
          </w:p>
          <w:p w:rsidR="006249D9" w:rsidRPr="001907FC" w:rsidRDefault="006249D9" w:rsidP="00C23575">
            <w:pPr>
              <w:pStyle w:val="Prrafodelista"/>
              <w:tabs>
                <w:tab w:val="left" w:pos="567"/>
              </w:tabs>
              <w:ind w:left="0"/>
              <w:jc w:val="both"/>
              <w:rPr>
                <w:rFonts w:ascii="Bookman Old Style" w:hAnsi="Bookman Old Style" w:cs="Arial"/>
                <w:color w:val="943634" w:themeColor="accent2" w:themeShade="BF"/>
                <w:sz w:val="24"/>
                <w:szCs w:val="24"/>
              </w:rPr>
            </w:pPr>
          </w:p>
        </w:tc>
      </w:tr>
      <w:tr w:rsidR="006249D9" w:rsidTr="00C23575">
        <w:tc>
          <w:tcPr>
            <w:tcW w:w="1160" w:type="dxa"/>
          </w:tcPr>
          <w:p w:rsidR="006249D9" w:rsidRDefault="008955C4" w:rsidP="00C23575">
            <w:pPr>
              <w:pStyle w:val="Prrafodelista"/>
              <w:ind w:left="0"/>
              <w:rPr>
                <w:rFonts w:ascii="Bookman Old Style" w:hAnsi="Bookman Old Style" w:cs="Arial"/>
                <w:color w:val="000000" w:themeColor="text1"/>
                <w:sz w:val="24"/>
                <w:szCs w:val="24"/>
              </w:rPr>
            </w:pPr>
            <m:oMathPara>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Oferta</m:t>
                    </m:r>
                  </m:e>
                  <m:sub>
                    <m:r>
                      <w:rPr>
                        <w:rFonts w:ascii="Cambria Math" w:hAnsi="Cambria Math" w:cs="Arial"/>
                        <w:color w:val="000000" w:themeColor="text1"/>
                        <w:sz w:val="24"/>
                        <w:szCs w:val="24"/>
                      </w:rPr>
                      <m:t>v</m:t>
                    </m:r>
                  </m:sub>
                  <m:sup>
                    <m:r>
                      <w:rPr>
                        <w:rFonts w:ascii="Cambria Math" w:hAnsi="Cambria Math" w:cs="Arial"/>
                        <w:color w:val="000000" w:themeColor="text1"/>
                        <w:sz w:val="24"/>
                        <w:szCs w:val="24"/>
                      </w:rPr>
                      <m:t>'</m:t>
                    </m:r>
                  </m:sup>
                </m:sSubSup>
                <m:r>
                  <w:rPr>
                    <w:rFonts w:ascii="Cambria Math" w:hAnsi="Cambria Math" w:cs="Arial"/>
                    <w:color w:val="000000" w:themeColor="text1"/>
                    <w:sz w:val="24"/>
                    <w:szCs w:val="24"/>
                  </w:rPr>
                  <m:t>:</m:t>
                </m:r>
              </m:oMath>
            </m:oMathPara>
          </w:p>
        </w:tc>
        <w:tc>
          <w:tcPr>
            <w:tcW w:w="7600" w:type="dxa"/>
          </w:tcPr>
          <w:p w:rsidR="006249D9" w:rsidRDefault="006249D9" w:rsidP="00C23575">
            <w:pPr>
              <w:pStyle w:val="Prrafodelista"/>
              <w:ind w:left="0"/>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Cantidad de energía que el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declara en la subasta.</w:t>
            </w:r>
          </w:p>
          <w:p w:rsidR="006249D9" w:rsidRDefault="006249D9" w:rsidP="00C23575">
            <w:pPr>
              <w:pStyle w:val="Prrafodelista"/>
              <w:ind w:left="0"/>
              <w:rPr>
                <w:rFonts w:ascii="Bookman Old Style" w:hAnsi="Bookman Old Style" w:cs="Arial"/>
                <w:color w:val="000000" w:themeColor="text1"/>
                <w:sz w:val="24"/>
                <w:szCs w:val="24"/>
              </w:rPr>
            </w:pPr>
          </w:p>
        </w:tc>
      </w:tr>
    </w:tbl>
    <w:p w:rsidR="006249D9" w:rsidRPr="009419D8" w:rsidRDefault="006249D9" w:rsidP="006249D9">
      <w:pPr>
        <w:pStyle w:val="Prrafodelista"/>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garantía para los compradores: La garantía de participación tiene un valor inicial en la fecha de entrega y un valor final ajustado cuando el gestor del mercado de gas conozca la declaración de la demanda.</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lastRenderedPageBreak/>
        <w:t>Valor inicial</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VLRLP</m:t>
              </m:r>
            </m:e>
            <m:sub>
              <m:r>
                <w:rPr>
                  <w:rFonts w:ascii="Cambria Math" w:hAnsi="Cambria Math" w:cs="Arial"/>
                  <w:sz w:val="24"/>
                  <w:szCs w:val="24"/>
                </w:rPr>
                <m:t>c =</m:t>
              </m:r>
            </m:sub>
          </m:sSub>
          <m:r>
            <w:rPr>
              <w:rFonts w:ascii="Cambria Math" w:hAnsi="Cambria Math" w:cs="Arial"/>
              <w:sz w:val="24"/>
              <w:szCs w:val="24"/>
            </w:rPr>
            <m:t xml:space="preserve"> 0,05 ×30 × </m:t>
          </m:r>
          <m:sSub>
            <m:sSubPr>
              <m:ctrlPr>
                <w:rPr>
                  <w:rFonts w:ascii="Cambria Math" w:hAnsi="Cambria Math" w:cs="Arial"/>
                  <w:i/>
                  <w:sz w:val="24"/>
                  <w:szCs w:val="24"/>
                </w:rPr>
              </m:ctrlPr>
            </m:sSubPr>
            <m:e>
              <m:r>
                <w:rPr>
                  <w:rFonts w:ascii="Cambria Math" w:hAnsi="Cambria Math" w:cs="Arial"/>
                  <w:sz w:val="24"/>
                  <w:szCs w:val="24"/>
                </w:rPr>
                <m:t>Demanda</m:t>
              </m:r>
            </m:e>
            <m:sub>
              <m:r>
                <w:rPr>
                  <w:rFonts w:ascii="Cambria Math" w:hAnsi="Cambria Math" w:cs="Arial"/>
                  <w:sz w:val="24"/>
                  <w:szCs w:val="24"/>
                </w:rPr>
                <m:t>c</m:t>
              </m:r>
            </m:sub>
          </m:sSub>
          <m:r>
            <w:rPr>
              <w:rFonts w:ascii="Cambria Math" w:hAnsi="Cambria Math" w:cs="Arial"/>
              <w:sz w:val="24"/>
              <w:szCs w:val="24"/>
            </w:rPr>
            <m:t>×p ×TRM</m:t>
          </m:r>
        </m:oMath>
      </m:oMathPara>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final</w:t>
      </w:r>
    </w:p>
    <w:p w:rsidR="006249D9" w:rsidRPr="009419D8" w:rsidRDefault="006249D9" w:rsidP="006249D9">
      <w:pPr>
        <w:pStyle w:val="Prrafodelista"/>
        <w:rPr>
          <w:rFonts w:ascii="Bookman Old Style" w:hAnsi="Bookman Old Style" w:cs="Arial"/>
          <w:color w:val="000000" w:themeColor="text1"/>
          <w:sz w:val="24"/>
          <w:szCs w:val="24"/>
        </w:rPr>
      </w:pPr>
    </w:p>
    <w:bookmarkEnd w:id="8"/>
    <w:p w:rsidR="006249D9" w:rsidRPr="00FC1DF1" w:rsidRDefault="008955C4" w:rsidP="006249D9">
      <w:pPr>
        <w:pStyle w:val="Prrafodelista"/>
        <w:rPr>
          <w:rFonts w:ascii="Bookman Old Style" w:hAnsi="Bookman Old Style" w:cs="Arial"/>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VLRLP</m:t>
              </m:r>
            </m:e>
            <m:sub>
              <m:r>
                <w:rPr>
                  <w:rFonts w:ascii="Cambria Math" w:hAnsi="Cambria Math" w:cs="Arial"/>
                  <w:sz w:val="24"/>
                  <w:szCs w:val="24"/>
                </w:rPr>
                <m:t>c =</m:t>
              </m:r>
            </m:sub>
          </m:sSub>
          <m:r>
            <w:rPr>
              <w:rFonts w:ascii="Cambria Math" w:hAnsi="Cambria Math" w:cs="Arial"/>
              <w:sz w:val="24"/>
              <w:szCs w:val="24"/>
            </w:rPr>
            <m:t xml:space="preserve"> </m:t>
          </m:r>
          <m:sSubSup>
            <m:sSubSupPr>
              <m:ctrlPr>
                <w:rPr>
                  <w:rFonts w:ascii="Cambria Math" w:hAnsi="Cambria Math" w:cs="Arial"/>
                  <w:i/>
                  <w:sz w:val="24"/>
                  <w:szCs w:val="24"/>
                </w:rPr>
              </m:ctrlPr>
            </m:sSubSupPr>
            <m:e>
              <m:r>
                <w:rPr>
                  <w:rFonts w:ascii="Cambria Math" w:hAnsi="Cambria Math" w:cs="Arial"/>
                  <w:sz w:val="24"/>
                  <w:szCs w:val="24"/>
                </w:rPr>
                <m:t>0,05 ×30 × Demanda</m:t>
              </m:r>
            </m:e>
            <m:sub>
              <m:r>
                <w:rPr>
                  <w:rFonts w:ascii="Cambria Math" w:hAnsi="Cambria Math" w:cs="Arial"/>
                  <w:sz w:val="24"/>
                  <w:szCs w:val="24"/>
                </w:rPr>
                <m:t>c</m:t>
              </m:r>
            </m:sub>
            <m:sup>
              <m:r>
                <w:rPr>
                  <w:rFonts w:ascii="Cambria Math" w:hAnsi="Cambria Math" w:cs="Arial"/>
                  <w:sz w:val="24"/>
                  <w:szCs w:val="24"/>
                </w:rPr>
                <m:t>'</m:t>
              </m:r>
            </m:sup>
          </m:sSubSup>
          <m:r>
            <w:rPr>
              <w:rFonts w:ascii="Cambria Math" w:hAnsi="Cambria Math" w:cs="Arial"/>
              <w:sz w:val="24"/>
              <w:szCs w:val="24"/>
            </w:rPr>
            <m:t xml:space="preserve"> ×p ×TRM</m:t>
          </m:r>
        </m:oMath>
      </m:oMathPara>
    </w:p>
    <w:p w:rsidR="006249D9" w:rsidRPr="009419D8" w:rsidRDefault="006249D9" w:rsidP="006249D9">
      <w:pPr>
        <w:pStyle w:val="Prrafodelista"/>
        <w:rPr>
          <w:rFonts w:ascii="Bookman Old Style" w:hAnsi="Bookman Old Style" w:cs="Arial"/>
          <w:sz w:val="24"/>
          <w:szCs w:val="24"/>
        </w:rPr>
      </w:pPr>
    </w:p>
    <w:p w:rsidR="006249D9" w:rsidRDefault="006249D9" w:rsidP="006249D9">
      <w:pPr>
        <w:pStyle w:val="Prrafodelista"/>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5"/>
        <w:gridCol w:w="7335"/>
      </w:tblGrid>
      <w:tr w:rsidR="006249D9" w:rsidTr="00C23575">
        <w:tc>
          <w:tcPr>
            <w:tcW w:w="1425" w:type="dxa"/>
          </w:tcPr>
          <w:p w:rsidR="006249D9" w:rsidRPr="00573488"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w:t>
            </w:r>
          </w:p>
        </w:tc>
        <w:tc>
          <w:tcPr>
            <w:tcW w:w="7335"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Compradores.</w:t>
            </w:r>
          </w:p>
          <w:p w:rsidR="006249D9" w:rsidRDefault="006249D9" w:rsidP="00C23575">
            <w:pPr>
              <w:pStyle w:val="Prrafodelista"/>
              <w:ind w:left="0"/>
              <w:jc w:val="both"/>
              <w:rPr>
                <w:rFonts w:ascii="Bookman Old Style" w:hAnsi="Bookman Old Style" w:cs="Arial"/>
                <w:sz w:val="24"/>
                <w:szCs w:val="24"/>
              </w:rPr>
            </w:pPr>
          </w:p>
        </w:tc>
      </w:tr>
      <w:tr w:rsidR="006249D9" w:rsidTr="00C23575">
        <w:tc>
          <w:tcPr>
            <w:tcW w:w="1425" w:type="dxa"/>
          </w:tcPr>
          <w:p w:rsidR="006249D9" w:rsidRPr="00FE3867" w:rsidRDefault="008955C4" w:rsidP="00C23575">
            <w:pPr>
              <w:pStyle w:val="Prrafodelista"/>
              <w:tabs>
                <w:tab w:val="left" w:pos="567"/>
              </w:tabs>
              <w:ind w:left="0"/>
              <w:jc w:val="both"/>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VLRLP</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p w:rsidR="006249D9" w:rsidRDefault="006249D9" w:rsidP="00C23575">
            <w:pPr>
              <w:pStyle w:val="Prrafodelista"/>
              <w:tabs>
                <w:tab w:val="left" w:pos="567"/>
              </w:tabs>
              <w:ind w:left="0"/>
              <w:jc w:val="both"/>
              <w:rPr>
                <w:color w:val="000000" w:themeColor="text1"/>
                <w:sz w:val="24"/>
                <w:szCs w:val="24"/>
              </w:rPr>
            </w:pPr>
          </w:p>
        </w:tc>
        <w:tc>
          <w:tcPr>
            <w:tcW w:w="7335"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Valor de la garantía en pesos Colombianos.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25"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7335"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Precio en dólares de los Estados Unidos de América por MBTU que corresponde al promedio ponderado por cantidad de los contratos firmes a un (1) año, negociados en el año inmediatamente anterior.</w:t>
            </w:r>
          </w:p>
          <w:p w:rsidR="006249D9" w:rsidRPr="00CB46CD" w:rsidRDefault="006249D9" w:rsidP="00C23575">
            <w:pPr>
              <w:pStyle w:val="Prrafodelista"/>
              <w:ind w:left="0"/>
              <w:jc w:val="both"/>
              <w:rPr>
                <w:rFonts w:ascii="Bookman Old Style" w:hAnsi="Bookman Old Style" w:cs="Arial"/>
                <w:sz w:val="24"/>
                <w:szCs w:val="24"/>
              </w:rPr>
            </w:pPr>
          </w:p>
        </w:tc>
      </w:tr>
      <w:tr w:rsidR="006249D9" w:rsidTr="00C23575">
        <w:tc>
          <w:tcPr>
            <w:tcW w:w="1425"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335"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25"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7335"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Para la primera subasta</w:t>
            </w:r>
            <w:r w:rsidR="00CC52D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en que participe 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el valor de la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oMath>
            <w:r>
              <w:rPr>
                <w:rFonts w:ascii="Bookman Old Style" w:hAnsi="Bookman Old Style" w:cs="Arial"/>
                <w:color w:val="000000" w:themeColor="text1"/>
                <w:sz w:val="24"/>
                <w:szCs w:val="24"/>
              </w:rPr>
              <w:t xml:space="preserve"> corresponderá a 35000 MBTUD. </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p w:rsidR="006249D9" w:rsidRPr="001907FC" w:rsidRDefault="006249D9" w:rsidP="00C23575">
            <w:pPr>
              <w:pStyle w:val="Prrafodelista"/>
              <w:tabs>
                <w:tab w:val="left" w:pos="567"/>
              </w:tabs>
              <w:ind w:left="0"/>
              <w:jc w:val="both"/>
              <w:rPr>
                <w:rFonts w:ascii="Bookman Old Style" w:hAnsi="Bookman Old Style" w:cs="Arial"/>
                <w:sz w:val="24"/>
                <w:szCs w:val="24"/>
              </w:rPr>
            </w:pPr>
            <w:r w:rsidRPr="001907FC">
              <w:rPr>
                <w:rFonts w:ascii="Bookman Old Style" w:hAnsi="Bookman Old Style" w:cs="Arial"/>
                <w:sz w:val="24"/>
                <w:szCs w:val="24"/>
              </w:rPr>
              <w:t xml:space="preserve">Para las siguientes subastas el valor de la </w:t>
            </w:r>
            <m:oMath>
              <m:sSub>
                <m:sSubPr>
                  <m:ctrlPr>
                    <w:rPr>
                      <w:rFonts w:ascii="Cambria Math" w:hAnsi="Cambria Math" w:cs="Arial"/>
                      <w:i/>
                      <w:sz w:val="24"/>
                      <w:szCs w:val="24"/>
                    </w:rPr>
                  </m:ctrlPr>
                </m:sSubPr>
                <m:e>
                  <m:r>
                    <w:rPr>
                      <w:rFonts w:ascii="Cambria Math" w:hAnsi="Cambria Math" w:cs="Arial"/>
                      <w:sz w:val="24"/>
                      <w:szCs w:val="24"/>
                    </w:rPr>
                    <m:t>Demanda</m:t>
                  </m:r>
                </m:e>
                <m:sub>
                  <m:r>
                    <w:rPr>
                      <w:rFonts w:ascii="Cambria Math" w:hAnsi="Cambria Math" w:cs="Arial"/>
                      <w:sz w:val="24"/>
                      <w:szCs w:val="24"/>
                    </w:rPr>
                    <m:t>c</m:t>
                  </m:r>
                </m:sub>
              </m:sSub>
            </m:oMath>
            <w:r w:rsidRPr="001907FC">
              <w:rPr>
                <w:rFonts w:ascii="Bookman Old Style" w:hAnsi="Bookman Old Style" w:cs="Arial"/>
                <w:sz w:val="24"/>
                <w:szCs w:val="24"/>
              </w:rPr>
              <w:t xml:space="preserve"> corresponderá al mayor valor asignado</w:t>
            </w:r>
            <w:r>
              <w:rPr>
                <w:rFonts w:ascii="Bookman Old Style" w:hAnsi="Bookman Old Style" w:cs="Arial"/>
                <w:sz w:val="24"/>
                <w:szCs w:val="24"/>
              </w:rPr>
              <w:t xml:space="preserve"> al comprador </w:t>
            </w:r>
            <m:oMath>
              <m:r>
                <w:rPr>
                  <w:rFonts w:ascii="Cambria Math" w:hAnsi="Cambria Math" w:cs="Arial"/>
                  <w:color w:val="000000" w:themeColor="text1"/>
                  <w:sz w:val="24"/>
                  <w:szCs w:val="24"/>
                </w:rPr>
                <m:t>c</m:t>
              </m:r>
            </m:oMath>
            <w:r w:rsidRPr="001907FC">
              <w:rPr>
                <w:rFonts w:ascii="Bookman Old Style" w:hAnsi="Bookman Old Style" w:cs="Arial"/>
                <w:sz w:val="24"/>
                <w:szCs w:val="24"/>
              </w:rPr>
              <w:t xml:space="preserve"> en el mecanismo de comercialización de que trata el artículo 21 de la Resolución CREG 089 de 2013, o la que la modifique, adicione o sustituya, </w:t>
            </w:r>
            <w:r>
              <w:rPr>
                <w:rFonts w:ascii="Bookman Old Style" w:hAnsi="Bookman Old Style" w:cs="Arial"/>
                <w:sz w:val="24"/>
                <w:szCs w:val="24"/>
              </w:rPr>
              <w:t>del año inmediatamente anterior, en</w:t>
            </w:r>
            <w:r w:rsidRPr="001907FC">
              <w:rPr>
                <w:rFonts w:ascii="Bookman Old Style" w:hAnsi="Bookman Old Style" w:cs="Arial"/>
                <w:sz w:val="24"/>
                <w:szCs w:val="24"/>
              </w:rPr>
              <w:t xml:space="preserve"> MBTUD</w:t>
            </w:r>
            <w:r>
              <w:rPr>
                <w:rFonts w:ascii="Bookman Old Style" w:hAnsi="Bookman Old Style" w:cs="Arial"/>
                <w:sz w:val="24"/>
                <w:szCs w:val="24"/>
              </w:rPr>
              <w:t>.</w:t>
            </w:r>
          </w:p>
          <w:p w:rsidR="006249D9" w:rsidRPr="00447264" w:rsidRDefault="006249D9" w:rsidP="00C23575">
            <w:pPr>
              <w:tabs>
                <w:tab w:val="left" w:pos="567"/>
              </w:tabs>
              <w:ind w:left="0"/>
              <w:jc w:val="both"/>
              <w:rPr>
                <w:rFonts w:ascii="Bookman Old Style" w:hAnsi="Bookman Old Style" w:cs="Arial"/>
                <w:color w:val="000000" w:themeColor="text1"/>
              </w:rPr>
            </w:pPr>
          </w:p>
        </w:tc>
      </w:tr>
      <w:tr w:rsidR="006249D9" w:rsidTr="00C23575">
        <w:tc>
          <w:tcPr>
            <w:tcW w:w="1425" w:type="dxa"/>
          </w:tcPr>
          <w:p w:rsidR="006249D9" w:rsidRDefault="008955C4" w:rsidP="00C23575">
            <w:pPr>
              <w:pStyle w:val="Prrafodelista"/>
              <w:ind w:left="0"/>
              <w:rPr>
                <w:rFonts w:ascii="Bookman Old Style" w:hAnsi="Bookman Old Style" w:cs="Arial"/>
                <w:color w:val="000000" w:themeColor="text1"/>
                <w:sz w:val="24"/>
                <w:szCs w:val="24"/>
              </w:rPr>
            </w:pP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up>
                  <m:r>
                    <w:rPr>
                      <w:rFonts w:ascii="Cambria Math" w:hAnsi="Cambria Math" w:cs="Arial"/>
                      <w:color w:val="000000" w:themeColor="text1"/>
                      <w:sz w:val="24"/>
                      <w:szCs w:val="24"/>
                    </w:rPr>
                    <m:t>'</m:t>
                  </m:r>
                </m:sup>
              </m:sSubSup>
            </m:oMath>
            <w:r w:rsidR="006249D9">
              <w:rPr>
                <w:rFonts w:ascii="Bookman Old Style" w:hAnsi="Bookman Old Style" w:cs="Arial"/>
                <w:color w:val="000000" w:themeColor="text1"/>
                <w:sz w:val="24"/>
                <w:szCs w:val="24"/>
              </w:rPr>
              <w:t>:</w:t>
            </w:r>
          </w:p>
        </w:tc>
        <w:tc>
          <w:tcPr>
            <w:tcW w:w="7335" w:type="dxa"/>
          </w:tcPr>
          <w:p w:rsidR="006249D9" w:rsidRDefault="006249D9" w:rsidP="00C23575">
            <w:pPr>
              <w:pStyle w:val="Prrafodelista"/>
              <w:ind w:left="0"/>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Cantidad de energía que 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declara.</w:t>
            </w:r>
          </w:p>
          <w:p w:rsidR="006249D9" w:rsidRDefault="006249D9" w:rsidP="00C23575">
            <w:pPr>
              <w:pStyle w:val="Prrafodelista"/>
              <w:ind w:left="0"/>
              <w:rPr>
                <w:rFonts w:ascii="Bookman Old Style" w:hAnsi="Bookman Old Style" w:cs="Arial"/>
                <w:color w:val="000000" w:themeColor="text1"/>
                <w:sz w:val="24"/>
                <w:szCs w:val="24"/>
              </w:rPr>
            </w:pPr>
          </w:p>
        </w:tc>
      </w:tr>
    </w:tbl>
    <w:p w:rsidR="006249D9" w:rsidRPr="009419D8" w:rsidRDefault="006249D9" w:rsidP="006249D9">
      <w:pPr>
        <w:pStyle w:val="Prrafodelista"/>
        <w:tabs>
          <w:tab w:val="left" w:pos="567"/>
        </w:tabs>
        <w:ind w:left="0"/>
        <w:jc w:val="both"/>
        <w:rPr>
          <w:color w:val="943634" w:themeColor="accent2" w:themeShade="BF"/>
          <w:sz w:val="24"/>
          <w:szCs w:val="24"/>
        </w:rPr>
      </w:pPr>
    </w:p>
    <w:p w:rsidR="006249D9" w:rsidRPr="00823D09" w:rsidRDefault="006249D9" w:rsidP="006249D9">
      <w:pPr>
        <w:pStyle w:val="Prrafodelista"/>
        <w:numPr>
          <w:ilvl w:val="2"/>
          <w:numId w:val="5"/>
        </w:numPr>
        <w:tabs>
          <w:tab w:val="left" w:pos="567"/>
        </w:tabs>
        <w:ind w:left="1077"/>
        <w:jc w:val="both"/>
        <w:rPr>
          <w:rFonts w:ascii="Bookman Old Style" w:hAnsi="Bookman Old Style" w:cs="Arial"/>
          <w:color w:val="000000" w:themeColor="text1"/>
          <w:sz w:val="24"/>
          <w:szCs w:val="24"/>
        </w:rPr>
      </w:pPr>
      <w:r w:rsidRPr="00823D09">
        <w:rPr>
          <w:rFonts w:ascii="Bookman Old Style" w:hAnsi="Bookman Old Style" w:cs="Arial"/>
          <w:color w:val="000000" w:themeColor="text1"/>
          <w:sz w:val="24"/>
          <w:szCs w:val="24"/>
        </w:rPr>
        <w:t xml:space="preserve">Eventos que dan lugar a la ejecución de la garantía de participación para los vendedores: </w:t>
      </w:r>
      <w:r w:rsidR="00230E7D">
        <w:rPr>
          <w:rFonts w:ascii="Bookman Old Style" w:hAnsi="Bookman Old Style" w:cs="Arial"/>
          <w:color w:val="000000" w:themeColor="text1"/>
          <w:sz w:val="24"/>
          <w:szCs w:val="24"/>
        </w:rPr>
        <w:t>Los</w:t>
      </w:r>
      <w:r w:rsidRPr="00823D09">
        <w:rPr>
          <w:rFonts w:ascii="Bookman Old Style" w:hAnsi="Bookman Old Style" w:cs="Arial"/>
          <w:color w:val="000000" w:themeColor="text1"/>
          <w:sz w:val="24"/>
          <w:szCs w:val="24"/>
        </w:rPr>
        <w:t xml:space="preserve"> evento</w:t>
      </w:r>
      <w:r w:rsidR="00230E7D">
        <w:rPr>
          <w:rFonts w:ascii="Bookman Old Style" w:hAnsi="Bookman Old Style" w:cs="Arial"/>
          <w:color w:val="000000" w:themeColor="text1"/>
          <w:sz w:val="24"/>
          <w:szCs w:val="24"/>
        </w:rPr>
        <w:t>s</w:t>
      </w:r>
      <w:r w:rsidRPr="00823D09">
        <w:rPr>
          <w:rFonts w:ascii="Bookman Old Style" w:hAnsi="Bookman Old Style" w:cs="Arial"/>
          <w:color w:val="000000" w:themeColor="text1"/>
          <w:sz w:val="24"/>
          <w:szCs w:val="24"/>
        </w:rPr>
        <w:t xml:space="preserve"> que da</w:t>
      </w:r>
      <w:r w:rsidR="00230E7D">
        <w:rPr>
          <w:rFonts w:ascii="Bookman Old Style" w:hAnsi="Bookman Old Style" w:cs="Arial"/>
          <w:color w:val="000000" w:themeColor="text1"/>
          <w:sz w:val="24"/>
          <w:szCs w:val="24"/>
        </w:rPr>
        <w:t>n</w:t>
      </w:r>
      <w:r w:rsidRPr="00823D09">
        <w:rPr>
          <w:rFonts w:ascii="Bookman Old Style" w:hAnsi="Bookman Old Style" w:cs="Arial"/>
          <w:color w:val="000000" w:themeColor="text1"/>
          <w:sz w:val="24"/>
          <w:szCs w:val="24"/>
        </w:rPr>
        <w:t xml:space="preserve"> lugar a la ejecución de esta garantía </w:t>
      </w:r>
      <w:r w:rsidR="00230E7D">
        <w:rPr>
          <w:rFonts w:ascii="Bookman Old Style" w:hAnsi="Bookman Old Style" w:cs="Arial"/>
          <w:color w:val="000000" w:themeColor="text1"/>
          <w:sz w:val="24"/>
          <w:szCs w:val="24"/>
        </w:rPr>
        <w:t>son</w:t>
      </w:r>
      <w:r w:rsidRPr="00823D09">
        <w:rPr>
          <w:rFonts w:ascii="Bookman Old Style" w:hAnsi="Bookman Old Style" w:cs="Arial"/>
          <w:color w:val="000000" w:themeColor="text1"/>
          <w:sz w:val="24"/>
          <w:szCs w:val="24"/>
        </w:rPr>
        <w:t xml:space="preserve"> la no suscripción del contrato o la no entrega de </w:t>
      </w:r>
      <w:r>
        <w:rPr>
          <w:rFonts w:ascii="Bookman Old Style" w:hAnsi="Bookman Old Style" w:cs="Arial"/>
          <w:color w:val="000000" w:themeColor="text1"/>
          <w:sz w:val="24"/>
          <w:szCs w:val="24"/>
        </w:rPr>
        <w:t>alguna de las</w:t>
      </w:r>
      <w:r w:rsidRPr="00823D09">
        <w:rPr>
          <w:rFonts w:ascii="Bookman Old Style" w:hAnsi="Bookman Old Style" w:cs="Arial"/>
          <w:color w:val="000000" w:themeColor="text1"/>
          <w:sz w:val="24"/>
          <w:szCs w:val="24"/>
        </w:rPr>
        <w:t xml:space="preserve"> garantía</w:t>
      </w:r>
      <w:r>
        <w:rPr>
          <w:rFonts w:ascii="Bookman Old Style" w:hAnsi="Bookman Old Style" w:cs="Arial"/>
          <w:color w:val="000000" w:themeColor="text1"/>
          <w:sz w:val="24"/>
          <w:szCs w:val="24"/>
        </w:rPr>
        <w:t xml:space="preserve">s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VLRLCS</m:t>
            </m:r>
          </m:e>
          <m:sub>
            <m:r>
              <w:rPr>
                <w:rFonts w:ascii="Cambria Math" w:hAnsi="Cambria Math" w:cs="Arial"/>
                <w:color w:val="000000" w:themeColor="text1"/>
                <w:sz w:val="24"/>
                <w:szCs w:val="24"/>
              </w:rPr>
              <m:t>v</m:t>
            </m:r>
          </m:sub>
        </m:sSub>
      </m:oMath>
      <w:r w:rsidRPr="00823D09">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y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VLRLCM</m:t>
            </m:r>
          </m:e>
          <m:sub>
            <m:r>
              <w:rPr>
                <w:rFonts w:ascii="Cambria Math" w:hAnsi="Cambria Math" w:cs="Arial"/>
                <w:color w:val="000000" w:themeColor="text1"/>
                <w:sz w:val="24"/>
                <w:szCs w:val="24"/>
              </w:rPr>
              <m:t>v</m:t>
            </m:r>
          </m:sub>
        </m:sSub>
      </m:oMath>
      <w:r w:rsidRPr="00823D09">
        <w:rPr>
          <w:rFonts w:ascii="Bookman Old Style" w:hAnsi="Bookman Old Style" w:cs="Arial"/>
          <w:color w:val="000000" w:themeColor="text1"/>
          <w:sz w:val="24"/>
          <w:szCs w:val="24"/>
        </w:rPr>
        <w:t xml:space="preserve"> de que trata el numeral </w:t>
      </w:r>
      <w:r w:rsidRPr="00823D09">
        <w:rPr>
          <w:rFonts w:ascii="Bookman Old Style" w:hAnsi="Bookman Old Style" w:cs="Arial"/>
          <w:color w:val="000000" w:themeColor="text1"/>
          <w:sz w:val="24"/>
          <w:szCs w:val="24"/>
        </w:rPr>
        <w:fldChar w:fldCharType="begin"/>
      </w:r>
      <w:r w:rsidRPr="00823D09">
        <w:rPr>
          <w:rFonts w:ascii="Bookman Old Style" w:hAnsi="Bookman Old Style" w:cs="Arial"/>
          <w:color w:val="000000" w:themeColor="text1"/>
          <w:sz w:val="24"/>
          <w:szCs w:val="24"/>
        </w:rPr>
        <w:instrText xml:space="preserve"> REF _Ref412642668 \r \h  \* MERGEFORMAT </w:instrText>
      </w:r>
      <w:r w:rsidRPr="00823D09">
        <w:rPr>
          <w:rFonts w:ascii="Bookman Old Style" w:hAnsi="Bookman Old Style" w:cs="Arial"/>
          <w:color w:val="000000" w:themeColor="text1"/>
          <w:sz w:val="24"/>
          <w:szCs w:val="24"/>
        </w:rPr>
      </w:r>
      <w:r w:rsidRPr="00823D09">
        <w:rPr>
          <w:rFonts w:ascii="Bookman Old Style" w:hAnsi="Bookman Old Style" w:cs="Arial"/>
          <w:color w:val="000000" w:themeColor="text1"/>
          <w:sz w:val="24"/>
          <w:szCs w:val="24"/>
        </w:rPr>
        <w:fldChar w:fldCharType="separate"/>
      </w:r>
      <w:r w:rsidR="00B74ABD">
        <w:rPr>
          <w:rFonts w:ascii="Bookman Old Style" w:hAnsi="Bookman Old Style" w:cs="Arial"/>
          <w:color w:val="000000" w:themeColor="text1"/>
          <w:sz w:val="24"/>
          <w:szCs w:val="24"/>
        </w:rPr>
        <w:t>4.2</w:t>
      </w:r>
      <w:r w:rsidRPr="00823D09">
        <w:rPr>
          <w:rFonts w:ascii="Bookman Old Style" w:hAnsi="Bookman Old Style" w:cs="Arial"/>
          <w:color w:val="000000" w:themeColor="text1"/>
          <w:sz w:val="24"/>
          <w:szCs w:val="24"/>
        </w:rPr>
        <w:fldChar w:fldCharType="end"/>
      </w:r>
      <w:r>
        <w:rPr>
          <w:rFonts w:ascii="Bookman Old Style" w:hAnsi="Bookman Old Style" w:cs="Arial"/>
          <w:color w:val="000000" w:themeColor="text1"/>
          <w:sz w:val="24"/>
          <w:szCs w:val="24"/>
        </w:rPr>
        <w:t xml:space="preserve"> de este Anexo que los vendedores deben </w:t>
      </w:r>
      <w:r w:rsidR="00527C63">
        <w:rPr>
          <w:rFonts w:ascii="Bookman Old Style" w:hAnsi="Bookman Old Style" w:cs="Arial"/>
          <w:color w:val="000000" w:themeColor="text1"/>
          <w:sz w:val="24"/>
          <w:szCs w:val="24"/>
        </w:rPr>
        <w:t>entregar</w:t>
      </w:r>
      <w:r>
        <w:rPr>
          <w:rFonts w:ascii="Bookman Old Style" w:hAnsi="Bookman Old Style" w:cs="Arial"/>
          <w:color w:val="000000" w:themeColor="text1"/>
          <w:sz w:val="24"/>
          <w:szCs w:val="24"/>
        </w:rPr>
        <w:t xml:space="preserve"> la primera vez.</w:t>
      </w:r>
    </w:p>
    <w:p w:rsidR="006249D9" w:rsidRPr="00605965" w:rsidRDefault="006249D9" w:rsidP="006249D9">
      <w:pPr>
        <w:tabs>
          <w:tab w:val="left" w:pos="567"/>
        </w:tabs>
        <w:ind w:left="360"/>
        <w:jc w:val="both"/>
        <w:rPr>
          <w:rFonts w:ascii="Bookman Old Style" w:hAnsi="Bookman Old Style" w:cs="Arial"/>
          <w:color w:val="000000" w:themeColor="text1"/>
          <w:highlight w:val="yellow"/>
        </w:rPr>
      </w:pPr>
    </w:p>
    <w:p w:rsidR="006249D9" w:rsidRPr="002F5964" w:rsidRDefault="006249D9" w:rsidP="006249D9">
      <w:pPr>
        <w:pStyle w:val="Prrafodelista"/>
        <w:numPr>
          <w:ilvl w:val="2"/>
          <w:numId w:val="5"/>
        </w:numPr>
        <w:tabs>
          <w:tab w:val="left" w:pos="567"/>
        </w:tabs>
        <w:ind w:left="1077"/>
        <w:jc w:val="both"/>
        <w:rPr>
          <w:rFonts w:ascii="Bookman Old Style" w:hAnsi="Bookman Old Style" w:cs="Arial"/>
          <w:color w:val="000000" w:themeColor="text1"/>
          <w:sz w:val="24"/>
          <w:szCs w:val="24"/>
        </w:rPr>
      </w:pPr>
      <w:r w:rsidRPr="002F5964">
        <w:rPr>
          <w:rFonts w:ascii="Bookman Old Style" w:hAnsi="Bookman Old Style" w:cs="Arial"/>
          <w:color w:val="000000" w:themeColor="text1"/>
          <w:sz w:val="24"/>
          <w:szCs w:val="24"/>
        </w:rPr>
        <w:t xml:space="preserve">Eventos que dan lugar a la ejecución de la garantía de participación para los compradores: </w:t>
      </w:r>
      <w:r w:rsidR="00230E7D">
        <w:rPr>
          <w:rFonts w:ascii="Bookman Old Style" w:hAnsi="Bookman Old Style" w:cs="Arial"/>
          <w:color w:val="000000" w:themeColor="text1"/>
          <w:sz w:val="24"/>
          <w:szCs w:val="24"/>
        </w:rPr>
        <w:t>Los</w:t>
      </w:r>
      <w:r w:rsidRPr="002F5964">
        <w:rPr>
          <w:rFonts w:ascii="Bookman Old Style" w:hAnsi="Bookman Old Style" w:cs="Arial"/>
          <w:color w:val="000000" w:themeColor="text1"/>
          <w:sz w:val="24"/>
          <w:szCs w:val="24"/>
        </w:rPr>
        <w:t xml:space="preserve"> evento</w:t>
      </w:r>
      <w:r w:rsidR="00230E7D">
        <w:rPr>
          <w:rFonts w:ascii="Bookman Old Style" w:hAnsi="Bookman Old Style" w:cs="Arial"/>
          <w:color w:val="000000" w:themeColor="text1"/>
          <w:sz w:val="24"/>
          <w:szCs w:val="24"/>
        </w:rPr>
        <w:t>s</w:t>
      </w:r>
      <w:r w:rsidRPr="002F5964">
        <w:rPr>
          <w:rFonts w:ascii="Bookman Old Style" w:hAnsi="Bookman Old Style" w:cs="Arial"/>
          <w:color w:val="000000" w:themeColor="text1"/>
          <w:sz w:val="24"/>
          <w:szCs w:val="24"/>
        </w:rPr>
        <w:t xml:space="preserve"> que da</w:t>
      </w:r>
      <w:r w:rsidR="00230E7D">
        <w:rPr>
          <w:rFonts w:ascii="Bookman Old Style" w:hAnsi="Bookman Old Style" w:cs="Arial"/>
          <w:color w:val="000000" w:themeColor="text1"/>
          <w:sz w:val="24"/>
          <w:szCs w:val="24"/>
        </w:rPr>
        <w:t>n</w:t>
      </w:r>
      <w:r w:rsidRPr="002F5964">
        <w:rPr>
          <w:rFonts w:ascii="Bookman Old Style" w:hAnsi="Bookman Old Style" w:cs="Arial"/>
          <w:color w:val="000000" w:themeColor="text1"/>
          <w:sz w:val="24"/>
          <w:szCs w:val="24"/>
        </w:rPr>
        <w:t xml:space="preserve"> lugar a la ejecución de esta garantía </w:t>
      </w:r>
      <w:r w:rsidR="00230E7D">
        <w:rPr>
          <w:rFonts w:ascii="Bookman Old Style" w:hAnsi="Bookman Old Style" w:cs="Arial"/>
          <w:color w:val="000000" w:themeColor="text1"/>
          <w:sz w:val="24"/>
          <w:szCs w:val="24"/>
        </w:rPr>
        <w:t>son</w:t>
      </w:r>
      <w:r w:rsidRPr="002F5964">
        <w:rPr>
          <w:rFonts w:ascii="Bookman Old Style" w:hAnsi="Bookman Old Style" w:cs="Arial"/>
          <w:color w:val="000000" w:themeColor="text1"/>
          <w:sz w:val="24"/>
          <w:szCs w:val="24"/>
        </w:rPr>
        <w:t xml:space="preserve"> la no suscripción del contrato o la no entrega de</w:t>
      </w:r>
      <w:r>
        <w:rPr>
          <w:rFonts w:ascii="Bookman Old Style" w:hAnsi="Bookman Old Style" w:cs="Arial"/>
          <w:color w:val="000000" w:themeColor="text1"/>
          <w:sz w:val="24"/>
          <w:szCs w:val="24"/>
        </w:rPr>
        <w:t xml:space="preserve"> alguna de</w:t>
      </w:r>
      <w:r w:rsidRPr="002F5964">
        <w:rPr>
          <w:rFonts w:ascii="Bookman Old Style" w:hAnsi="Bookman Old Style" w:cs="Arial"/>
          <w:color w:val="000000" w:themeColor="text1"/>
          <w:sz w:val="24"/>
          <w:szCs w:val="24"/>
        </w:rPr>
        <w:t xml:space="preserve"> la</w:t>
      </w:r>
      <w:r>
        <w:rPr>
          <w:rFonts w:ascii="Bookman Old Style" w:hAnsi="Bookman Old Style" w:cs="Arial"/>
          <w:color w:val="000000" w:themeColor="text1"/>
          <w:sz w:val="24"/>
          <w:szCs w:val="24"/>
        </w:rPr>
        <w:t>s</w:t>
      </w:r>
      <w:r w:rsidRPr="002F5964">
        <w:rPr>
          <w:rFonts w:ascii="Bookman Old Style" w:hAnsi="Bookman Old Style" w:cs="Arial"/>
          <w:color w:val="000000" w:themeColor="text1"/>
          <w:sz w:val="24"/>
          <w:szCs w:val="24"/>
        </w:rPr>
        <w:t xml:space="preserve"> garantía</w:t>
      </w:r>
      <w:r>
        <w:rPr>
          <w:rFonts w:ascii="Bookman Old Style" w:hAnsi="Bookman Old Style" w:cs="Arial"/>
          <w:color w:val="000000" w:themeColor="text1"/>
          <w:sz w:val="24"/>
          <w:szCs w:val="24"/>
        </w:rPr>
        <w:t xml:space="preserve">s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VLRLCS</m:t>
            </m:r>
          </m:e>
          <m:sub>
            <m:r>
              <w:rPr>
                <w:rFonts w:ascii="Cambria Math" w:hAnsi="Cambria Math" w:cs="Arial"/>
                <w:color w:val="000000" w:themeColor="text1"/>
                <w:sz w:val="24"/>
                <w:szCs w:val="24"/>
              </w:rPr>
              <m:t>c</m:t>
            </m:r>
          </m:sub>
        </m:sSub>
      </m:oMath>
      <w:r>
        <w:rPr>
          <w:rFonts w:ascii="Bookman Old Style" w:hAnsi="Bookman Old Style" w:cs="Arial"/>
          <w:color w:val="000000" w:themeColor="text1"/>
          <w:sz w:val="24"/>
          <w:szCs w:val="24"/>
        </w:rPr>
        <w:t xml:space="preserve"> y</w:t>
      </w:r>
      <w:r w:rsidRPr="002F5964">
        <w:rPr>
          <w:rFonts w:ascii="Bookman Old Style" w:hAnsi="Bookman Old Style" w:cs="Arial"/>
          <w:color w:val="000000" w:themeColor="text1"/>
          <w:sz w:val="24"/>
          <w:szCs w:val="24"/>
        </w:rPr>
        <w:t xml:space="preserve">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VLRLCM</m:t>
            </m:r>
          </m:e>
          <m:sub>
            <m:r>
              <w:rPr>
                <w:rFonts w:ascii="Cambria Math" w:hAnsi="Cambria Math" w:cs="Arial"/>
                <w:color w:val="000000" w:themeColor="text1"/>
                <w:sz w:val="24"/>
                <w:szCs w:val="24"/>
              </w:rPr>
              <m:t>c</m:t>
            </m:r>
          </m:sub>
        </m:sSub>
      </m:oMath>
      <w:r w:rsidRPr="002F5964">
        <w:rPr>
          <w:rFonts w:ascii="Bookman Old Style" w:hAnsi="Bookman Old Style" w:cs="Arial"/>
          <w:color w:val="000000" w:themeColor="text1"/>
          <w:sz w:val="24"/>
          <w:szCs w:val="24"/>
        </w:rPr>
        <w:t xml:space="preserve"> de que trata el numeral </w:t>
      </w:r>
      <w:r w:rsidRPr="002F5964">
        <w:rPr>
          <w:rFonts w:ascii="Bookman Old Style" w:hAnsi="Bookman Old Style" w:cs="Arial"/>
          <w:color w:val="000000" w:themeColor="text1"/>
          <w:sz w:val="24"/>
          <w:szCs w:val="24"/>
        </w:rPr>
        <w:fldChar w:fldCharType="begin"/>
      </w:r>
      <w:r w:rsidRPr="002F5964">
        <w:rPr>
          <w:rFonts w:ascii="Bookman Old Style" w:hAnsi="Bookman Old Style" w:cs="Arial"/>
          <w:color w:val="000000" w:themeColor="text1"/>
          <w:sz w:val="24"/>
          <w:szCs w:val="24"/>
        </w:rPr>
        <w:instrText xml:space="preserve"> REF _Ref412642668 \r \h  \* MERGEFORMAT </w:instrText>
      </w:r>
      <w:r w:rsidRPr="002F5964">
        <w:rPr>
          <w:rFonts w:ascii="Bookman Old Style" w:hAnsi="Bookman Old Style" w:cs="Arial"/>
          <w:color w:val="000000" w:themeColor="text1"/>
          <w:sz w:val="24"/>
          <w:szCs w:val="24"/>
        </w:rPr>
      </w:r>
      <w:r w:rsidRPr="002F5964">
        <w:rPr>
          <w:rFonts w:ascii="Bookman Old Style" w:hAnsi="Bookman Old Style" w:cs="Arial"/>
          <w:color w:val="000000" w:themeColor="text1"/>
          <w:sz w:val="24"/>
          <w:szCs w:val="24"/>
        </w:rPr>
        <w:fldChar w:fldCharType="separate"/>
      </w:r>
      <w:r w:rsidR="00B74ABD">
        <w:rPr>
          <w:rFonts w:ascii="Bookman Old Style" w:hAnsi="Bookman Old Style" w:cs="Arial"/>
          <w:color w:val="000000" w:themeColor="text1"/>
          <w:sz w:val="24"/>
          <w:szCs w:val="24"/>
        </w:rPr>
        <w:t>4.2</w:t>
      </w:r>
      <w:r w:rsidRPr="002F5964">
        <w:rPr>
          <w:rFonts w:ascii="Bookman Old Style" w:hAnsi="Bookman Old Style" w:cs="Arial"/>
          <w:color w:val="000000" w:themeColor="text1"/>
          <w:sz w:val="24"/>
          <w:szCs w:val="24"/>
        </w:rPr>
        <w:fldChar w:fldCharType="end"/>
      </w:r>
      <w:r>
        <w:rPr>
          <w:rFonts w:ascii="Bookman Old Style" w:hAnsi="Bookman Old Style" w:cs="Arial"/>
          <w:color w:val="000000" w:themeColor="text1"/>
          <w:sz w:val="24"/>
          <w:szCs w:val="24"/>
        </w:rPr>
        <w:t xml:space="preserve"> de este Anexo que los compradores deben entregar la primera vez.</w:t>
      </w:r>
    </w:p>
    <w:p w:rsidR="006249D9" w:rsidRPr="003816E7"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bookmarkStart w:id="9" w:name="_Ref412642668"/>
      <w:r>
        <w:rPr>
          <w:rFonts w:ascii="Bookman Old Style" w:hAnsi="Bookman Old Style" w:cs="Arial"/>
          <w:color w:val="000000" w:themeColor="text1"/>
          <w:sz w:val="24"/>
          <w:szCs w:val="24"/>
        </w:rPr>
        <w:lastRenderedPageBreak/>
        <w:t>Garantía de</w:t>
      </w:r>
      <w:r w:rsidRPr="00BC3F42">
        <w:rPr>
          <w:rFonts w:ascii="Bookman Old Style" w:hAnsi="Bookman Old Style" w:cs="Arial"/>
          <w:color w:val="000000" w:themeColor="text1"/>
          <w:sz w:val="24"/>
          <w:szCs w:val="24"/>
        </w:rPr>
        <w:t xml:space="preserve"> cumplimiento</w:t>
      </w:r>
      <w:bookmarkEnd w:id="9"/>
    </w:p>
    <w:p w:rsidR="006249D9" w:rsidRPr="003C2AEC" w:rsidRDefault="006249D9" w:rsidP="006249D9">
      <w:pPr>
        <w:pStyle w:val="Prrafodelista"/>
        <w:tabs>
          <w:tab w:val="left" w:pos="567"/>
        </w:tabs>
        <w:ind w:left="0"/>
        <w:jc w:val="both"/>
        <w:rPr>
          <w:rFonts w:ascii="Bookman Old Style" w:hAnsi="Bookman Old Style" w:cs="Arial"/>
          <w:color w:val="000000" w:themeColor="text1"/>
          <w:sz w:val="24"/>
          <w:szCs w:val="24"/>
        </w:rPr>
      </w:pPr>
    </w:p>
    <w:p w:rsidR="006249D9" w:rsidRPr="00EE2CA0" w:rsidRDefault="006249D9" w:rsidP="006249D9">
      <w:pPr>
        <w:tabs>
          <w:tab w:val="left" w:pos="567"/>
        </w:tabs>
        <w:ind w:left="709"/>
        <w:jc w:val="both"/>
        <w:rPr>
          <w:rFonts w:ascii="Bookman Old Style" w:hAnsi="Bookman Old Style" w:cs="Arial"/>
          <w:color w:val="000000" w:themeColor="text1"/>
        </w:rPr>
      </w:pPr>
      <w:r w:rsidRPr="00EE2CA0">
        <w:rPr>
          <w:rFonts w:ascii="Bookman Old Style" w:hAnsi="Bookman Old Style" w:cs="Arial"/>
          <w:color w:val="000000" w:themeColor="text1"/>
        </w:rPr>
        <w:t>Los vendedores y compradores podrán acordar los mecanismos de cobertura para el cumplimiento de las obligaciones derivadas de la subasta.</w:t>
      </w:r>
      <w:r>
        <w:rPr>
          <w:rFonts w:ascii="Bookman Old Style" w:hAnsi="Bookman Old Style" w:cs="Arial"/>
          <w:color w:val="000000" w:themeColor="text1"/>
        </w:rPr>
        <w:t xml:space="preserve"> </w:t>
      </w:r>
      <w:r w:rsidRPr="00EE2CA0">
        <w:rPr>
          <w:rFonts w:ascii="Bookman Old Style" w:hAnsi="Bookman Old Style" w:cs="Arial"/>
          <w:color w:val="000000" w:themeColor="text1"/>
        </w:rPr>
        <w:t xml:space="preserve">En caso de que no se pongan de acuerdo, </w:t>
      </w:r>
      <w:r>
        <w:rPr>
          <w:rFonts w:ascii="Bookman Old Style" w:hAnsi="Bookman Old Style" w:cs="Arial"/>
          <w:color w:val="000000" w:themeColor="text1"/>
        </w:rPr>
        <w:t xml:space="preserve">los vendedores y </w:t>
      </w:r>
      <w:r w:rsidRPr="00EE2CA0">
        <w:rPr>
          <w:rFonts w:ascii="Bookman Old Style" w:hAnsi="Bookman Old Style" w:cs="Arial"/>
          <w:color w:val="000000" w:themeColor="text1"/>
        </w:rPr>
        <w:t xml:space="preserve">los compradores </w:t>
      </w:r>
      <w:r>
        <w:rPr>
          <w:rFonts w:ascii="Bookman Old Style" w:hAnsi="Bookman Old Style" w:cs="Arial"/>
          <w:color w:val="000000" w:themeColor="text1"/>
        </w:rPr>
        <w:t>deberán</w:t>
      </w:r>
      <w:r w:rsidRPr="00EE2CA0">
        <w:rPr>
          <w:rFonts w:ascii="Bookman Old Style" w:hAnsi="Bookman Old Style" w:cs="Arial"/>
          <w:color w:val="000000" w:themeColor="text1"/>
        </w:rPr>
        <w:t xml:space="preserve"> acogerse al mecanismo de cobertura que se expone a continuación: </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bookmarkStart w:id="10" w:name="_Ref410812768"/>
      <w:r w:rsidRPr="002A67A5">
        <w:rPr>
          <w:rFonts w:ascii="Bookman Old Style" w:hAnsi="Bookman Old Style" w:cs="Arial"/>
          <w:color w:val="000000" w:themeColor="text1"/>
          <w:sz w:val="24"/>
          <w:szCs w:val="24"/>
        </w:rPr>
        <w:t>Sujetos objeto de la constitución de la garantía de cumplimiento</w:t>
      </w:r>
      <w:r>
        <w:rPr>
          <w:rFonts w:ascii="Bookman Old Style" w:hAnsi="Bookman Old Style" w:cs="Arial"/>
          <w:color w:val="000000" w:themeColor="text1"/>
          <w:sz w:val="24"/>
          <w:szCs w:val="24"/>
        </w:rPr>
        <w:t>:</w:t>
      </w:r>
      <w:bookmarkEnd w:id="10"/>
    </w:p>
    <w:p w:rsidR="006249D9" w:rsidRPr="002A67A5" w:rsidRDefault="006249D9" w:rsidP="006249D9">
      <w:pPr>
        <w:pStyle w:val="ARTICULOS"/>
        <w:numPr>
          <w:ilvl w:val="0"/>
          <w:numId w:val="0"/>
        </w:numPr>
        <w:tabs>
          <w:tab w:val="left" w:pos="1560"/>
        </w:tabs>
        <w:rPr>
          <w:rFonts w:cs="Arial"/>
          <w:color w:val="000000"/>
          <w:lang w:val="es-CO"/>
        </w:rPr>
      </w:pPr>
    </w:p>
    <w:p w:rsidR="006249D9" w:rsidRPr="002A67A5" w:rsidRDefault="006249D9" w:rsidP="006249D9">
      <w:pPr>
        <w:tabs>
          <w:tab w:val="left" w:pos="567"/>
        </w:tabs>
        <w:ind w:left="1080"/>
        <w:jc w:val="both"/>
        <w:rPr>
          <w:rFonts w:ascii="Bookman Old Style" w:hAnsi="Bookman Old Style" w:cs="Arial"/>
          <w:color w:val="000000" w:themeColor="text1"/>
        </w:rPr>
      </w:pPr>
      <w:r w:rsidRPr="002A67A5">
        <w:rPr>
          <w:rFonts w:ascii="Bookman Old Style" w:hAnsi="Bookman Old Style" w:cs="Arial"/>
          <w:color w:val="000000" w:themeColor="text1"/>
        </w:rPr>
        <w:t>Los vendedores:</w:t>
      </w:r>
    </w:p>
    <w:p w:rsidR="006249D9" w:rsidRPr="002A67A5"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2A67A5" w:rsidRDefault="006249D9" w:rsidP="006249D9">
      <w:pPr>
        <w:tabs>
          <w:tab w:val="left" w:pos="567"/>
        </w:tabs>
        <w:ind w:left="1080"/>
        <w:jc w:val="both"/>
        <w:rPr>
          <w:rFonts w:ascii="Bookman Old Style" w:hAnsi="Bookman Old Style" w:cs="Arial"/>
          <w:color w:val="000000" w:themeColor="text1"/>
        </w:rPr>
      </w:pPr>
      <w:r w:rsidRPr="002A67A5">
        <w:rPr>
          <w:rFonts w:ascii="Bookman Old Style" w:hAnsi="Bookman Old Style" w:cs="Arial"/>
          <w:color w:val="000000" w:themeColor="text1"/>
        </w:rPr>
        <w:t xml:space="preserve">Vendedores </w:t>
      </w:r>
      <w:r>
        <w:rPr>
          <w:rFonts w:ascii="Bookman Old Style" w:hAnsi="Bookman Old Style" w:cs="Arial"/>
          <w:color w:val="000000" w:themeColor="text1"/>
        </w:rPr>
        <w:t>definidos</w:t>
      </w:r>
      <w:r w:rsidRPr="002A67A5">
        <w:rPr>
          <w:rFonts w:ascii="Bookman Old Style" w:hAnsi="Bookman Old Style" w:cs="Arial"/>
          <w:color w:val="000000" w:themeColor="text1"/>
        </w:rPr>
        <w:t xml:space="preserve"> en el artículo 17 de la Resolución CREG 089 de 2013</w:t>
      </w:r>
      <w:r>
        <w:rPr>
          <w:rFonts w:ascii="Bookman Old Style" w:hAnsi="Bookman Old Style" w:cs="Arial"/>
          <w:color w:val="000000" w:themeColor="text1"/>
        </w:rPr>
        <w:t>, o aquellas que lo modifique, adicione o sustituya.</w:t>
      </w:r>
    </w:p>
    <w:p w:rsidR="006249D9" w:rsidRPr="002A67A5" w:rsidRDefault="006249D9" w:rsidP="006249D9">
      <w:pPr>
        <w:tabs>
          <w:tab w:val="left" w:pos="567"/>
        </w:tabs>
        <w:ind w:left="1080"/>
        <w:jc w:val="both"/>
        <w:rPr>
          <w:rFonts w:ascii="Bookman Old Style" w:hAnsi="Bookman Old Style" w:cs="Arial"/>
          <w:color w:val="000000" w:themeColor="text1"/>
        </w:rPr>
      </w:pPr>
      <w:r w:rsidRPr="002A67A5">
        <w:rPr>
          <w:rFonts w:ascii="Bookman Old Style" w:hAnsi="Bookman Old Style" w:cs="Arial"/>
          <w:color w:val="000000" w:themeColor="text1"/>
        </w:rPr>
        <w:t>Los compradores:</w:t>
      </w:r>
    </w:p>
    <w:p w:rsidR="006249D9" w:rsidRPr="001568CF" w:rsidRDefault="006249D9" w:rsidP="006249D9">
      <w:pPr>
        <w:pStyle w:val="Prrafodelista"/>
        <w:tabs>
          <w:tab w:val="left" w:pos="567"/>
        </w:tabs>
        <w:ind w:left="1800"/>
        <w:jc w:val="both"/>
        <w:rPr>
          <w:rFonts w:ascii="Bookman Old Style" w:hAnsi="Bookman Old Style" w:cs="Arial"/>
          <w:color w:val="000000" w:themeColor="text1"/>
          <w:sz w:val="8"/>
          <w:szCs w:val="24"/>
        </w:rPr>
      </w:pPr>
    </w:p>
    <w:p w:rsidR="006249D9" w:rsidRPr="002A67A5" w:rsidRDefault="006249D9" w:rsidP="006249D9">
      <w:pPr>
        <w:tabs>
          <w:tab w:val="left" w:pos="567"/>
        </w:tabs>
        <w:ind w:left="1080"/>
        <w:jc w:val="both"/>
        <w:rPr>
          <w:rFonts w:ascii="Bookman Old Style" w:hAnsi="Bookman Old Style" w:cs="Arial"/>
          <w:color w:val="000000" w:themeColor="text1"/>
        </w:rPr>
      </w:pPr>
      <w:r w:rsidRPr="002A67A5">
        <w:rPr>
          <w:rFonts w:ascii="Bookman Old Style" w:hAnsi="Bookman Old Style" w:cs="Arial"/>
          <w:color w:val="000000" w:themeColor="text1"/>
        </w:rPr>
        <w:t xml:space="preserve">Compradores </w:t>
      </w:r>
      <w:r>
        <w:rPr>
          <w:rFonts w:ascii="Bookman Old Style" w:hAnsi="Bookman Old Style" w:cs="Arial"/>
          <w:color w:val="000000" w:themeColor="text1"/>
        </w:rPr>
        <w:t>definidos</w:t>
      </w:r>
      <w:r w:rsidRPr="002A67A5">
        <w:rPr>
          <w:rFonts w:ascii="Bookman Old Style" w:hAnsi="Bookman Old Style" w:cs="Arial"/>
          <w:color w:val="000000" w:themeColor="text1"/>
        </w:rPr>
        <w:t xml:space="preserve"> en el artículo 18 de la Resolución CREG 089 de 2013</w:t>
      </w:r>
      <w:r>
        <w:rPr>
          <w:rFonts w:ascii="Bookman Old Style" w:hAnsi="Bookman Old Style" w:cs="Arial"/>
          <w:color w:val="000000" w:themeColor="text1"/>
        </w:rPr>
        <w:t>, o aquellas que lo modifique, adicione o sustituya.</w:t>
      </w:r>
    </w:p>
    <w:p w:rsidR="006249D9" w:rsidRPr="001568CF" w:rsidRDefault="006249D9" w:rsidP="006249D9">
      <w:pPr>
        <w:pStyle w:val="ARTICULOS"/>
        <w:numPr>
          <w:ilvl w:val="0"/>
          <w:numId w:val="0"/>
        </w:numPr>
        <w:tabs>
          <w:tab w:val="left" w:pos="1560"/>
        </w:tabs>
        <w:rPr>
          <w:rFonts w:cs="Arial"/>
          <w:color w:val="000000"/>
          <w:sz w:val="12"/>
          <w:lang w:val="es-ES"/>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Beneficiario de la garantía: El beneficiario de la garantía </w:t>
      </w:r>
      <w:r>
        <w:rPr>
          <w:rFonts w:ascii="Bookman Old Style" w:hAnsi="Bookman Old Style" w:cs="Arial"/>
          <w:color w:val="000000" w:themeColor="text1"/>
          <w:sz w:val="24"/>
          <w:szCs w:val="24"/>
        </w:rPr>
        <w:t>es</w:t>
      </w:r>
      <w:r w:rsidRPr="002A67A5">
        <w:rPr>
          <w:rFonts w:ascii="Bookman Old Style" w:hAnsi="Bookman Old Style" w:cs="Arial"/>
          <w:color w:val="000000" w:themeColor="text1"/>
          <w:sz w:val="24"/>
          <w:szCs w:val="24"/>
        </w:rPr>
        <w:t xml:space="preserve"> la fiducia mercantil que para tales efectos constituya el gestor del mercado de gas natural, según lo ordenado en la</w:t>
      </w:r>
      <w:r>
        <w:rPr>
          <w:rFonts w:ascii="Bookman Old Style" w:hAnsi="Bookman Old Style" w:cs="Arial"/>
          <w:color w:val="000000" w:themeColor="text1"/>
          <w:sz w:val="24"/>
          <w:szCs w:val="24"/>
        </w:rPr>
        <w:t>s</w:t>
      </w:r>
      <w:r w:rsidRPr="002A67A5">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resoluciones</w:t>
      </w:r>
      <w:r w:rsidRPr="00B11E6F">
        <w:rPr>
          <w:rFonts w:ascii="Bookman Old Style" w:hAnsi="Bookman Old Style" w:cs="Arial"/>
          <w:color w:val="000000" w:themeColor="text1"/>
          <w:sz w:val="24"/>
          <w:szCs w:val="24"/>
        </w:rPr>
        <w:t xml:space="preserve"> CREG </w:t>
      </w:r>
      <w:r>
        <w:rPr>
          <w:rFonts w:ascii="Bookman Old Style" w:hAnsi="Bookman Old Style" w:cs="Arial"/>
          <w:color w:val="000000" w:themeColor="text1"/>
          <w:sz w:val="24"/>
          <w:szCs w:val="24"/>
        </w:rPr>
        <w:t xml:space="preserve">089 de 2013 y </w:t>
      </w:r>
      <w:r w:rsidRPr="00B11E6F">
        <w:rPr>
          <w:rFonts w:ascii="Bookman Old Style" w:hAnsi="Bookman Old Style" w:cs="Arial"/>
          <w:color w:val="000000" w:themeColor="text1"/>
          <w:sz w:val="24"/>
          <w:szCs w:val="24"/>
        </w:rPr>
        <w:t>163 de 2014, o aquellas que la</w:t>
      </w:r>
      <w:r>
        <w:rPr>
          <w:rFonts w:ascii="Bookman Old Style" w:hAnsi="Bookman Old Style" w:cs="Arial"/>
          <w:color w:val="000000" w:themeColor="text1"/>
          <w:sz w:val="24"/>
          <w:szCs w:val="24"/>
        </w:rPr>
        <w:t>s</w:t>
      </w:r>
      <w:r w:rsidRPr="00B11E6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sustituyan, modifiquen o adicionen</w:t>
      </w:r>
      <w:r w:rsidRPr="002A67A5">
        <w:rPr>
          <w:rFonts w:ascii="Bookman Old Style" w:hAnsi="Bookman Old Style" w:cs="Arial"/>
          <w:color w:val="000000" w:themeColor="text1"/>
          <w:sz w:val="24"/>
          <w:szCs w:val="24"/>
        </w:rPr>
        <w:t>.</w:t>
      </w:r>
    </w:p>
    <w:p w:rsidR="006249D9" w:rsidRPr="001568CF" w:rsidRDefault="006249D9" w:rsidP="006249D9">
      <w:pPr>
        <w:ind w:left="0"/>
        <w:jc w:val="both"/>
        <w:rPr>
          <w:rFonts w:ascii="Bookman Old Style" w:hAnsi="Bookman Old Style"/>
          <w:color w:val="000000" w:themeColor="text1"/>
          <w:sz w:val="14"/>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Beneficiario de los </w:t>
      </w:r>
      <w:r w:rsidRPr="003C2AEC">
        <w:rPr>
          <w:rFonts w:ascii="Bookman Old Style" w:hAnsi="Bookman Old Style" w:cs="Arial"/>
          <w:color w:val="000000" w:themeColor="text1"/>
          <w:sz w:val="24"/>
          <w:szCs w:val="24"/>
        </w:rPr>
        <w:t>recursos</w:t>
      </w:r>
      <w:r w:rsidRPr="002A67A5">
        <w:rPr>
          <w:rFonts w:ascii="Bookman Old Style" w:hAnsi="Bookman Old Style" w:cs="Arial"/>
          <w:color w:val="000000" w:themeColor="text1"/>
          <w:sz w:val="24"/>
          <w:szCs w:val="24"/>
        </w:rPr>
        <w:t xml:space="preserve"> que resulten de la ejecución de la garantía de cumplimiento: Cuando haya lugar a la ejecución de la garantía de cumplimiento de un</w:t>
      </w:r>
      <w:r>
        <w:rPr>
          <w:rFonts w:ascii="Bookman Old Style" w:hAnsi="Bookman Old Style" w:cs="Arial"/>
          <w:color w:val="000000" w:themeColor="text1"/>
          <w:sz w:val="24"/>
          <w:szCs w:val="24"/>
        </w:rPr>
        <w:t xml:space="preserve"> vendedor o un</w:t>
      </w:r>
      <w:r w:rsidRPr="002A67A5">
        <w:rPr>
          <w:rFonts w:ascii="Bookman Old Style" w:hAnsi="Bookman Old Style" w:cs="Arial"/>
          <w:color w:val="000000" w:themeColor="text1"/>
          <w:sz w:val="24"/>
          <w:szCs w:val="24"/>
        </w:rPr>
        <w:t xml:space="preserve"> comprador los recursos que</w:t>
      </w:r>
      <w:r>
        <w:rPr>
          <w:rFonts w:ascii="Bookman Old Style" w:hAnsi="Bookman Old Style" w:cs="Arial"/>
          <w:color w:val="000000" w:themeColor="text1"/>
          <w:sz w:val="24"/>
          <w:szCs w:val="24"/>
        </w:rPr>
        <w:t xml:space="preserve"> resulten de la ejecución de la</w:t>
      </w:r>
      <w:r w:rsidRPr="002A67A5">
        <w:rPr>
          <w:rFonts w:ascii="Bookman Old Style" w:hAnsi="Bookman Old Style" w:cs="Arial"/>
          <w:color w:val="000000" w:themeColor="text1"/>
          <w:sz w:val="24"/>
          <w:szCs w:val="24"/>
        </w:rPr>
        <w:t xml:space="preserve"> misma serán </w:t>
      </w:r>
      <w:r>
        <w:rPr>
          <w:rFonts w:ascii="Bookman Old Style" w:hAnsi="Bookman Old Style" w:cs="Arial"/>
          <w:color w:val="000000" w:themeColor="text1"/>
          <w:sz w:val="24"/>
          <w:szCs w:val="24"/>
        </w:rPr>
        <w:t>transferidos a las correspondientes</w:t>
      </w:r>
      <w:r w:rsidRPr="002A67A5">
        <w:rPr>
          <w:rFonts w:ascii="Bookman Old Style" w:hAnsi="Bookman Old Style" w:cs="Arial"/>
          <w:color w:val="000000" w:themeColor="text1"/>
          <w:sz w:val="24"/>
          <w:szCs w:val="24"/>
        </w:rPr>
        <w:t xml:space="preserve"> contrapartes</w:t>
      </w:r>
      <w:r w:rsidR="008D4D38">
        <w:rPr>
          <w:rFonts w:ascii="Bookman Old Style" w:hAnsi="Bookman Old Style" w:cs="Arial"/>
          <w:color w:val="000000" w:themeColor="text1"/>
          <w:sz w:val="24"/>
          <w:szCs w:val="24"/>
        </w:rPr>
        <w:t>, en forma proporcional a su participación, según corresponda</w:t>
      </w:r>
      <w:r>
        <w:rPr>
          <w:rFonts w:ascii="Bookman Old Style" w:hAnsi="Bookman Old Style" w:cs="Arial"/>
          <w:color w:val="000000" w:themeColor="text1"/>
          <w:sz w:val="24"/>
          <w:szCs w:val="24"/>
        </w:rPr>
        <w:t>.</w:t>
      </w:r>
    </w:p>
    <w:p w:rsidR="006249D9" w:rsidRPr="002A67A5" w:rsidRDefault="006249D9" w:rsidP="006249D9">
      <w:pPr>
        <w:pStyle w:val="Prrafodelista"/>
        <w:tabs>
          <w:tab w:val="left" w:pos="2920"/>
        </w:tabs>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ab/>
      </w:r>
    </w:p>
    <w:p w:rsidR="006249D9" w:rsidRPr="00102733"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La fiducia mercantil hará las transferencias a los beneficiarios de los recursos que resulten de la ejecución de la garantía, descontando los gastos de transferencias bancarias y GMF.</w:t>
      </w:r>
    </w:p>
    <w:p w:rsidR="006249D9" w:rsidRPr="002A67A5" w:rsidRDefault="006249D9" w:rsidP="006249D9">
      <w:pPr>
        <w:ind w:left="0"/>
        <w:jc w:val="both"/>
        <w:rPr>
          <w:rFonts w:ascii="Bookman Old Style" w:hAnsi="Bookman Old Style"/>
          <w:color w:val="000000" w:themeColor="text1"/>
          <w:lang w:val="es-CO"/>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Valor de la garantía de los vendedores: Los vendedores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deben entregar dos (2) garantías de cumplimiento.</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Primera garantía</w:t>
      </w:r>
    </w:p>
    <w:p w:rsidR="006249D9" w:rsidRPr="001568CF" w:rsidRDefault="006249D9" w:rsidP="006249D9">
      <w:pPr>
        <w:pStyle w:val="Prrafodelista"/>
        <w:tabs>
          <w:tab w:val="left" w:pos="567"/>
        </w:tabs>
        <w:ind w:left="1080"/>
        <w:jc w:val="both"/>
        <w:rPr>
          <w:rFonts w:ascii="Bookman Old Style" w:hAnsi="Bookman Old Style" w:cs="Arial"/>
          <w:color w:val="000000" w:themeColor="text1"/>
          <w:sz w:val="14"/>
          <w:szCs w:val="24"/>
        </w:rPr>
      </w:pPr>
    </w:p>
    <w:p w:rsidR="006249D9" w:rsidRPr="00E60DEE"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VLRLCS</m:t>
              </m:r>
            </m:e>
            <m:sub>
              <m:r>
                <w:rPr>
                  <w:rFonts w:ascii="Cambria Math" w:hAnsi="Cambria Math" w:cs="Arial"/>
                  <w:color w:val="000000" w:themeColor="text1"/>
                  <w:sz w:val="24"/>
                  <w:szCs w:val="24"/>
                </w:rPr>
                <m:t xml:space="preserve">v </m:t>
              </m:r>
            </m:sub>
          </m:sSub>
          <m:r>
            <w:rPr>
              <w:rFonts w:ascii="Cambria Math" w:hAnsi="Cambria Math" w:cs="Arial"/>
              <w:color w:val="000000" w:themeColor="text1"/>
              <w:sz w:val="24"/>
              <w:szCs w:val="24"/>
            </w:rPr>
            <m:t xml:space="preserve">=0,5 ×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×90 ×p ×TRM</m:t>
          </m:r>
        </m:oMath>
      </m:oMathPara>
    </w:p>
    <w:p w:rsidR="006249D9" w:rsidRPr="001568CF" w:rsidRDefault="006249D9" w:rsidP="006249D9">
      <w:pPr>
        <w:pStyle w:val="Prrafodelista"/>
        <w:tabs>
          <w:tab w:val="left" w:pos="567"/>
        </w:tabs>
        <w:ind w:left="1080"/>
        <w:jc w:val="both"/>
        <w:rPr>
          <w:rFonts w:ascii="Bookman Old Style" w:hAnsi="Bookman Old Style" w:cs="Arial"/>
          <w:color w:val="000000" w:themeColor="text1"/>
          <w:sz w:val="1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Segunda garantía</w:t>
      </w:r>
    </w:p>
    <w:p w:rsidR="006249D9" w:rsidRPr="00616D43"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VLRLCM</m:t>
              </m:r>
            </m:e>
            <m:sub>
              <m:r>
                <w:rPr>
                  <w:rFonts w:ascii="Cambria Math" w:hAnsi="Cambria Math" w:cs="Arial"/>
                  <w:color w:val="000000" w:themeColor="text1"/>
                  <w:sz w:val="24"/>
                  <w:szCs w:val="24"/>
                </w:rPr>
                <m:t xml:space="preserve">v </m:t>
              </m:r>
            </m:sub>
          </m:sSub>
          <m:r>
            <w:rPr>
              <w:rFonts w:ascii="Cambria Math" w:hAnsi="Cambria Math" w:cs="Arial"/>
              <w:color w:val="000000" w:themeColor="text1"/>
              <w:sz w:val="24"/>
              <w:szCs w:val="24"/>
            </w:rPr>
            <m:t xml:space="preserve">=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 xml:space="preserve"> ×pv</m:t>
          </m:r>
        </m:oMath>
      </m:oMathPara>
    </w:p>
    <w:p w:rsidR="006249D9" w:rsidRPr="001568CF" w:rsidRDefault="006249D9" w:rsidP="006249D9">
      <w:pPr>
        <w:tabs>
          <w:tab w:val="left" w:pos="567"/>
        </w:tabs>
        <w:ind w:left="360"/>
        <w:jc w:val="both"/>
        <w:rPr>
          <w:rFonts w:ascii="Bookman Old Style" w:hAnsi="Bookman Old Style" w:cs="Arial"/>
          <w:color w:val="000000" w:themeColor="text1"/>
          <w:sz w:val="2"/>
          <w:lang w:val="es-CO"/>
        </w:rPr>
      </w:pPr>
    </w:p>
    <w:p w:rsidR="006249D9" w:rsidRPr="001568CF" w:rsidRDefault="006249D9" w:rsidP="006249D9">
      <w:pPr>
        <w:tabs>
          <w:tab w:val="left" w:pos="567"/>
        </w:tabs>
        <w:ind w:left="360"/>
        <w:jc w:val="both"/>
        <w:rPr>
          <w:rFonts w:ascii="Bookman Old Style" w:hAnsi="Bookman Old Style" w:cs="Arial"/>
          <w:color w:val="000000" w:themeColor="text1"/>
          <w:sz w:val="14"/>
          <w:lang w:val="es-CO"/>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Pr="000C32BA" w:rsidRDefault="006249D9" w:rsidP="006249D9">
      <w:pPr>
        <w:pStyle w:val="Prrafodelista"/>
        <w:tabs>
          <w:tab w:val="left" w:pos="567"/>
        </w:tabs>
        <w:ind w:left="0"/>
        <w:jc w:val="both"/>
        <w:rPr>
          <w:rFonts w:ascii="Bookman Old Style" w:hAnsi="Bookman Old Style" w:cs="Arial"/>
          <w:color w:val="000000" w:themeColor="text1"/>
          <w:sz w:val="24"/>
          <w:szCs w:val="24"/>
        </w:rPr>
      </w:pPr>
    </w:p>
    <w:tbl>
      <w:tblPr>
        <w:tblStyle w:val="Tablaconcuadrcula"/>
        <w:tblW w:w="0" w:type="auto"/>
        <w:tblInd w:w="1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2"/>
        <w:gridCol w:w="7053"/>
      </w:tblGrid>
      <w:tr w:rsidR="006249D9" w:rsidTr="00C23575">
        <w:tc>
          <w:tcPr>
            <w:tcW w:w="1282"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VLRLCS</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m:t>
                </m:r>
              </m:oMath>
            </m:oMathPara>
          </w:p>
        </w:tc>
        <w:tc>
          <w:tcPr>
            <w:tcW w:w="7053"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primera garantía en pesos Colombianos.</w:t>
            </w:r>
          </w:p>
          <w:p w:rsidR="006249D9" w:rsidRPr="001568CF" w:rsidRDefault="006249D9" w:rsidP="00C23575">
            <w:pPr>
              <w:pStyle w:val="Prrafodelista"/>
              <w:tabs>
                <w:tab w:val="left" w:pos="567"/>
              </w:tabs>
              <w:ind w:left="0"/>
              <w:jc w:val="both"/>
              <w:rPr>
                <w:rFonts w:ascii="Bookman Old Style" w:hAnsi="Bookman Old Style" w:cs="Arial"/>
                <w:color w:val="000000" w:themeColor="text1"/>
                <w:sz w:val="14"/>
                <w:szCs w:val="24"/>
              </w:rPr>
            </w:pPr>
          </w:p>
        </w:tc>
      </w:tr>
      <w:tr w:rsidR="006249D9" w:rsidTr="00C23575">
        <w:tc>
          <w:tcPr>
            <w:tcW w:w="1282"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VLRLCM</m:t>
                    </m:r>
                  </m:e>
                  <m:sub>
                    <m:r>
                      <w:rPr>
                        <w:rFonts w:ascii="Cambria Math" w:hAnsi="Cambria Math" w:cs="Arial"/>
                        <w:color w:val="000000" w:themeColor="text1"/>
                        <w:sz w:val="24"/>
                        <w:szCs w:val="24"/>
                      </w:rPr>
                      <m:t>v</m:t>
                    </m:r>
                  </m:sub>
                </m:sSub>
                <m:r>
                  <w:rPr>
                    <w:rFonts w:ascii="Cambria Math" w:hAnsi="Cambria Math" w:cs="Arial"/>
                    <w:color w:val="000000" w:themeColor="text1"/>
                    <w:sz w:val="24"/>
                    <w:szCs w:val="24"/>
                  </w:rPr>
                  <m:t>:</m:t>
                </m:r>
              </m:oMath>
            </m:oMathPara>
          </w:p>
        </w:tc>
        <w:tc>
          <w:tcPr>
            <w:tcW w:w="7053"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segunda garantía en pesos Colombianos.</w:t>
            </w:r>
          </w:p>
          <w:p w:rsidR="006249D9" w:rsidRPr="001568CF" w:rsidRDefault="006249D9" w:rsidP="00C23575">
            <w:pPr>
              <w:pStyle w:val="Prrafodelista"/>
              <w:tabs>
                <w:tab w:val="left" w:pos="567"/>
              </w:tabs>
              <w:ind w:left="0"/>
              <w:jc w:val="both"/>
              <w:rPr>
                <w:rFonts w:ascii="Bookman Old Style" w:hAnsi="Bookman Old Style" w:cs="Arial"/>
                <w:color w:val="000000" w:themeColor="text1"/>
                <w:sz w:val="12"/>
                <w:szCs w:val="24"/>
              </w:rPr>
            </w:pPr>
          </w:p>
        </w:tc>
      </w:tr>
      <w:tr w:rsidR="006249D9" w:rsidTr="00C23575">
        <w:tc>
          <w:tcPr>
            <w:tcW w:w="1282" w:type="dxa"/>
          </w:tcPr>
          <w:p w:rsidR="006249D9"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v</m:t>
                  </m:r>
                </m:sub>
              </m:sSub>
            </m:oMath>
            <w:r w:rsidR="006249D9">
              <w:rPr>
                <w:rFonts w:ascii="Bookman Old Style" w:hAnsi="Bookman Old Style" w:cs="Arial"/>
                <w:color w:val="000000" w:themeColor="text1"/>
                <w:sz w:val="24"/>
                <w:szCs w:val="24"/>
              </w:rPr>
              <w:t>:</w:t>
            </w:r>
          </w:p>
        </w:tc>
        <w:tc>
          <w:tcPr>
            <w:tcW w:w="7053"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Asignación de energía del vendedor</w:t>
            </w:r>
            <w:r w:rsidR="00353D16">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v</m:t>
              </m:r>
            </m:oMath>
            <w:r w:rsidRPr="002A67A5">
              <w:rPr>
                <w:rFonts w:ascii="Bookman Old Style" w:hAnsi="Bookman Old Style" w:cs="Arial"/>
                <w:color w:val="000000" w:themeColor="text1"/>
                <w:sz w:val="24"/>
                <w:szCs w:val="24"/>
              </w:rPr>
              <w:t xml:space="preserve"> en MBTUD, en la subasta.</w:t>
            </w:r>
          </w:p>
          <w:p w:rsidR="006249D9" w:rsidRPr="001568CF" w:rsidRDefault="006249D9" w:rsidP="00C23575">
            <w:pPr>
              <w:pStyle w:val="Prrafodelista"/>
              <w:tabs>
                <w:tab w:val="left" w:pos="567"/>
              </w:tabs>
              <w:ind w:left="0"/>
              <w:jc w:val="both"/>
              <w:rPr>
                <w:rFonts w:ascii="Bookman Old Style" w:hAnsi="Bookman Old Style" w:cs="Arial"/>
                <w:color w:val="000000" w:themeColor="text1"/>
                <w:sz w:val="8"/>
                <w:szCs w:val="24"/>
              </w:rPr>
            </w:pPr>
          </w:p>
        </w:tc>
      </w:tr>
      <w:tr w:rsidR="001568CF" w:rsidTr="00C23575">
        <w:tc>
          <w:tcPr>
            <w:tcW w:w="1282" w:type="dxa"/>
          </w:tcPr>
          <w:p w:rsidR="001568CF" w:rsidRDefault="001568CF" w:rsidP="00C23575">
            <w:pPr>
              <w:pStyle w:val="Prrafodelista"/>
              <w:ind w:left="0"/>
              <w:rPr>
                <w:color w:val="000000" w:themeColor="text1"/>
                <w:sz w:val="24"/>
                <w:szCs w:val="24"/>
              </w:rPr>
            </w:pPr>
            <m:oMath>
              <m:r>
                <w:rPr>
                  <w:rFonts w:ascii="Cambria Math" w:hAnsi="Cambria Math" w:cs="Arial"/>
                  <w:color w:val="000000" w:themeColor="text1"/>
                  <w:sz w:val="24"/>
                  <w:szCs w:val="24"/>
                </w:rPr>
                <m:t>p</m:t>
              </m:r>
            </m:oMath>
            <w:r>
              <w:rPr>
                <w:color w:val="000000" w:themeColor="text1"/>
                <w:sz w:val="24"/>
                <w:szCs w:val="24"/>
              </w:rPr>
              <w:t>:</w:t>
            </w:r>
          </w:p>
        </w:tc>
        <w:tc>
          <w:tcPr>
            <w:tcW w:w="7053" w:type="dxa"/>
          </w:tcPr>
          <w:p w:rsidR="001568CF" w:rsidRDefault="001568CF" w:rsidP="001568CF">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Precio de cierre de la subasta en dólares de los Estados Unidos de América por MBTU.</w:t>
            </w:r>
          </w:p>
          <w:p w:rsidR="001568CF" w:rsidRPr="001568CF" w:rsidRDefault="001568CF" w:rsidP="00C23575">
            <w:pPr>
              <w:pStyle w:val="Prrafodelista"/>
              <w:tabs>
                <w:tab w:val="left" w:pos="567"/>
              </w:tabs>
              <w:ind w:left="0"/>
              <w:jc w:val="both"/>
              <w:rPr>
                <w:rFonts w:ascii="Bookman Old Style" w:hAnsi="Bookman Old Style" w:cs="Arial"/>
                <w:color w:val="000000" w:themeColor="text1"/>
                <w:sz w:val="12"/>
                <w:szCs w:val="24"/>
              </w:rPr>
            </w:pPr>
          </w:p>
        </w:tc>
      </w:tr>
      <w:tr w:rsidR="001568CF" w:rsidTr="00C23575">
        <w:tc>
          <w:tcPr>
            <w:tcW w:w="1282" w:type="dxa"/>
          </w:tcPr>
          <w:p w:rsidR="001568CF" w:rsidRDefault="001568CF" w:rsidP="009037FB">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053" w:type="dxa"/>
          </w:tcPr>
          <w:p w:rsidR="001568CF" w:rsidRDefault="001568CF" w:rsidP="009037FB">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1568CF" w:rsidRPr="001568CF" w:rsidRDefault="001568CF" w:rsidP="009037FB">
            <w:pPr>
              <w:pStyle w:val="Prrafodelista"/>
              <w:ind w:left="0"/>
              <w:jc w:val="both"/>
              <w:rPr>
                <w:rFonts w:ascii="Bookman Old Style" w:hAnsi="Bookman Old Style" w:cs="Arial"/>
                <w:color w:val="000000" w:themeColor="text1"/>
                <w:sz w:val="6"/>
                <w:szCs w:val="24"/>
              </w:rPr>
            </w:pPr>
          </w:p>
        </w:tc>
      </w:tr>
      <w:tr w:rsidR="001568CF" w:rsidTr="00C23575">
        <w:tc>
          <w:tcPr>
            <w:tcW w:w="1282" w:type="dxa"/>
          </w:tcPr>
          <w:p w:rsidR="001568CF" w:rsidRDefault="001568CF"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pv</m:t>
              </m:r>
            </m:oMath>
            <w:r>
              <w:rPr>
                <w:rFonts w:ascii="Bookman Old Style" w:hAnsi="Bookman Old Style" w:cs="Arial"/>
                <w:color w:val="000000" w:themeColor="text1"/>
                <w:sz w:val="24"/>
                <w:szCs w:val="24"/>
              </w:rPr>
              <w:t>:</w:t>
            </w:r>
          </w:p>
        </w:tc>
        <w:tc>
          <w:tcPr>
            <w:tcW w:w="7053" w:type="dxa"/>
          </w:tcPr>
          <w:p w:rsidR="001568CF" w:rsidRDefault="001568CF"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Precio en pesos Colombianos por MBTU calculado con la siguiente expresión:</w:t>
            </w:r>
          </w:p>
          <w:p w:rsidR="001568CF" w:rsidRDefault="001568CF" w:rsidP="00C23575">
            <w:pPr>
              <w:pStyle w:val="Prrafodelista"/>
              <w:ind w:left="0"/>
              <w:jc w:val="both"/>
              <w:rPr>
                <w:rFonts w:ascii="Bookman Old Style" w:hAnsi="Bookman Old Style" w:cs="Arial"/>
                <w:color w:val="000000" w:themeColor="text1"/>
                <w:sz w:val="24"/>
                <w:szCs w:val="24"/>
              </w:rPr>
            </w:pPr>
          </w:p>
          <w:p w:rsidR="001568CF" w:rsidRPr="0087755D" w:rsidRDefault="001568CF" w:rsidP="00C23575">
            <w:pPr>
              <w:pStyle w:val="Prrafodelista"/>
              <w:ind w:left="0"/>
              <w:jc w:val="both"/>
              <w:rPr>
                <w:rFonts w:ascii="Bookman Old Style" w:hAnsi="Bookman Old Style" w:cs="Arial"/>
                <w:color w:val="000000" w:themeColor="text1"/>
                <w:sz w:val="24"/>
                <w:szCs w:val="24"/>
              </w:rPr>
            </w:pPr>
            <m:oMathPara>
              <m:oMath>
                <m:r>
                  <w:rPr>
                    <w:rFonts w:ascii="Cambria Math" w:hAnsi="Cambria Math" w:cs="Arial"/>
                    <w:sz w:val="24"/>
                    <w:szCs w:val="24"/>
                  </w:rPr>
                  <m:t>pv</m:t>
                </m:r>
                <m:r>
                  <w:rPr>
                    <w:rFonts w:ascii="Cambria Math" w:hAnsi="Cambria Math" w:cs="Arial"/>
                    <w:sz w:val="24"/>
                    <w:szCs w:val="24"/>
                    <w:lang w:val="en-US"/>
                  </w:rPr>
                  <m:t xml:space="preserve"> = </m:t>
                </m:r>
                <m:r>
                  <w:rPr>
                    <w:rFonts w:ascii="Cambria Math" w:hAnsi="Cambria Math" w:cs="Arial"/>
                    <w:sz w:val="24"/>
                    <w:szCs w:val="24"/>
                  </w:rPr>
                  <m:t xml:space="preserve">107914 </m:t>
                </m:r>
                <m:r>
                  <w:rPr>
                    <w:rFonts w:ascii="Cambria Math" w:hAnsi="Cambria Math" w:cs="Arial" w:hint="eastAsia"/>
                    <w:sz w:val="24"/>
                    <w:szCs w:val="24"/>
                    <w:lang w:val="en-US"/>
                  </w:rPr>
                  <m:t>×</m:t>
                </m:r>
                <m:r>
                  <w:rPr>
                    <w:rFonts w:ascii="Cambria Math" w:hAnsi="Cambria Math" w:cs="Arial"/>
                    <w:sz w:val="24"/>
                    <w:szCs w:val="24"/>
                    <w:lang w:val="en-US"/>
                  </w:rPr>
                  <m:t xml:space="preserve"> </m:t>
                </m:r>
                <m:f>
                  <m:fPr>
                    <m:ctrlPr>
                      <w:rPr>
                        <w:rFonts w:ascii="Cambria Math" w:hAnsi="Cambria Math" w:cs="Arial"/>
                        <w:i/>
                        <w:sz w:val="24"/>
                        <w:szCs w:val="24"/>
                      </w:rPr>
                    </m:ctrlPr>
                  </m:fPr>
                  <m:num>
                    <m:sSub>
                      <m:sSubPr>
                        <m:ctrlPr>
                          <w:rPr>
                            <w:rFonts w:ascii="Cambria Math" w:hAnsi="Cambria Math" w:cs="Arial"/>
                            <w:i/>
                            <w:sz w:val="24"/>
                            <w:szCs w:val="24"/>
                          </w:rPr>
                        </m:ctrlPr>
                      </m:sSubPr>
                      <m:e>
                        <m:r>
                          <w:rPr>
                            <w:rFonts w:ascii="Cambria Math" w:hAnsi="Cambria Math" w:cs="Arial"/>
                            <w:sz w:val="24"/>
                            <w:szCs w:val="24"/>
                          </w:rPr>
                          <m:t>IPP</m:t>
                        </m:r>
                      </m:e>
                      <m:sub>
                        <m:r>
                          <w:rPr>
                            <w:rFonts w:ascii="Cambria Math" w:hAnsi="Cambria Math" w:cs="Arial"/>
                            <w:sz w:val="24"/>
                            <w:szCs w:val="24"/>
                          </w:rPr>
                          <m:t>m</m:t>
                        </m:r>
                        <m:r>
                          <w:rPr>
                            <w:rFonts w:ascii="Cambria Math" w:hAnsi="Cambria Math" w:cs="Arial"/>
                            <w:sz w:val="24"/>
                            <w:szCs w:val="24"/>
                            <w:lang w:val="en-US"/>
                          </w:rPr>
                          <m:t>-1</m:t>
                        </m:r>
                      </m:sub>
                    </m:sSub>
                  </m:num>
                  <m:den>
                    <m:sSub>
                      <m:sSubPr>
                        <m:ctrlPr>
                          <w:rPr>
                            <w:rFonts w:ascii="Cambria Math" w:hAnsi="Cambria Math" w:cs="Arial"/>
                            <w:i/>
                            <w:sz w:val="24"/>
                            <w:szCs w:val="24"/>
                          </w:rPr>
                        </m:ctrlPr>
                      </m:sSubPr>
                      <m:e>
                        <m:r>
                          <w:rPr>
                            <w:rFonts w:ascii="Cambria Math" w:hAnsi="Cambria Math" w:cs="Arial"/>
                            <w:sz w:val="24"/>
                            <w:szCs w:val="24"/>
                          </w:rPr>
                          <m:t>IPP</m:t>
                        </m:r>
                      </m:e>
                      <m:sub>
                        <m:r>
                          <w:rPr>
                            <w:rFonts w:ascii="Cambria Math" w:hAnsi="Cambria Math" w:cs="Arial"/>
                            <w:sz w:val="24"/>
                            <w:szCs w:val="24"/>
                          </w:rPr>
                          <m:t>diciembre</m:t>
                        </m:r>
                        <m:r>
                          <w:rPr>
                            <w:rFonts w:ascii="Cambria Math" w:hAnsi="Cambria Math" w:cs="Arial"/>
                            <w:sz w:val="24"/>
                            <w:szCs w:val="24"/>
                            <w:lang w:val="en-US"/>
                          </w:rPr>
                          <m:t xml:space="preserve"> 2014</m:t>
                        </m:r>
                      </m:sub>
                    </m:sSub>
                  </m:den>
                </m:f>
              </m:oMath>
            </m:oMathPara>
          </w:p>
          <w:p w:rsidR="001568CF" w:rsidRDefault="001568CF" w:rsidP="00C23575">
            <w:pPr>
              <w:pStyle w:val="Prrafodelista"/>
              <w:ind w:left="0"/>
              <w:jc w:val="both"/>
              <w:rPr>
                <w:rFonts w:ascii="Bookman Old Style" w:hAnsi="Bookman Old Style" w:cs="Arial"/>
                <w:color w:val="000000" w:themeColor="text1"/>
                <w:sz w:val="24"/>
                <w:szCs w:val="24"/>
              </w:rPr>
            </w:pPr>
          </w:p>
        </w:tc>
      </w:tr>
      <w:tr w:rsidR="001568CF" w:rsidTr="00C23575">
        <w:tc>
          <w:tcPr>
            <w:tcW w:w="1282" w:type="dxa"/>
          </w:tcPr>
          <w:p w:rsidR="001568CF" w:rsidRDefault="001568CF"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IPP</m:t>
              </m:r>
            </m:oMath>
            <w:r>
              <w:rPr>
                <w:rFonts w:ascii="Bookman Old Style" w:hAnsi="Bookman Old Style" w:cs="Arial"/>
                <w:color w:val="000000" w:themeColor="text1"/>
                <w:sz w:val="24"/>
                <w:szCs w:val="24"/>
              </w:rPr>
              <w:t>:</w:t>
            </w:r>
          </w:p>
        </w:tc>
        <w:tc>
          <w:tcPr>
            <w:tcW w:w="7053" w:type="dxa"/>
          </w:tcPr>
          <w:p w:rsidR="001568CF" w:rsidRDefault="001568CF" w:rsidP="00CD6EE1">
            <w:pPr>
              <w:pStyle w:val="Prrafodelista"/>
              <w:ind w:left="0"/>
              <w:jc w:val="both"/>
              <w:rPr>
                <w:rFonts w:ascii="Bookman Old Style" w:hAnsi="Bookman Old Style" w:cs="Arial"/>
                <w:color w:val="000000" w:themeColor="text1"/>
                <w:sz w:val="24"/>
                <w:szCs w:val="24"/>
              </w:rPr>
            </w:pPr>
            <w:r w:rsidRPr="00B506B1">
              <w:rPr>
                <w:rFonts w:ascii="Bookman Old Style" w:hAnsi="Bookman Old Style" w:cs="Arial"/>
                <w:sz w:val="24"/>
                <w:szCs w:val="24"/>
              </w:rPr>
              <w:t xml:space="preserve">Índice de Precios de la Oferta Interna reportado </w:t>
            </w:r>
            <w:r>
              <w:rPr>
                <w:rFonts w:ascii="Bookman Old Style" w:hAnsi="Bookman Old Style" w:cs="Arial"/>
                <w:sz w:val="24"/>
                <w:szCs w:val="24"/>
              </w:rPr>
              <w:t>por la autoridad competente.</w:t>
            </w:r>
            <w:r>
              <w:rPr>
                <w:rFonts w:ascii="Bookman Old Style" w:hAnsi="Bookman Old Style" w:cs="Arial"/>
                <w:color w:val="000000" w:themeColor="text1"/>
                <w:sz w:val="24"/>
                <w:szCs w:val="24"/>
              </w:rPr>
              <w:t xml:space="preserve"> </w:t>
            </w:r>
          </w:p>
          <w:p w:rsidR="001568CF" w:rsidRDefault="001568CF" w:rsidP="00CD6EE1">
            <w:pPr>
              <w:pStyle w:val="Prrafodelista"/>
              <w:ind w:left="0"/>
              <w:jc w:val="both"/>
              <w:rPr>
                <w:rFonts w:ascii="Bookman Old Style" w:hAnsi="Bookman Old Style" w:cs="Arial"/>
                <w:color w:val="000000" w:themeColor="text1"/>
                <w:sz w:val="24"/>
                <w:szCs w:val="24"/>
              </w:rPr>
            </w:pPr>
          </w:p>
        </w:tc>
      </w:tr>
      <w:tr w:rsidR="001568CF" w:rsidTr="00CD6EE1">
        <w:trPr>
          <w:trHeight w:val="60"/>
        </w:trPr>
        <w:tc>
          <w:tcPr>
            <w:tcW w:w="1282" w:type="dxa"/>
          </w:tcPr>
          <w:p w:rsidR="001568CF" w:rsidRDefault="001568CF"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m-1</m:t>
              </m:r>
            </m:oMath>
            <w:r>
              <w:rPr>
                <w:rFonts w:ascii="Bookman Old Style" w:hAnsi="Bookman Old Style" w:cs="Arial"/>
                <w:color w:val="000000" w:themeColor="text1"/>
                <w:sz w:val="24"/>
                <w:szCs w:val="24"/>
              </w:rPr>
              <w:t>:</w:t>
            </w:r>
          </w:p>
        </w:tc>
        <w:tc>
          <w:tcPr>
            <w:tcW w:w="7053" w:type="dxa"/>
          </w:tcPr>
          <w:p w:rsidR="001568CF" w:rsidRDefault="001568CF"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Mes anterior al mes de la estimación de la garantía.</w:t>
            </w:r>
          </w:p>
        </w:tc>
      </w:tr>
    </w:tbl>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sz w:val="24"/>
          <w:szCs w:val="24"/>
        </w:rPr>
      </w:pPr>
      <w:r w:rsidRPr="00AA1D01">
        <w:rPr>
          <w:rFonts w:ascii="Bookman Old Style" w:hAnsi="Bookman Old Style" w:cs="Arial"/>
          <w:color w:val="000000" w:themeColor="text1"/>
          <w:sz w:val="24"/>
          <w:szCs w:val="24"/>
        </w:rPr>
        <w:t>Fecha</w:t>
      </w:r>
      <w:r w:rsidRPr="00AA1D01">
        <w:rPr>
          <w:rFonts w:ascii="Bookman Old Style" w:hAnsi="Bookman Old Style" w:cs="Arial"/>
          <w:sz w:val="24"/>
          <w:szCs w:val="24"/>
        </w:rPr>
        <w:t xml:space="preserve"> de entrega de la</w:t>
      </w:r>
      <w:r>
        <w:rPr>
          <w:rFonts w:ascii="Bookman Old Style" w:hAnsi="Bookman Old Style" w:cs="Arial"/>
          <w:sz w:val="24"/>
          <w:szCs w:val="24"/>
        </w:rPr>
        <w:t>s</w:t>
      </w:r>
      <w:r w:rsidRPr="00AA1D01">
        <w:rPr>
          <w:rFonts w:ascii="Bookman Old Style" w:hAnsi="Bookman Old Style" w:cs="Arial"/>
          <w:sz w:val="24"/>
          <w:szCs w:val="24"/>
        </w:rPr>
        <w:t xml:space="preserve"> </w:t>
      </w:r>
      <w:r>
        <w:rPr>
          <w:rFonts w:ascii="Bookman Old Style" w:hAnsi="Bookman Old Style" w:cs="Arial"/>
          <w:sz w:val="24"/>
          <w:szCs w:val="24"/>
        </w:rPr>
        <w:t>garantías</w:t>
      </w:r>
      <w:r w:rsidRPr="00AA1D01">
        <w:rPr>
          <w:rFonts w:ascii="Bookman Old Style" w:hAnsi="Bookman Old Style" w:cs="Arial"/>
          <w:sz w:val="24"/>
          <w:szCs w:val="24"/>
        </w:rPr>
        <w:t xml:space="preserve">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v</m:t>
            </m:r>
          </m:sub>
        </m:sSub>
      </m:oMath>
      <w:r w:rsidRPr="00AA1D01">
        <w:rPr>
          <w:rFonts w:ascii="Bookman Old Style" w:hAnsi="Bookman Old Style" w:cs="Arial"/>
          <w:sz w:val="24"/>
          <w:szCs w:val="24"/>
        </w:rPr>
        <w:t xml:space="preserve"> de los vendedores: </w:t>
      </w:r>
      <w:r>
        <w:rPr>
          <w:rFonts w:ascii="Bookman Old Style" w:hAnsi="Bookman Old Style" w:cs="Arial"/>
          <w:sz w:val="24"/>
          <w:szCs w:val="24"/>
        </w:rPr>
        <w:t xml:space="preserve">La primera vez a más tardar a las 17:00 horas del último día hábil previo al primer mes de compromiso. Las siguientes garantías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v</m:t>
            </m:r>
          </m:sub>
        </m:sSub>
      </m:oMath>
      <w:r>
        <w:rPr>
          <w:rFonts w:ascii="Bookman Old Style" w:hAnsi="Bookman Old Style" w:cs="Arial"/>
          <w:sz w:val="24"/>
          <w:szCs w:val="24"/>
        </w:rPr>
        <w:t xml:space="preserve"> se deben entregar hasta las 17:00 horas del quinto día hábil anterior al día en que termina la vigencia de la garantía.</w:t>
      </w:r>
    </w:p>
    <w:p w:rsidR="006249D9" w:rsidRPr="001568CF" w:rsidRDefault="006249D9" w:rsidP="006249D9">
      <w:pPr>
        <w:pStyle w:val="Prrafodelista"/>
        <w:tabs>
          <w:tab w:val="left" w:pos="567"/>
        </w:tabs>
        <w:ind w:left="1080"/>
        <w:jc w:val="both"/>
        <w:rPr>
          <w:rFonts w:ascii="Bookman Old Style" w:hAnsi="Bookman Old Style" w:cs="Arial"/>
          <w:sz w:val="16"/>
          <w:szCs w:val="24"/>
        </w:rPr>
      </w:pPr>
    </w:p>
    <w:p w:rsidR="006249D9" w:rsidRPr="00AA1D01" w:rsidRDefault="006249D9" w:rsidP="006249D9">
      <w:pPr>
        <w:pStyle w:val="Prrafodelista"/>
        <w:numPr>
          <w:ilvl w:val="2"/>
          <w:numId w:val="5"/>
        </w:numPr>
        <w:tabs>
          <w:tab w:val="left" w:pos="567"/>
        </w:tabs>
        <w:jc w:val="both"/>
        <w:rPr>
          <w:rFonts w:ascii="Bookman Old Style" w:hAnsi="Bookman Old Style" w:cs="Arial"/>
          <w:sz w:val="24"/>
          <w:szCs w:val="24"/>
        </w:rPr>
      </w:pPr>
      <w:r>
        <w:rPr>
          <w:rFonts w:ascii="Bookman Old Style" w:hAnsi="Bookman Old Style" w:cs="Arial"/>
          <w:sz w:val="24"/>
          <w:szCs w:val="24"/>
        </w:rPr>
        <w:t xml:space="preserve">Fecha de entrega de las garantías </w:t>
      </w:r>
      <m:oMath>
        <m:sSub>
          <m:sSubPr>
            <m:ctrlPr>
              <w:rPr>
                <w:rFonts w:ascii="Cambria Math" w:hAnsi="Cambria Math" w:cs="Arial"/>
                <w:i/>
                <w:sz w:val="24"/>
                <w:szCs w:val="24"/>
              </w:rPr>
            </m:ctrlPr>
          </m:sSubPr>
          <m:e>
            <m:r>
              <w:rPr>
                <w:rFonts w:ascii="Cambria Math" w:hAnsi="Cambria Math" w:cs="Arial"/>
                <w:sz w:val="24"/>
                <w:szCs w:val="24"/>
              </w:rPr>
              <m:t>VLRLCM</m:t>
            </m:r>
          </m:e>
          <m:sub>
            <m:r>
              <w:rPr>
                <w:rFonts w:ascii="Cambria Math" w:hAnsi="Cambria Math" w:cs="Arial"/>
                <w:sz w:val="24"/>
                <w:szCs w:val="24"/>
              </w:rPr>
              <m:t>v</m:t>
            </m:r>
          </m:sub>
        </m:sSub>
      </m:oMath>
      <w:r w:rsidRPr="00AA1D01">
        <w:rPr>
          <w:rFonts w:ascii="Bookman Old Style" w:hAnsi="Bookman Old Style" w:cs="Arial"/>
          <w:sz w:val="24"/>
          <w:szCs w:val="24"/>
        </w:rPr>
        <w:t xml:space="preserve"> de los vendedores:</w:t>
      </w:r>
      <w:r>
        <w:rPr>
          <w:rFonts w:ascii="Bookman Old Style" w:hAnsi="Bookman Old Style" w:cs="Arial"/>
          <w:sz w:val="24"/>
          <w:szCs w:val="24"/>
        </w:rPr>
        <w:t xml:space="preserve"> </w:t>
      </w:r>
      <w:r w:rsidRPr="00AA1D01">
        <w:rPr>
          <w:rFonts w:ascii="Bookman Old Style" w:hAnsi="Bookman Old Style" w:cs="Arial"/>
          <w:sz w:val="24"/>
          <w:szCs w:val="24"/>
        </w:rPr>
        <w:t>A más tardar a las 17:00 horas del último día hábil previo al mes de compromiso de suministro durante todos los meses de duración del contrato.</w:t>
      </w:r>
    </w:p>
    <w:p w:rsidR="006249D9" w:rsidRPr="001568CF" w:rsidRDefault="006249D9" w:rsidP="006249D9">
      <w:pPr>
        <w:pStyle w:val="Prrafodelista"/>
        <w:tabs>
          <w:tab w:val="left" w:pos="567"/>
        </w:tabs>
        <w:ind w:left="1080"/>
        <w:jc w:val="both"/>
        <w:rPr>
          <w:rFonts w:ascii="Bookman Old Style" w:hAnsi="Bookman Old Style" w:cs="Arial"/>
          <w:sz w:val="16"/>
          <w:szCs w:val="24"/>
        </w:rPr>
      </w:pPr>
    </w:p>
    <w:p w:rsidR="006249D9" w:rsidRPr="00671E3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AA1D01">
        <w:rPr>
          <w:rFonts w:ascii="Bookman Old Style" w:hAnsi="Bookman Old Style" w:cs="Arial"/>
          <w:color w:val="000000" w:themeColor="text1"/>
          <w:sz w:val="24"/>
          <w:szCs w:val="24"/>
        </w:rPr>
        <w:t>Vigencia</w:t>
      </w:r>
      <w:r w:rsidRPr="00AA1D01">
        <w:rPr>
          <w:rFonts w:ascii="Bookman Old Style" w:hAnsi="Bookman Old Style" w:cs="Arial"/>
          <w:sz w:val="24"/>
          <w:szCs w:val="24"/>
        </w:rPr>
        <w:t xml:space="preserve"> de la</w:t>
      </w:r>
      <w:r>
        <w:rPr>
          <w:rFonts w:ascii="Bookman Old Style" w:hAnsi="Bookman Old Style" w:cs="Arial"/>
          <w:sz w:val="24"/>
          <w:szCs w:val="24"/>
        </w:rPr>
        <w:t xml:space="preserve"> primera</w:t>
      </w:r>
      <w:r w:rsidRPr="00AA1D01">
        <w:rPr>
          <w:rFonts w:ascii="Bookman Old Style" w:hAnsi="Bookman Old Style" w:cs="Arial"/>
          <w:sz w:val="24"/>
          <w:szCs w:val="24"/>
        </w:rPr>
        <w:t xml:space="preserve"> garantía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v</m:t>
            </m:r>
          </m:sub>
        </m:sSub>
      </m:oMath>
      <w:r w:rsidRPr="00AA1D01">
        <w:rPr>
          <w:rFonts w:ascii="Bookman Old Style" w:hAnsi="Bookman Old Style" w:cs="Arial"/>
          <w:sz w:val="24"/>
          <w:szCs w:val="24"/>
        </w:rPr>
        <w:t xml:space="preserve"> de los vendedores: </w:t>
      </w:r>
      <w:r w:rsidR="004279F7">
        <w:rPr>
          <w:rFonts w:ascii="Bookman Old Style" w:hAnsi="Bookman Old Style" w:cs="Arial"/>
          <w:sz w:val="24"/>
          <w:szCs w:val="24"/>
        </w:rPr>
        <w:t>treinta (3</w:t>
      </w:r>
      <w:r w:rsidR="000B69DF">
        <w:rPr>
          <w:rFonts w:ascii="Bookman Old Style" w:hAnsi="Bookman Old Style" w:cs="Arial"/>
          <w:sz w:val="24"/>
          <w:szCs w:val="24"/>
        </w:rPr>
        <w:t>0)</w:t>
      </w:r>
      <w:r>
        <w:rPr>
          <w:rFonts w:ascii="Bookman Old Style" w:hAnsi="Bookman Old Style" w:cs="Arial"/>
          <w:sz w:val="24"/>
          <w:szCs w:val="24"/>
        </w:rPr>
        <w:t xml:space="preserve"> días calendario contados siempre a partir de la entrega de la garantía.</w:t>
      </w:r>
    </w:p>
    <w:p w:rsidR="006249D9" w:rsidRPr="001568CF" w:rsidRDefault="006249D9" w:rsidP="006249D9">
      <w:pPr>
        <w:pStyle w:val="Prrafodelista"/>
        <w:rPr>
          <w:rFonts w:ascii="Bookman Old Style" w:hAnsi="Bookman Old Style" w:cs="Arial"/>
          <w:color w:val="000000" w:themeColor="text1"/>
          <w:sz w:val="14"/>
          <w:szCs w:val="24"/>
        </w:rPr>
      </w:pPr>
    </w:p>
    <w:p w:rsidR="006249D9" w:rsidRPr="00597BFA"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AA1D01">
        <w:rPr>
          <w:rFonts w:ascii="Bookman Old Style" w:hAnsi="Bookman Old Style" w:cs="Arial"/>
          <w:color w:val="000000" w:themeColor="text1"/>
          <w:sz w:val="24"/>
          <w:szCs w:val="24"/>
        </w:rPr>
        <w:t>Vigencia</w:t>
      </w:r>
      <w:r w:rsidRPr="00AA1D01">
        <w:rPr>
          <w:rFonts w:ascii="Bookman Old Style" w:hAnsi="Bookman Old Style" w:cs="Arial"/>
          <w:sz w:val="24"/>
          <w:szCs w:val="24"/>
        </w:rPr>
        <w:t xml:space="preserve"> de la</w:t>
      </w:r>
      <w:r>
        <w:rPr>
          <w:rFonts w:ascii="Bookman Old Style" w:hAnsi="Bookman Old Style" w:cs="Arial"/>
          <w:sz w:val="24"/>
          <w:szCs w:val="24"/>
        </w:rPr>
        <w:t xml:space="preserve"> segunda</w:t>
      </w:r>
      <w:r w:rsidRPr="00AA1D01">
        <w:rPr>
          <w:rFonts w:ascii="Bookman Old Style" w:hAnsi="Bookman Old Style" w:cs="Arial"/>
          <w:sz w:val="24"/>
          <w:szCs w:val="24"/>
        </w:rPr>
        <w:t xml:space="preserve"> garantía </w:t>
      </w:r>
      <m:oMath>
        <m:sSub>
          <m:sSubPr>
            <m:ctrlPr>
              <w:rPr>
                <w:rFonts w:ascii="Cambria Math" w:hAnsi="Cambria Math" w:cs="Arial"/>
                <w:i/>
                <w:sz w:val="24"/>
                <w:szCs w:val="24"/>
              </w:rPr>
            </m:ctrlPr>
          </m:sSubPr>
          <m:e>
            <m:r>
              <w:rPr>
                <w:rFonts w:ascii="Cambria Math" w:hAnsi="Cambria Math" w:cs="Arial"/>
                <w:sz w:val="24"/>
                <w:szCs w:val="24"/>
              </w:rPr>
              <m:t>VLRLCM</m:t>
            </m:r>
          </m:e>
          <m:sub>
            <m:r>
              <w:rPr>
                <w:rFonts w:ascii="Cambria Math" w:hAnsi="Cambria Math" w:cs="Arial"/>
                <w:sz w:val="24"/>
                <w:szCs w:val="24"/>
              </w:rPr>
              <m:t>v</m:t>
            </m:r>
          </m:sub>
        </m:sSub>
      </m:oMath>
      <w:r w:rsidRPr="00AA1D01">
        <w:rPr>
          <w:rFonts w:ascii="Bookman Old Style" w:hAnsi="Bookman Old Style" w:cs="Arial"/>
          <w:sz w:val="24"/>
          <w:szCs w:val="24"/>
        </w:rPr>
        <w:t xml:space="preserve"> de los vendedores:</w:t>
      </w:r>
      <w:r>
        <w:rPr>
          <w:rFonts w:ascii="Bookman Old Style" w:hAnsi="Bookman Old Style" w:cs="Arial"/>
          <w:sz w:val="24"/>
          <w:szCs w:val="24"/>
        </w:rPr>
        <w:t xml:space="preserve"> </w:t>
      </w:r>
      <w:r w:rsidRPr="00AA1D01">
        <w:rPr>
          <w:rFonts w:ascii="Bookman Old Style" w:hAnsi="Bookman Old Style" w:cs="Arial"/>
          <w:color w:val="000000" w:themeColor="text1"/>
          <w:sz w:val="24"/>
          <w:szCs w:val="24"/>
        </w:rPr>
        <w:t>Número de días calendario del mes de suministro a cubrir, más el número de días de plazo para el pag</w:t>
      </w:r>
      <w:r>
        <w:rPr>
          <w:rFonts w:ascii="Bookman Old Style" w:hAnsi="Bookman Old Style" w:cs="Arial"/>
          <w:color w:val="000000" w:themeColor="text1"/>
          <w:sz w:val="24"/>
          <w:szCs w:val="24"/>
        </w:rPr>
        <w:t>o de la factura más 1 día hábil</w:t>
      </w:r>
      <w:r w:rsidRPr="00597BFA">
        <w:rPr>
          <w:rFonts w:ascii="Bookman Old Style" w:hAnsi="Bookman Old Style" w:cs="Arial"/>
          <w:color w:val="000000" w:themeColor="text1"/>
          <w:sz w:val="24"/>
          <w:szCs w:val="24"/>
        </w:rPr>
        <w:t xml:space="preserve"> a partir de la entrega de la garantía.</w:t>
      </w:r>
    </w:p>
    <w:p w:rsidR="006249D9" w:rsidRPr="001568CF" w:rsidRDefault="006249D9" w:rsidP="006249D9">
      <w:pPr>
        <w:pStyle w:val="Prrafodelista"/>
        <w:tabs>
          <w:tab w:val="left" w:pos="567"/>
        </w:tabs>
        <w:ind w:left="1080"/>
        <w:jc w:val="both"/>
        <w:rPr>
          <w:rFonts w:ascii="Bookman Old Style" w:hAnsi="Bookman Old Style" w:cs="Arial"/>
          <w:color w:val="000000" w:themeColor="text1"/>
          <w:sz w:val="18"/>
          <w:szCs w:val="24"/>
        </w:rPr>
      </w:pPr>
    </w:p>
    <w:p w:rsidR="006249D9" w:rsidRPr="00D30D20" w:rsidRDefault="006249D9" w:rsidP="006249D9">
      <w:pPr>
        <w:pStyle w:val="Prrafodelista"/>
        <w:numPr>
          <w:ilvl w:val="2"/>
          <w:numId w:val="5"/>
        </w:numPr>
        <w:tabs>
          <w:tab w:val="left" w:pos="567"/>
        </w:tabs>
        <w:jc w:val="both"/>
        <w:rPr>
          <w:rFonts w:ascii="Bookman Old Style" w:hAnsi="Bookman Old Style" w:cs="Arial"/>
          <w:sz w:val="24"/>
          <w:szCs w:val="24"/>
        </w:rPr>
      </w:pPr>
      <w:r>
        <w:rPr>
          <w:rFonts w:ascii="Bookman Old Style" w:hAnsi="Bookman Old Style" w:cs="Arial"/>
          <w:sz w:val="24"/>
          <w:szCs w:val="24"/>
        </w:rPr>
        <w:t xml:space="preserve">Evento que da lugar a la ejecución de la primera garantía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v</m:t>
            </m:r>
          </m:sub>
        </m:sSub>
      </m:oMath>
      <w:r>
        <w:rPr>
          <w:rFonts w:ascii="Bookman Old Style" w:hAnsi="Bookman Old Style" w:cs="Arial"/>
          <w:sz w:val="24"/>
          <w:szCs w:val="24"/>
        </w:rPr>
        <w:t xml:space="preserve"> para un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 xml:space="preserve">: El evento que da lugar a la ejecución de la garantía es la terminación anticipada del contrato por </w:t>
      </w:r>
      <w:r w:rsidR="00B81016">
        <w:rPr>
          <w:rFonts w:ascii="Bookman Old Style" w:hAnsi="Bookman Old Style" w:cs="Arial"/>
          <w:color w:val="000000" w:themeColor="text1"/>
          <w:sz w:val="24"/>
          <w:szCs w:val="24"/>
        </w:rPr>
        <w:t xml:space="preserve">condición diferente al mutuo acuerdo entre las partes causada por </w:t>
      </w:r>
      <w:r>
        <w:rPr>
          <w:rFonts w:ascii="Bookman Old Style" w:hAnsi="Bookman Old Style" w:cs="Arial"/>
          <w:color w:val="000000" w:themeColor="text1"/>
          <w:sz w:val="24"/>
          <w:szCs w:val="24"/>
        </w:rPr>
        <w:t xml:space="preserve">el vendedor </w:t>
      </w:r>
      <m:oMath>
        <m:r>
          <w:rPr>
            <w:rFonts w:ascii="Cambria Math" w:hAnsi="Cambria Math" w:cs="Arial"/>
            <w:color w:val="000000" w:themeColor="text1"/>
            <w:sz w:val="24"/>
            <w:szCs w:val="24"/>
          </w:rPr>
          <m:t>v</m:t>
        </m:r>
      </m:oMath>
      <w:r>
        <w:rPr>
          <w:rFonts w:ascii="Bookman Old Style" w:hAnsi="Bookman Old Style" w:cs="Arial"/>
          <w:color w:val="000000" w:themeColor="text1"/>
          <w:sz w:val="24"/>
          <w:szCs w:val="24"/>
        </w:rPr>
        <w:t>.</w:t>
      </w:r>
    </w:p>
    <w:p w:rsidR="006249D9" w:rsidRPr="001568CF" w:rsidRDefault="006249D9" w:rsidP="006249D9">
      <w:pPr>
        <w:pStyle w:val="Prrafodelista"/>
        <w:rPr>
          <w:rFonts w:ascii="Bookman Old Style" w:hAnsi="Bookman Old Style" w:cs="Arial"/>
          <w:color w:val="000000" w:themeColor="text1"/>
          <w:sz w:val="12"/>
          <w:szCs w:val="24"/>
        </w:rPr>
      </w:pPr>
    </w:p>
    <w:p w:rsidR="006249D9" w:rsidRPr="00AA1D01" w:rsidRDefault="006249D9" w:rsidP="006249D9">
      <w:pPr>
        <w:pStyle w:val="Prrafodelista"/>
        <w:numPr>
          <w:ilvl w:val="2"/>
          <w:numId w:val="5"/>
        </w:numPr>
        <w:tabs>
          <w:tab w:val="left" w:pos="567"/>
        </w:tabs>
        <w:jc w:val="both"/>
        <w:rPr>
          <w:rFonts w:ascii="Bookman Old Style" w:hAnsi="Bookman Old Style" w:cs="Arial"/>
          <w:sz w:val="24"/>
          <w:szCs w:val="24"/>
        </w:rPr>
      </w:pPr>
      <w:r w:rsidRPr="00AA1D01">
        <w:rPr>
          <w:rFonts w:ascii="Bookman Old Style" w:hAnsi="Bookman Old Style" w:cs="Arial"/>
          <w:color w:val="000000" w:themeColor="text1"/>
          <w:sz w:val="24"/>
          <w:szCs w:val="24"/>
        </w:rPr>
        <w:t xml:space="preserve">Eventos que dan lugar a la ejecución de la garantía </w:t>
      </w:r>
      <m:oMath>
        <m:sSub>
          <m:sSubPr>
            <m:ctrlPr>
              <w:rPr>
                <w:rFonts w:ascii="Cambria Math" w:hAnsi="Cambria Math" w:cs="Arial"/>
                <w:i/>
                <w:sz w:val="24"/>
                <w:szCs w:val="24"/>
              </w:rPr>
            </m:ctrlPr>
          </m:sSubPr>
          <m:e>
            <m:r>
              <w:rPr>
                <w:rFonts w:ascii="Cambria Math" w:hAnsi="Cambria Math" w:cs="Arial"/>
                <w:sz w:val="24"/>
                <w:szCs w:val="24"/>
              </w:rPr>
              <m:t>VLRLCM</m:t>
            </m:r>
          </m:e>
          <m:sub>
            <m:r>
              <w:rPr>
                <w:rFonts w:ascii="Cambria Math" w:hAnsi="Cambria Math" w:cs="Arial"/>
                <w:sz w:val="24"/>
                <w:szCs w:val="24"/>
              </w:rPr>
              <m:t>v</m:t>
            </m:r>
          </m:sub>
        </m:sSub>
      </m:oMath>
      <w:r w:rsidRPr="00AA1D01">
        <w:rPr>
          <w:rFonts w:ascii="Bookman Old Style" w:hAnsi="Bookman Old Style" w:cs="Arial"/>
          <w:color w:val="000000" w:themeColor="text1"/>
          <w:sz w:val="24"/>
          <w:szCs w:val="24"/>
        </w:rPr>
        <w:t xml:space="preserve"> para un vendedor </w:t>
      </w:r>
      <m:oMath>
        <m:r>
          <w:rPr>
            <w:rFonts w:ascii="Cambria Math" w:hAnsi="Cambria Math" w:cs="Arial"/>
            <w:color w:val="000000" w:themeColor="text1"/>
            <w:sz w:val="24"/>
            <w:szCs w:val="24"/>
          </w:rPr>
          <m:t>v</m:t>
        </m:r>
      </m:oMath>
      <w:r w:rsidRPr="00AA1D01">
        <w:rPr>
          <w:rFonts w:ascii="Bookman Old Style" w:hAnsi="Bookman Old Style" w:cs="Arial"/>
          <w:color w:val="000000" w:themeColor="text1"/>
          <w:sz w:val="24"/>
          <w:szCs w:val="24"/>
        </w:rPr>
        <w:t xml:space="preserve"> : Los eventos que dan lugar a la ejecución de la garantía son el no pago de la factura mensual de las compensaciones </w:t>
      </w:r>
      <w:r w:rsidRPr="00AA1D01">
        <w:rPr>
          <w:rFonts w:ascii="Bookman Old Style" w:hAnsi="Bookman Old Style" w:cs="Arial"/>
          <w:color w:val="000000" w:themeColor="text1"/>
          <w:sz w:val="24"/>
          <w:szCs w:val="24"/>
        </w:rPr>
        <w:lastRenderedPageBreak/>
        <w:t>o cuando el vendedor no entregue la garantía de cumplimiento del siguiente mes del contrato</w:t>
      </w:r>
      <w:r>
        <w:rPr>
          <w:rFonts w:ascii="Bookman Old Style" w:hAnsi="Bookman Old Style" w:cs="Arial"/>
          <w:color w:val="000000" w:themeColor="text1"/>
          <w:sz w:val="24"/>
          <w:szCs w:val="24"/>
        </w:rPr>
        <w:t>.</w:t>
      </w:r>
    </w:p>
    <w:p w:rsidR="006249D9" w:rsidRPr="00AA1D01" w:rsidRDefault="006249D9" w:rsidP="006249D9">
      <w:pPr>
        <w:pStyle w:val="Prrafodelista"/>
        <w:tabs>
          <w:tab w:val="left" w:pos="567"/>
        </w:tabs>
        <w:ind w:left="1080"/>
        <w:jc w:val="both"/>
        <w:rPr>
          <w:rFonts w:ascii="Bookman Old Style" w:hAnsi="Bookman Old Style" w:cs="Arial"/>
          <w:color w:val="000000" w:themeColor="text1"/>
          <w:sz w:val="24"/>
          <w:szCs w:val="24"/>
          <w:lang w:val="es-ES"/>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Valor de la garantía de los compradores: Los compradores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deben entregar dos (2) garantías de cumplimiento.</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Primera garantía</w:t>
      </w:r>
    </w:p>
    <w:p w:rsidR="006249D9" w:rsidRDefault="006249D9" w:rsidP="006249D9">
      <w:pPr>
        <w:tabs>
          <w:tab w:val="left" w:pos="567"/>
        </w:tabs>
        <w:ind w:left="360"/>
        <w:jc w:val="both"/>
        <w:rPr>
          <w:rFonts w:ascii="Bookman Old Style" w:hAnsi="Bookman Old Style" w:cs="Arial"/>
          <w:color w:val="000000" w:themeColor="text1"/>
          <w:lang w:val="es-CO"/>
        </w:rPr>
      </w:pPr>
    </w:p>
    <w:p w:rsidR="006249D9" w:rsidRPr="000A27C9" w:rsidRDefault="008955C4" w:rsidP="006249D9">
      <w:pPr>
        <w:tabs>
          <w:tab w:val="left" w:pos="567"/>
        </w:tabs>
        <w:ind w:left="360"/>
        <w:jc w:val="both"/>
        <w:rPr>
          <w:rFonts w:ascii="Bookman Old Style" w:hAnsi="Bookman Old Style" w:cs="Arial"/>
          <w:color w:val="000000" w:themeColor="text1"/>
        </w:rPr>
      </w:pPr>
      <m:oMathPara>
        <m:oMath>
          <m:sSub>
            <m:sSubPr>
              <m:ctrlPr>
                <w:rPr>
                  <w:rFonts w:ascii="Cambria Math" w:hAnsi="Cambria Math" w:cs="Arial"/>
                  <w:i/>
                  <w:color w:val="000000" w:themeColor="text1"/>
                  <w:lang w:val="es-CO" w:eastAsia="x-none"/>
                </w:rPr>
              </m:ctrlPr>
            </m:sSubPr>
            <m:e>
              <m:r>
                <w:rPr>
                  <w:rFonts w:ascii="Cambria Math" w:hAnsi="Cambria Math" w:cs="Arial"/>
                  <w:color w:val="000000" w:themeColor="text1"/>
                </w:rPr>
                <m:t>VLRLCS</m:t>
              </m:r>
            </m:e>
            <m:sub>
              <m:r>
                <w:rPr>
                  <w:rFonts w:ascii="Cambria Math" w:hAnsi="Cambria Math" w:cs="Arial"/>
                  <w:color w:val="000000" w:themeColor="text1"/>
                </w:rPr>
                <m:t>c</m:t>
              </m:r>
            </m:sub>
          </m:sSub>
          <m:r>
            <w:rPr>
              <w:rFonts w:ascii="Cambria Math" w:hAnsi="Cambria Math" w:cs="Arial"/>
              <w:color w:val="000000" w:themeColor="text1"/>
            </w:rPr>
            <m:t>=0,5×</m:t>
          </m:r>
          <m:sSub>
            <m:sSubPr>
              <m:ctrlPr>
                <w:rPr>
                  <w:rFonts w:ascii="Cambria Math" w:hAnsi="Cambria Math" w:cs="Arial"/>
                  <w:i/>
                  <w:color w:val="000000" w:themeColor="text1"/>
                  <w:lang w:val="es-CO" w:eastAsia="x-none"/>
                </w:rPr>
              </m:ctrlPr>
            </m:sSubPr>
            <m:e>
              <m:r>
                <w:rPr>
                  <w:rFonts w:ascii="Cambria Math" w:hAnsi="Cambria Math" w:cs="Arial"/>
                  <w:color w:val="000000" w:themeColor="text1"/>
                  <w:lang w:val="es-CO" w:eastAsia="x-none"/>
                </w:rPr>
                <m:t>Asig</m:t>
              </m:r>
            </m:e>
            <m:sub>
              <m:r>
                <w:rPr>
                  <w:rFonts w:ascii="Cambria Math" w:hAnsi="Cambria Math" w:cs="Arial"/>
                  <w:color w:val="000000" w:themeColor="text1"/>
                </w:rPr>
                <m:t>c</m:t>
              </m:r>
            </m:sub>
          </m:sSub>
          <m:r>
            <w:rPr>
              <w:rFonts w:ascii="Cambria Math" w:hAnsi="Cambria Math" w:cs="Arial"/>
              <w:color w:val="000000" w:themeColor="text1"/>
            </w:rPr>
            <m:t>×90 ×p ×TRM</m:t>
          </m:r>
        </m:oMath>
      </m:oMathPara>
    </w:p>
    <w:p w:rsidR="006249D9" w:rsidRPr="001568CF" w:rsidRDefault="006249D9" w:rsidP="006249D9">
      <w:pPr>
        <w:tabs>
          <w:tab w:val="left" w:pos="567"/>
        </w:tabs>
        <w:ind w:left="360"/>
        <w:jc w:val="both"/>
        <w:rPr>
          <w:rFonts w:ascii="Bookman Old Style" w:hAnsi="Bookman Old Style" w:cs="Arial"/>
          <w:color w:val="000000" w:themeColor="text1"/>
          <w:sz w:val="36"/>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sidRPr="007E2681">
        <w:rPr>
          <w:rFonts w:ascii="Bookman Old Style" w:hAnsi="Bookman Old Style" w:cs="Arial"/>
          <w:color w:val="000000" w:themeColor="text1"/>
          <w:sz w:val="24"/>
          <w:szCs w:val="24"/>
        </w:rPr>
        <w:t xml:space="preserve">Segunda garantía </w:t>
      </w:r>
    </w:p>
    <w:p w:rsidR="006249D9" w:rsidRPr="007E2681"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0A27C9" w:rsidRDefault="008955C4" w:rsidP="006249D9">
      <w:pPr>
        <w:tabs>
          <w:tab w:val="left" w:pos="567"/>
        </w:tabs>
        <w:ind w:left="360"/>
        <w:jc w:val="both"/>
        <w:rPr>
          <w:rFonts w:ascii="Bookman Old Style" w:hAnsi="Bookman Old Style" w:cs="Arial"/>
          <w:color w:val="000000" w:themeColor="text1"/>
        </w:rPr>
      </w:pPr>
      <m:oMathPara>
        <m:oMath>
          <m:sSub>
            <m:sSubPr>
              <m:ctrlPr>
                <w:rPr>
                  <w:rFonts w:ascii="Cambria Math" w:hAnsi="Cambria Math" w:cs="Arial"/>
                  <w:i/>
                  <w:color w:val="000000" w:themeColor="text1"/>
                  <w:lang w:val="es-CO" w:eastAsia="x-none"/>
                </w:rPr>
              </m:ctrlPr>
            </m:sSubPr>
            <m:e>
              <m:r>
                <w:rPr>
                  <w:rFonts w:ascii="Cambria Math" w:hAnsi="Cambria Math" w:cs="Arial"/>
                  <w:color w:val="000000" w:themeColor="text1"/>
                </w:rPr>
                <m:t>VLRLCM</m:t>
              </m:r>
            </m:e>
            <m:sub>
              <m:r>
                <w:rPr>
                  <w:rFonts w:ascii="Cambria Math" w:hAnsi="Cambria Math" w:cs="Arial"/>
                  <w:color w:val="000000" w:themeColor="text1"/>
                </w:rPr>
                <m:t>c =</m:t>
              </m:r>
            </m:sub>
          </m:sSub>
          <m:r>
            <w:rPr>
              <w:rFonts w:ascii="Cambria Math" w:hAnsi="Cambria Math" w:cs="Arial"/>
              <w:color w:val="000000" w:themeColor="text1"/>
            </w:rPr>
            <m:t xml:space="preserve"> </m:t>
          </m:r>
          <m:sSub>
            <m:sSubPr>
              <m:ctrlPr>
                <w:rPr>
                  <w:rFonts w:ascii="Cambria Math" w:hAnsi="Cambria Math" w:cs="Arial"/>
                  <w:i/>
                  <w:color w:val="000000" w:themeColor="text1"/>
                  <w:lang w:val="es-CO" w:eastAsia="x-none"/>
                </w:rPr>
              </m:ctrlPr>
            </m:sSubPr>
            <m:e>
              <m:r>
                <w:rPr>
                  <w:rFonts w:ascii="Cambria Math" w:hAnsi="Cambria Math" w:cs="Arial"/>
                  <w:color w:val="000000" w:themeColor="text1"/>
                  <w:lang w:val="es-CO" w:eastAsia="x-none"/>
                </w:rPr>
                <m:t>Asig</m:t>
              </m:r>
            </m:e>
            <m:sub>
              <m:r>
                <w:rPr>
                  <w:rFonts w:ascii="Cambria Math" w:hAnsi="Cambria Math" w:cs="Arial"/>
                  <w:color w:val="000000" w:themeColor="text1"/>
                </w:rPr>
                <m:t>c</m:t>
              </m:r>
            </m:sub>
          </m:sSub>
          <m:r>
            <w:rPr>
              <w:rFonts w:ascii="Cambria Math" w:hAnsi="Cambria Math" w:cs="Arial"/>
              <w:color w:val="000000" w:themeColor="text1"/>
            </w:rPr>
            <m:t xml:space="preserve"> ×D×p×TRM</m:t>
          </m:r>
        </m:oMath>
      </m:oMathPara>
    </w:p>
    <w:p w:rsidR="006249D9" w:rsidRDefault="006249D9" w:rsidP="006249D9">
      <w:pPr>
        <w:tabs>
          <w:tab w:val="left" w:pos="567"/>
        </w:tabs>
        <w:ind w:left="360"/>
        <w:jc w:val="both"/>
        <w:rPr>
          <w:rFonts w:ascii="Bookman Old Style" w:hAnsi="Bookman Old Style" w:cs="Arial"/>
          <w:color w:val="000000" w:themeColor="text1"/>
          <w:lang w:val="es-CO"/>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tbl>
      <w:tblPr>
        <w:tblStyle w:val="Tablaconcuadrcula"/>
        <w:tblW w:w="0" w:type="auto"/>
        <w:tblInd w:w="1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3"/>
        <w:gridCol w:w="7062"/>
      </w:tblGrid>
      <w:tr w:rsidR="006249D9" w:rsidTr="00C23575">
        <w:tc>
          <w:tcPr>
            <w:tcW w:w="1273"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VLRLCS</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7062"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primera garantía en pesos Colombianos.</w:t>
            </w:r>
          </w:p>
          <w:p w:rsidR="006249D9" w:rsidRPr="002A67A5"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273"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VLRLCM</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7062"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segunda garantía en pesos Colombianos.</w:t>
            </w:r>
          </w:p>
          <w:p w:rsidR="006249D9" w:rsidRPr="002A67A5"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273" w:type="dxa"/>
          </w:tcPr>
          <w:p w:rsidR="006249D9"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c</m:t>
                  </m:r>
                </m:sub>
              </m:sSub>
            </m:oMath>
            <w:r w:rsidR="006249D9">
              <w:rPr>
                <w:rFonts w:ascii="Bookman Old Style" w:hAnsi="Bookman Old Style" w:cs="Arial"/>
                <w:color w:val="000000" w:themeColor="text1"/>
                <w:sz w:val="24"/>
                <w:szCs w:val="24"/>
              </w:rPr>
              <w:t>:</w:t>
            </w:r>
          </w:p>
        </w:tc>
        <w:tc>
          <w:tcPr>
            <w:tcW w:w="7062"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Asignación de energía del </w:t>
            </w:r>
            <w:r>
              <w:rPr>
                <w:rFonts w:ascii="Bookman Old Style" w:hAnsi="Bookman Old Style" w:cs="Arial"/>
                <w:color w:val="000000" w:themeColor="text1"/>
                <w:sz w:val="24"/>
                <w:szCs w:val="24"/>
              </w:rPr>
              <w:t>comprador</w:t>
            </w:r>
            <w:r w:rsidR="00353D16">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c</m:t>
              </m:r>
            </m:oMath>
            <w:r w:rsidRPr="002A67A5">
              <w:rPr>
                <w:rFonts w:ascii="Bookman Old Style" w:hAnsi="Bookman Old Style" w:cs="Arial"/>
                <w:color w:val="000000" w:themeColor="text1"/>
                <w:sz w:val="24"/>
                <w:szCs w:val="24"/>
              </w:rPr>
              <w:t xml:space="preserve"> en la subasta </w:t>
            </w:r>
            <w:r>
              <w:rPr>
                <w:rFonts w:ascii="Bookman Old Style" w:hAnsi="Bookman Old Style" w:cs="Arial"/>
                <w:color w:val="000000" w:themeColor="text1"/>
                <w:sz w:val="24"/>
                <w:szCs w:val="24"/>
              </w:rPr>
              <w:t>en MBTUD</w:t>
            </w:r>
            <w:r w:rsidRPr="002A67A5">
              <w:rPr>
                <w:rFonts w:ascii="Bookman Old Style" w:hAnsi="Bookman Old Style" w:cs="Arial"/>
                <w:color w:val="000000" w:themeColor="text1"/>
                <w:sz w:val="24"/>
                <w:szCs w:val="24"/>
              </w:rPr>
              <w:t>.</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273"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7062"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Precio de cierre de la subasta en dólares de los Estados Unidos de América por MBTU.</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273"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062"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273" w:type="dxa"/>
          </w:tcPr>
          <w:p w:rsidR="006249D9" w:rsidRDefault="006249D9" w:rsidP="00C23575">
            <w:pPr>
              <w:pStyle w:val="Prrafodelista"/>
              <w:ind w:left="0"/>
              <w:rPr>
                <w:color w:val="000000" w:themeColor="text1"/>
                <w:sz w:val="24"/>
                <w:szCs w:val="24"/>
              </w:rPr>
            </w:pPr>
            <m:oMath>
              <m:r>
                <w:rPr>
                  <w:rFonts w:ascii="Cambria Math" w:hAnsi="Cambria Math"/>
                  <w:color w:val="000000" w:themeColor="text1"/>
                  <w:sz w:val="24"/>
                  <w:szCs w:val="24"/>
                </w:rPr>
                <m:t>D</m:t>
              </m:r>
            </m:oMath>
            <w:r>
              <w:rPr>
                <w:color w:val="000000" w:themeColor="text1"/>
                <w:sz w:val="24"/>
                <w:szCs w:val="24"/>
              </w:rPr>
              <w:t>:</w:t>
            </w:r>
          </w:p>
        </w:tc>
        <w:tc>
          <w:tcPr>
            <w:tcW w:w="7062" w:type="dxa"/>
          </w:tcPr>
          <w:p w:rsidR="006249D9" w:rsidRPr="002A67A5" w:rsidRDefault="006249D9" w:rsidP="00C23575">
            <w:pPr>
              <w:pStyle w:val="Prrafodelista"/>
              <w:tabs>
                <w:tab w:val="left" w:pos="567"/>
              </w:tabs>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Número de días calendario del mes a cubrir.</w:t>
            </w:r>
          </w:p>
        </w:tc>
      </w:tr>
    </w:tbl>
    <w:p w:rsidR="006249D9" w:rsidRDefault="006249D9" w:rsidP="006249D9">
      <w:pPr>
        <w:pStyle w:val="Prrafodelista"/>
        <w:tabs>
          <w:tab w:val="left" w:pos="567"/>
        </w:tabs>
        <w:ind w:left="1080"/>
        <w:jc w:val="both"/>
        <w:rPr>
          <w:rFonts w:ascii="Bookman Old Style" w:hAnsi="Bookman Old Style" w:cs="Arial"/>
          <w:sz w:val="24"/>
          <w:szCs w:val="24"/>
        </w:rPr>
      </w:pPr>
    </w:p>
    <w:p w:rsidR="006249D9" w:rsidRDefault="006249D9" w:rsidP="006249D9">
      <w:pPr>
        <w:pStyle w:val="Prrafodelista"/>
        <w:numPr>
          <w:ilvl w:val="2"/>
          <w:numId w:val="5"/>
        </w:numPr>
        <w:tabs>
          <w:tab w:val="left" w:pos="567"/>
        </w:tabs>
        <w:jc w:val="both"/>
        <w:rPr>
          <w:rFonts w:ascii="Bookman Old Style" w:hAnsi="Bookman Old Style" w:cs="Arial"/>
          <w:sz w:val="24"/>
          <w:szCs w:val="24"/>
        </w:rPr>
      </w:pPr>
      <w:r w:rsidRPr="00AA1D01">
        <w:rPr>
          <w:rFonts w:ascii="Bookman Old Style" w:hAnsi="Bookman Old Style" w:cs="Arial"/>
          <w:color w:val="000000" w:themeColor="text1"/>
          <w:sz w:val="24"/>
          <w:szCs w:val="24"/>
        </w:rPr>
        <w:t>Fecha</w:t>
      </w:r>
      <w:r w:rsidRPr="00AA1D01">
        <w:rPr>
          <w:rFonts w:ascii="Bookman Old Style" w:hAnsi="Bookman Old Style" w:cs="Arial"/>
          <w:sz w:val="24"/>
          <w:szCs w:val="24"/>
        </w:rPr>
        <w:t xml:space="preserve"> de entrega de la</w:t>
      </w:r>
      <w:r>
        <w:rPr>
          <w:rFonts w:ascii="Bookman Old Style" w:hAnsi="Bookman Old Style" w:cs="Arial"/>
          <w:sz w:val="24"/>
          <w:szCs w:val="24"/>
        </w:rPr>
        <w:t>s</w:t>
      </w:r>
      <w:r w:rsidRPr="00AA1D01">
        <w:rPr>
          <w:rFonts w:ascii="Bookman Old Style" w:hAnsi="Bookman Old Style" w:cs="Arial"/>
          <w:sz w:val="24"/>
          <w:szCs w:val="24"/>
        </w:rPr>
        <w:t xml:space="preserve"> </w:t>
      </w:r>
      <w:r>
        <w:rPr>
          <w:rFonts w:ascii="Bookman Old Style" w:hAnsi="Bookman Old Style" w:cs="Arial"/>
          <w:sz w:val="24"/>
          <w:szCs w:val="24"/>
        </w:rPr>
        <w:t>garantías</w:t>
      </w:r>
      <w:r w:rsidRPr="00AA1D01">
        <w:rPr>
          <w:rFonts w:ascii="Bookman Old Style" w:hAnsi="Bookman Old Style" w:cs="Arial"/>
          <w:sz w:val="24"/>
          <w:szCs w:val="24"/>
        </w:rPr>
        <w:t xml:space="preserve">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 xml:space="preserve">: </w:t>
      </w:r>
      <w:r>
        <w:rPr>
          <w:rFonts w:ascii="Bookman Old Style" w:hAnsi="Bookman Old Style" w:cs="Arial"/>
          <w:sz w:val="24"/>
          <w:szCs w:val="24"/>
        </w:rPr>
        <w:t xml:space="preserve">La primera vez a más tardar a las 17:00 horas del último día hábil previo al primer mes de compromiso. Las siguientes garantías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c</m:t>
            </m:r>
          </m:sub>
        </m:sSub>
      </m:oMath>
      <w:r>
        <w:rPr>
          <w:rFonts w:ascii="Bookman Old Style" w:hAnsi="Bookman Old Style" w:cs="Arial"/>
          <w:sz w:val="24"/>
          <w:szCs w:val="24"/>
        </w:rPr>
        <w:t xml:space="preserve"> se deben entregar hasta las 17:00 horas del quinto día hábil anterior al día en que termina la vigencia de la garantía.</w:t>
      </w:r>
    </w:p>
    <w:p w:rsidR="006249D9" w:rsidRDefault="006249D9" w:rsidP="006249D9">
      <w:pPr>
        <w:pStyle w:val="Prrafodelista"/>
        <w:tabs>
          <w:tab w:val="left" w:pos="567"/>
        </w:tabs>
        <w:ind w:left="1080"/>
        <w:jc w:val="both"/>
        <w:rPr>
          <w:rFonts w:ascii="Bookman Old Style" w:hAnsi="Bookman Old Style" w:cs="Arial"/>
          <w:sz w:val="24"/>
          <w:szCs w:val="24"/>
        </w:rPr>
      </w:pPr>
    </w:p>
    <w:p w:rsidR="006249D9" w:rsidRPr="00AA1D01" w:rsidRDefault="006249D9" w:rsidP="006249D9">
      <w:pPr>
        <w:pStyle w:val="Prrafodelista"/>
        <w:numPr>
          <w:ilvl w:val="2"/>
          <w:numId w:val="5"/>
        </w:numPr>
        <w:tabs>
          <w:tab w:val="left" w:pos="567"/>
        </w:tabs>
        <w:jc w:val="both"/>
        <w:rPr>
          <w:rFonts w:ascii="Bookman Old Style" w:hAnsi="Bookman Old Style" w:cs="Arial"/>
          <w:sz w:val="24"/>
          <w:szCs w:val="24"/>
        </w:rPr>
      </w:pPr>
      <w:r>
        <w:rPr>
          <w:rFonts w:ascii="Bookman Old Style" w:hAnsi="Bookman Old Style" w:cs="Arial"/>
          <w:sz w:val="24"/>
          <w:szCs w:val="24"/>
        </w:rPr>
        <w:t xml:space="preserve">Fecha de entrega de las garantías </w:t>
      </w:r>
      <m:oMath>
        <m:sSub>
          <m:sSubPr>
            <m:ctrlPr>
              <w:rPr>
                <w:rFonts w:ascii="Cambria Math" w:hAnsi="Cambria Math" w:cs="Arial"/>
                <w:i/>
                <w:sz w:val="24"/>
                <w:szCs w:val="24"/>
              </w:rPr>
            </m:ctrlPr>
          </m:sSubPr>
          <m:e>
            <m:r>
              <w:rPr>
                <w:rFonts w:ascii="Cambria Math" w:hAnsi="Cambria Math" w:cs="Arial"/>
                <w:sz w:val="24"/>
                <w:szCs w:val="24"/>
              </w:rPr>
              <m:t>VLRLCM</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w:t>
      </w:r>
      <w:r>
        <w:rPr>
          <w:rFonts w:ascii="Bookman Old Style" w:hAnsi="Bookman Old Style" w:cs="Arial"/>
          <w:sz w:val="24"/>
          <w:szCs w:val="24"/>
        </w:rPr>
        <w:t xml:space="preserve"> </w:t>
      </w:r>
      <w:r w:rsidRPr="00AA1D01">
        <w:rPr>
          <w:rFonts w:ascii="Bookman Old Style" w:hAnsi="Bookman Old Style" w:cs="Arial"/>
          <w:sz w:val="24"/>
          <w:szCs w:val="24"/>
        </w:rPr>
        <w:t>A más tardar a las 17:00 horas del último día hábil previo al mes de compromiso de suministro durante todos los meses de duración del contrato.</w:t>
      </w:r>
    </w:p>
    <w:p w:rsidR="006249D9" w:rsidRDefault="006249D9" w:rsidP="006249D9">
      <w:pPr>
        <w:pStyle w:val="Prrafodelista"/>
        <w:tabs>
          <w:tab w:val="left" w:pos="567"/>
        </w:tabs>
        <w:ind w:left="1080"/>
        <w:jc w:val="both"/>
        <w:rPr>
          <w:rFonts w:ascii="Bookman Old Style" w:hAnsi="Bookman Old Style" w:cs="Arial"/>
          <w:sz w:val="24"/>
          <w:szCs w:val="24"/>
        </w:rPr>
      </w:pPr>
    </w:p>
    <w:p w:rsidR="006249D9" w:rsidRPr="00671E3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AA1D01">
        <w:rPr>
          <w:rFonts w:ascii="Bookman Old Style" w:hAnsi="Bookman Old Style" w:cs="Arial"/>
          <w:color w:val="000000" w:themeColor="text1"/>
          <w:sz w:val="24"/>
          <w:szCs w:val="24"/>
        </w:rPr>
        <w:t>Vigencia</w:t>
      </w:r>
      <w:r w:rsidRPr="00AA1D01">
        <w:rPr>
          <w:rFonts w:ascii="Bookman Old Style" w:hAnsi="Bookman Old Style" w:cs="Arial"/>
          <w:sz w:val="24"/>
          <w:szCs w:val="24"/>
        </w:rPr>
        <w:t xml:space="preserve"> de la</w:t>
      </w:r>
      <w:r>
        <w:rPr>
          <w:rFonts w:ascii="Bookman Old Style" w:hAnsi="Bookman Old Style" w:cs="Arial"/>
          <w:sz w:val="24"/>
          <w:szCs w:val="24"/>
        </w:rPr>
        <w:t xml:space="preserve"> primera</w:t>
      </w:r>
      <w:r w:rsidRPr="00AA1D01">
        <w:rPr>
          <w:rFonts w:ascii="Bookman Old Style" w:hAnsi="Bookman Old Style" w:cs="Arial"/>
          <w:sz w:val="24"/>
          <w:szCs w:val="24"/>
        </w:rPr>
        <w:t xml:space="preserve"> garantía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 xml:space="preserve">: </w:t>
      </w:r>
      <w:r w:rsidR="00B81016">
        <w:rPr>
          <w:rFonts w:ascii="Bookman Old Style" w:hAnsi="Bookman Old Style" w:cs="Arial"/>
          <w:sz w:val="24"/>
          <w:szCs w:val="24"/>
        </w:rPr>
        <w:t>treinta</w:t>
      </w:r>
      <w:r w:rsidR="000B69DF">
        <w:rPr>
          <w:rFonts w:ascii="Bookman Old Style" w:hAnsi="Bookman Old Style" w:cs="Arial"/>
          <w:sz w:val="24"/>
          <w:szCs w:val="24"/>
        </w:rPr>
        <w:t xml:space="preserve"> (</w:t>
      </w:r>
      <w:r w:rsidR="00B81016">
        <w:rPr>
          <w:rFonts w:ascii="Bookman Old Style" w:hAnsi="Bookman Old Style" w:cs="Arial"/>
          <w:sz w:val="24"/>
          <w:szCs w:val="24"/>
        </w:rPr>
        <w:t>3</w:t>
      </w:r>
      <w:r w:rsidR="000B69DF">
        <w:rPr>
          <w:rFonts w:ascii="Bookman Old Style" w:hAnsi="Bookman Old Style" w:cs="Arial"/>
          <w:sz w:val="24"/>
          <w:szCs w:val="24"/>
        </w:rPr>
        <w:t>0)</w:t>
      </w:r>
      <w:r>
        <w:rPr>
          <w:rFonts w:ascii="Bookman Old Style" w:hAnsi="Bookman Old Style" w:cs="Arial"/>
          <w:sz w:val="24"/>
          <w:szCs w:val="24"/>
        </w:rPr>
        <w:t xml:space="preserve"> días calendario contados siempre a partir de la entrega de la garantía.</w:t>
      </w:r>
    </w:p>
    <w:p w:rsidR="006249D9" w:rsidRPr="00597BFA"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AA1D01">
        <w:rPr>
          <w:rFonts w:ascii="Bookman Old Style" w:hAnsi="Bookman Old Style" w:cs="Arial"/>
          <w:color w:val="000000" w:themeColor="text1"/>
          <w:sz w:val="24"/>
          <w:szCs w:val="24"/>
        </w:rPr>
        <w:lastRenderedPageBreak/>
        <w:t>Vigencia</w:t>
      </w:r>
      <w:r w:rsidRPr="00AA1D01">
        <w:rPr>
          <w:rFonts w:ascii="Bookman Old Style" w:hAnsi="Bookman Old Style" w:cs="Arial"/>
          <w:sz w:val="24"/>
          <w:szCs w:val="24"/>
        </w:rPr>
        <w:t xml:space="preserve"> de la</w:t>
      </w:r>
      <w:r>
        <w:rPr>
          <w:rFonts w:ascii="Bookman Old Style" w:hAnsi="Bookman Old Style" w:cs="Arial"/>
          <w:sz w:val="24"/>
          <w:szCs w:val="24"/>
        </w:rPr>
        <w:t xml:space="preserve"> segunda</w:t>
      </w:r>
      <w:r w:rsidRPr="00AA1D01">
        <w:rPr>
          <w:rFonts w:ascii="Bookman Old Style" w:hAnsi="Bookman Old Style" w:cs="Arial"/>
          <w:sz w:val="24"/>
          <w:szCs w:val="24"/>
        </w:rPr>
        <w:t xml:space="preserve"> garantía </w:t>
      </w:r>
      <m:oMath>
        <m:sSub>
          <m:sSubPr>
            <m:ctrlPr>
              <w:rPr>
                <w:rFonts w:ascii="Cambria Math" w:hAnsi="Cambria Math" w:cs="Arial"/>
                <w:i/>
                <w:sz w:val="24"/>
                <w:szCs w:val="24"/>
              </w:rPr>
            </m:ctrlPr>
          </m:sSubPr>
          <m:e>
            <m:r>
              <w:rPr>
                <w:rFonts w:ascii="Cambria Math" w:hAnsi="Cambria Math" w:cs="Arial"/>
                <w:sz w:val="24"/>
                <w:szCs w:val="24"/>
              </w:rPr>
              <m:t>VLRLCM</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w:t>
      </w:r>
      <w:r>
        <w:rPr>
          <w:rFonts w:ascii="Bookman Old Style" w:hAnsi="Bookman Old Style" w:cs="Arial"/>
          <w:sz w:val="24"/>
          <w:szCs w:val="24"/>
        </w:rPr>
        <w:t xml:space="preserve"> </w:t>
      </w:r>
      <w:r w:rsidRPr="00AA1D01">
        <w:rPr>
          <w:rFonts w:ascii="Bookman Old Style" w:hAnsi="Bookman Old Style" w:cs="Arial"/>
          <w:color w:val="000000" w:themeColor="text1"/>
          <w:sz w:val="24"/>
          <w:szCs w:val="24"/>
        </w:rPr>
        <w:t>Número de días calendario del mes de suministro a cubrir, más el número de días de plazo para el pag</w:t>
      </w:r>
      <w:r>
        <w:rPr>
          <w:rFonts w:ascii="Bookman Old Style" w:hAnsi="Bookman Old Style" w:cs="Arial"/>
          <w:color w:val="000000" w:themeColor="text1"/>
          <w:sz w:val="24"/>
          <w:szCs w:val="24"/>
        </w:rPr>
        <w:t xml:space="preserve">o de la factura más 1 día hábil </w:t>
      </w:r>
      <w:r w:rsidRPr="00597BFA">
        <w:rPr>
          <w:rFonts w:ascii="Bookman Old Style" w:hAnsi="Bookman Old Style" w:cs="Arial"/>
          <w:color w:val="000000" w:themeColor="text1"/>
          <w:sz w:val="24"/>
          <w:szCs w:val="24"/>
        </w:rPr>
        <w:t>a partir de la entrega de la garantía.</w:t>
      </w:r>
    </w:p>
    <w:p w:rsidR="006249D9" w:rsidRPr="00823D0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D30D20" w:rsidRDefault="006249D9" w:rsidP="006249D9">
      <w:pPr>
        <w:pStyle w:val="Prrafodelista"/>
        <w:numPr>
          <w:ilvl w:val="2"/>
          <w:numId w:val="5"/>
        </w:numPr>
        <w:tabs>
          <w:tab w:val="left" w:pos="567"/>
        </w:tabs>
        <w:jc w:val="both"/>
        <w:rPr>
          <w:rFonts w:ascii="Bookman Old Style" w:hAnsi="Bookman Old Style" w:cs="Arial"/>
          <w:sz w:val="24"/>
          <w:szCs w:val="24"/>
        </w:rPr>
      </w:pPr>
      <w:r>
        <w:rPr>
          <w:rFonts w:ascii="Bookman Old Style" w:hAnsi="Bookman Old Style" w:cs="Arial"/>
          <w:sz w:val="24"/>
          <w:szCs w:val="24"/>
        </w:rPr>
        <w:t xml:space="preserve">Evento que da lugar a la ejecución de la primera garantía </w:t>
      </w:r>
      <m:oMath>
        <m:sSub>
          <m:sSubPr>
            <m:ctrlPr>
              <w:rPr>
                <w:rFonts w:ascii="Cambria Math" w:hAnsi="Cambria Math" w:cs="Arial"/>
                <w:i/>
                <w:sz w:val="24"/>
                <w:szCs w:val="24"/>
              </w:rPr>
            </m:ctrlPr>
          </m:sSubPr>
          <m:e>
            <m:r>
              <w:rPr>
                <w:rFonts w:ascii="Cambria Math" w:hAnsi="Cambria Math" w:cs="Arial"/>
                <w:sz w:val="24"/>
                <w:szCs w:val="24"/>
              </w:rPr>
              <m:t>VLRLCS</m:t>
            </m:r>
          </m:e>
          <m:sub>
            <m:r>
              <w:rPr>
                <w:rFonts w:ascii="Cambria Math" w:hAnsi="Cambria Math" w:cs="Arial"/>
                <w:sz w:val="24"/>
                <w:szCs w:val="24"/>
              </w:rPr>
              <m:t>c</m:t>
            </m:r>
          </m:sub>
        </m:sSub>
      </m:oMath>
      <w:r>
        <w:rPr>
          <w:rFonts w:ascii="Bookman Old Style" w:hAnsi="Bookman Old Style" w:cs="Arial"/>
          <w:sz w:val="24"/>
          <w:szCs w:val="24"/>
        </w:rPr>
        <w:t xml:space="preserve"> para un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El evento que da lugar a la ejecución de la garantía es la terminación anticipada del contrato </w:t>
      </w:r>
      <w:r w:rsidR="00B81016">
        <w:rPr>
          <w:rFonts w:ascii="Bookman Old Style" w:hAnsi="Bookman Old Style" w:cs="Arial"/>
          <w:color w:val="000000" w:themeColor="text1"/>
          <w:sz w:val="24"/>
          <w:szCs w:val="24"/>
        </w:rPr>
        <w:t xml:space="preserve">por condición diferente al mutuo acuerdo entre las partes </w:t>
      </w:r>
      <w:r>
        <w:rPr>
          <w:rFonts w:ascii="Bookman Old Style" w:hAnsi="Bookman Old Style" w:cs="Arial"/>
          <w:color w:val="000000" w:themeColor="text1"/>
          <w:sz w:val="24"/>
          <w:szCs w:val="24"/>
        </w:rPr>
        <w:t xml:space="preserve"> </w:t>
      </w:r>
      <w:r w:rsidR="00B81016">
        <w:rPr>
          <w:rFonts w:ascii="Bookman Old Style" w:hAnsi="Bookman Old Style" w:cs="Arial"/>
          <w:color w:val="000000" w:themeColor="text1"/>
          <w:sz w:val="24"/>
          <w:szCs w:val="24"/>
        </w:rPr>
        <w:t>causada por el</w:t>
      </w:r>
      <w:r>
        <w:rPr>
          <w:rFonts w:ascii="Bookman Old Style" w:hAnsi="Bookman Old Style" w:cs="Arial"/>
          <w:color w:val="000000" w:themeColor="text1"/>
          <w:sz w:val="24"/>
          <w:szCs w:val="24"/>
        </w:rPr>
        <w:t xml:space="preserve">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w:t>
      </w:r>
    </w:p>
    <w:p w:rsidR="006249D9" w:rsidRPr="00D30D20" w:rsidRDefault="006249D9" w:rsidP="006249D9">
      <w:pPr>
        <w:pStyle w:val="Prrafodelista"/>
        <w:rPr>
          <w:rFonts w:ascii="Bookman Old Style" w:hAnsi="Bookman Old Style" w:cs="Arial"/>
          <w:color w:val="000000" w:themeColor="text1"/>
          <w:sz w:val="24"/>
          <w:szCs w:val="24"/>
        </w:rPr>
      </w:pPr>
    </w:p>
    <w:p w:rsidR="006249D9" w:rsidRPr="00AA1D01" w:rsidRDefault="006249D9" w:rsidP="006249D9">
      <w:pPr>
        <w:pStyle w:val="Prrafodelista"/>
        <w:numPr>
          <w:ilvl w:val="2"/>
          <w:numId w:val="5"/>
        </w:numPr>
        <w:tabs>
          <w:tab w:val="left" w:pos="567"/>
        </w:tabs>
        <w:jc w:val="both"/>
        <w:rPr>
          <w:rFonts w:ascii="Bookman Old Style" w:hAnsi="Bookman Old Style" w:cs="Arial"/>
          <w:sz w:val="24"/>
          <w:szCs w:val="24"/>
        </w:rPr>
      </w:pPr>
      <w:r w:rsidRPr="00AA1D01">
        <w:rPr>
          <w:rFonts w:ascii="Bookman Old Style" w:hAnsi="Bookman Old Style" w:cs="Arial"/>
          <w:color w:val="000000" w:themeColor="text1"/>
          <w:sz w:val="24"/>
          <w:szCs w:val="24"/>
        </w:rPr>
        <w:t xml:space="preserve">Eventos que dan lugar a la ejecución de la garantía </w:t>
      </w:r>
      <m:oMath>
        <m:sSub>
          <m:sSubPr>
            <m:ctrlPr>
              <w:rPr>
                <w:rFonts w:ascii="Cambria Math" w:hAnsi="Cambria Math" w:cs="Arial"/>
                <w:i/>
                <w:sz w:val="24"/>
                <w:szCs w:val="24"/>
              </w:rPr>
            </m:ctrlPr>
          </m:sSubPr>
          <m:e>
            <m:r>
              <w:rPr>
                <w:rFonts w:ascii="Cambria Math" w:hAnsi="Cambria Math" w:cs="Arial"/>
                <w:sz w:val="24"/>
                <w:szCs w:val="24"/>
              </w:rPr>
              <m:t>VLRLCM</m:t>
            </m:r>
          </m:e>
          <m:sub>
            <m:r>
              <w:rPr>
                <w:rFonts w:ascii="Cambria Math" w:hAnsi="Cambria Math" w:cs="Arial"/>
                <w:sz w:val="24"/>
                <w:szCs w:val="24"/>
              </w:rPr>
              <m:t>c</m:t>
            </m:r>
          </m:sub>
        </m:sSub>
      </m:oMath>
      <w:r w:rsidRPr="00AA1D01">
        <w:rPr>
          <w:rFonts w:ascii="Bookman Old Style" w:hAnsi="Bookman Old Style" w:cs="Arial"/>
          <w:color w:val="000000" w:themeColor="text1"/>
          <w:sz w:val="24"/>
          <w:szCs w:val="24"/>
        </w:rPr>
        <w:t xml:space="preserve"> para un </w:t>
      </w:r>
      <w:r>
        <w:rPr>
          <w:rFonts w:ascii="Bookman Old Style" w:hAnsi="Bookman Old Style" w:cs="Arial"/>
          <w:color w:val="000000" w:themeColor="text1"/>
          <w:sz w:val="24"/>
          <w:szCs w:val="24"/>
        </w:rPr>
        <w:t>comprador</w:t>
      </w:r>
      <w:r w:rsidRPr="00AA1D01">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c</m:t>
        </m:r>
      </m:oMath>
      <w:r w:rsidRPr="00AA1D01">
        <w:rPr>
          <w:rFonts w:ascii="Bookman Old Style" w:hAnsi="Bookman Old Style" w:cs="Arial"/>
          <w:color w:val="000000" w:themeColor="text1"/>
          <w:sz w:val="24"/>
          <w:szCs w:val="24"/>
        </w:rPr>
        <w:t xml:space="preserve"> : Los eventos que dan lugar a la ejecución de la garantía son el no pago de la factura mensual o cuando el </w:t>
      </w:r>
      <w:r>
        <w:rPr>
          <w:rFonts w:ascii="Bookman Old Style" w:hAnsi="Bookman Old Style" w:cs="Arial"/>
          <w:color w:val="000000" w:themeColor="text1"/>
          <w:sz w:val="24"/>
          <w:szCs w:val="24"/>
        </w:rPr>
        <w:t>comprador</w:t>
      </w:r>
      <w:r w:rsidRPr="00AA1D01">
        <w:rPr>
          <w:rFonts w:ascii="Bookman Old Style" w:hAnsi="Bookman Old Style" w:cs="Arial"/>
          <w:color w:val="000000" w:themeColor="text1"/>
          <w:sz w:val="24"/>
          <w:szCs w:val="24"/>
        </w:rPr>
        <w:t xml:space="preserve"> no entregue la garantía de cumplimiento del siguiente mes del contrato</w:t>
      </w:r>
      <w:r>
        <w:rPr>
          <w:rFonts w:ascii="Bookman Old Style" w:hAnsi="Bookman Old Style" w:cs="Arial"/>
          <w:color w:val="000000" w:themeColor="text1"/>
          <w:sz w:val="24"/>
          <w:szCs w:val="24"/>
        </w:rPr>
        <w:t>.</w:t>
      </w:r>
    </w:p>
    <w:p w:rsidR="006249D9" w:rsidRDefault="006249D9" w:rsidP="006249D9">
      <w:pPr>
        <w:pStyle w:val="Prrafodelista"/>
        <w:tabs>
          <w:tab w:val="left" w:pos="567"/>
        </w:tabs>
        <w:ind w:left="1080"/>
        <w:jc w:val="both"/>
        <w:rPr>
          <w:rFonts w:ascii="Bookman Old Style" w:hAnsi="Bookman Old Style" w:cs="Arial"/>
          <w:sz w:val="18"/>
          <w:szCs w:val="24"/>
        </w:rPr>
      </w:pPr>
    </w:p>
    <w:p w:rsidR="006E5C5D" w:rsidRDefault="004852E2" w:rsidP="006E5C5D">
      <w:pPr>
        <w:tabs>
          <w:tab w:val="left" w:pos="1478"/>
        </w:tabs>
        <w:ind w:left="0"/>
        <w:jc w:val="both"/>
        <w:rPr>
          <w:rFonts w:ascii="Bookman Old Style" w:hAnsi="Bookman Old Style" w:cs="Arial"/>
          <w:color w:val="000000" w:themeColor="text1"/>
        </w:rPr>
      </w:pPr>
      <w:r>
        <w:rPr>
          <w:rFonts w:ascii="Bookman Old Style" w:hAnsi="Bookman Old Style" w:cs="Arial"/>
          <w:b/>
          <w:color w:val="000000" w:themeColor="text1"/>
        </w:rPr>
        <w:t>Parágrafo</w:t>
      </w:r>
      <w:r w:rsidR="00D00D38">
        <w:rPr>
          <w:rFonts w:ascii="Bookman Old Style" w:hAnsi="Bookman Old Style" w:cs="Arial"/>
          <w:b/>
          <w:color w:val="000000" w:themeColor="text1"/>
        </w:rPr>
        <w:t xml:space="preserve"> 1</w:t>
      </w:r>
      <w:r>
        <w:rPr>
          <w:rFonts w:ascii="Bookman Old Style" w:hAnsi="Bookman Old Style" w:cs="Arial"/>
          <w:b/>
          <w:color w:val="000000" w:themeColor="text1"/>
        </w:rPr>
        <w:t xml:space="preserve">. </w:t>
      </w:r>
      <w:r>
        <w:rPr>
          <w:rFonts w:ascii="Bookman Old Style" w:hAnsi="Bookman Old Style" w:cs="Arial"/>
          <w:color w:val="000000" w:themeColor="text1"/>
        </w:rPr>
        <w:t>En las garantías de participación, e</w:t>
      </w:r>
      <w:r>
        <w:rPr>
          <w:rFonts w:ascii="Bookman Old Style" w:hAnsi="Bookman Old Style" w:cs="Arial"/>
          <w:color w:val="000000" w:themeColor="text1"/>
          <w:lang w:eastAsia="es-CO"/>
        </w:rPr>
        <w:t xml:space="preserve">n los casos en donde los valores finales de las garantías resulten inferiores a los valores iniciales, el gestor del mercado de gas natural, a través de la fiducia mercantil que para tales efectos constituya, </w:t>
      </w:r>
      <w:r w:rsidR="00053B08">
        <w:rPr>
          <w:rFonts w:ascii="Bookman Old Style" w:hAnsi="Bookman Old Style" w:cs="Arial"/>
          <w:color w:val="000000" w:themeColor="text1"/>
          <w:lang w:eastAsia="es-CO"/>
        </w:rPr>
        <w:t>adoptará</w:t>
      </w:r>
      <w:r>
        <w:rPr>
          <w:rFonts w:ascii="Bookman Old Style" w:hAnsi="Bookman Old Style" w:cs="Arial"/>
          <w:color w:val="000000" w:themeColor="text1"/>
          <w:lang w:eastAsia="es-CO"/>
        </w:rPr>
        <w:t xml:space="preserve"> los mecanismos para que efectivamente los agentes puedan realizar los correspondientes ajustes.</w:t>
      </w:r>
      <w:r w:rsidR="006E5C5D" w:rsidRPr="006E5C5D">
        <w:rPr>
          <w:rFonts w:ascii="Bookman Old Style" w:hAnsi="Bookman Old Style" w:cs="Arial"/>
          <w:color w:val="000000" w:themeColor="text1"/>
          <w:lang w:eastAsia="es-CO"/>
        </w:rPr>
        <w:t xml:space="preserve"> </w:t>
      </w:r>
      <w:r w:rsidR="006E5C5D">
        <w:rPr>
          <w:rFonts w:ascii="Bookman Old Style" w:hAnsi="Bookman Old Style" w:cs="Arial"/>
          <w:color w:val="000000" w:themeColor="text1"/>
          <w:lang w:eastAsia="es-CO"/>
        </w:rPr>
        <w:t>Esta y otras disposiciones que se consideren necesarias, deberán ser explícitas en el reglamento que rija la operación de la fiducia mercantil.</w:t>
      </w:r>
    </w:p>
    <w:p w:rsidR="004852E2" w:rsidRDefault="004852E2" w:rsidP="004852E2">
      <w:pPr>
        <w:tabs>
          <w:tab w:val="left" w:pos="1478"/>
        </w:tabs>
        <w:ind w:left="0"/>
        <w:jc w:val="both"/>
        <w:rPr>
          <w:rFonts w:ascii="Bookman Old Style" w:hAnsi="Bookman Old Style" w:cs="Arial"/>
          <w:color w:val="000000" w:themeColor="text1"/>
          <w:lang w:eastAsia="es-CO"/>
        </w:rPr>
      </w:pPr>
    </w:p>
    <w:p w:rsidR="00D00D38" w:rsidRDefault="00D00D38" w:rsidP="00D00D38">
      <w:pPr>
        <w:tabs>
          <w:tab w:val="left" w:pos="1478"/>
        </w:tabs>
        <w:ind w:left="0"/>
        <w:jc w:val="both"/>
        <w:rPr>
          <w:rFonts w:ascii="Bookman Old Style" w:hAnsi="Bookman Old Style" w:cs="Arial"/>
          <w:color w:val="000000" w:themeColor="text1"/>
        </w:rPr>
      </w:pPr>
      <w:r>
        <w:rPr>
          <w:rFonts w:ascii="Bookman Old Style" w:hAnsi="Bookman Old Style" w:cs="Arial"/>
          <w:b/>
          <w:color w:val="000000" w:themeColor="text1"/>
        </w:rPr>
        <w:t xml:space="preserve">Parágrafo 2. </w:t>
      </w:r>
      <w:r w:rsidRPr="00D00D38">
        <w:rPr>
          <w:rFonts w:ascii="Bookman Old Style" w:hAnsi="Bookman Old Style" w:cs="Arial"/>
          <w:color w:val="000000" w:themeColor="text1"/>
        </w:rPr>
        <w:t>E</w:t>
      </w:r>
      <w:r>
        <w:rPr>
          <w:rFonts w:ascii="Bookman Old Style" w:hAnsi="Bookman Old Style" w:cs="Arial"/>
          <w:color w:val="000000" w:themeColor="text1"/>
          <w:lang w:eastAsia="es-CO"/>
        </w:rPr>
        <w:t xml:space="preserve">l gestor del mercado de gas natural, a través de la fiducia mercantil que para tales efectos constituya, </w:t>
      </w:r>
      <w:r w:rsidR="00053B08">
        <w:rPr>
          <w:rFonts w:ascii="Bookman Old Style" w:hAnsi="Bookman Old Style" w:cs="Arial"/>
          <w:color w:val="000000" w:themeColor="text1"/>
          <w:lang w:eastAsia="es-CO"/>
        </w:rPr>
        <w:t>adoptará</w:t>
      </w:r>
      <w:r>
        <w:rPr>
          <w:rFonts w:ascii="Bookman Old Style" w:hAnsi="Bookman Old Style" w:cs="Arial"/>
          <w:color w:val="000000" w:themeColor="text1"/>
          <w:lang w:eastAsia="es-CO"/>
        </w:rPr>
        <w:t xml:space="preserve"> los mecanismos para que a los participantes que no resulten las asignaciones</w:t>
      </w:r>
      <w:r w:rsidR="006E5C5D">
        <w:rPr>
          <w:rFonts w:ascii="Bookman Old Style" w:hAnsi="Bookman Old Style" w:cs="Arial"/>
          <w:color w:val="000000" w:themeColor="text1"/>
          <w:lang w:eastAsia="es-CO"/>
        </w:rPr>
        <w:t xml:space="preserve"> se les regresen las garantías de participación. Esta y otras disposiciones que se consideren necesarias, deberán ser explícitas en el reglamento que rija la operación de la fiducia mercantil.</w:t>
      </w:r>
    </w:p>
    <w:p w:rsidR="004852E2" w:rsidRPr="001B6F12" w:rsidRDefault="004852E2" w:rsidP="006249D9">
      <w:pPr>
        <w:pStyle w:val="Prrafodelista"/>
        <w:tabs>
          <w:tab w:val="left" w:pos="567"/>
        </w:tabs>
        <w:ind w:left="1080"/>
        <w:jc w:val="both"/>
        <w:rPr>
          <w:rFonts w:ascii="Bookman Old Style" w:hAnsi="Bookman Old Style" w:cs="Arial"/>
          <w:sz w:val="22"/>
          <w:szCs w:val="24"/>
          <w:lang w:val="es-ES"/>
        </w:rPr>
      </w:pPr>
    </w:p>
    <w:p w:rsidR="006249D9" w:rsidRPr="00410D8A" w:rsidRDefault="006249D9" w:rsidP="006249D9">
      <w:pPr>
        <w:pStyle w:val="Prrafodelista"/>
        <w:numPr>
          <w:ilvl w:val="0"/>
          <w:numId w:val="5"/>
        </w:numPr>
        <w:tabs>
          <w:tab w:val="left" w:pos="567"/>
        </w:tabs>
        <w:ind w:left="0" w:firstLine="0"/>
        <w:jc w:val="both"/>
        <w:rPr>
          <w:rFonts w:ascii="Bookman Old Style" w:hAnsi="Bookman Old Style" w:cs="Arial"/>
          <w:b/>
          <w:color w:val="000000" w:themeColor="text1"/>
          <w:sz w:val="24"/>
          <w:szCs w:val="24"/>
        </w:rPr>
      </w:pPr>
      <w:r w:rsidRPr="00410D8A">
        <w:rPr>
          <w:rFonts w:ascii="Bookman Old Style" w:hAnsi="Bookman Old Style" w:cs="Arial"/>
          <w:b/>
          <w:color w:val="000000" w:themeColor="text1"/>
          <w:sz w:val="24"/>
          <w:szCs w:val="24"/>
        </w:rPr>
        <w:t>Mecanismos de cobertura en las subastas de capacidad de transporte en los procesos de úselo o véndalo de largo plazo</w:t>
      </w:r>
    </w:p>
    <w:p w:rsidR="006249D9" w:rsidRPr="002A67A5" w:rsidRDefault="006249D9" w:rsidP="006249D9">
      <w:pPr>
        <w:ind w:left="0"/>
        <w:jc w:val="both"/>
        <w:rPr>
          <w:rFonts w:ascii="Bookman Old Style" w:hAnsi="Bookman Old Style"/>
          <w:color w:val="000000" w:themeColor="text1"/>
          <w:lang w:val="es-CO"/>
        </w:rPr>
      </w:pPr>
    </w:p>
    <w:p w:rsidR="006249D9" w:rsidRPr="002A67A5"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Garantía de participación</w:t>
      </w:r>
    </w:p>
    <w:p w:rsidR="006249D9" w:rsidRPr="001B6F12" w:rsidRDefault="006249D9" w:rsidP="006249D9">
      <w:pPr>
        <w:pStyle w:val="Prrafodelista"/>
        <w:tabs>
          <w:tab w:val="left" w:pos="1478"/>
        </w:tabs>
        <w:ind w:left="720"/>
        <w:jc w:val="both"/>
        <w:rPr>
          <w:rFonts w:ascii="Bookman Old Style" w:hAnsi="Bookman Old Style" w:cs="Arial"/>
          <w:color w:val="000000" w:themeColor="text1"/>
          <w:sz w:val="36"/>
          <w:szCs w:val="24"/>
        </w:rPr>
      </w:pPr>
    </w:p>
    <w:p w:rsidR="006249D9" w:rsidRPr="001B6F12"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1B6F12">
        <w:rPr>
          <w:rFonts w:ascii="Bookman Old Style" w:hAnsi="Bookman Old Style" w:cs="Arial"/>
          <w:color w:val="000000" w:themeColor="text1"/>
          <w:sz w:val="24"/>
          <w:szCs w:val="24"/>
        </w:rPr>
        <w:t>Sujetos objeto de la constitución de la garantía de participación:</w:t>
      </w:r>
      <w:r w:rsidR="001B6F12" w:rsidRPr="001B6F12">
        <w:rPr>
          <w:rFonts w:ascii="Bookman Old Style" w:hAnsi="Bookman Old Style" w:cs="Arial"/>
          <w:color w:val="000000" w:themeColor="text1"/>
          <w:sz w:val="24"/>
          <w:szCs w:val="24"/>
        </w:rPr>
        <w:t xml:space="preserve"> </w:t>
      </w:r>
      <w:r w:rsidRPr="001B6F12">
        <w:rPr>
          <w:rFonts w:ascii="Bookman Old Style" w:hAnsi="Bookman Old Style" w:cs="Arial"/>
          <w:color w:val="000000" w:themeColor="text1"/>
          <w:sz w:val="24"/>
          <w:szCs w:val="24"/>
        </w:rPr>
        <w:t>Es obligatoria para los compradores que requiera</w:t>
      </w:r>
      <w:r w:rsidR="00F22C56" w:rsidRPr="001B6F12">
        <w:rPr>
          <w:rFonts w:ascii="Bookman Old Style" w:hAnsi="Bookman Old Style" w:cs="Arial"/>
          <w:color w:val="000000" w:themeColor="text1"/>
          <w:sz w:val="24"/>
          <w:szCs w:val="24"/>
        </w:rPr>
        <w:t>n capacidad firme de transporte que participan en la subasta.</w:t>
      </w:r>
    </w:p>
    <w:p w:rsidR="006249D9" w:rsidRPr="002A67A5" w:rsidRDefault="006249D9" w:rsidP="006249D9">
      <w:pPr>
        <w:tabs>
          <w:tab w:val="left" w:pos="2548"/>
        </w:tabs>
        <w:ind w:left="0"/>
        <w:jc w:val="both"/>
        <w:rPr>
          <w:rFonts w:ascii="Bookman Old Style" w:hAnsi="Bookman Old Style"/>
          <w:color w:val="000000" w:themeColor="text1"/>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Beneficiario de la garantía: El beneficiario de esta garantía </w:t>
      </w:r>
      <w:r>
        <w:rPr>
          <w:rFonts w:ascii="Bookman Old Style" w:hAnsi="Bookman Old Style" w:cs="Arial"/>
          <w:color w:val="000000" w:themeColor="text1"/>
          <w:sz w:val="24"/>
          <w:szCs w:val="24"/>
        </w:rPr>
        <w:t>es</w:t>
      </w:r>
      <w:r w:rsidRPr="002A67A5">
        <w:rPr>
          <w:rFonts w:ascii="Bookman Old Style" w:hAnsi="Bookman Old Style" w:cs="Arial"/>
          <w:color w:val="000000" w:themeColor="text1"/>
          <w:sz w:val="24"/>
          <w:szCs w:val="24"/>
        </w:rPr>
        <w:t xml:space="preserve"> la fiducia mercantil que para tales efectos constituya el gestor del mercado de gas natural, según lo ordenado en las resoluciones CREG 089 de 2013 y 163 de 2014, </w:t>
      </w:r>
      <w:r>
        <w:rPr>
          <w:rFonts w:ascii="Bookman Old Style" w:hAnsi="Bookman Old Style" w:cs="Arial"/>
          <w:color w:val="000000" w:themeColor="text1"/>
          <w:sz w:val="24"/>
          <w:szCs w:val="24"/>
        </w:rPr>
        <w:t>o aquellas que la sustituyan, modifiquen o adicionen.</w:t>
      </w:r>
    </w:p>
    <w:p w:rsidR="006249D9" w:rsidRPr="002A67A5" w:rsidRDefault="006249D9" w:rsidP="006249D9">
      <w:pPr>
        <w:tabs>
          <w:tab w:val="left" w:pos="2548"/>
        </w:tabs>
        <w:ind w:left="0"/>
        <w:jc w:val="both"/>
        <w:rPr>
          <w:rFonts w:ascii="Bookman Old Style" w:hAnsi="Bookman Old Style"/>
          <w:color w:val="000000" w:themeColor="text1"/>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lastRenderedPageBreak/>
        <w:t xml:space="preserve">Beneficiario de los </w:t>
      </w:r>
      <w:r>
        <w:rPr>
          <w:rFonts w:ascii="Bookman Old Style" w:hAnsi="Bookman Old Style" w:cs="Arial"/>
          <w:color w:val="000000" w:themeColor="text1"/>
          <w:sz w:val="24"/>
          <w:szCs w:val="24"/>
        </w:rPr>
        <w:t>recursos</w:t>
      </w:r>
      <w:r w:rsidRPr="002A67A5">
        <w:rPr>
          <w:rFonts w:ascii="Bookman Old Style" w:hAnsi="Bookman Old Style" w:cs="Arial"/>
          <w:color w:val="000000" w:themeColor="text1"/>
          <w:sz w:val="24"/>
          <w:szCs w:val="24"/>
        </w:rPr>
        <w:t xml:space="preserve"> que resulten de la ejecución de la garantía de participación: Cuando haya lugar a la ejecución de la garantía de participación de un comprador los recursos que resulten de la ejecución de la misma serán de las correspondientes contrapartes que hayan resultado con asignaciones de la subasta</w:t>
      </w:r>
      <w:r w:rsidR="008D4D38">
        <w:rPr>
          <w:rFonts w:ascii="Bookman Old Style" w:hAnsi="Bookman Old Style" w:cs="Arial"/>
          <w:color w:val="000000" w:themeColor="text1"/>
          <w:sz w:val="24"/>
          <w:szCs w:val="24"/>
        </w:rPr>
        <w:t>, en forma proporcional a estas, según corresponda</w:t>
      </w:r>
      <w:r w:rsidRPr="002A67A5">
        <w:rPr>
          <w:rFonts w:ascii="Bookman Old Style" w:hAnsi="Bookman Old Style" w:cs="Arial"/>
          <w:color w:val="000000" w:themeColor="text1"/>
          <w:sz w:val="24"/>
          <w:szCs w:val="24"/>
        </w:rPr>
        <w:t xml:space="preserve">. </w:t>
      </w:r>
    </w:p>
    <w:p w:rsidR="006249D9" w:rsidRPr="002A67A5" w:rsidRDefault="006249D9" w:rsidP="006249D9">
      <w:pPr>
        <w:pStyle w:val="Prrafodelista"/>
        <w:tabs>
          <w:tab w:val="left" w:pos="2920"/>
          <w:tab w:val="left" w:pos="3340"/>
        </w:tabs>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ab/>
      </w:r>
      <w:r w:rsidRPr="002A67A5">
        <w:rPr>
          <w:rFonts w:ascii="Bookman Old Style" w:hAnsi="Bookman Old Style" w:cs="Arial"/>
          <w:color w:val="000000" w:themeColor="text1"/>
          <w:sz w:val="24"/>
          <w:szCs w:val="24"/>
        </w:rPr>
        <w:tab/>
      </w:r>
    </w:p>
    <w:p w:rsidR="006249D9" w:rsidRPr="00102733"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La fiducia mercantil hará las transferencias a los beneficiarios de los recursos que resulten de la ejecución de la garantía, descontando los gastos de transferencias bancarias y GMF.</w:t>
      </w:r>
    </w:p>
    <w:p w:rsidR="006249D9" w:rsidRPr="002A67A5" w:rsidRDefault="006249D9" w:rsidP="006249D9">
      <w:pPr>
        <w:ind w:left="0"/>
        <w:jc w:val="both"/>
        <w:rPr>
          <w:rFonts w:ascii="Bookman Old Style" w:hAnsi="Bookman Old Style"/>
          <w:color w:val="000000" w:themeColor="text1"/>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Fecha de entrega de la garantía: Los compradores deberán entregar la garantía a más tardar a las 17:00 horas de un día hábil antes del día décimo hábil antes de la realización de la subasta.</w:t>
      </w:r>
    </w:p>
    <w:p w:rsidR="006249D9" w:rsidRPr="002A67A5" w:rsidRDefault="006249D9" w:rsidP="006249D9">
      <w:pPr>
        <w:ind w:left="0"/>
        <w:jc w:val="both"/>
        <w:rPr>
          <w:rFonts w:ascii="Bookman Old Style" w:hAnsi="Bookman Old Style"/>
          <w:color w:val="000000" w:themeColor="text1"/>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Vigencia de</w:t>
      </w:r>
      <w:r w:rsidRPr="002A67A5">
        <w:rPr>
          <w:rFonts w:ascii="Bookman Old Style" w:hAnsi="Bookman Old Style" w:cs="Arial"/>
          <w:color w:val="000000" w:themeColor="text1"/>
          <w:sz w:val="24"/>
          <w:szCs w:val="24"/>
        </w:rPr>
        <w:t xml:space="preserve"> la garantía: El plazo que cubre la garantía corresponderá </w:t>
      </w:r>
      <w:r>
        <w:rPr>
          <w:rFonts w:ascii="Bookman Old Style" w:hAnsi="Bookman Old Style" w:cs="Arial"/>
          <w:color w:val="000000" w:themeColor="text1"/>
          <w:sz w:val="24"/>
          <w:szCs w:val="24"/>
        </w:rPr>
        <w:t xml:space="preserve">al número de días calendario desde la entrega de la garantía hasta el </w:t>
      </w:r>
      <w:r w:rsidRPr="006B24FC">
        <w:rPr>
          <w:rFonts w:ascii="Bookman Old Style" w:hAnsi="Bookman Old Style" w:cs="Arial"/>
          <w:sz w:val="24"/>
          <w:szCs w:val="24"/>
        </w:rPr>
        <w:t>último día hábil previo al primer mes de inicio del compromiso de suministro</w:t>
      </w:r>
      <w:r>
        <w:rPr>
          <w:rFonts w:ascii="Bookman Old Style" w:hAnsi="Bookman Old Style" w:cs="Arial"/>
          <w:sz w:val="24"/>
          <w:szCs w:val="24"/>
        </w:rPr>
        <w:t xml:space="preserve"> de capacidad de transporte más </w:t>
      </w:r>
      <w:r w:rsidRPr="002A67A5">
        <w:rPr>
          <w:rFonts w:ascii="Bookman Old Style" w:hAnsi="Bookman Old Style" w:cs="Arial"/>
          <w:color w:val="000000" w:themeColor="text1"/>
          <w:sz w:val="24"/>
          <w:szCs w:val="24"/>
        </w:rPr>
        <w:t>un (1) día hábil.</w:t>
      </w:r>
    </w:p>
    <w:p w:rsidR="006249D9" w:rsidRPr="002A67A5" w:rsidRDefault="006249D9" w:rsidP="006249D9">
      <w:pPr>
        <w:ind w:left="0"/>
        <w:jc w:val="both"/>
        <w:rPr>
          <w:rFonts w:ascii="Bookman Old Style" w:hAnsi="Bookman Old Style"/>
          <w:color w:val="000000" w:themeColor="text1"/>
          <w:lang w:val="es-CO"/>
        </w:rPr>
      </w:pPr>
    </w:p>
    <w:p w:rsidR="006249D9" w:rsidRPr="00142609" w:rsidRDefault="006249D9" w:rsidP="006249D9">
      <w:pPr>
        <w:pStyle w:val="Prrafodelista"/>
        <w:numPr>
          <w:ilvl w:val="2"/>
          <w:numId w:val="5"/>
        </w:numPr>
        <w:tabs>
          <w:tab w:val="left" w:pos="567"/>
        </w:tabs>
        <w:jc w:val="both"/>
        <w:rPr>
          <w:rFonts w:ascii="Bookman Old Style" w:hAnsi="Bookman Old Style"/>
          <w:color w:val="000000" w:themeColor="text1"/>
          <w:sz w:val="24"/>
          <w:szCs w:val="24"/>
        </w:rPr>
      </w:pPr>
      <w:r w:rsidRPr="00142609">
        <w:rPr>
          <w:rFonts w:ascii="Bookman Old Style" w:hAnsi="Bookman Old Style"/>
          <w:color w:val="000000" w:themeColor="text1"/>
          <w:sz w:val="24"/>
          <w:szCs w:val="24"/>
        </w:rPr>
        <w:t xml:space="preserve">Valor </w:t>
      </w:r>
      <w:r>
        <w:rPr>
          <w:rFonts w:ascii="Bookman Old Style" w:hAnsi="Bookman Old Style"/>
          <w:color w:val="000000" w:themeColor="text1"/>
          <w:sz w:val="24"/>
          <w:szCs w:val="24"/>
        </w:rPr>
        <w:t xml:space="preserve">de la garantía para los compradores: </w:t>
      </w:r>
    </w:p>
    <w:p w:rsidR="006249D9" w:rsidRDefault="006249D9" w:rsidP="006249D9">
      <w:pPr>
        <w:pStyle w:val="Prrafodelista"/>
        <w:rPr>
          <w:rFonts w:ascii="Bookman Old Style" w:hAnsi="Bookman Old Style" w:cs="Arial"/>
          <w:color w:val="000000" w:themeColor="text1"/>
          <w:sz w:val="24"/>
          <w:szCs w:val="24"/>
        </w:rPr>
      </w:pPr>
    </w:p>
    <w:p w:rsidR="006249D9" w:rsidRPr="00142609" w:rsidRDefault="008955C4" w:rsidP="006249D9">
      <w:pPr>
        <w:pStyle w:val="Prrafodelista"/>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VLRCP</m:t>
              </m:r>
            </m:e>
            <m:sub>
              <m:r>
                <w:rPr>
                  <w:rFonts w:ascii="Cambria Math" w:hAnsi="Cambria Math" w:cs="Arial"/>
                  <w:color w:val="000000" w:themeColor="text1"/>
                  <w:sz w:val="24"/>
                  <w:szCs w:val="24"/>
                </w:rPr>
                <m:t>c =</m:t>
              </m:r>
            </m:sub>
          </m:sSub>
          <m:r>
            <w:rPr>
              <w:rFonts w:ascii="Cambria Math" w:hAnsi="Cambria Math" w:cs="Arial"/>
              <w:color w:val="000000" w:themeColor="text1"/>
              <w:sz w:val="24"/>
              <w:szCs w:val="24"/>
            </w:rPr>
            <m:t xml:space="preserve"> 0,05 ×30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 xml:space="preserve"> ×p ×TRM</m:t>
          </m:r>
        </m:oMath>
      </m:oMathPara>
    </w:p>
    <w:p w:rsidR="006249D9" w:rsidRDefault="006249D9" w:rsidP="006249D9">
      <w:pPr>
        <w:pStyle w:val="Prrafodelista"/>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817" w:type="dxa"/>
        <w:tblBorders>
          <w:top w:val="none" w:sz="0" w:space="0" w:color="auto"/>
          <w:left w:val="none" w:sz="0" w:space="0" w:color="auto"/>
          <w:bottom w:val="none" w:sz="0" w:space="0" w:color="auto"/>
          <w:right w:val="none" w:sz="0" w:space="0" w:color="auto"/>
          <w:insideH w:val="single" w:sz="4" w:space="0" w:color="FFFFFF" w:themeColor="background1"/>
          <w:insideV w:val="none" w:sz="0" w:space="0" w:color="auto"/>
        </w:tblBorders>
        <w:tblLook w:val="04A0" w:firstRow="1" w:lastRow="0" w:firstColumn="1" w:lastColumn="0" w:noHBand="0" w:noVBand="1"/>
      </w:tblPr>
      <w:tblGrid>
        <w:gridCol w:w="1423"/>
        <w:gridCol w:w="7337"/>
      </w:tblGrid>
      <w:tr w:rsidR="006249D9" w:rsidTr="00C23575">
        <w:tc>
          <w:tcPr>
            <w:tcW w:w="1423" w:type="dxa"/>
          </w:tcPr>
          <w:p w:rsidR="006249D9" w:rsidRPr="0016383D" w:rsidRDefault="006249D9" w:rsidP="00C23575">
            <w:pPr>
              <w:pStyle w:val="Prrafodelista"/>
              <w:ind w:left="0"/>
              <w:rPr>
                <w:rFonts w:ascii="Bookman Old Style" w:hAnsi="Bookman Old Style" w:cs="Arial"/>
                <w:color w:val="000000" w:themeColor="text1"/>
                <w:sz w:val="24"/>
                <w:szCs w:val="24"/>
              </w:rPr>
            </w:pPr>
            <m:oMathPara>
              <m:oMathParaPr>
                <m:jc m:val="left"/>
              </m:oMathParaPr>
              <m:oMath>
                <m:r>
                  <w:rPr>
                    <w:rFonts w:ascii="Cambria Math" w:hAnsi="Cambria Math" w:cs="Arial"/>
                    <w:color w:val="000000" w:themeColor="text1"/>
                    <w:sz w:val="24"/>
                    <w:szCs w:val="24"/>
                  </w:rPr>
                  <m:t>c:</m:t>
                </m:r>
              </m:oMath>
            </m:oMathPara>
          </w:p>
        </w:tc>
        <w:tc>
          <w:tcPr>
            <w:tcW w:w="7337"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Compradores.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23" w:type="dxa"/>
          </w:tcPr>
          <w:p w:rsidR="006249D9" w:rsidRPr="006C169B" w:rsidRDefault="008955C4" w:rsidP="00C23575">
            <w:pPr>
              <w:pStyle w:val="Prrafodelista"/>
              <w:ind w:left="0"/>
              <w:rPr>
                <w:rFonts w:ascii="Bookman Old Style" w:hAnsi="Bookman Old Style" w:cs="Arial"/>
                <w:color w:val="000000" w:themeColor="text1"/>
                <w:sz w:val="24"/>
                <w:szCs w:val="24"/>
              </w:rPr>
            </w:pPr>
            <m:oMathPara>
              <m:oMathParaPr>
                <m:jc m:val="left"/>
              </m:oMathPara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VLRCP</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7337"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garantía en pesos Colombianos.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23"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7337" w:type="dxa"/>
          </w:tcPr>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Precio en dólares de los Estados Unidos de América por KPC. Para la primera subasta este valor corresponderá a 3 dólares de los Estados Unidos de América por KPC.</w:t>
            </w:r>
          </w:p>
          <w:p w:rsidR="006249D9" w:rsidRDefault="006249D9"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Para las siguientes subastas este valor corresponderá al precio de reserva publicado por el gestor del mercado para la ruta más larga observada en la subasta anterior.</w:t>
            </w:r>
          </w:p>
          <w:p w:rsidR="006249D9" w:rsidRDefault="006249D9" w:rsidP="00C23575">
            <w:pPr>
              <w:pStyle w:val="Prrafodelista"/>
              <w:ind w:left="0"/>
              <w:jc w:val="both"/>
              <w:rPr>
                <w:rFonts w:ascii="Bookman Old Style" w:hAnsi="Bookman Old Style" w:cs="Arial"/>
                <w:sz w:val="24"/>
                <w:szCs w:val="24"/>
              </w:rPr>
            </w:pPr>
          </w:p>
          <w:p w:rsidR="006249D9" w:rsidRDefault="006249D9" w:rsidP="00C23575">
            <w:pPr>
              <w:pStyle w:val="Prrafodelista"/>
              <w:ind w:left="0"/>
              <w:jc w:val="both"/>
              <w:rPr>
                <w:rFonts w:ascii="Bookman Old Style" w:hAnsi="Bookman Old Style" w:cs="Arial"/>
                <w:sz w:val="24"/>
                <w:szCs w:val="24"/>
              </w:rPr>
            </w:pPr>
            <w:r>
              <w:rPr>
                <w:rFonts w:ascii="Bookman Old Style" w:hAnsi="Bookman Old Style" w:cs="Arial"/>
                <w:sz w:val="24"/>
                <w:szCs w:val="24"/>
              </w:rPr>
              <w:t>En caso de no poderse determinar ese valor se seguirá tomando el valor de 3 dólares de los Estados Unidos de América por KPC.</w:t>
            </w:r>
          </w:p>
          <w:p w:rsidR="006249D9" w:rsidRPr="00CB46CD" w:rsidRDefault="006249D9" w:rsidP="00C23575">
            <w:pPr>
              <w:pStyle w:val="Prrafodelista"/>
              <w:ind w:left="0"/>
              <w:jc w:val="both"/>
              <w:rPr>
                <w:rFonts w:ascii="Bookman Old Style" w:hAnsi="Bookman Old Style" w:cs="Arial"/>
                <w:sz w:val="24"/>
                <w:szCs w:val="24"/>
              </w:rPr>
            </w:pPr>
          </w:p>
        </w:tc>
      </w:tr>
      <w:tr w:rsidR="006249D9" w:rsidTr="00C23575">
        <w:tc>
          <w:tcPr>
            <w:tcW w:w="1423"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7337" w:type="dxa"/>
          </w:tcPr>
          <w:p w:rsidR="006249D9" w:rsidRDefault="006249D9" w:rsidP="00C23575">
            <w:pPr>
              <w:pStyle w:val="Prrafodelista"/>
              <w:ind w:left="0"/>
              <w:jc w:val="both"/>
              <w:rPr>
                <w:rFonts w:ascii="Bookman Old Style" w:hAnsi="Bookman Old Style" w:cs="Arial"/>
                <w:color w:val="000000" w:themeColor="text1"/>
                <w:sz w:val="24"/>
                <w:szCs w:val="24"/>
              </w:rPr>
            </w:pPr>
            <w:r w:rsidRPr="00FB5B62">
              <w:rPr>
                <w:rFonts w:ascii="Bookman Old Style" w:hAnsi="Bookman Old Style" w:cs="Arial"/>
                <w:sz w:val="24"/>
                <w:szCs w:val="24"/>
              </w:rPr>
              <w:t>Valor de la Tasa Representativa del Mercado en pesos Colombianos por dólar de los Estados Unidos de América, del último día hábil del mes anterior a la estimación de la</w:t>
            </w:r>
            <w:r>
              <w:rPr>
                <w:rFonts w:ascii="Bookman Old Style" w:hAnsi="Bookman Old Style" w:cs="Arial"/>
                <w:color w:val="000000" w:themeColor="text1"/>
                <w:sz w:val="24"/>
                <w:szCs w:val="24"/>
              </w:rPr>
              <w:t xml:space="preserve">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rPr>
          <w:trHeight w:val="917"/>
        </w:trPr>
        <w:tc>
          <w:tcPr>
            <w:tcW w:w="1423" w:type="dxa"/>
          </w:tcPr>
          <w:p w:rsidR="006249D9" w:rsidRPr="0014260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Demanda</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7337"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sidRPr="00142609">
              <w:rPr>
                <w:rFonts w:ascii="Bookman Old Style" w:hAnsi="Bookman Old Style" w:cs="Arial"/>
                <w:color w:val="000000" w:themeColor="text1"/>
                <w:sz w:val="24"/>
                <w:szCs w:val="24"/>
              </w:rPr>
              <w:t xml:space="preserve">Demanda de capacidad de transporte </w:t>
            </w:r>
            <w:r>
              <w:rPr>
                <w:rFonts w:ascii="Bookman Old Style" w:hAnsi="Bookman Old Style" w:cs="Arial"/>
                <w:color w:val="000000" w:themeColor="text1"/>
                <w:sz w:val="24"/>
                <w:szCs w:val="24"/>
              </w:rPr>
              <w:t>que</w:t>
            </w:r>
            <w:r w:rsidRPr="00142609">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declara </w:t>
            </w:r>
            <w:r w:rsidRPr="00142609">
              <w:rPr>
                <w:rFonts w:ascii="Bookman Old Style" w:hAnsi="Bookman Old Style" w:cs="Arial"/>
                <w:color w:val="000000" w:themeColor="text1"/>
                <w:sz w:val="24"/>
                <w:szCs w:val="24"/>
              </w:rPr>
              <w:t>comprador</w:t>
            </w:r>
            <w:r>
              <w:rPr>
                <w:rFonts w:ascii="Bookman Old Style" w:hAnsi="Bookman Old Style" w:cs="Arial"/>
                <w:color w:val="000000" w:themeColor="text1"/>
                <w:sz w:val="24"/>
                <w:szCs w:val="24"/>
              </w:rPr>
              <w:t>.</w:t>
            </w:r>
          </w:p>
          <w:p w:rsidR="006249D9" w:rsidRPr="00142609" w:rsidRDefault="006249D9" w:rsidP="00C23575">
            <w:pPr>
              <w:pStyle w:val="Prrafodelista"/>
              <w:tabs>
                <w:tab w:val="left" w:pos="567"/>
              </w:tabs>
              <w:ind w:left="0"/>
              <w:jc w:val="both"/>
              <w:rPr>
                <w:rFonts w:ascii="Bookman Old Style" w:hAnsi="Bookman Old Style" w:cs="Arial"/>
                <w:color w:val="000000" w:themeColor="text1"/>
              </w:rPr>
            </w:pPr>
          </w:p>
        </w:tc>
      </w:tr>
    </w:tbl>
    <w:p w:rsidR="006249D9" w:rsidRPr="00E56A14"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E56A14">
        <w:rPr>
          <w:rFonts w:ascii="Bookman Old Style" w:hAnsi="Bookman Old Style" w:cs="Arial"/>
          <w:color w:val="000000" w:themeColor="text1"/>
          <w:sz w:val="24"/>
          <w:szCs w:val="24"/>
        </w:rPr>
        <w:t xml:space="preserve">Eventos que dan lugar a la ejecución de la garantía de participación para los compradores: </w:t>
      </w:r>
      <w:r w:rsidR="000D288E">
        <w:rPr>
          <w:rFonts w:ascii="Bookman Old Style" w:hAnsi="Bookman Old Style" w:cs="Arial"/>
          <w:color w:val="000000" w:themeColor="text1"/>
          <w:sz w:val="24"/>
          <w:szCs w:val="24"/>
        </w:rPr>
        <w:t>Los</w:t>
      </w:r>
      <w:r w:rsidRPr="00E56A14">
        <w:rPr>
          <w:rFonts w:ascii="Bookman Old Style" w:hAnsi="Bookman Old Style" w:cs="Arial"/>
          <w:color w:val="000000" w:themeColor="text1"/>
          <w:sz w:val="24"/>
          <w:szCs w:val="24"/>
        </w:rPr>
        <w:t xml:space="preserve"> evento</w:t>
      </w:r>
      <w:r w:rsidR="000D288E">
        <w:rPr>
          <w:rFonts w:ascii="Bookman Old Style" w:hAnsi="Bookman Old Style" w:cs="Arial"/>
          <w:color w:val="000000" w:themeColor="text1"/>
          <w:sz w:val="24"/>
          <w:szCs w:val="24"/>
        </w:rPr>
        <w:t>s</w:t>
      </w:r>
      <w:r w:rsidRPr="00E56A14">
        <w:rPr>
          <w:rFonts w:ascii="Bookman Old Style" w:hAnsi="Bookman Old Style" w:cs="Arial"/>
          <w:color w:val="000000" w:themeColor="text1"/>
          <w:sz w:val="24"/>
          <w:szCs w:val="24"/>
        </w:rPr>
        <w:t xml:space="preserve"> que da</w:t>
      </w:r>
      <w:r w:rsidR="000D288E">
        <w:rPr>
          <w:rFonts w:ascii="Bookman Old Style" w:hAnsi="Bookman Old Style" w:cs="Arial"/>
          <w:color w:val="000000" w:themeColor="text1"/>
          <w:sz w:val="24"/>
          <w:szCs w:val="24"/>
        </w:rPr>
        <w:t>n</w:t>
      </w:r>
      <w:r w:rsidRPr="00E56A14">
        <w:rPr>
          <w:rFonts w:ascii="Bookman Old Style" w:hAnsi="Bookman Old Style" w:cs="Arial"/>
          <w:color w:val="000000" w:themeColor="text1"/>
          <w:sz w:val="24"/>
          <w:szCs w:val="24"/>
        </w:rPr>
        <w:t xml:space="preserve"> lugar a la ejecución de esta garantía </w:t>
      </w:r>
      <w:r w:rsidR="000D288E">
        <w:rPr>
          <w:rFonts w:ascii="Bookman Old Style" w:hAnsi="Bookman Old Style" w:cs="Arial"/>
          <w:color w:val="000000" w:themeColor="text1"/>
          <w:sz w:val="24"/>
          <w:szCs w:val="24"/>
        </w:rPr>
        <w:t>son</w:t>
      </w:r>
      <w:r w:rsidRPr="00E56A14">
        <w:rPr>
          <w:rFonts w:ascii="Bookman Old Style" w:hAnsi="Bookman Old Style" w:cs="Arial"/>
          <w:color w:val="000000" w:themeColor="text1"/>
          <w:sz w:val="24"/>
          <w:szCs w:val="24"/>
        </w:rPr>
        <w:t xml:space="preserve"> la no suscripción del contrato o la no entrega de alguna de las garantías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VLRCAPS</m:t>
            </m:r>
          </m:e>
          <m:sub>
            <m:r>
              <w:rPr>
                <w:rFonts w:ascii="Cambria Math" w:hAnsi="Cambria Math" w:cs="Arial"/>
                <w:color w:val="000000" w:themeColor="text1"/>
                <w:sz w:val="24"/>
                <w:szCs w:val="24"/>
              </w:rPr>
              <m:t>c</m:t>
            </m:r>
          </m:sub>
        </m:sSub>
      </m:oMath>
      <w:r w:rsidRPr="00E56A14">
        <w:rPr>
          <w:rFonts w:ascii="Bookman Old Style" w:hAnsi="Bookman Old Style" w:cs="Arial"/>
          <w:color w:val="000000" w:themeColor="text1"/>
          <w:sz w:val="24"/>
          <w:szCs w:val="24"/>
        </w:rPr>
        <w:t xml:space="preserve"> y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VLRCAPM</m:t>
            </m:r>
          </m:e>
          <m:sub>
            <m:r>
              <w:rPr>
                <w:rFonts w:ascii="Cambria Math" w:hAnsi="Cambria Math" w:cs="Arial"/>
                <w:color w:val="000000" w:themeColor="text1"/>
                <w:sz w:val="24"/>
                <w:szCs w:val="24"/>
              </w:rPr>
              <m:t>c</m:t>
            </m:r>
          </m:sub>
        </m:sSub>
      </m:oMath>
      <w:r w:rsidRPr="00E56A14">
        <w:rPr>
          <w:rFonts w:ascii="Bookman Old Style" w:hAnsi="Bookman Old Style" w:cs="Arial"/>
          <w:color w:val="000000" w:themeColor="text1"/>
          <w:sz w:val="24"/>
          <w:szCs w:val="24"/>
        </w:rPr>
        <w:t xml:space="preserve"> de que trata el numeral </w:t>
      </w:r>
      <w:r w:rsidRPr="00E56A14">
        <w:rPr>
          <w:rFonts w:ascii="Bookman Old Style" w:hAnsi="Bookman Old Style" w:cs="Arial"/>
          <w:color w:val="000000" w:themeColor="text1"/>
          <w:sz w:val="24"/>
          <w:szCs w:val="24"/>
        </w:rPr>
        <w:fldChar w:fldCharType="begin"/>
      </w:r>
      <w:r w:rsidRPr="00E56A14">
        <w:rPr>
          <w:rFonts w:ascii="Bookman Old Style" w:hAnsi="Bookman Old Style" w:cs="Arial"/>
          <w:color w:val="000000" w:themeColor="text1"/>
          <w:sz w:val="24"/>
          <w:szCs w:val="24"/>
        </w:rPr>
        <w:instrText xml:space="preserve"> REF _Ref412647847 \r \h </w:instrText>
      </w:r>
      <w:r w:rsidRPr="00E56A14">
        <w:rPr>
          <w:rFonts w:ascii="Bookman Old Style" w:hAnsi="Bookman Old Style" w:cs="Arial"/>
          <w:color w:val="000000" w:themeColor="text1"/>
          <w:sz w:val="24"/>
          <w:szCs w:val="24"/>
        </w:rPr>
      </w:r>
      <w:r w:rsidRPr="00E56A14">
        <w:rPr>
          <w:rFonts w:ascii="Bookman Old Style" w:hAnsi="Bookman Old Style" w:cs="Arial"/>
          <w:color w:val="000000" w:themeColor="text1"/>
          <w:sz w:val="24"/>
          <w:szCs w:val="24"/>
        </w:rPr>
        <w:fldChar w:fldCharType="separate"/>
      </w:r>
      <w:r w:rsidR="00B74ABD">
        <w:rPr>
          <w:rFonts w:ascii="Bookman Old Style" w:hAnsi="Bookman Old Style" w:cs="Arial"/>
          <w:color w:val="000000" w:themeColor="text1"/>
          <w:sz w:val="24"/>
          <w:szCs w:val="24"/>
        </w:rPr>
        <w:t>5.2</w:t>
      </w:r>
      <w:r w:rsidRPr="00E56A14">
        <w:rPr>
          <w:rFonts w:ascii="Bookman Old Style" w:hAnsi="Bookman Old Style" w:cs="Arial"/>
          <w:color w:val="000000" w:themeColor="text1"/>
          <w:sz w:val="24"/>
          <w:szCs w:val="24"/>
        </w:rPr>
        <w:fldChar w:fldCharType="end"/>
      </w:r>
      <w:r w:rsidRPr="00E56A14">
        <w:rPr>
          <w:rFonts w:ascii="Bookman Old Style" w:hAnsi="Bookman Old Style" w:cs="Arial"/>
          <w:color w:val="000000" w:themeColor="text1"/>
          <w:sz w:val="24"/>
          <w:szCs w:val="24"/>
        </w:rPr>
        <w:t xml:space="preserve"> de este Anexo que los compradores deben entregar la primera vez.</w:t>
      </w:r>
    </w:p>
    <w:p w:rsidR="006249D9" w:rsidRPr="002A67A5" w:rsidRDefault="006249D9" w:rsidP="006249D9">
      <w:pPr>
        <w:pStyle w:val="Prrafodelista"/>
        <w:tabs>
          <w:tab w:val="left" w:pos="567"/>
        </w:tabs>
        <w:ind w:left="1080"/>
        <w:jc w:val="both"/>
        <w:rPr>
          <w:rFonts w:ascii="Bookman Old Style" w:hAnsi="Bookman Old Style"/>
          <w:color w:val="000000" w:themeColor="text1"/>
          <w:sz w:val="24"/>
          <w:szCs w:val="24"/>
        </w:rPr>
      </w:pPr>
    </w:p>
    <w:p w:rsidR="006249D9" w:rsidRPr="002A67A5" w:rsidRDefault="006249D9" w:rsidP="006249D9">
      <w:pPr>
        <w:pStyle w:val="Prrafodelista"/>
        <w:numPr>
          <w:ilvl w:val="1"/>
          <w:numId w:val="5"/>
        </w:numPr>
        <w:tabs>
          <w:tab w:val="left" w:pos="1478"/>
        </w:tabs>
        <w:ind w:left="720"/>
        <w:jc w:val="both"/>
        <w:rPr>
          <w:rFonts w:ascii="Bookman Old Style" w:hAnsi="Bookman Old Style" w:cs="Arial"/>
          <w:color w:val="000000" w:themeColor="text1"/>
          <w:sz w:val="24"/>
          <w:szCs w:val="24"/>
        </w:rPr>
      </w:pPr>
      <w:bookmarkStart w:id="11" w:name="_Ref412647847"/>
      <w:r>
        <w:rPr>
          <w:rFonts w:ascii="Bookman Old Style" w:hAnsi="Bookman Old Style" w:cs="Arial"/>
          <w:color w:val="000000" w:themeColor="text1"/>
          <w:sz w:val="24"/>
          <w:szCs w:val="24"/>
        </w:rPr>
        <w:t>De</w:t>
      </w:r>
      <w:r w:rsidRPr="002A67A5">
        <w:rPr>
          <w:rFonts w:ascii="Bookman Old Style" w:hAnsi="Bookman Old Style" w:cs="Arial"/>
          <w:color w:val="000000" w:themeColor="text1"/>
          <w:sz w:val="24"/>
          <w:szCs w:val="24"/>
        </w:rPr>
        <w:t xml:space="preserve"> cumplimiento</w:t>
      </w:r>
      <w:bookmarkEnd w:id="11"/>
    </w:p>
    <w:p w:rsidR="006249D9" w:rsidRPr="002A67A5" w:rsidRDefault="006249D9" w:rsidP="006249D9">
      <w:pPr>
        <w:ind w:left="0"/>
        <w:jc w:val="both"/>
        <w:rPr>
          <w:rFonts w:ascii="Bookman Old Style" w:hAnsi="Bookman Old Style"/>
          <w:color w:val="000000" w:themeColor="text1"/>
          <w:lang w:val="es-CO"/>
        </w:rPr>
      </w:pPr>
    </w:p>
    <w:p w:rsidR="006249D9" w:rsidRPr="002A67A5" w:rsidRDefault="006249D9" w:rsidP="006249D9">
      <w:pPr>
        <w:tabs>
          <w:tab w:val="left" w:pos="567"/>
        </w:tabs>
        <w:ind w:left="709"/>
        <w:jc w:val="both"/>
        <w:rPr>
          <w:rFonts w:ascii="Bookman Old Style" w:hAnsi="Bookman Old Style" w:cs="Arial"/>
          <w:color w:val="000000" w:themeColor="text1"/>
        </w:rPr>
      </w:pPr>
      <w:r w:rsidRPr="002A67A5">
        <w:rPr>
          <w:rFonts w:ascii="Bookman Old Style" w:hAnsi="Bookman Old Style" w:cs="Arial"/>
          <w:color w:val="000000" w:themeColor="text1"/>
        </w:rPr>
        <w:t>Los vendedores y compradores podrán acordar los mecanismos de cobertura para el cumplimiento de las obligaciones derivadas de la subasta.</w:t>
      </w:r>
      <w:r>
        <w:rPr>
          <w:rFonts w:ascii="Bookman Old Style" w:hAnsi="Bookman Old Style" w:cs="Arial"/>
          <w:color w:val="000000" w:themeColor="text1"/>
        </w:rPr>
        <w:t xml:space="preserve"> </w:t>
      </w:r>
      <w:r w:rsidRPr="002A67A5">
        <w:rPr>
          <w:rFonts w:ascii="Bookman Old Style" w:hAnsi="Bookman Old Style" w:cs="Arial"/>
          <w:color w:val="000000" w:themeColor="text1"/>
        </w:rPr>
        <w:t xml:space="preserve">En caso de que no se pongan de acuerdo, los compradores </w:t>
      </w:r>
      <w:r>
        <w:rPr>
          <w:rFonts w:ascii="Bookman Old Style" w:hAnsi="Bookman Old Style" w:cs="Arial"/>
          <w:color w:val="000000" w:themeColor="text1"/>
        </w:rPr>
        <w:t>deberán</w:t>
      </w:r>
      <w:r w:rsidRPr="002A67A5">
        <w:rPr>
          <w:rFonts w:ascii="Bookman Old Style" w:hAnsi="Bookman Old Style" w:cs="Arial"/>
          <w:color w:val="000000" w:themeColor="text1"/>
        </w:rPr>
        <w:t xml:space="preserve"> acogerse al mecanismo de cobertura que se expone a continuación, así: </w:t>
      </w:r>
    </w:p>
    <w:p w:rsidR="006249D9" w:rsidRPr="002A67A5" w:rsidRDefault="006249D9" w:rsidP="006249D9">
      <w:pPr>
        <w:ind w:left="0"/>
        <w:jc w:val="both"/>
        <w:rPr>
          <w:rFonts w:ascii="Bookman Old Style" w:hAnsi="Bookman Old Style"/>
          <w:color w:val="000000" w:themeColor="text1"/>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bookmarkStart w:id="12" w:name="_Ref411608413"/>
      <w:r w:rsidRPr="002A67A5">
        <w:rPr>
          <w:rFonts w:ascii="Bookman Old Style" w:hAnsi="Bookman Old Style" w:cs="Arial"/>
          <w:color w:val="000000" w:themeColor="text1"/>
          <w:sz w:val="24"/>
          <w:szCs w:val="24"/>
        </w:rPr>
        <w:t>Sujetos objeto de la constitución de la garantía de cumplimiento:</w:t>
      </w:r>
      <w:bookmarkEnd w:id="12"/>
    </w:p>
    <w:p w:rsidR="006249D9" w:rsidRPr="002A67A5" w:rsidRDefault="006249D9" w:rsidP="006249D9">
      <w:pPr>
        <w:pStyle w:val="ARTICULOS"/>
        <w:numPr>
          <w:ilvl w:val="0"/>
          <w:numId w:val="0"/>
        </w:numPr>
        <w:tabs>
          <w:tab w:val="left" w:pos="1560"/>
        </w:tabs>
        <w:rPr>
          <w:rFonts w:cs="Arial"/>
          <w:color w:val="000000"/>
          <w:lang w:val="es-CO"/>
        </w:rPr>
      </w:pPr>
    </w:p>
    <w:p w:rsidR="006249D9" w:rsidRDefault="006249D9" w:rsidP="006249D9">
      <w:pPr>
        <w:tabs>
          <w:tab w:val="left" w:pos="567"/>
        </w:tabs>
        <w:ind w:left="1080"/>
        <w:jc w:val="both"/>
        <w:rPr>
          <w:rFonts w:ascii="Bookman Old Style" w:hAnsi="Bookman Old Style" w:cs="Arial"/>
          <w:color w:val="000000" w:themeColor="text1"/>
        </w:rPr>
      </w:pPr>
      <w:r w:rsidRPr="002A67A5">
        <w:rPr>
          <w:rFonts w:ascii="Bookman Old Style" w:hAnsi="Bookman Old Style" w:cs="Arial"/>
          <w:color w:val="000000" w:themeColor="text1"/>
        </w:rPr>
        <w:t>Los compradores:</w:t>
      </w:r>
    </w:p>
    <w:p w:rsidR="006249D9" w:rsidRPr="002A67A5" w:rsidRDefault="006249D9" w:rsidP="006249D9">
      <w:pPr>
        <w:tabs>
          <w:tab w:val="left" w:pos="567"/>
        </w:tabs>
        <w:ind w:left="360"/>
        <w:jc w:val="both"/>
        <w:rPr>
          <w:rFonts w:ascii="Bookman Old Style" w:hAnsi="Bookman Old Style" w:cs="Arial"/>
          <w:color w:val="000000" w:themeColor="text1"/>
        </w:rPr>
      </w:pPr>
    </w:p>
    <w:p w:rsidR="006249D9" w:rsidRDefault="006249D9" w:rsidP="006249D9">
      <w:pPr>
        <w:tabs>
          <w:tab w:val="left" w:pos="567"/>
        </w:tabs>
        <w:ind w:left="1080"/>
        <w:jc w:val="both"/>
        <w:rPr>
          <w:rFonts w:ascii="Bookman Old Style" w:hAnsi="Bookman Old Style" w:cs="Arial"/>
          <w:color w:val="000000" w:themeColor="text1"/>
        </w:rPr>
      </w:pPr>
      <w:r>
        <w:rPr>
          <w:rFonts w:ascii="Bookman Old Style" w:hAnsi="Bookman Old Style" w:cs="Arial"/>
          <w:color w:val="000000" w:themeColor="text1"/>
        </w:rPr>
        <w:t>Compradores que requiera</w:t>
      </w:r>
      <w:r w:rsidR="00055FFD">
        <w:rPr>
          <w:rFonts w:ascii="Bookman Old Style" w:hAnsi="Bookman Old Style" w:cs="Arial"/>
          <w:color w:val="000000" w:themeColor="text1"/>
        </w:rPr>
        <w:t>n capacidad firme de transporte que participan en la subasta.</w:t>
      </w:r>
    </w:p>
    <w:p w:rsidR="00793509" w:rsidRDefault="00793509" w:rsidP="006249D9">
      <w:pPr>
        <w:tabs>
          <w:tab w:val="left" w:pos="567"/>
        </w:tabs>
        <w:ind w:left="1080"/>
        <w:jc w:val="both"/>
        <w:rPr>
          <w:rFonts w:cs="Arial"/>
          <w:color w:val="000000"/>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Beneficiario de la garantía: El beneficiario de </w:t>
      </w:r>
      <w:r>
        <w:rPr>
          <w:rFonts w:ascii="Bookman Old Style" w:hAnsi="Bookman Old Style" w:cs="Arial"/>
          <w:color w:val="000000" w:themeColor="text1"/>
          <w:sz w:val="24"/>
          <w:szCs w:val="24"/>
        </w:rPr>
        <w:t>la</w:t>
      </w:r>
      <w:r w:rsidRPr="002A67A5">
        <w:rPr>
          <w:rFonts w:ascii="Bookman Old Style" w:hAnsi="Bookman Old Style" w:cs="Arial"/>
          <w:color w:val="000000" w:themeColor="text1"/>
          <w:sz w:val="24"/>
          <w:szCs w:val="24"/>
        </w:rPr>
        <w:t xml:space="preserve"> garantía </w:t>
      </w:r>
      <w:r>
        <w:rPr>
          <w:rFonts w:ascii="Bookman Old Style" w:hAnsi="Bookman Old Style" w:cs="Arial"/>
          <w:color w:val="000000" w:themeColor="text1"/>
          <w:sz w:val="24"/>
          <w:szCs w:val="24"/>
        </w:rPr>
        <w:t>es la</w:t>
      </w:r>
      <w:r w:rsidRPr="002A67A5">
        <w:rPr>
          <w:rFonts w:ascii="Bookman Old Style" w:hAnsi="Bookman Old Style" w:cs="Arial"/>
          <w:color w:val="000000" w:themeColor="text1"/>
          <w:sz w:val="24"/>
          <w:szCs w:val="24"/>
        </w:rPr>
        <w:t xml:space="preserve"> fiducia mercantil que para tales efectos constituya el gestor del mercado de gas natural, según lo ordenado en la</w:t>
      </w:r>
      <w:r>
        <w:rPr>
          <w:rFonts w:ascii="Bookman Old Style" w:hAnsi="Bookman Old Style" w:cs="Arial"/>
          <w:color w:val="000000" w:themeColor="text1"/>
          <w:sz w:val="24"/>
          <w:szCs w:val="24"/>
        </w:rPr>
        <w:t>s</w:t>
      </w:r>
      <w:r w:rsidRPr="002A67A5">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r</w:t>
      </w:r>
      <w:r w:rsidRPr="002A67A5">
        <w:rPr>
          <w:rFonts w:ascii="Bookman Old Style" w:hAnsi="Bookman Old Style" w:cs="Arial"/>
          <w:color w:val="000000" w:themeColor="text1"/>
          <w:sz w:val="24"/>
          <w:szCs w:val="24"/>
        </w:rPr>
        <w:t>esoluc</w:t>
      </w:r>
      <w:r>
        <w:rPr>
          <w:rFonts w:ascii="Bookman Old Style" w:hAnsi="Bookman Old Style" w:cs="Arial"/>
          <w:color w:val="000000" w:themeColor="text1"/>
          <w:sz w:val="24"/>
          <w:szCs w:val="24"/>
        </w:rPr>
        <w:t>iones</w:t>
      </w:r>
      <w:r w:rsidRPr="00B11E6F">
        <w:rPr>
          <w:rFonts w:ascii="Bookman Old Style" w:hAnsi="Bookman Old Style" w:cs="Arial"/>
          <w:color w:val="000000" w:themeColor="text1"/>
          <w:sz w:val="24"/>
          <w:szCs w:val="24"/>
        </w:rPr>
        <w:t xml:space="preserve"> CREG </w:t>
      </w:r>
      <w:r>
        <w:rPr>
          <w:rFonts w:ascii="Bookman Old Style" w:hAnsi="Bookman Old Style" w:cs="Arial"/>
          <w:color w:val="000000" w:themeColor="text1"/>
          <w:sz w:val="24"/>
          <w:szCs w:val="24"/>
        </w:rPr>
        <w:t xml:space="preserve">089 de 2013 y </w:t>
      </w:r>
      <w:r w:rsidRPr="00B11E6F">
        <w:rPr>
          <w:rFonts w:ascii="Bookman Old Style" w:hAnsi="Bookman Old Style" w:cs="Arial"/>
          <w:color w:val="000000" w:themeColor="text1"/>
          <w:sz w:val="24"/>
          <w:szCs w:val="24"/>
        </w:rPr>
        <w:t>163 de 2014, o aquellas que la</w:t>
      </w:r>
      <w:r>
        <w:rPr>
          <w:rFonts w:ascii="Bookman Old Style" w:hAnsi="Bookman Old Style" w:cs="Arial"/>
          <w:color w:val="000000" w:themeColor="text1"/>
          <w:sz w:val="24"/>
          <w:szCs w:val="24"/>
        </w:rPr>
        <w:t>s</w:t>
      </w:r>
      <w:r w:rsidRPr="00B11E6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sustituyan</w:t>
      </w:r>
      <w:r w:rsidRPr="00B11E6F">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modifiquen</w:t>
      </w:r>
      <w:r w:rsidRPr="00B11E6F">
        <w:rPr>
          <w:rFonts w:ascii="Bookman Old Style" w:hAnsi="Bookman Old Style" w:cs="Arial"/>
          <w:color w:val="000000" w:themeColor="text1"/>
          <w:sz w:val="24"/>
          <w:szCs w:val="24"/>
        </w:rPr>
        <w:t xml:space="preserve"> o </w:t>
      </w:r>
      <w:r>
        <w:rPr>
          <w:rFonts w:ascii="Bookman Old Style" w:hAnsi="Bookman Old Style" w:cs="Arial"/>
          <w:color w:val="000000" w:themeColor="text1"/>
          <w:sz w:val="24"/>
          <w:szCs w:val="24"/>
        </w:rPr>
        <w:t>adicionen</w:t>
      </w:r>
      <w:r w:rsidRPr="002A67A5">
        <w:rPr>
          <w:rFonts w:ascii="Bookman Old Style" w:hAnsi="Bookman Old Style" w:cs="Arial"/>
          <w:color w:val="000000" w:themeColor="text1"/>
          <w:sz w:val="24"/>
          <w:szCs w:val="24"/>
        </w:rPr>
        <w:t>.</w:t>
      </w:r>
    </w:p>
    <w:p w:rsidR="006249D9" w:rsidRPr="002A67A5" w:rsidRDefault="006249D9" w:rsidP="006249D9">
      <w:pPr>
        <w:ind w:left="0"/>
        <w:jc w:val="both"/>
        <w:rPr>
          <w:rFonts w:ascii="Bookman Old Style" w:hAnsi="Bookman Old Style"/>
          <w:color w:val="000000" w:themeColor="text1"/>
          <w:lang w:val="es-CO"/>
        </w:rPr>
      </w:pPr>
    </w:p>
    <w:p w:rsidR="006249D9" w:rsidRPr="002A67A5"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Beneficiario de los </w:t>
      </w:r>
      <w:r>
        <w:rPr>
          <w:rFonts w:ascii="Bookman Old Style" w:hAnsi="Bookman Old Style" w:cs="Arial"/>
          <w:color w:val="000000" w:themeColor="text1"/>
          <w:sz w:val="24"/>
          <w:szCs w:val="24"/>
        </w:rPr>
        <w:t>recursos</w:t>
      </w:r>
      <w:r w:rsidRPr="002A67A5">
        <w:rPr>
          <w:rFonts w:ascii="Bookman Old Style" w:hAnsi="Bookman Old Style" w:cs="Arial"/>
          <w:color w:val="000000" w:themeColor="text1"/>
          <w:sz w:val="24"/>
          <w:szCs w:val="24"/>
        </w:rPr>
        <w:t xml:space="preserve"> que resulten de la ejecución de la garantía de cumplimiento</w:t>
      </w:r>
      <w:r>
        <w:rPr>
          <w:rFonts w:ascii="Bookman Old Style" w:hAnsi="Bookman Old Style" w:cs="Arial"/>
          <w:color w:val="000000" w:themeColor="text1"/>
          <w:sz w:val="24"/>
          <w:szCs w:val="24"/>
        </w:rPr>
        <w:t>:</w:t>
      </w:r>
      <w:r w:rsidRPr="002A67A5">
        <w:rPr>
          <w:rFonts w:ascii="Bookman Old Style" w:hAnsi="Bookman Old Style" w:cs="Arial"/>
          <w:color w:val="000000" w:themeColor="text1"/>
          <w:sz w:val="24"/>
          <w:szCs w:val="24"/>
        </w:rPr>
        <w:t xml:space="preserve"> Cuando haya lugar a la ejecución de la garantía de cumplimiento de un comprador los recursos que resulten de la ejecución de las mismas serán </w:t>
      </w:r>
      <w:r>
        <w:rPr>
          <w:rFonts w:ascii="Bookman Old Style" w:hAnsi="Bookman Old Style" w:cs="Arial"/>
          <w:color w:val="000000" w:themeColor="text1"/>
          <w:sz w:val="24"/>
          <w:szCs w:val="24"/>
        </w:rPr>
        <w:t>transferidos a las correspondientes contrapartes</w:t>
      </w:r>
      <w:r w:rsidR="008D4D38">
        <w:rPr>
          <w:rFonts w:ascii="Bookman Old Style" w:hAnsi="Bookman Old Style" w:cs="Arial"/>
          <w:color w:val="000000" w:themeColor="text1"/>
          <w:sz w:val="24"/>
          <w:szCs w:val="24"/>
        </w:rPr>
        <w:t>, en forma proporcional a su participación, según corresponda</w:t>
      </w:r>
      <w:r>
        <w:rPr>
          <w:rFonts w:ascii="Bookman Old Style" w:hAnsi="Bookman Old Style" w:cs="Arial"/>
          <w:color w:val="000000" w:themeColor="text1"/>
          <w:sz w:val="24"/>
          <w:szCs w:val="24"/>
        </w:rPr>
        <w:t>.</w:t>
      </w:r>
    </w:p>
    <w:p w:rsidR="006249D9" w:rsidRPr="002A67A5" w:rsidRDefault="006249D9" w:rsidP="006249D9">
      <w:pPr>
        <w:pStyle w:val="Prrafodelista"/>
        <w:tabs>
          <w:tab w:val="left" w:pos="2920"/>
        </w:tabs>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ab/>
      </w:r>
    </w:p>
    <w:p w:rsidR="006249D9" w:rsidRPr="00102733"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La fiducia mercantil hará las transferencias a los beneficiarios de los recursos que resulten de la ejecución de la garantía, descontando los gastos de transferencias bancarias y GMF.</w:t>
      </w:r>
    </w:p>
    <w:p w:rsidR="006249D9" w:rsidRPr="002A67A5" w:rsidRDefault="006249D9" w:rsidP="006249D9">
      <w:pPr>
        <w:ind w:left="0"/>
        <w:jc w:val="both"/>
        <w:rPr>
          <w:rFonts w:ascii="Bookman Old Style" w:hAnsi="Bookman Old Style"/>
          <w:color w:val="000000" w:themeColor="text1"/>
          <w:lang w:val="es-CO"/>
        </w:rPr>
      </w:pPr>
    </w:p>
    <w:p w:rsidR="006249D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garantía de los compradores:</w:t>
      </w:r>
      <w:r w:rsidRPr="008A05FE">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Los compradores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deben entregar dos (2) garantías de cumplimiento.</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Primera garantía</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8A05FE" w:rsidRDefault="008955C4" w:rsidP="006249D9">
      <w:pPr>
        <w:pStyle w:val="Prrafodelista"/>
        <w:tabs>
          <w:tab w:val="left" w:pos="567"/>
        </w:tabs>
        <w:ind w:left="1080"/>
        <w:jc w:val="both"/>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VLRCAPS</m:t>
              </m:r>
            </m:e>
            <m:sub>
              <m:r>
                <w:rPr>
                  <w:rFonts w:ascii="Cambria Math" w:hAnsi="Cambria Math" w:cs="Arial"/>
                  <w:color w:val="000000" w:themeColor="text1"/>
                  <w:sz w:val="24"/>
                  <w:szCs w:val="24"/>
                </w:rPr>
                <m:t>c =</m:t>
              </m:r>
            </m:sub>
          </m:sSub>
          <m:r>
            <w:rPr>
              <w:rFonts w:ascii="Cambria Math" w:hAnsi="Cambria Math" w:cs="Arial"/>
              <w:color w:val="000000" w:themeColor="text1"/>
              <w:sz w:val="24"/>
              <w:szCs w:val="24"/>
            </w:rPr>
            <m:t xml:space="preserve"> 0,5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 xml:space="preserve"> ×90×p ×TRM</m:t>
          </m:r>
        </m:oMath>
      </m:oMathPara>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lastRenderedPageBreak/>
        <w:t>Segunda garantía</w:t>
      </w: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70117F" w:rsidRDefault="006249D9" w:rsidP="006249D9">
      <w:pPr>
        <w:pStyle w:val="Prrafodelista"/>
        <w:tabs>
          <w:tab w:val="left" w:pos="567"/>
        </w:tabs>
        <w:ind w:left="1440"/>
        <w:jc w:val="both"/>
        <w:rPr>
          <w:rFonts w:ascii="Bookman Old Style" w:hAnsi="Bookman Old Style" w:cs="Arial"/>
          <w:color w:val="000000" w:themeColor="text1"/>
          <w:sz w:val="24"/>
          <w:szCs w:val="24"/>
        </w:rPr>
      </w:pPr>
    </w:p>
    <w:p w:rsidR="006249D9" w:rsidRPr="0070117F" w:rsidRDefault="008955C4" w:rsidP="006249D9">
      <w:pPr>
        <w:pStyle w:val="Prrafodelista"/>
        <w:tabs>
          <w:tab w:val="left" w:pos="567"/>
        </w:tabs>
        <w:ind w:left="1440"/>
        <w:jc w:val="both"/>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VLRCAPM</m:t>
              </m:r>
            </m:e>
            <m:sub>
              <m:r>
                <w:rPr>
                  <w:rFonts w:ascii="Cambria Math" w:hAnsi="Cambria Math" w:cs="Arial"/>
                  <w:color w:val="000000" w:themeColor="text1"/>
                  <w:sz w:val="24"/>
                  <w:szCs w:val="24"/>
                </w:rPr>
                <m:t>c =</m:t>
              </m:r>
            </m:sub>
          </m:sSub>
          <m:r>
            <w:rPr>
              <w:rFonts w:ascii="Cambria Math" w:hAnsi="Cambria Math" w:cs="Arial"/>
              <w:color w:val="000000" w:themeColor="text1"/>
              <w:sz w:val="24"/>
              <w:szCs w:val="24"/>
            </w:rPr>
            <m:t xml:space="preserve"> </m:t>
          </m:r>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 xml:space="preserve"> ×D×p×TRM</m:t>
          </m:r>
        </m:oMath>
      </m:oMathPara>
    </w:p>
    <w:p w:rsidR="006249D9" w:rsidRPr="0070117F" w:rsidRDefault="006249D9" w:rsidP="006249D9">
      <w:pPr>
        <w:pStyle w:val="Prrafodelista"/>
        <w:tabs>
          <w:tab w:val="left" w:pos="567"/>
        </w:tabs>
        <w:ind w:left="1440"/>
        <w:jc w:val="both"/>
        <w:rPr>
          <w:rFonts w:ascii="Bookman Old Style" w:hAnsi="Bookman Old Style" w:cs="Arial"/>
          <w:color w:val="000000" w:themeColor="text1"/>
          <w:sz w:val="24"/>
          <w:szCs w:val="24"/>
        </w:rPr>
      </w:pPr>
    </w:p>
    <w:p w:rsidR="006249D9" w:rsidRPr="002A67A5" w:rsidRDefault="006249D9" w:rsidP="006249D9">
      <w:pPr>
        <w:tabs>
          <w:tab w:val="left" w:pos="567"/>
        </w:tabs>
        <w:ind w:left="360"/>
        <w:jc w:val="both"/>
        <w:rPr>
          <w:rFonts w:ascii="Bookman Old Style" w:hAnsi="Bookman Old Style" w:cs="Arial"/>
          <w:color w:val="000000" w:themeColor="text1"/>
          <w:lang w:val="es-CO"/>
        </w:rPr>
      </w:pPr>
    </w:p>
    <w:p w:rsidR="006249D9" w:rsidRDefault="006249D9" w:rsidP="006249D9">
      <w:pPr>
        <w:pStyle w:val="Prrafodelista"/>
        <w:tabs>
          <w:tab w:val="left" w:pos="567"/>
        </w:tabs>
        <w:ind w:left="1080"/>
        <w:jc w:val="both"/>
        <w:rPr>
          <w:rFonts w:ascii="Bookman Old Style" w:hAnsi="Bookman Old Style" w:cs="Arial"/>
          <w:color w:val="000000" w:themeColor="text1"/>
          <w:sz w:val="24"/>
          <w:szCs w:val="24"/>
        </w:rPr>
      </w:pPr>
      <w:proofErr w:type="spellStart"/>
      <w:r>
        <w:rPr>
          <w:rFonts w:ascii="Bookman Old Style" w:hAnsi="Bookman Old Style" w:cs="Arial"/>
          <w:color w:val="000000" w:themeColor="text1"/>
          <w:sz w:val="24"/>
          <w:szCs w:val="24"/>
        </w:rPr>
        <w:t>Donde</w:t>
      </w:r>
      <w:proofErr w:type="spellEnd"/>
      <w:r>
        <w:rPr>
          <w:rFonts w:ascii="Bookman Old Style" w:hAnsi="Bookman Old Style" w:cs="Arial"/>
          <w:color w:val="000000" w:themeColor="text1"/>
          <w:sz w:val="24"/>
          <w:szCs w:val="24"/>
        </w:rPr>
        <w:t>:</w:t>
      </w:r>
    </w:p>
    <w:p w:rsidR="006249D9" w:rsidRDefault="006249D9" w:rsidP="006249D9">
      <w:pPr>
        <w:pStyle w:val="Prrafodelista"/>
        <w:rPr>
          <w:rFonts w:ascii="Bookman Old Style" w:hAnsi="Bookman Old Style" w:cs="Arial"/>
          <w:color w:val="000000" w:themeColor="text1"/>
          <w:sz w:val="24"/>
          <w:szCs w:val="24"/>
        </w:rPr>
      </w:pPr>
    </w:p>
    <w:tbl>
      <w:tblPr>
        <w:tblStyle w:val="Tablaconcuadrcula"/>
        <w:tblW w:w="0" w:type="auto"/>
        <w:tblInd w:w="1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6"/>
        <w:gridCol w:w="6889"/>
      </w:tblGrid>
      <w:tr w:rsidR="006249D9" w:rsidTr="00C23575">
        <w:tc>
          <w:tcPr>
            <w:tcW w:w="1446"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VLRCAPS</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6889"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primera garantía en pesos Colombianos.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46" w:type="dxa"/>
          </w:tcPr>
          <w:p w:rsidR="006249D9" w:rsidRDefault="008955C4" w:rsidP="00C23575">
            <w:pPr>
              <w:pStyle w:val="Prrafodelista"/>
              <w:ind w:left="0"/>
              <w:rPr>
                <w:rFonts w:ascii="Bookman Old Style" w:hAnsi="Bookman Old Style" w:cs="Arial"/>
                <w:color w:val="000000" w:themeColor="text1"/>
                <w:sz w:val="24"/>
                <w:szCs w:val="24"/>
              </w:rPr>
            </w:pPr>
            <m:oMathPara>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VLRCAPM</m:t>
                    </m:r>
                  </m:e>
                  <m:sub>
                    <m:r>
                      <w:rPr>
                        <w:rFonts w:ascii="Cambria Math" w:hAnsi="Cambria Math" w:cs="Arial"/>
                        <w:color w:val="000000" w:themeColor="text1"/>
                        <w:sz w:val="24"/>
                        <w:szCs w:val="24"/>
                      </w:rPr>
                      <m:t>c</m:t>
                    </m:r>
                  </m:sub>
                </m:sSub>
                <m:r>
                  <w:rPr>
                    <w:rFonts w:ascii="Cambria Math" w:hAnsi="Cambria Math" w:cs="Arial"/>
                    <w:color w:val="000000" w:themeColor="text1"/>
                    <w:sz w:val="24"/>
                    <w:szCs w:val="24"/>
                  </w:rPr>
                  <m:t>:</m:t>
                </m:r>
              </m:oMath>
            </m:oMathPara>
          </w:p>
        </w:tc>
        <w:tc>
          <w:tcPr>
            <w:tcW w:w="6889"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Valor de la </w:t>
            </w:r>
            <w:r w:rsidR="00434ABA">
              <w:rPr>
                <w:rFonts w:ascii="Bookman Old Style" w:hAnsi="Bookman Old Style" w:cs="Arial"/>
                <w:color w:val="000000" w:themeColor="text1"/>
                <w:sz w:val="24"/>
                <w:szCs w:val="24"/>
              </w:rPr>
              <w:t>segunda</w:t>
            </w:r>
            <w:r>
              <w:rPr>
                <w:rFonts w:ascii="Bookman Old Style" w:hAnsi="Bookman Old Style" w:cs="Arial"/>
                <w:color w:val="000000" w:themeColor="text1"/>
                <w:sz w:val="24"/>
                <w:szCs w:val="24"/>
              </w:rPr>
              <w:t xml:space="preserve"> garantía en pesos Colombianos.</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46" w:type="dxa"/>
          </w:tcPr>
          <w:p w:rsidR="006249D9" w:rsidRDefault="008955C4" w:rsidP="00C23575">
            <w:pPr>
              <w:pStyle w:val="Prrafodelista"/>
              <w:ind w:left="0"/>
              <w:rPr>
                <w:rFonts w:ascii="Bookman Old Style" w:hAnsi="Bookman Old Style" w:cs="Arial"/>
                <w:color w:val="000000" w:themeColor="text1"/>
                <w:sz w:val="24"/>
                <w:szCs w:val="24"/>
              </w:rPr>
            </w:pP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Asig</m:t>
                  </m:r>
                </m:e>
                <m:sub>
                  <m:r>
                    <w:rPr>
                      <w:rFonts w:ascii="Cambria Math" w:hAnsi="Cambria Math" w:cs="Arial"/>
                      <w:color w:val="000000" w:themeColor="text1"/>
                      <w:sz w:val="24"/>
                      <w:szCs w:val="24"/>
                    </w:rPr>
                    <m:t>c</m:t>
                  </m:r>
                </m:sub>
              </m:sSub>
            </m:oMath>
            <w:r w:rsidR="006249D9">
              <w:rPr>
                <w:rFonts w:ascii="Bookman Old Style" w:hAnsi="Bookman Old Style" w:cs="Arial"/>
                <w:color w:val="000000" w:themeColor="text1"/>
                <w:sz w:val="24"/>
                <w:szCs w:val="24"/>
              </w:rPr>
              <w:t>:</w:t>
            </w:r>
          </w:p>
        </w:tc>
        <w:tc>
          <w:tcPr>
            <w:tcW w:w="6889" w:type="dxa"/>
          </w:tcPr>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r w:rsidRPr="002A67A5">
              <w:rPr>
                <w:rFonts w:ascii="Bookman Old Style" w:hAnsi="Bookman Old Style" w:cs="Arial"/>
                <w:color w:val="000000" w:themeColor="text1"/>
                <w:sz w:val="24"/>
                <w:szCs w:val="24"/>
              </w:rPr>
              <w:t xml:space="preserve">Asignación de </w:t>
            </w:r>
            <w:r>
              <w:rPr>
                <w:rFonts w:ascii="Bookman Old Style" w:hAnsi="Bookman Old Style" w:cs="Arial"/>
                <w:color w:val="000000" w:themeColor="text1"/>
                <w:sz w:val="24"/>
                <w:szCs w:val="24"/>
              </w:rPr>
              <w:t>capacidad de transporte del</w:t>
            </w:r>
            <w:r w:rsidRPr="002A67A5">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comprador</w:t>
            </w:r>
            <w:r w:rsidRPr="002A67A5">
              <w:rPr>
                <w:rFonts w:ascii="Bookman Old Style" w:hAnsi="Bookman Old Style" w:cs="Arial"/>
                <w:color w:val="000000" w:themeColor="text1"/>
                <w:sz w:val="24"/>
                <w:szCs w:val="24"/>
              </w:rPr>
              <w:t xml:space="preserve"> </w:t>
            </w:r>
            <m:oMath>
              <m:r>
                <m:rPr>
                  <m:sty m:val="p"/>
                </m:rPr>
                <w:rPr>
                  <w:rFonts w:ascii="Cambria Math" w:hAnsi="Cambria Math" w:cs="Arial"/>
                  <w:color w:val="000000" w:themeColor="text1"/>
                  <w:sz w:val="24"/>
                  <w:szCs w:val="24"/>
                </w:rPr>
                <w:br/>
              </m:r>
              <m:r>
                <w:rPr>
                  <w:rFonts w:ascii="Cambria Math" w:hAnsi="Cambria Math" w:cs="Arial"/>
                  <w:color w:val="000000" w:themeColor="text1"/>
                  <w:sz w:val="24"/>
                  <w:szCs w:val="24"/>
                </w:rPr>
                <m:t>c</m:t>
              </m:r>
            </m:oMath>
            <w:r w:rsidRPr="002A67A5">
              <w:rPr>
                <w:rFonts w:ascii="Bookman Old Style" w:hAnsi="Bookman Old Style" w:cs="Arial"/>
                <w:color w:val="000000" w:themeColor="text1"/>
                <w:sz w:val="24"/>
                <w:szCs w:val="24"/>
              </w:rPr>
              <w:t xml:space="preserve"> en </w:t>
            </w:r>
            <w:r>
              <w:rPr>
                <w:rFonts w:ascii="Bookman Old Style" w:hAnsi="Bookman Old Style" w:cs="Arial"/>
                <w:color w:val="000000" w:themeColor="text1"/>
                <w:sz w:val="24"/>
                <w:szCs w:val="24"/>
              </w:rPr>
              <w:t>KPCD</w:t>
            </w:r>
            <w:r w:rsidRPr="002A67A5">
              <w:rPr>
                <w:rFonts w:ascii="Bookman Old Style" w:hAnsi="Bookman Old Style" w:cs="Arial"/>
                <w:color w:val="000000" w:themeColor="text1"/>
                <w:sz w:val="24"/>
                <w:szCs w:val="24"/>
              </w:rPr>
              <w:t>, en la subasta.</w:t>
            </w:r>
          </w:p>
          <w:p w:rsidR="006249D9" w:rsidRDefault="006249D9" w:rsidP="00C23575">
            <w:pPr>
              <w:pStyle w:val="Prrafodelista"/>
              <w:tabs>
                <w:tab w:val="left" w:pos="567"/>
              </w:tabs>
              <w:ind w:left="0"/>
              <w:jc w:val="both"/>
              <w:rPr>
                <w:rFonts w:ascii="Bookman Old Style" w:hAnsi="Bookman Old Style" w:cs="Arial"/>
                <w:color w:val="000000" w:themeColor="text1"/>
                <w:sz w:val="24"/>
                <w:szCs w:val="24"/>
              </w:rPr>
            </w:pPr>
          </w:p>
        </w:tc>
      </w:tr>
      <w:tr w:rsidR="006249D9" w:rsidTr="00C23575">
        <w:tc>
          <w:tcPr>
            <w:tcW w:w="1446"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p</m:t>
              </m:r>
            </m:oMath>
            <w:r>
              <w:rPr>
                <w:rFonts w:ascii="Bookman Old Style" w:hAnsi="Bookman Old Style" w:cs="Arial"/>
                <w:color w:val="000000" w:themeColor="text1"/>
                <w:sz w:val="24"/>
                <w:szCs w:val="24"/>
              </w:rPr>
              <w:t>:</w:t>
            </w:r>
          </w:p>
        </w:tc>
        <w:tc>
          <w:tcPr>
            <w:tcW w:w="6889"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Precio de cierre de la subasta en dólares de los Estados Unidos de América por KPC.</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46"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TRM</m:t>
              </m:r>
            </m:oMath>
            <w:r>
              <w:rPr>
                <w:rFonts w:ascii="Bookman Old Style" w:hAnsi="Bookman Old Style" w:cs="Arial"/>
                <w:color w:val="000000" w:themeColor="text1"/>
                <w:sz w:val="24"/>
                <w:szCs w:val="24"/>
              </w:rPr>
              <w:t>:</w:t>
            </w:r>
          </w:p>
        </w:tc>
        <w:tc>
          <w:tcPr>
            <w:tcW w:w="6889"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Valor de la Tasa Representativa del Mercado en pesos Colombianos por dólar de los Estados Unidos de América, del último día hábil del mes anterior a la estimación de la garantía, certificado por la Superintendencia Financiera de Colombia.</w:t>
            </w:r>
          </w:p>
          <w:p w:rsidR="006249D9" w:rsidRDefault="006249D9" w:rsidP="00C23575">
            <w:pPr>
              <w:pStyle w:val="Prrafodelista"/>
              <w:ind w:left="0"/>
              <w:jc w:val="both"/>
              <w:rPr>
                <w:rFonts w:ascii="Bookman Old Style" w:hAnsi="Bookman Old Style" w:cs="Arial"/>
                <w:color w:val="000000" w:themeColor="text1"/>
                <w:sz w:val="24"/>
                <w:szCs w:val="24"/>
              </w:rPr>
            </w:pPr>
          </w:p>
        </w:tc>
      </w:tr>
      <w:tr w:rsidR="006249D9" w:rsidTr="00C23575">
        <w:tc>
          <w:tcPr>
            <w:tcW w:w="1446" w:type="dxa"/>
          </w:tcPr>
          <w:p w:rsidR="006249D9" w:rsidRDefault="006249D9" w:rsidP="00C23575">
            <w:pPr>
              <w:pStyle w:val="Prrafodelista"/>
              <w:ind w:left="0"/>
              <w:rPr>
                <w:rFonts w:ascii="Bookman Old Style" w:hAnsi="Bookman Old Style" w:cs="Arial"/>
                <w:color w:val="000000" w:themeColor="text1"/>
                <w:sz w:val="24"/>
                <w:szCs w:val="24"/>
              </w:rPr>
            </w:pPr>
            <m:oMath>
              <m:r>
                <w:rPr>
                  <w:rFonts w:ascii="Cambria Math" w:hAnsi="Cambria Math" w:cs="Arial"/>
                  <w:color w:val="000000" w:themeColor="text1"/>
                  <w:sz w:val="24"/>
                  <w:szCs w:val="24"/>
                </w:rPr>
                <m:t>D</m:t>
              </m:r>
            </m:oMath>
            <w:r>
              <w:rPr>
                <w:rFonts w:ascii="Bookman Old Style" w:hAnsi="Bookman Old Style" w:cs="Arial"/>
                <w:color w:val="000000" w:themeColor="text1"/>
                <w:sz w:val="24"/>
                <w:szCs w:val="24"/>
              </w:rPr>
              <w:t>:</w:t>
            </w:r>
          </w:p>
        </w:tc>
        <w:tc>
          <w:tcPr>
            <w:tcW w:w="6889" w:type="dxa"/>
          </w:tcPr>
          <w:p w:rsidR="006249D9" w:rsidRDefault="006249D9" w:rsidP="00C23575">
            <w:pPr>
              <w:pStyle w:val="Prrafodelista"/>
              <w:ind w:left="0"/>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Número de días calendario del mes a cubrir.</w:t>
            </w:r>
          </w:p>
          <w:p w:rsidR="006249D9" w:rsidRDefault="006249D9" w:rsidP="00C23575">
            <w:pPr>
              <w:pStyle w:val="Prrafodelista"/>
              <w:ind w:left="0"/>
              <w:jc w:val="both"/>
              <w:rPr>
                <w:rFonts w:ascii="Bookman Old Style" w:hAnsi="Bookman Old Style" w:cs="Arial"/>
                <w:sz w:val="24"/>
                <w:szCs w:val="24"/>
              </w:rPr>
            </w:pPr>
          </w:p>
        </w:tc>
      </w:tr>
    </w:tbl>
    <w:p w:rsidR="006249D9" w:rsidRPr="00FE44FD" w:rsidRDefault="006249D9" w:rsidP="006249D9">
      <w:pPr>
        <w:pStyle w:val="Prrafodelista"/>
        <w:tabs>
          <w:tab w:val="left" w:pos="567"/>
        </w:tabs>
        <w:ind w:left="1440"/>
        <w:jc w:val="both"/>
        <w:rPr>
          <w:rFonts w:ascii="Bookman Old Style" w:hAnsi="Bookman Old Style" w:cs="Arial"/>
          <w:color w:val="000000" w:themeColor="text1"/>
          <w:sz w:val="24"/>
          <w:szCs w:val="24"/>
          <w:lang w:val="es-ES"/>
        </w:rPr>
      </w:pPr>
    </w:p>
    <w:p w:rsidR="006249D9" w:rsidRDefault="006249D9" w:rsidP="006249D9">
      <w:pPr>
        <w:pStyle w:val="Prrafodelista"/>
        <w:numPr>
          <w:ilvl w:val="2"/>
          <w:numId w:val="5"/>
        </w:numPr>
        <w:tabs>
          <w:tab w:val="left" w:pos="567"/>
        </w:tabs>
        <w:jc w:val="both"/>
        <w:rPr>
          <w:rFonts w:ascii="Bookman Old Style" w:hAnsi="Bookman Old Style" w:cs="Arial"/>
          <w:sz w:val="24"/>
          <w:szCs w:val="24"/>
        </w:rPr>
      </w:pPr>
      <w:r w:rsidRPr="00AA1D01">
        <w:rPr>
          <w:rFonts w:ascii="Bookman Old Style" w:hAnsi="Bookman Old Style" w:cs="Arial"/>
          <w:color w:val="000000" w:themeColor="text1"/>
          <w:sz w:val="24"/>
          <w:szCs w:val="24"/>
        </w:rPr>
        <w:t>Fecha</w:t>
      </w:r>
      <w:r w:rsidRPr="00AA1D01">
        <w:rPr>
          <w:rFonts w:ascii="Bookman Old Style" w:hAnsi="Bookman Old Style" w:cs="Arial"/>
          <w:sz w:val="24"/>
          <w:szCs w:val="24"/>
        </w:rPr>
        <w:t xml:space="preserve"> de entrega de la</w:t>
      </w:r>
      <w:r>
        <w:rPr>
          <w:rFonts w:ascii="Bookman Old Style" w:hAnsi="Bookman Old Style" w:cs="Arial"/>
          <w:sz w:val="24"/>
          <w:szCs w:val="24"/>
        </w:rPr>
        <w:t>s</w:t>
      </w:r>
      <w:r w:rsidRPr="00AA1D01">
        <w:rPr>
          <w:rFonts w:ascii="Bookman Old Style" w:hAnsi="Bookman Old Style" w:cs="Arial"/>
          <w:sz w:val="24"/>
          <w:szCs w:val="24"/>
        </w:rPr>
        <w:t xml:space="preserve"> </w:t>
      </w:r>
      <w:r>
        <w:rPr>
          <w:rFonts w:ascii="Bookman Old Style" w:hAnsi="Bookman Old Style" w:cs="Arial"/>
          <w:sz w:val="24"/>
          <w:szCs w:val="24"/>
        </w:rPr>
        <w:t>garantías</w:t>
      </w:r>
      <w:r w:rsidRPr="00AA1D01">
        <w:rPr>
          <w:rFonts w:ascii="Bookman Old Style" w:hAnsi="Bookman Old Style" w:cs="Arial"/>
          <w:sz w:val="24"/>
          <w:szCs w:val="24"/>
        </w:rPr>
        <w:t xml:space="preserve"> </w:t>
      </w:r>
      <m:oMath>
        <m:sSub>
          <m:sSubPr>
            <m:ctrlPr>
              <w:rPr>
                <w:rFonts w:ascii="Cambria Math" w:hAnsi="Cambria Math" w:cs="Arial"/>
                <w:i/>
                <w:sz w:val="24"/>
                <w:szCs w:val="24"/>
              </w:rPr>
            </m:ctrlPr>
          </m:sSubPr>
          <m:e>
            <m:r>
              <w:rPr>
                <w:rFonts w:ascii="Cambria Math" w:hAnsi="Cambria Math" w:cs="Arial"/>
                <w:sz w:val="24"/>
                <w:szCs w:val="24"/>
              </w:rPr>
              <m:t>VLRCAPS</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 xml:space="preserve">: </w:t>
      </w:r>
      <w:r>
        <w:rPr>
          <w:rFonts w:ascii="Bookman Old Style" w:hAnsi="Bookman Old Style" w:cs="Arial"/>
          <w:sz w:val="24"/>
          <w:szCs w:val="24"/>
        </w:rPr>
        <w:t xml:space="preserve">La primera vez a más tardar a las 17:00 horas del último día hábil previo al primer mes de compromiso. Las siguientes garantías  </w:t>
      </w:r>
      <m:oMath>
        <m:sSub>
          <m:sSubPr>
            <m:ctrlPr>
              <w:rPr>
                <w:rFonts w:ascii="Cambria Math" w:hAnsi="Cambria Math" w:cs="Arial"/>
                <w:i/>
                <w:sz w:val="24"/>
                <w:szCs w:val="24"/>
              </w:rPr>
            </m:ctrlPr>
          </m:sSubPr>
          <m:e>
            <m:r>
              <w:rPr>
                <w:rFonts w:ascii="Cambria Math" w:hAnsi="Cambria Math" w:cs="Arial"/>
                <w:sz w:val="24"/>
                <w:szCs w:val="24"/>
              </w:rPr>
              <m:t>VLRCAPS</m:t>
            </m:r>
          </m:e>
          <m:sub>
            <m:r>
              <w:rPr>
                <w:rFonts w:ascii="Cambria Math" w:hAnsi="Cambria Math" w:cs="Arial"/>
                <w:sz w:val="24"/>
                <w:szCs w:val="24"/>
              </w:rPr>
              <m:t>c</m:t>
            </m:r>
          </m:sub>
        </m:sSub>
      </m:oMath>
      <w:r>
        <w:rPr>
          <w:rFonts w:ascii="Bookman Old Style" w:hAnsi="Bookman Old Style" w:cs="Arial"/>
          <w:sz w:val="24"/>
          <w:szCs w:val="24"/>
        </w:rPr>
        <w:t xml:space="preserve"> se deben entregar hasta las 17:00 horas del quinto día hábil anterior al día en que termina la vigencia de la garantía.</w:t>
      </w:r>
    </w:p>
    <w:p w:rsidR="006249D9" w:rsidRDefault="006249D9" w:rsidP="006249D9">
      <w:pPr>
        <w:pStyle w:val="Prrafodelista"/>
        <w:tabs>
          <w:tab w:val="left" w:pos="567"/>
        </w:tabs>
        <w:ind w:left="1080"/>
        <w:jc w:val="both"/>
        <w:rPr>
          <w:rFonts w:ascii="Bookman Old Style" w:hAnsi="Bookman Old Style" w:cs="Arial"/>
          <w:sz w:val="24"/>
          <w:szCs w:val="24"/>
        </w:rPr>
      </w:pPr>
    </w:p>
    <w:p w:rsidR="006249D9" w:rsidRPr="00AA1D01" w:rsidRDefault="006249D9" w:rsidP="006249D9">
      <w:pPr>
        <w:pStyle w:val="Prrafodelista"/>
        <w:numPr>
          <w:ilvl w:val="2"/>
          <w:numId w:val="5"/>
        </w:numPr>
        <w:tabs>
          <w:tab w:val="left" w:pos="567"/>
        </w:tabs>
        <w:jc w:val="both"/>
        <w:rPr>
          <w:rFonts w:ascii="Bookman Old Style" w:hAnsi="Bookman Old Style" w:cs="Arial"/>
          <w:sz w:val="24"/>
          <w:szCs w:val="24"/>
        </w:rPr>
      </w:pPr>
      <w:r>
        <w:rPr>
          <w:rFonts w:ascii="Bookman Old Style" w:hAnsi="Bookman Old Style" w:cs="Arial"/>
          <w:sz w:val="24"/>
          <w:szCs w:val="24"/>
        </w:rPr>
        <w:t xml:space="preserve">Fecha de entrega de las garantías </w:t>
      </w:r>
      <m:oMath>
        <m:sSub>
          <m:sSubPr>
            <m:ctrlPr>
              <w:rPr>
                <w:rFonts w:ascii="Cambria Math" w:hAnsi="Cambria Math" w:cs="Arial"/>
                <w:i/>
                <w:sz w:val="24"/>
                <w:szCs w:val="24"/>
              </w:rPr>
            </m:ctrlPr>
          </m:sSubPr>
          <m:e>
            <m:r>
              <w:rPr>
                <w:rFonts w:ascii="Cambria Math" w:hAnsi="Cambria Math" w:cs="Arial"/>
                <w:sz w:val="24"/>
                <w:szCs w:val="24"/>
              </w:rPr>
              <m:t>VLRCAPM</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w:t>
      </w:r>
      <w:r>
        <w:rPr>
          <w:rFonts w:ascii="Bookman Old Style" w:hAnsi="Bookman Old Style" w:cs="Arial"/>
          <w:sz w:val="24"/>
          <w:szCs w:val="24"/>
        </w:rPr>
        <w:t xml:space="preserve"> </w:t>
      </w:r>
      <w:r w:rsidRPr="00AA1D01">
        <w:rPr>
          <w:rFonts w:ascii="Bookman Old Style" w:hAnsi="Bookman Old Style" w:cs="Arial"/>
          <w:sz w:val="24"/>
          <w:szCs w:val="24"/>
        </w:rPr>
        <w:t>A más tardar a las 17:00 horas del último día hábil previo al mes de compromiso de suministro durante todos los meses de duración del contrato.</w:t>
      </w:r>
    </w:p>
    <w:p w:rsidR="006249D9" w:rsidRDefault="006249D9" w:rsidP="006249D9">
      <w:pPr>
        <w:pStyle w:val="Prrafodelista"/>
        <w:tabs>
          <w:tab w:val="left" w:pos="567"/>
        </w:tabs>
        <w:ind w:left="1080"/>
        <w:jc w:val="both"/>
        <w:rPr>
          <w:rFonts w:ascii="Bookman Old Style" w:hAnsi="Bookman Old Style" w:cs="Arial"/>
          <w:sz w:val="24"/>
          <w:szCs w:val="24"/>
        </w:rPr>
      </w:pPr>
    </w:p>
    <w:p w:rsidR="006249D9" w:rsidRPr="00671E39"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AA1D01">
        <w:rPr>
          <w:rFonts w:ascii="Bookman Old Style" w:hAnsi="Bookman Old Style" w:cs="Arial"/>
          <w:color w:val="000000" w:themeColor="text1"/>
          <w:sz w:val="24"/>
          <w:szCs w:val="24"/>
        </w:rPr>
        <w:t>Vigencia</w:t>
      </w:r>
      <w:r w:rsidRPr="00AA1D01">
        <w:rPr>
          <w:rFonts w:ascii="Bookman Old Style" w:hAnsi="Bookman Old Style" w:cs="Arial"/>
          <w:sz w:val="24"/>
          <w:szCs w:val="24"/>
        </w:rPr>
        <w:t xml:space="preserve"> de la</w:t>
      </w:r>
      <w:r>
        <w:rPr>
          <w:rFonts w:ascii="Bookman Old Style" w:hAnsi="Bookman Old Style" w:cs="Arial"/>
          <w:sz w:val="24"/>
          <w:szCs w:val="24"/>
        </w:rPr>
        <w:t xml:space="preserve"> primera</w:t>
      </w:r>
      <w:r w:rsidRPr="00AA1D01">
        <w:rPr>
          <w:rFonts w:ascii="Bookman Old Style" w:hAnsi="Bookman Old Style" w:cs="Arial"/>
          <w:sz w:val="24"/>
          <w:szCs w:val="24"/>
        </w:rPr>
        <w:t xml:space="preserve"> garantía </w:t>
      </w:r>
      <m:oMath>
        <m:sSub>
          <m:sSubPr>
            <m:ctrlPr>
              <w:rPr>
                <w:rFonts w:ascii="Cambria Math" w:hAnsi="Cambria Math" w:cs="Arial"/>
                <w:i/>
                <w:sz w:val="24"/>
                <w:szCs w:val="24"/>
              </w:rPr>
            </m:ctrlPr>
          </m:sSubPr>
          <m:e>
            <m:r>
              <w:rPr>
                <w:rFonts w:ascii="Cambria Math" w:hAnsi="Cambria Math" w:cs="Arial"/>
                <w:sz w:val="24"/>
                <w:szCs w:val="24"/>
              </w:rPr>
              <m:t>VLRCAPS</m:t>
            </m:r>
          </m:e>
          <m:sub>
            <m:r>
              <w:rPr>
                <w:rFonts w:ascii="Cambria Math" w:hAnsi="Cambria Math" w:cs="Arial"/>
                <w:sz w:val="24"/>
                <w:szCs w:val="24"/>
              </w:rPr>
              <m:t>c</m:t>
            </m:r>
          </m:sub>
        </m:sSub>
      </m:oMath>
      <w:r w:rsidRPr="00AA1D01">
        <w:rPr>
          <w:rFonts w:ascii="Bookman Old Style" w:hAnsi="Bookman Old Style" w:cs="Arial"/>
          <w:sz w:val="24"/>
          <w:szCs w:val="24"/>
        </w:rPr>
        <w:t xml:space="preserve"> de los </w:t>
      </w:r>
      <w:r>
        <w:rPr>
          <w:rFonts w:ascii="Bookman Old Style" w:hAnsi="Bookman Old Style" w:cs="Arial"/>
          <w:sz w:val="24"/>
          <w:szCs w:val="24"/>
        </w:rPr>
        <w:t>compradores</w:t>
      </w:r>
      <w:r w:rsidRPr="00AA1D01">
        <w:rPr>
          <w:rFonts w:ascii="Bookman Old Style" w:hAnsi="Bookman Old Style" w:cs="Arial"/>
          <w:sz w:val="24"/>
          <w:szCs w:val="24"/>
        </w:rPr>
        <w:t xml:space="preserve">: </w:t>
      </w:r>
      <w:r w:rsidR="00EE235A">
        <w:rPr>
          <w:rFonts w:ascii="Bookman Old Style" w:hAnsi="Bookman Old Style" w:cs="Arial"/>
          <w:sz w:val="24"/>
          <w:szCs w:val="24"/>
        </w:rPr>
        <w:t>treinta</w:t>
      </w:r>
      <w:r w:rsidR="00D30269">
        <w:rPr>
          <w:rFonts w:ascii="Bookman Old Style" w:hAnsi="Bookman Old Style" w:cs="Arial"/>
          <w:sz w:val="24"/>
          <w:szCs w:val="24"/>
        </w:rPr>
        <w:t xml:space="preserve"> (</w:t>
      </w:r>
      <w:r w:rsidR="00EE235A">
        <w:rPr>
          <w:rFonts w:ascii="Bookman Old Style" w:hAnsi="Bookman Old Style" w:cs="Arial"/>
          <w:sz w:val="24"/>
          <w:szCs w:val="24"/>
        </w:rPr>
        <w:t>3</w:t>
      </w:r>
      <w:r w:rsidR="00D30269">
        <w:rPr>
          <w:rFonts w:ascii="Bookman Old Style" w:hAnsi="Bookman Old Style" w:cs="Arial"/>
          <w:sz w:val="24"/>
          <w:szCs w:val="24"/>
        </w:rPr>
        <w:t>0)</w:t>
      </w:r>
      <w:r>
        <w:rPr>
          <w:rFonts w:ascii="Bookman Old Style" w:hAnsi="Bookman Old Style" w:cs="Arial"/>
          <w:sz w:val="24"/>
          <w:szCs w:val="24"/>
        </w:rPr>
        <w:t xml:space="preserve"> </w:t>
      </w:r>
      <w:r w:rsidRPr="00386BA4">
        <w:rPr>
          <w:rFonts w:ascii="Bookman Old Style" w:hAnsi="Bookman Old Style" w:cs="Arial"/>
          <w:color w:val="000000" w:themeColor="text1"/>
          <w:sz w:val="24"/>
          <w:szCs w:val="24"/>
        </w:rPr>
        <w:t>días</w:t>
      </w:r>
      <w:r>
        <w:rPr>
          <w:rFonts w:ascii="Bookman Old Style" w:hAnsi="Bookman Old Style" w:cs="Arial"/>
          <w:sz w:val="24"/>
          <w:szCs w:val="24"/>
        </w:rPr>
        <w:t xml:space="preserve"> calendario contados siempre a partir de la entrega de la garantía.</w:t>
      </w:r>
    </w:p>
    <w:p w:rsidR="006249D9" w:rsidRPr="00671E39" w:rsidRDefault="006249D9" w:rsidP="006249D9">
      <w:pPr>
        <w:pStyle w:val="Prrafodelista"/>
        <w:rPr>
          <w:rFonts w:ascii="Bookman Old Style" w:hAnsi="Bookman Old Style" w:cs="Arial"/>
          <w:color w:val="000000" w:themeColor="text1"/>
          <w:sz w:val="24"/>
          <w:szCs w:val="24"/>
        </w:rPr>
      </w:pPr>
    </w:p>
    <w:p w:rsidR="006249D9" w:rsidRPr="00597BFA" w:rsidRDefault="006249D9" w:rsidP="006249D9">
      <w:pPr>
        <w:pStyle w:val="Prrafodelista"/>
        <w:numPr>
          <w:ilvl w:val="2"/>
          <w:numId w:val="5"/>
        </w:numPr>
        <w:tabs>
          <w:tab w:val="left" w:pos="567"/>
        </w:tabs>
        <w:jc w:val="both"/>
        <w:rPr>
          <w:rFonts w:ascii="Bookman Old Style" w:hAnsi="Bookman Old Style" w:cs="Arial"/>
          <w:color w:val="000000" w:themeColor="text1"/>
          <w:sz w:val="24"/>
          <w:szCs w:val="24"/>
        </w:rPr>
      </w:pPr>
      <w:r w:rsidRPr="00597BFA">
        <w:rPr>
          <w:rFonts w:ascii="Bookman Old Style" w:hAnsi="Bookman Old Style" w:cs="Arial"/>
          <w:color w:val="000000" w:themeColor="text1"/>
          <w:sz w:val="24"/>
          <w:szCs w:val="24"/>
        </w:rPr>
        <w:t>Vigencia</w:t>
      </w:r>
      <w:r w:rsidRPr="00597BFA">
        <w:rPr>
          <w:rFonts w:ascii="Bookman Old Style" w:hAnsi="Bookman Old Style" w:cs="Arial"/>
          <w:sz w:val="24"/>
          <w:szCs w:val="24"/>
        </w:rPr>
        <w:t xml:space="preserve"> de la segunda garantía </w:t>
      </w:r>
      <m:oMath>
        <m:sSub>
          <m:sSubPr>
            <m:ctrlPr>
              <w:rPr>
                <w:rFonts w:ascii="Cambria Math" w:hAnsi="Cambria Math" w:cs="Arial"/>
                <w:i/>
                <w:sz w:val="24"/>
                <w:szCs w:val="24"/>
              </w:rPr>
            </m:ctrlPr>
          </m:sSubPr>
          <m:e>
            <m:r>
              <w:rPr>
                <w:rFonts w:ascii="Cambria Math" w:hAnsi="Cambria Math" w:cs="Arial"/>
                <w:sz w:val="24"/>
                <w:szCs w:val="24"/>
              </w:rPr>
              <m:t>VLRCAPM</m:t>
            </m:r>
          </m:e>
          <m:sub>
            <m:r>
              <w:rPr>
                <w:rFonts w:ascii="Cambria Math" w:hAnsi="Cambria Math" w:cs="Arial"/>
                <w:sz w:val="24"/>
                <w:szCs w:val="24"/>
              </w:rPr>
              <m:t>c</m:t>
            </m:r>
          </m:sub>
        </m:sSub>
      </m:oMath>
      <w:r w:rsidRPr="00597BFA">
        <w:rPr>
          <w:rFonts w:ascii="Bookman Old Style" w:hAnsi="Bookman Old Style" w:cs="Arial"/>
          <w:sz w:val="24"/>
          <w:szCs w:val="24"/>
        </w:rPr>
        <w:t xml:space="preserve"> de los compradores: </w:t>
      </w:r>
      <w:r w:rsidRPr="00597BFA">
        <w:rPr>
          <w:rFonts w:ascii="Bookman Old Style" w:hAnsi="Bookman Old Style" w:cs="Arial"/>
          <w:color w:val="000000" w:themeColor="text1"/>
          <w:sz w:val="24"/>
          <w:szCs w:val="24"/>
        </w:rPr>
        <w:t>Número de días calendario del mes de suministro a cubrir, más el número de días de plazo para el pago de la factura más 1 día hábil a partir de la entrega de la garantía.</w:t>
      </w:r>
    </w:p>
    <w:p w:rsidR="006249D9" w:rsidRPr="00823D09" w:rsidRDefault="006249D9" w:rsidP="006249D9">
      <w:pPr>
        <w:pStyle w:val="Prrafodelista"/>
        <w:tabs>
          <w:tab w:val="left" w:pos="567"/>
        </w:tabs>
        <w:ind w:left="1080"/>
        <w:jc w:val="both"/>
        <w:rPr>
          <w:rFonts w:ascii="Bookman Old Style" w:hAnsi="Bookman Old Style" w:cs="Arial"/>
          <w:color w:val="000000" w:themeColor="text1"/>
          <w:sz w:val="24"/>
          <w:szCs w:val="24"/>
        </w:rPr>
      </w:pPr>
    </w:p>
    <w:p w:rsidR="006249D9" w:rsidRPr="00D30D20" w:rsidRDefault="006249D9" w:rsidP="006249D9">
      <w:pPr>
        <w:pStyle w:val="Prrafodelista"/>
        <w:numPr>
          <w:ilvl w:val="2"/>
          <w:numId w:val="5"/>
        </w:numPr>
        <w:tabs>
          <w:tab w:val="left" w:pos="567"/>
        </w:tabs>
        <w:jc w:val="both"/>
        <w:rPr>
          <w:rFonts w:ascii="Bookman Old Style" w:hAnsi="Bookman Old Style" w:cs="Arial"/>
          <w:sz w:val="24"/>
          <w:szCs w:val="24"/>
        </w:rPr>
      </w:pPr>
      <w:r>
        <w:rPr>
          <w:rFonts w:ascii="Bookman Old Style" w:hAnsi="Bookman Old Style" w:cs="Arial"/>
          <w:sz w:val="24"/>
          <w:szCs w:val="24"/>
        </w:rPr>
        <w:lastRenderedPageBreak/>
        <w:t xml:space="preserve">Evento que da lugar a la ejecución de la primera garantía </w:t>
      </w:r>
      <m:oMath>
        <m:sSub>
          <m:sSubPr>
            <m:ctrlPr>
              <w:rPr>
                <w:rFonts w:ascii="Cambria Math" w:hAnsi="Cambria Math" w:cs="Arial"/>
                <w:i/>
                <w:sz w:val="24"/>
                <w:szCs w:val="24"/>
              </w:rPr>
            </m:ctrlPr>
          </m:sSubPr>
          <m:e>
            <m:r>
              <w:rPr>
                <w:rFonts w:ascii="Cambria Math" w:hAnsi="Cambria Math" w:cs="Arial"/>
                <w:sz w:val="24"/>
                <w:szCs w:val="24"/>
              </w:rPr>
              <m:t>VLRCAPS</m:t>
            </m:r>
          </m:e>
          <m:sub>
            <m:r>
              <w:rPr>
                <w:rFonts w:ascii="Cambria Math" w:hAnsi="Cambria Math" w:cs="Arial"/>
                <w:sz w:val="24"/>
                <w:szCs w:val="24"/>
              </w:rPr>
              <m:t>c</m:t>
            </m:r>
          </m:sub>
        </m:sSub>
      </m:oMath>
      <w:r>
        <w:rPr>
          <w:rFonts w:ascii="Bookman Old Style" w:hAnsi="Bookman Old Style" w:cs="Arial"/>
          <w:sz w:val="24"/>
          <w:szCs w:val="24"/>
        </w:rPr>
        <w:t xml:space="preserve"> </w:t>
      </w:r>
      <w:r w:rsidRPr="00386BA4">
        <w:rPr>
          <w:rFonts w:ascii="Bookman Old Style" w:hAnsi="Bookman Old Style" w:cs="Arial"/>
          <w:color w:val="000000" w:themeColor="text1"/>
          <w:sz w:val="24"/>
          <w:szCs w:val="24"/>
        </w:rPr>
        <w:t>para</w:t>
      </w:r>
      <w:r>
        <w:rPr>
          <w:rFonts w:ascii="Bookman Old Style" w:hAnsi="Bookman Old Style" w:cs="Arial"/>
          <w:sz w:val="24"/>
          <w:szCs w:val="24"/>
        </w:rPr>
        <w:t xml:space="preserve"> un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 xml:space="preserve">: El evento que da lugar a la ejecución de la garantía es la terminación anticipada del contrato por incumplimiento del comprador </w:t>
      </w:r>
      <m:oMath>
        <m:r>
          <w:rPr>
            <w:rFonts w:ascii="Cambria Math" w:hAnsi="Cambria Math" w:cs="Arial"/>
            <w:color w:val="000000" w:themeColor="text1"/>
            <w:sz w:val="24"/>
            <w:szCs w:val="24"/>
          </w:rPr>
          <m:t>c</m:t>
        </m:r>
      </m:oMath>
      <w:r>
        <w:rPr>
          <w:rFonts w:ascii="Bookman Old Style" w:hAnsi="Bookman Old Style" w:cs="Arial"/>
          <w:color w:val="000000" w:themeColor="text1"/>
          <w:sz w:val="24"/>
          <w:szCs w:val="24"/>
        </w:rPr>
        <w:t>.</w:t>
      </w:r>
    </w:p>
    <w:p w:rsidR="006249D9" w:rsidRPr="00D30D20" w:rsidRDefault="006249D9" w:rsidP="006249D9">
      <w:pPr>
        <w:pStyle w:val="Prrafodelista"/>
        <w:rPr>
          <w:rFonts w:ascii="Bookman Old Style" w:hAnsi="Bookman Old Style" w:cs="Arial"/>
          <w:color w:val="000000" w:themeColor="text1"/>
          <w:sz w:val="24"/>
          <w:szCs w:val="24"/>
        </w:rPr>
      </w:pPr>
    </w:p>
    <w:p w:rsidR="006249D9" w:rsidRPr="00AA1D01" w:rsidRDefault="006249D9" w:rsidP="006249D9">
      <w:pPr>
        <w:pStyle w:val="Prrafodelista"/>
        <w:numPr>
          <w:ilvl w:val="2"/>
          <w:numId w:val="5"/>
        </w:numPr>
        <w:tabs>
          <w:tab w:val="left" w:pos="567"/>
        </w:tabs>
        <w:jc w:val="both"/>
        <w:rPr>
          <w:rFonts w:ascii="Bookman Old Style" w:hAnsi="Bookman Old Style" w:cs="Arial"/>
          <w:sz w:val="24"/>
          <w:szCs w:val="24"/>
        </w:rPr>
      </w:pPr>
      <w:r w:rsidRPr="00AA1D01">
        <w:rPr>
          <w:rFonts w:ascii="Bookman Old Style" w:hAnsi="Bookman Old Style" w:cs="Arial"/>
          <w:color w:val="000000" w:themeColor="text1"/>
          <w:sz w:val="24"/>
          <w:szCs w:val="24"/>
        </w:rPr>
        <w:t xml:space="preserve">Eventos que dan lugar a la ejecución de la garantía </w:t>
      </w:r>
      <m:oMath>
        <m:sSub>
          <m:sSubPr>
            <m:ctrlPr>
              <w:rPr>
                <w:rFonts w:ascii="Cambria Math" w:hAnsi="Cambria Math" w:cs="Arial"/>
                <w:i/>
                <w:sz w:val="24"/>
                <w:szCs w:val="24"/>
              </w:rPr>
            </m:ctrlPr>
          </m:sSubPr>
          <m:e>
            <m:r>
              <w:rPr>
                <w:rFonts w:ascii="Cambria Math" w:hAnsi="Cambria Math" w:cs="Arial"/>
                <w:sz w:val="24"/>
                <w:szCs w:val="24"/>
              </w:rPr>
              <m:t>VLRCAPM</m:t>
            </m:r>
          </m:e>
          <m:sub>
            <m:r>
              <w:rPr>
                <w:rFonts w:ascii="Cambria Math" w:hAnsi="Cambria Math" w:cs="Arial"/>
                <w:sz w:val="24"/>
                <w:szCs w:val="24"/>
              </w:rPr>
              <m:t>c</m:t>
            </m:r>
          </m:sub>
        </m:sSub>
      </m:oMath>
      <w:r w:rsidRPr="00AA1D01">
        <w:rPr>
          <w:rFonts w:ascii="Bookman Old Style" w:hAnsi="Bookman Old Style" w:cs="Arial"/>
          <w:color w:val="000000" w:themeColor="text1"/>
          <w:sz w:val="24"/>
          <w:szCs w:val="24"/>
        </w:rPr>
        <w:t xml:space="preserve"> para un </w:t>
      </w:r>
      <w:r>
        <w:rPr>
          <w:rFonts w:ascii="Bookman Old Style" w:hAnsi="Bookman Old Style" w:cs="Arial"/>
          <w:color w:val="000000" w:themeColor="text1"/>
          <w:sz w:val="24"/>
          <w:szCs w:val="24"/>
        </w:rPr>
        <w:t>comprador</w:t>
      </w:r>
      <w:r w:rsidRPr="00AA1D01">
        <w:rPr>
          <w:rFonts w:ascii="Bookman Old Style" w:hAnsi="Bookman Old Style" w:cs="Arial"/>
          <w:color w:val="000000" w:themeColor="text1"/>
          <w:sz w:val="24"/>
          <w:szCs w:val="24"/>
        </w:rPr>
        <w:t xml:space="preserve"> </w:t>
      </w:r>
      <m:oMath>
        <m:r>
          <w:rPr>
            <w:rFonts w:ascii="Cambria Math" w:hAnsi="Cambria Math" w:cs="Arial"/>
            <w:color w:val="000000" w:themeColor="text1"/>
            <w:sz w:val="24"/>
            <w:szCs w:val="24"/>
          </w:rPr>
          <m:t>c</m:t>
        </m:r>
      </m:oMath>
      <w:r w:rsidRPr="00AA1D01">
        <w:rPr>
          <w:rFonts w:ascii="Bookman Old Style" w:hAnsi="Bookman Old Style" w:cs="Arial"/>
          <w:color w:val="000000" w:themeColor="text1"/>
          <w:sz w:val="24"/>
          <w:szCs w:val="24"/>
        </w:rPr>
        <w:t xml:space="preserve"> : Los eventos que dan lugar a la ejecución de la garantía son el no pago de la factura mensual o cuando el </w:t>
      </w:r>
      <w:r>
        <w:rPr>
          <w:rFonts w:ascii="Bookman Old Style" w:hAnsi="Bookman Old Style" w:cs="Arial"/>
          <w:color w:val="000000" w:themeColor="text1"/>
          <w:sz w:val="24"/>
          <w:szCs w:val="24"/>
        </w:rPr>
        <w:t>comprador</w:t>
      </w:r>
      <w:r w:rsidRPr="00AA1D01">
        <w:rPr>
          <w:rFonts w:ascii="Bookman Old Style" w:hAnsi="Bookman Old Style" w:cs="Arial"/>
          <w:color w:val="000000" w:themeColor="text1"/>
          <w:sz w:val="24"/>
          <w:szCs w:val="24"/>
        </w:rPr>
        <w:t xml:space="preserve"> no entregue la garantía de cumplimiento del siguiente mes del contrato</w:t>
      </w:r>
      <w:r>
        <w:rPr>
          <w:rFonts w:ascii="Bookman Old Style" w:hAnsi="Bookman Old Style" w:cs="Arial"/>
          <w:color w:val="000000" w:themeColor="text1"/>
          <w:sz w:val="24"/>
          <w:szCs w:val="24"/>
        </w:rPr>
        <w:t>.</w:t>
      </w:r>
    </w:p>
    <w:p w:rsidR="006249D9" w:rsidRPr="007A6F1F" w:rsidRDefault="006249D9" w:rsidP="006249D9">
      <w:pPr>
        <w:pStyle w:val="Prrafodelista"/>
        <w:tabs>
          <w:tab w:val="left" w:pos="567"/>
        </w:tabs>
        <w:ind w:left="1430"/>
        <w:jc w:val="both"/>
        <w:rPr>
          <w:rFonts w:ascii="Bookman Old Style" w:hAnsi="Bookman Old Style" w:cs="Arial"/>
          <w:sz w:val="24"/>
          <w:szCs w:val="24"/>
        </w:rPr>
      </w:pPr>
    </w:p>
    <w:p w:rsidR="006E5C5D" w:rsidRDefault="006E5C5D" w:rsidP="006E5C5D">
      <w:pPr>
        <w:tabs>
          <w:tab w:val="left" w:pos="1478"/>
        </w:tabs>
        <w:ind w:left="0"/>
        <w:jc w:val="both"/>
        <w:rPr>
          <w:rFonts w:ascii="Bookman Old Style" w:hAnsi="Bookman Old Style" w:cs="Arial"/>
          <w:color w:val="000000" w:themeColor="text1"/>
        </w:rPr>
      </w:pPr>
      <w:r>
        <w:rPr>
          <w:rFonts w:ascii="Bookman Old Style" w:hAnsi="Bookman Old Style" w:cs="Arial"/>
          <w:b/>
          <w:color w:val="000000" w:themeColor="text1"/>
        </w:rPr>
        <w:t xml:space="preserve">Parágrafo 1. </w:t>
      </w:r>
      <w:r w:rsidRPr="00D00D38">
        <w:rPr>
          <w:rFonts w:ascii="Bookman Old Style" w:hAnsi="Bookman Old Style" w:cs="Arial"/>
          <w:color w:val="000000" w:themeColor="text1"/>
        </w:rPr>
        <w:t>E</w:t>
      </w:r>
      <w:r>
        <w:rPr>
          <w:rFonts w:ascii="Bookman Old Style" w:hAnsi="Bookman Old Style" w:cs="Arial"/>
          <w:color w:val="000000" w:themeColor="text1"/>
          <w:lang w:eastAsia="es-CO"/>
        </w:rPr>
        <w:t xml:space="preserve">l gestor del mercado de gas natural, a través de la fiducia mercantil que para tales efectos constituya, </w:t>
      </w:r>
      <w:r w:rsidR="00053B08">
        <w:rPr>
          <w:rFonts w:ascii="Bookman Old Style" w:hAnsi="Bookman Old Style" w:cs="Arial"/>
          <w:color w:val="000000" w:themeColor="text1"/>
          <w:lang w:eastAsia="es-CO"/>
        </w:rPr>
        <w:t>adoptará</w:t>
      </w:r>
      <w:r>
        <w:rPr>
          <w:rFonts w:ascii="Bookman Old Style" w:hAnsi="Bookman Old Style" w:cs="Arial"/>
          <w:color w:val="000000" w:themeColor="text1"/>
          <w:lang w:eastAsia="es-CO"/>
        </w:rPr>
        <w:t xml:space="preserve"> los mecanismos para que a los participantes que no resulten las asignaciones se les regresen las garantías de participación. Esta y otras disposiciones que se consideren necesarias, deberán ser explícitas en el reglamento que rija la operación de la fiducia mercantil.</w:t>
      </w:r>
    </w:p>
    <w:p w:rsidR="006249D9" w:rsidRPr="00FB5B62" w:rsidRDefault="006249D9" w:rsidP="006249D9">
      <w:pPr>
        <w:ind w:left="0"/>
        <w:jc w:val="both"/>
        <w:rPr>
          <w:rFonts w:ascii="Bookman Old Style" w:hAnsi="Bookman Old Style"/>
          <w:color w:val="000000" w:themeColor="text1"/>
        </w:rPr>
      </w:pPr>
    </w:p>
    <w:p w:rsidR="006249D9" w:rsidRPr="004B3B4B" w:rsidRDefault="006249D9" w:rsidP="006249D9">
      <w:pPr>
        <w:ind w:left="0"/>
        <w:jc w:val="center"/>
        <w:rPr>
          <w:rFonts w:ascii="Bookman Old Style" w:hAnsi="Bookman Old Style"/>
          <w:color w:val="000000" w:themeColor="text1"/>
        </w:rPr>
      </w:pPr>
    </w:p>
    <w:p w:rsidR="006249D9" w:rsidRDefault="006249D9" w:rsidP="006249D9">
      <w:pPr>
        <w:ind w:left="0"/>
        <w:jc w:val="center"/>
        <w:rPr>
          <w:rFonts w:ascii="Bookman Old Style" w:hAnsi="Bookman Old Style"/>
          <w:color w:val="000000" w:themeColor="text1"/>
        </w:rPr>
      </w:pPr>
    </w:p>
    <w:p w:rsidR="00CC52DF" w:rsidRDefault="00CC52DF" w:rsidP="006249D9">
      <w:pPr>
        <w:ind w:left="0"/>
        <w:jc w:val="center"/>
        <w:rPr>
          <w:rFonts w:ascii="Bookman Old Style" w:hAnsi="Bookman Old Style"/>
          <w:color w:val="000000" w:themeColor="text1"/>
        </w:rPr>
      </w:pPr>
    </w:p>
    <w:p w:rsidR="00CC52DF" w:rsidRPr="004B3B4B" w:rsidRDefault="00CC52DF" w:rsidP="006249D9">
      <w:pPr>
        <w:ind w:left="0"/>
        <w:jc w:val="center"/>
        <w:rPr>
          <w:rFonts w:ascii="Bookman Old Style" w:hAnsi="Bookman Old Style"/>
          <w:color w:val="000000" w:themeColor="text1"/>
        </w:rPr>
      </w:pPr>
    </w:p>
    <w:tbl>
      <w:tblPr>
        <w:tblW w:w="11131" w:type="dxa"/>
        <w:jc w:val="center"/>
        <w:tblInd w:w="1354" w:type="dxa"/>
        <w:tblLayout w:type="fixed"/>
        <w:tblCellMar>
          <w:left w:w="70" w:type="dxa"/>
          <w:right w:w="70" w:type="dxa"/>
        </w:tblCellMar>
        <w:tblLook w:val="0000" w:firstRow="0" w:lastRow="0" w:firstColumn="0" w:lastColumn="0" w:noHBand="0" w:noVBand="0"/>
      </w:tblPr>
      <w:tblGrid>
        <w:gridCol w:w="6348"/>
        <w:gridCol w:w="4783"/>
      </w:tblGrid>
      <w:tr w:rsidR="00CC52DF" w:rsidRPr="00666660" w:rsidTr="009037FB">
        <w:trPr>
          <w:jc w:val="center"/>
        </w:trPr>
        <w:tc>
          <w:tcPr>
            <w:tcW w:w="6348" w:type="dxa"/>
          </w:tcPr>
          <w:p w:rsidR="00CC52DF" w:rsidRDefault="00CC52DF" w:rsidP="009037FB">
            <w:pPr>
              <w:ind w:left="0" w:right="-288"/>
              <w:jc w:val="center"/>
              <w:rPr>
                <w:rFonts w:ascii="Bookman Old Style" w:hAnsi="Bookman Old Style"/>
                <w:b/>
              </w:rPr>
            </w:pPr>
            <w:r>
              <w:rPr>
                <w:rFonts w:ascii="Bookman Old Style" w:hAnsi="Bookman Old Style"/>
                <w:b/>
              </w:rPr>
              <w:t>CARLOS FERNANDO ERASO CALERO</w:t>
            </w:r>
          </w:p>
          <w:p w:rsidR="00CC52DF" w:rsidRDefault="00CC52DF" w:rsidP="009037FB">
            <w:pPr>
              <w:suppressAutoHyphens/>
              <w:ind w:left="0"/>
              <w:jc w:val="center"/>
              <w:rPr>
                <w:rFonts w:ascii="Bookman Old Style" w:hAnsi="Bookman Old Style"/>
              </w:rPr>
            </w:pPr>
            <w:r>
              <w:rPr>
                <w:rFonts w:ascii="Bookman Old Style" w:hAnsi="Bookman Old Style"/>
              </w:rPr>
              <w:t>Viceministro de E</w:t>
            </w:r>
            <w:r w:rsidRPr="00EF4ACC">
              <w:rPr>
                <w:rFonts w:ascii="Bookman Old Style" w:hAnsi="Bookman Old Style"/>
              </w:rPr>
              <w:t>nergía</w:t>
            </w:r>
          </w:p>
          <w:p w:rsidR="00CC52DF" w:rsidRDefault="00CC52DF" w:rsidP="009037FB">
            <w:pPr>
              <w:suppressAutoHyphens/>
              <w:ind w:left="0"/>
              <w:jc w:val="center"/>
            </w:pPr>
            <w:r>
              <w:rPr>
                <w:rFonts w:ascii="Bookman Old Style" w:hAnsi="Bookman Old Style"/>
              </w:rPr>
              <w:t>Delegado del Ministro de Minas y Energía</w:t>
            </w:r>
          </w:p>
          <w:p w:rsidR="00CC52DF" w:rsidRPr="00BD0865" w:rsidRDefault="00CC52DF" w:rsidP="009037FB">
            <w:pPr>
              <w:tabs>
                <w:tab w:val="left" w:pos="-720"/>
              </w:tabs>
              <w:suppressAutoHyphens/>
              <w:ind w:left="0"/>
              <w:jc w:val="center"/>
              <w:rPr>
                <w:rFonts w:ascii="Bookman Old Style" w:hAnsi="Bookman Old Style" w:cs="Arial"/>
                <w:b/>
                <w:strike/>
                <w:spacing w:val="-3"/>
              </w:rPr>
            </w:pPr>
            <w:r w:rsidRPr="00EF4ACC">
              <w:rPr>
                <w:rFonts w:ascii="Bookman Old Style" w:hAnsi="Bookman Old Style"/>
              </w:rPr>
              <w:t>Presidente</w:t>
            </w:r>
          </w:p>
        </w:tc>
        <w:tc>
          <w:tcPr>
            <w:tcW w:w="4783" w:type="dxa"/>
          </w:tcPr>
          <w:p w:rsidR="00CC52DF" w:rsidRDefault="00CC52DF" w:rsidP="009037FB">
            <w:pPr>
              <w:ind w:left="-143"/>
              <w:jc w:val="center"/>
              <w:rPr>
                <w:rFonts w:ascii="Bookman Old Style" w:hAnsi="Bookman Old Style"/>
                <w:b/>
              </w:rPr>
            </w:pPr>
            <w:r>
              <w:rPr>
                <w:rFonts w:ascii="Bookman Old Style" w:hAnsi="Bookman Old Style"/>
                <w:b/>
              </w:rPr>
              <w:t>JORGE PINTO NOLLA</w:t>
            </w:r>
          </w:p>
          <w:p w:rsidR="00CC52DF" w:rsidRPr="00666660" w:rsidRDefault="00CC52DF" w:rsidP="009037FB">
            <w:pPr>
              <w:tabs>
                <w:tab w:val="left" w:pos="-720"/>
              </w:tabs>
              <w:suppressAutoHyphens/>
              <w:ind w:left="-143"/>
              <w:jc w:val="center"/>
              <w:rPr>
                <w:rFonts w:ascii="Bookman Old Style" w:hAnsi="Bookman Old Style" w:cs="Arial"/>
                <w:b/>
                <w:spacing w:val="-3"/>
              </w:rPr>
            </w:pPr>
            <w:r w:rsidRPr="00666660">
              <w:rPr>
                <w:rFonts w:ascii="Bookman Old Style" w:hAnsi="Bookman Old Style" w:cs="Arial"/>
                <w:spacing w:val="-3"/>
              </w:rPr>
              <w:t>Director Ejecutivo</w:t>
            </w:r>
          </w:p>
        </w:tc>
      </w:tr>
    </w:tbl>
    <w:p w:rsidR="006249D9" w:rsidRDefault="006249D9" w:rsidP="006249D9">
      <w:pPr>
        <w:ind w:left="0"/>
        <w:jc w:val="center"/>
        <w:rPr>
          <w:rFonts w:ascii="Bookman Old Style" w:hAnsi="Bookman Old Style"/>
          <w:color w:val="000000" w:themeColor="text1"/>
        </w:rPr>
      </w:pPr>
    </w:p>
    <w:p w:rsidR="006249D9" w:rsidRPr="004B3B4B" w:rsidRDefault="006249D9" w:rsidP="006249D9">
      <w:pPr>
        <w:ind w:left="0"/>
        <w:rPr>
          <w:rFonts w:ascii="Bookman Old Style" w:hAnsi="Bookman Old Style"/>
          <w:bCs/>
          <w:snapToGrid w:val="0"/>
          <w:color w:val="000000" w:themeColor="text1"/>
          <w:spacing w:val="20"/>
          <w:lang w:eastAsia="x-none"/>
        </w:rPr>
      </w:pPr>
    </w:p>
    <w:p w:rsidR="00F813A4" w:rsidRPr="006249D9" w:rsidRDefault="00F813A4" w:rsidP="006249D9"/>
    <w:sectPr w:rsidR="00F813A4" w:rsidRPr="006249D9"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39F" w:rsidRDefault="00CD139F">
      <w:r>
        <w:separator/>
      </w:r>
    </w:p>
  </w:endnote>
  <w:endnote w:type="continuationSeparator" w:id="0">
    <w:p w:rsidR="00CD139F" w:rsidRDefault="00CD1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Futura Lt BT">
    <w:altName w:val="Century Gothic"/>
    <w:charset w:val="00"/>
    <w:family w:val="swiss"/>
    <w:pitch w:val="variable"/>
    <w:sig w:usb0="00000001" w:usb1="00000000" w:usb2="00000000" w:usb3="00000000" w:csb0="0000001B"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39F" w:rsidRDefault="00CD139F">
      <w:r>
        <w:separator/>
      </w:r>
    </w:p>
  </w:footnote>
  <w:footnote w:type="continuationSeparator" w:id="0">
    <w:p w:rsidR="00CD139F" w:rsidRDefault="00CD13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39F" w:rsidRDefault="00CD139F" w:rsidP="00951F79">
    <w:pPr>
      <w:pStyle w:val="Ttulo1"/>
      <w:ind w:right="6"/>
      <w:jc w:val="left"/>
      <w:rPr>
        <w:rFonts w:ascii="Bookman Old Style" w:hAnsi="Bookman Old Style" w:cs="Arial"/>
        <w:b w:val="0"/>
        <w:sz w:val="22"/>
        <w:szCs w:val="22"/>
      </w:rPr>
    </w:pPr>
  </w:p>
  <w:p w:rsidR="00CD139F" w:rsidRPr="00951F79" w:rsidRDefault="00CD139F"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8955C4">
      <w:rPr>
        <w:rFonts w:ascii="Bookman Old Style" w:hAnsi="Bookman Old Style" w:cs="Arial"/>
        <w:b w:val="0"/>
        <w:noProof/>
        <w:sz w:val="22"/>
        <w:szCs w:val="22"/>
      </w:rPr>
      <w:t>23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8955C4">
      <w:fldChar w:fldCharType="begin"/>
    </w:r>
    <w:r w:rsidR="008955C4">
      <w:instrText xml:space="preserve"> NUMPAGES  \* MERGEFORMAT </w:instrText>
    </w:r>
    <w:r w:rsidR="008955C4">
      <w:fldChar w:fldCharType="separate"/>
    </w:r>
    <w:r w:rsidR="008955C4" w:rsidRPr="008955C4">
      <w:rPr>
        <w:rFonts w:ascii="Bookman Old Style" w:hAnsi="Bookman Old Style" w:cs="Arial"/>
        <w:b w:val="0"/>
        <w:noProof/>
        <w:sz w:val="22"/>
        <w:szCs w:val="22"/>
      </w:rPr>
      <w:t>23</w:t>
    </w:r>
    <w:r w:rsidR="008955C4">
      <w:rPr>
        <w:rFonts w:ascii="Bookman Old Style" w:hAnsi="Bookman Old Style" w:cs="Arial"/>
        <w:b w:val="0"/>
        <w:noProof/>
        <w:sz w:val="22"/>
        <w:szCs w:val="22"/>
      </w:rPr>
      <w:fldChar w:fldCharType="end"/>
    </w:r>
  </w:p>
  <w:p w:rsidR="00CD139F" w:rsidRDefault="00CD139F"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26F84BD1" wp14:editId="1E814AD9">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CD139F" w:rsidRDefault="00CD139F" w:rsidP="00802125">
    <w:pPr>
      <w:ind w:left="0"/>
      <w:jc w:val="both"/>
      <w:rPr>
        <w:rFonts w:ascii="Bookman Old Style" w:hAnsi="Bookman Old Style" w:cs="Arial"/>
        <w:color w:val="000000" w:themeColor="text1"/>
        <w:lang w:eastAsia="es-CO"/>
      </w:rPr>
    </w:pPr>
    <w:r w:rsidRPr="004B3B4B">
      <w:rPr>
        <w:rFonts w:ascii="Bookman Old Style" w:hAnsi="Bookman Old Style" w:cs="Arial"/>
        <w:color w:val="000000" w:themeColor="text1"/>
        <w:lang w:eastAsia="es-CO"/>
      </w:rPr>
      <w:t xml:space="preserve">Por </w:t>
    </w:r>
    <w:r>
      <w:rPr>
        <w:rFonts w:ascii="Bookman Old Style" w:hAnsi="Bookman Old Style" w:cs="Arial"/>
        <w:color w:val="000000" w:themeColor="text1"/>
        <w:lang w:eastAsia="es-CO"/>
      </w:rPr>
      <w:t>el</w:t>
    </w:r>
    <w:r w:rsidRPr="004B3B4B">
      <w:rPr>
        <w:rFonts w:ascii="Bookman Old Style" w:hAnsi="Bookman Old Style" w:cs="Arial"/>
        <w:color w:val="000000" w:themeColor="text1"/>
        <w:lang w:eastAsia="es-CO"/>
      </w:rPr>
      <w:t xml:space="preserve"> cual se dictan disposiciones</w:t>
    </w:r>
    <w:r>
      <w:rPr>
        <w:rFonts w:ascii="Bookman Old Style" w:hAnsi="Bookman Old Style" w:cs="Arial"/>
        <w:color w:val="000000" w:themeColor="text1"/>
        <w:lang w:eastAsia="es-CO"/>
      </w:rPr>
      <w:t xml:space="preserve"> generales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 xml:space="preserve">que regirán </w:t>
    </w:r>
    <w:r w:rsidRPr="004B3B4B">
      <w:rPr>
        <w:rFonts w:ascii="Bookman Old Style" w:hAnsi="Bookman Old Style" w:cs="Arial"/>
        <w:color w:val="000000" w:themeColor="text1"/>
        <w:lang w:eastAsia="es-CO"/>
      </w:rPr>
      <w:t>l</w:t>
    </w:r>
    <w:r>
      <w:rPr>
        <w:rFonts w:ascii="Bookman Old Style" w:hAnsi="Bookman Old Style" w:cs="Arial"/>
        <w:color w:val="000000" w:themeColor="text1"/>
        <w:lang w:eastAsia="es-CO"/>
      </w:rPr>
      <w:t>os</w:t>
    </w:r>
    <w:r w:rsidRPr="004B3B4B">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mecanismos de cobertura en las subastas de contratos firmes bimestrales y de largo plazo y en las subastas de capacidad de transporte en los procesos úselo o véndalo de largo plazo.</w:t>
    </w:r>
  </w:p>
  <w:p w:rsidR="00CD139F" w:rsidRPr="00047690" w:rsidRDefault="00CD139F" w:rsidP="00802125">
    <w:pPr>
      <w:ind w:left="0"/>
      <w:jc w:val="both"/>
      <w:rPr>
        <w:rFonts w:ascii="Bookman Old Style" w:hAnsi="Bookman Old Style" w:cs="Arial"/>
        <w:b/>
        <w:bCs/>
        <w:color w:val="000000" w:themeColor="text1"/>
        <w:lang w:eastAsia="es-CO"/>
      </w:rPr>
    </w:pPr>
    <w:r>
      <w:rPr>
        <w:rFonts w:ascii="Bookman Old Style" w:hAnsi="Bookman Old Style" w:cs="Arial"/>
        <w:color w:val="000000" w:themeColor="text1"/>
        <w:lang w:eastAsia="es-CO"/>
      </w:rPr>
      <w:t>______________________________________________________________________________</w:t>
    </w:r>
  </w:p>
  <w:p w:rsidR="00CD139F" w:rsidRDefault="00CD139F" w:rsidP="00802125">
    <w:pPr>
      <w:ind w:left="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39F" w:rsidRDefault="00CD139F"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CD139F" w:rsidRDefault="00CD139F">
    <w:pPr>
      <w:pStyle w:val="Encabezado"/>
      <w:jc w:val="center"/>
      <w:rPr>
        <w:rFonts w:ascii="Arial" w:hAnsi="Arial" w:cs="Arial"/>
        <w:spacing w:val="20"/>
        <w:sz w:val="20"/>
      </w:rPr>
    </w:pPr>
  </w:p>
  <w:p w:rsidR="00CD139F" w:rsidRDefault="00CD139F"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42F082EF" wp14:editId="1FDBEFFB">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0A2C5CE1"/>
    <w:multiLevelType w:val="multilevel"/>
    <w:tmpl w:val="AF6C6AF8"/>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0B1C5795"/>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3">
    <w:nsid w:val="0EE2331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
    <w:nsid w:val="11633535"/>
    <w:multiLevelType w:val="hybridMultilevel"/>
    <w:tmpl w:val="FE4C2D46"/>
    <w:lvl w:ilvl="0" w:tplc="EAD0DD34">
      <w:start w:val="1"/>
      <w:numFmt w:val="lowerLetter"/>
      <w:lvlText w:val="%1."/>
      <w:lvlJc w:val="left"/>
      <w:pPr>
        <w:ind w:left="360" w:hanging="360"/>
      </w:pPr>
      <w:rPr>
        <w:rFonts w:hint="default"/>
      </w:rPr>
    </w:lvl>
    <w:lvl w:ilvl="1" w:tplc="240A0019" w:tentative="1">
      <w:start w:val="1"/>
      <w:numFmt w:val="lowerLetter"/>
      <w:lvlText w:val="%2."/>
      <w:lvlJc w:val="left"/>
      <w:pPr>
        <w:ind w:left="-540" w:hanging="360"/>
      </w:pPr>
    </w:lvl>
    <w:lvl w:ilvl="2" w:tplc="240A001B" w:tentative="1">
      <w:start w:val="1"/>
      <w:numFmt w:val="lowerRoman"/>
      <w:lvlText w:val="%3."/>
      <w:lvlJc w:val="right"/>
      <w:pPr>
        <w:ind w:left="180" w:hanging="180"/>
      </w:pPr>
    </w:lvl>
    <w:lvl w:ilvl="3" w:tplc="240A000F" w:tentative="1">
      <w:start w:val="1"/>
      <w:numFmt w:val="decimal"/>
      <w:lvlText w:val="%4."/>
      <w:lvlJc w:val="left"/>
      <w:pPr>
        <w:ind w:left="900" w:hanging="360"/>
      </w:pPr>
    </w:lvl>
    <w:lvl w:ilvl="4" w:tplc="240A0019" w:tentative="1">
      <w:start w:val="1"/>
      <w:numFmt w:val="lowerLetter"/>
      <w:lvlText w:val="%5."/>
      <w:lvlJc w:val="left"/>
      <w:pPr>
        <w:ind w:left="1620" w:hanging="360"/>
      </w:pPr>
    </w:lvl>
    <w:lvl w:ilvl="5" w:tplc="240A001B" w:tentative="1">
      <w:start w:val="1"/>
      <w:numFmt w:val="lowerRoman"/>
      <w:lvlText w:val="%6."/>
      <w:lvlJc w:val="right"/>
      <w:pPr>
        <w:ind w:left="2340" w:hanging="180"/>
      </w:pPr>
    </w:lvl>
    <w:lvl w:ilvl="6" w:tplc="240A000F" w:tentative="1">
      <w:start w:val="1"/>
      <w:numFmt w:val="decimal"/>
      <w:lvlText w:val="%7."/>
      <w:lvlJc w:val="left"/>
      <w:pPr>
        <w:ind w:left="3060" w:hanging="360"/>
      </w:pPr>
    </w:lvl>
    <w:lvl w:ilvl="7" w:tplc="240A0019" w:tentative="1">
      <w:start w:val="1"/>
      <w:numFmt w:val="lowerLetter"/>
      <w:lvlText w:val="%8."/>
      <w:lvlJc w:val="left"/>
      <w:pPr>
        <w:ind w:left="3780" w:hanging="360"/>
      </w:pPr>
    </w:lvl>
    <w:lvl w:ilvl="8" w:tplc="240A001B" w:tentative="1">
      <w:start w:val="1"/>
      <w:numFmt w:val="lowerRoman"/>
      <w:lvlText w:val="%9."/>
      <w:lvlJc w:val="right"/>
      <w:pPr>
        <w:ind w:left="4500" w:hanging="180"/>
      </w:pPr>
    </w:lvl>
  </w:abstractNum>
  <w:abstractNum w:abstractNumId="5">
    <w:nsid w:val="13B11452"/>
    <w:multiLevelType w:val="multilevel"/>
    <w:tmpl w:val="3A0A0B1E"/>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sz w:val="24"/>
        <w:szCs w:val="24"/>
        <w:lang w:val="es-ES"/>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1AC077BB"/>
    <w:multiLevelType w:val="multilevel"/>
    <w:tmpl w:val="B66E0CD6"/>
    <w:lvl w:ilvl="0">
      <w:start w:val="1"/>
      <w:numFmt w:val="decimal"/>
      <w:lvlText w:val="%1."/>
      <w:lvlJc w:val="left"/>
      <w:pPr>
        <w:ind w:left="786" w:hanging="360"/>
      </w:pPr>
      <w:rPr>
        <w:rFonts w:ascii="Arial" w:hAnsi="Arial" w:cs="Arial" w:hint="default"/>
        <w:sz w:val="22"/>
        <w:szCs w:val="22"/>
      </w:rPr>
    </w:lvl>
    <w:lvl w:ilvl="1">
      <w:start w:val="1"/>
      <w:numFmt w:val="decimal"/>
      <w:isLgl/>
      <w:lvlText w:val="%1.%2."/>
      <w:lvlJc w:val="left"/>
      <w:pPr>
        <w:ind w:left="1146" w:hanging="720"/>
      </w:pPr>
      <w:rPr>
        <w:rFonts w:eastAsia="Calibri" w:hint="default"/>
      </w:rPr>
    </w:lvl>
    <w:lvl w:ilvl="2">
      <w:start w:val="1"/>
      <w:numFmt w:val="decimal"/>
      <w:isLgl/>
      <w:lvlText w:val="%1.%2.%3."/>
      <w:lvlJc w:val="left"/>
      <w:pPr>
        <w:ind w:left="1146" w:hanging="720"/>
      </w:pPr>
      <w:rPr>
        <w:rFonts w:eastAsia="Calibri" w:hint="default"/>
      </w:rPr>
    </w:lvl>
    <w:lvl w:ilvl="3">
      <w:start w:val="1"/>
      <w:numFmt w:val="decimal"/>
      <w:isLgl/>
      <w:lvlText w:val="%1.%2.%3.%4."/>
      <w:lvlJc w:val="left"/>
      <w:pPr>
        <w:ind w:left="1506" w:hanging="1080"/>
      </w:pPr>
      <w:rPr>
        <w:rFonts w:eastAsia="Calibri" w:hint="default"/>
      </w:rPr>
    </w:lvl>
    <w:lvl w:ilvl="4">
      <w:start w:val="1"/>
      <w:numFmt w:val="decimal"/>
      <w:isLgl/>
      <w:lvlText w:val="%1.%2.%3.%4.%5."/>
      <w:lvlJc w:val="left"/>
      <w:pPr>
        <w:ind w:left="1506" w:hanging="1080"/>
      </w:pPr>
      <w:rPr>
        <w:rFonts w:eastAsia="Calibri" w:hint="default"/>
      </w:rPr>
    </w:lvl>
    <w:lvl w:ilvl="5">
      <w:start w:val="1"/>
      <w:numFmt w:val="decimal"/>
      <w:isLgl/>
      <w:lvlText w:val="%1.%2.%3.%4.%5.%6."/>
      <w:lvlJc w:val="left"/>
      <w:pPr>
        <w:ind w:left="1866" w:hanging="1440"/>
      </w:pPr>
      <w:rPr>
        <w:rFonts w:eastAsia="Calibri" w:hint="default"/>
      </w:rPr>
    </w:lvl>
    <w:lvl w:ilvl="6">
      <w:start w:val="1"/>
      <w:numFmt w:val="decimal"/>
      <w:isLgl/>
      <w:lvlText w:val="%1.%2.%3.%4.%5.%6.%7."/>
      <w:lvlJc w:val="left"/>
      <w:pPr>
        <w:ind w:left="1866" w:hanging="1440"/>
      </w:pPr>
      <w:rPr>
        <w:rFonts w:eastAsia="Calibri" w:hint="default"/>
      </w:rPr>
    </w:lvl>
    <w:lvl w:ilvl="7">
      <w:start w:val="1"/>
      <w:numFmt w:val="decimal"/>
      <w:isLgl/>
      <w:lvlText w:val="%1.%2.%3.%4.%5.%6.%7.%8."/>
      <w:lvlJc w:val="left"/>
      <w:pPr>
        <w:ind w:left="2226" w:hanging="1800"/>
      </w:pPr>
      <w:rPr>
        <w:rFonts w:eastAsia="Calibri" w:hint="default"/>
      </w:rPr>
    </w:lvl>
    <w:lvl w:ilvl="8">
      <w:start w:val="1"/>
      <w:numFmt w:val="decimal"/>
      <w:isLgl/>
      <w:lvlText w:val="%1.%2.%3.%4.%5.%6.%7.%8.%9."/>
      <w:lvlJc w:val="left"/>
      <w:pPr>
        <w:ind w:left="2226" w:hanging="1800"/>
      </w:pPr>
      <w:rPr>
        <w:rFonts w:eastAsia="Calibri" w:hint="default"/>
      </w:rPr>
    </w:lvl>
  </w:abstractNum>
  <w:abstractNum w:abstractNumId="7">
    <w:nsid w:val="21C67412"/>
    <w:multiLevelType w:val="multilevel"/>
    <w:tmpl w:val="3A0A0B1E"/>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sz w:val="24"/>
        <w:szCs w:val="24"/>
        <w:lang w:val="es-ES"/>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226B1581"/>
    <w:multiLevelType w:val="hybridMultilevel"/>
    <w:tmpl w:val="46C09F7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2447747A"/>
    <w:multiLevelType w:val="hybridMultilevel"/>
    <w:tmpl w:val="3B8E49C6"/>
    <w:lvl w:ilvl="0" w:tplc="C87E123C">
      <w:start w:val="1"/>
      <w:numFmt w:val="lowerLetter"/>
      <w:lvlText w:val="%1)"/>
      <w:lvlJc w:val="left"/>
      <w:pPr>
        <w:ind w:left="1440" w:hanging="720"/>
      </w:pPr>
      <w:rPr>
        <w:rFonts w:ascii="Arial" w:hAnsi="Arial" w:cs="Arial" w:hint="default"/>
        <w:b w:val="0"/>
        <w:i w:val="0"/>
        <w:sz w:val="22"/>
        <w:szCs w:val="22"/>
      </w:rPr>
    </w:lvl>
    <w:lvl w:ilvl="1" w:tplc="240A0019">
      <w:start w:val="1"/>
      <w:numFmt w:val="lowerLetter"/>
      <w:lvlText w:val="%2."/>
      <w:lvlJc w:val="left"/>
      <w:pPr>
        <w:ind w:left="1800" w:hanging="360"/>
      </w:pPr>
    </w:lvl>
    <w:lvl w:ilvl="2" w:tplc="BE86C692">
      <w:start w:val="28"/>
      <w:numFmt w:val="decimal"/>
      <w:lvlText w:val="%3"/>
      <w:lvlJc w:val="left"/>
      <w:pPr>
        <w:ind w:left="2700" w:hanging="360"/>
      </w:pPr>
      <w:rPr>
        <w:rFonts w:hint="default"/>
      </w:r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0">
    <w:nsid w:val="29846545"/>
    <w:multiLevelType w:val="hybridMultilevel"/>
    <w:tmpl w:val="42401068"/>
    <w:lvl w:ilvl="0" w:tplc="FCFAD036">
      <w:start w:val="10"/>
      <w:numFmt w:val="bullet"/>
      <w:lvlText w:val="-"/>
      <w:lvlJc w:val="left"/>
      <w:pPr>
        <w:ind w:left="720" w:hanging="360"/>
      </w:pPr>
      <w:rPr>
        <w:rFonts w:ascii="Futura Lt BT" w:eastAsia="Times New Roman" w:hAnsi="Futura Lt BT"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2B686471"/>
    <w:multiLevelType w:val="hybridMultilevel"/>
    <w:tmpl w:val="046039E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2F0767EE"/>
    <w:multiLevelType w:val="multilevel"/>
    <w:tmpl w:val="FA36A4F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lang w:val="es-ES"/>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nsid w:val="308D4426"/>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nsid w:val="3213303F"/>
    <w:multiLevelType w:val="hybridMultilevel"/>
    <w:tmpl w:val="E21AA40C"/>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5">
    <w:nsid w:val="3B183C92"/>
    <w:multiLevelType w:val="multilevel"/>
    <w:tmpl w:val="AF6C6AF8"/>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3C8D2C8C"/>
    <w:multiLevelType w:val="multilevel"/>
    <w:tmpl w:val="AF6C6AF8"/>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45C43DDF"/>
    <w:multiLevelType w:val="multilevel"/>
    <w:tmpl w:val="3A0A0B1E"/>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sz w:val="24"/>
        <w:szCs w:val="24"/>
        <w:lang w:val="es-ES"/>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463F3243"/>
    <w:multiLevelType w:val="hybridMultilevel"/>
    <w:tmpl w:val="80BE7C6E"/>
    <w:lvl w:ilvl="0" w:tplc="ED267084">
      <w:start w:val="1"/>
      <w:numFmt w:val="lowerLetter"/>
      <w:lvlText w:val="%1)"/>
      <w:lvlJc w:val="left"/>
      <w:pPr>
        <w:ind w:left="1440" w:hanging="720"/>
      </w:pPr>
      <w:rPr>
        <w:rFonts w:ascii="Arial" w:hAnsi="Arial" w:cs="Arial" w:hint="default"/>
        <w:b w:val="0"/>
        <w:i w:val="0"/>
        <w:sz w:val="22"/>
        <w:szCs w:val="22"/>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
    <w:nsid w:val="47A242CB"/>
    <w:multiLevelType w:val="multilevel"/>
    <w:tmpl w:val="3A0A0B1E"/>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sz w:val="24"/>
        <w:szCs w:val="24"/>
        <w:lang w:val="es-ES"/>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nsid w:val="4D9A558F"/>
    <w:multiLevelType w:val="hybridMultilevel"/>
    <w:tmpl w:val="DF22BF62"/>
    <w:lvl w:ilvl="0" w:tplc="240A0017">
      <w:start w:val="1"/>
      <w:numFmt w:val="lowerLetter"/>
      <w:lvlText w:val="%1)"/>
      <w:lvlJc w:val="left"/>
      <w:pPr>
        <w:ind w:left="720" w:hanging="360"/>
      </w:pPr>
    </w:lvl>
    <w:lvl w:ilvl="1" w:tplc="AE22C066">
      <w:start w:val="1"/>
      <w:numFmt w:val="lowerLetter"/>
      <w:lvlText w:val="%2)"/>
      <w:lvlJc w:val="left"/>
      <w:pPr>
        <w:ind w:left="1440" w:hanging="360"/>
      </w:pPr>
      <w:rPr>
        <w:rFonts w:hint="default"/>
      </w:rPr>
    </w:lvl>
    <w:lvl w:ilvl="2" w:tplc="EAD0DD34">
      <w:start w:val="1"/>
      <w:numFmt w:val="lowerLetter"/>
      <w:lvlText w:val="%3."/>
      <w:lvlJc w:val="left"/>
      <w:pPr>
        <w:ind w:left="2340" w:hanging="360"/>
      </w:pPr>
      <w:rPr>
        <w:rFonts w:hint="default"/>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4E1E2C39"/>
    <w:multiLevelType w:val="hybridMultilevel"/>
    <w:tmpl w:val="A2C62E20"/>
    <w:lvl w:ilvl="0" w:tplc="0C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2">
    <w:nsid w:val="518935CA"/>
    <w:multiLevelType w:val="multilevel"/>
    <w:tmpl w:val="AF6C6AF8"/>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nsid w:val="53BC1C75"/>
    <w:multiLevelType w:val="multilevel"/>
    <w:tmpl w:val="AF6C6AF8"/>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547C7244"/>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nsid w:val="5F8E1456"/>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7">
    <w:nsid w:val="64A019EA"/>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8">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9">
    <w:nsid w:val="684142E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0">
    <w:nsid w:val="69972564"/>
    <w:multiLevelType w:val="multilevel"/>
    <w:tmpl w:val="AF6C6AF8"/>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1">
    <w:nsid w:val="6B817B26"/>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nsid w:val="728B1034"/>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3">
    <w:nsid w:val="72DE7A0B"/>
    <w:multiLevelType w:val="multilevel"/>
    <w:tmpl w:val="ECA641B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4">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num w:numId="1">
    <w:abstractNumId w:val="34"/>
  </w:num>
  <w:num w:numId="2">
    <w:abstractNumId w:val="25"/>
  </w:num>
  <w:num w:numId="3">
    <w:abstractNumId w:val="0"/>
  </w:num>
  <w:num w:numId="4">
    <w:abstractNumId w:val="28"/>
  </w:num>
  <w:num w:numId="5">
    <w:abstractNumId w:val="19"/>
  </w:num>
  <w:num w:numId="6">
    <w:abstractNumId w:val="6"/>
  </w:num>
  <w:num w:numId="7">
    <w:abstractNumId w:val="9"/>
  </w:num>
  <w:num w:numId="8">
    <w:abstractNumId w:val="18"/>
  </w:num>
  <w:num w:numId="9">
    <w:abstractNumId w:val="21"/>
  </w:num>
  <w:num w:numId="10">
    <w:abstractNumId w:val="34"/>
  </w:num>
  <w:num w:numId="11">
    <w:abstractNumId w:val="20"/>
  </w:num>
  <w:num w:numId="12">
    <w:abstractNumId w:val="10"/>
  </w:num>
  <w:num w:numId="13">
    <w:abstractNumId w:val="4"/>
  </w:num>
  <w:num w:numId="14">
    <w:abstractNumId w:val="34"/>
  </w:num>
  <w:num w:numId="15">
    <w:abstractNumId w:val="34"/>
  </w:num>
  <w:num w:numId="16">
    <w:abstractNumId w:val="34"/>
  </w:num>
  <w:num w:numId="17">
    <w:abstractNumId w:val="2"/>
  </w:num>
  <w:num w:numId="18">
    <w:abstractNumId w:val="29"/>
  </w:num>
  <w:num w:numId="19">
    <w:abstractNumId w:val="14"/>
  </w:num>
  <w:num w:numId="20">
    <w:abstractNumId w:val="34"/>
  </w:num>
  <w:num w:numId="21">
    <w:abstractNumId w:val="3"/>
  </w:num>
  <w:num w:numId="22">
    <w:abstractNumId w:val="8"/>
  </w:num>
  <w:num w:numId="23">
    <w:abstractNumId w:val="24"/>
  </w:num>
  <w:num w:numId="24">
    <w:abstractNumId w:val="32"/>
  </w:num>
  <w:num w:numId="25">
    <w:abstractNumId w:val="33"/>
  </w:num>
  <w:num w:numId="26">
    <w:abstractNumId w:val="13"/>
  </w:num>
  <w:num w:numId="27">
    <w:abstractNumId w:val="26"/>
  </w:num>
  <w:num w:numId="28">
    <w:abstractNumId w:val="31"/>
  </w:num>
  <w:num w:numId="29">
    <w:abstractNumId w:val="27"/>
  </w:num>
  <w:num w:numId="30">
    <w:abstractNumId w:val="1"/>
  </w:num>
  <w:num w:numId="31">
    <w:abstractNumId w:val="23"/>
  </w:num>
  <w:num w:numId="32">
    <w:abstractNumId w:val="16"/>
  </w:num>
  <w:num w:numId="33">
    <w:abstractNumId w:val="15"/>
  </w:num>
  <w:num w:numId="34">
    <w:abstractNumId w:val="22"/>
  </w:num>
  <w:num w:numId="35">
    <w:abstractNumId w:val="30"/>
  </w:num>
  <w:num w:numId="36">
    <w:abstractNumId w:val="12"/>
  </w:num>
  <w:num w:numId="37">
    <w:abstractNumId w:val="17"/>
  </w:num>
  <w:num w:numId="38">
    <w:abstractNumId w:val="5"/>
  </w:num>
  <w:num w:numId="39">
    <w:abstractNumId w:val="11"/>
  </w:num>
  <w:num w:numId="40">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38"/>
    <w:rsid w:val="00000CF9"/>
    <w:rsid w:val="00000FCB"/>
    <w:rsid w:val="00001A61"/>
    <w:rsid w:val="000020A8"/>
    <w:rsid w:val="0000328D"/>
    <w:rsid w:val="000034E8"/>
    <w:rsid w:val="000037CF"/>
    <w:rsid w:val="00003E8D"/>
    <w:rsid w:val="00004D83"/>
    <w:rsid w:val="00005ABF"/>
    <w:rsid w:val="00005EDD"/>
    <w:rsid w:val="0000654F"/>
    <w:rsid w:val="00006A04"/>
    <w:rsid w:val="00006AE2"/>
    <w:rsid w:val="00006F95"/>
    <w:rsid w:val="0000700C"/>
    <w:rsid w:val="000076A1"/>
    <w:rsid w:val="00007A06"/>
    <w:rsid w:val="00007EBA"/>
    <w:rsid w:val="00007F69"/>
    <w:rsid w:val="00010B1D"/>
    <w:rsid w:val="00010D61"/>
    <w:rsid w:val="00011D02"/>
    <w:rsid w:val="00012259"/>
    <w:rsid w:val="00012472"/>
    <w:rsid w:val="00012E4F"/>
    <w:rsid w:val="00013B69"/>
    <w:rsid w:val="00013B99"/>
    <w:rsid w:val="00013DEA"/>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C04"/>
    <w:rsid w:val="000252D3"/>
    <w:rsid w:val="00025383"/>
    <w:rsid w:val="0002564D"/>
    <w:rsid w:val="00025E09"/>
    <w:rsid w:val="00025F55"/>
    <w:rsid w:val="00026477"/>
    <w:rsid w:val="0002678D"/>
    <w:rsid w:val="00027CAD"/>
    <w:rsid w:val="00030034"/>
    <w:rsid w:val="00030C6C"/>
    <w:rsid w:val="00030C8A"/>
    <w:rsid w:val="00030F37"/>
    <w:rsid w:val="000310AB"/>
    <w:rsid w:val="000320B7"/>
    <w:rsid w:val="000324E6"/>
    <w:rsid w:val="00032B8C"/>
    <w:rsid w:val="0003364E"/>
    <w:rsid w:val="00033795"/>
    <w:rsid w:val="00034E9A"/>
    <w:rsid w:val="00035268"/>
    <w:rsid w:val="000356A7"/>
    <w:rsid w:val="00035CE1"/>
    <w:rsid w:val="00035D87"/>
    <w:rsid w:val="0003635C"/>
    <w:rsid w:val="00036B45"/>
    <w:rsid w:val="00037BB4"/>
    <w:rsid w:val="00037F75"/>
    <w:rsid w:val="00037FF5"/>
    <w:rsid w:val="00040199"/>
    <w:rsid w:val="000401A2"/>
    <w:rsid w:val="0004162E"/>
    <w:rsid w:val="0004200A"/>
    <w:rsid w:val="000429C1"/>
    <w:rsid w:val="00042E40"/>
    <w:rsid w:val="00044247"/>
    <w:rsid w:val="00044C64"/>
    <w:rsid w:val="00044E84"/>
    <w:rsid w:val="0004566B"/>
    <w:rsid w:val="00046241"/>
    <w:rsid w:val="00046E7F"/>
    <w:rsid w:val="00046EE7"/>
    <w:rsid w:val="00046F0B"/>
    <w:rsid w:val="00047690"/>
    <w:rsid w:val="0004777C"/>
    <w:rsid w:val="00047917"/>
    <w:rsid w:val="00047D40"/>
    <w:rsid w:val="00050277"/>
    <w:rsid w:val="0005199A"/>
    <w:rsid w:val="00051C46"/>
    <w:rsid w:val="00052EB6"/>
    <w:rsid w:val="00053175"/>
    <w:rsid w:val="0005340D"/>
    <w:rsid w:val="00053B08"/>
    <w:rsid w:val="00053EBD"/>
    <w:rsid w:val="0005424A"/>
    <w:rsid w:val="00054CBF"/>
    <w:rsid w:val="00055386"/>
    <w:rsid w:val="00055FFD"/>
    <w:rsid w:val="000568B3"/>
    <w:rsid w:val="000572D1"/>
    <w:rsid w:val="00057ABD"/>
    <w:rsid w:val="00057D91"/>
    <w:rsid w:val="00057DD5"/>
    <w:rsid w:val="0006018C"/>
    <w:rsid w:val="000607D1"/>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3CA"/>
    <w:rsid w:val="00070AF8"/>
    <w:rsid w:val="00070B84"/>
    <w:rsid w:val="00071219"/>
    <w:rsid w:val="00071928"/>
    <w:rsid w:val="00071B61"/>
    <w:rsid w:val="00071F39"/>
    <w:rsid w:val="000729B1"/>
    <w:rsid w:val="0007480B"/>
    <w:rsid w:val="000748B6"/>
    <w:rsid w:val="00074A9D"/>
    <w:rsid w:val="00074F03"/>
    <w:rsid w:val="00075181"/>
    <w:rsid w:val="00075E53"/>
    <w:rsid w:val="0007624F"/>
    <w:rsid w:val="00076680"/>
    <w:rsid w:val="00076746"/>
    <w:rsid w:val="00076A1D"/>
    <w:rsid w:val="00077437"/>
    <w:rsid w:val="0008073E"/>
    <w:rsid w:val="00080BA2"/>
    <w:rsid w:val="0008149E"/>
    <w:rsid w:val="00081ECC"/>
    <w:rsid w:val="00082535"/>
    <w:rsid w:val="0008267A"/>
    <w:rsid w:val="00083E19"/>
    <w:rsid w:val="0008407A"/>
    <w:rsid w:val="00084274"/>
    <w:rsid w:val="00086783"/>
    <w:rsid w:val="00086AE0"/>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4AB"/>
    <w:rsid w:val="00095A9D"/>
    <w:rsid w:val="0009683B"/>
    <w:rsid w:val="00096E65"/>
    <w:rsid w:val="000970B5"/>
    <w:rsid w:val="00097961"/>
    <w:rsid w:val="00097CD6"/>
    <w:rsid w:val="000A07EF"/>
    <w:rsid w:val="000A19AC"/>
    <w:rsid w:val="000A1C49"/>
    <w:rsid w:val="000A1F87"/>
    <w:rsid w:val="000A21C6"/>
    <w:rsid w:val="000A27C9"/>
    <w:rsid w:val="000A341F"/>
    <w:rsid w:val="000A3583"/>
    <w:rsid w:val="000A3BBE"/>
    <w:rsid w:val="000A48E4"/>
    <w:rsid w:val="000A4B47"/>
    <w:rsid w:val="000A4DC1"/>
    <w:rsid w:val="000A5AB2"/>
    <w:rsid w:val="000A5F2E"/>
    <w:rsid w:val="000A6122"/>
    <w:rsid w:val="000A77BF"/>
    <w:rsid w:val="000A7BEE"/>
    <w:rsid w:val="000A7D3C"/>
    <w:rsid w:val="000B1E7A"/>
    <w:rsid w:val="000B2053"/>
    <w:rsid w:val="000B27F1"/>
    <w:rsid w:val="000B285B"/>
    <w:rsid w:val="000B2C8D"/>
    <w:rsid w:val="000B2EE5"/>
    <w:rsid w:val="000B2F81"/>
    <w:rsid w:val="000B36BC"/>
    <w:rsid w:val="000B4670"/>
    <w:rsid w:val="000B4720"/>
    <w:rsid w:val="000B486B"/>
    <w:rsid w:val="000B510D"/>
    <w:rsid w:val="000B6034"/>
    <w:rsid w:val="000B67A4"/>
    <w:rsid w:val="000B69DF"/>
    <w:rsid w:val="000B6E6F"/>
    <w:rsid w:val="000B7F01"/>
    <w:rsid w:val="000C06F6"/>
    <w:rsid w:val="000C07E5"/>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9E0"/>
    <w:rsid w:val="000C7DC7"/>
    <w:rsid w:val="000D0411"/>
    <w:rsid w:val="000D11E2"/>
    <w:rsid w:val="000D1414"/>
    <w:rsid w:val="000D1456"/>
    <w:rsid w:val="000D1519"/>
    <w:rsid w:val="000D166D"/>
    <w:rsid w:val="000D16FC"/>
    <w:rsid w:val="000D26F8"/>
    <w:rsid w:val="000D288E"/>
    <w:rsid w:val="000D2EF2"/>
    <w:rsid w:val="000D3209"/>
    <w:rsid w:val="000D34A3"/>
    <w:rsid w:val="000D3633"/>
    <w:rsid w:val="000D45B1"/>
    <w:rsid w:val="000D5724"/>
    <w:rsid w:val="000D5869"/>
    <w:rsid w:val="000D58F5"/>
    <w:rsid w:val="000D5B92"/>
    <w:rsid w:val="000D5E46"/>
    <w:rsid w:val="000D63C3"/>
    <w:rsid w:val="000D6792"/>
    <w:rsid w:val="000D6E82"/>
    <w:rsid w:val="000D70C6"/>
    <w:rsid w:val="000D77FA"/>
    <w:rsid w:val="000D7A1E"/>
    <w:rsid w:val="000E008F"/>
    <w:rsid w:val="000E0A0E"/>
    <w:rsid w:val="000E0A9D"/>
    <w:rsid w:val="000E0DA4"/>
    <w:rsid w:val="000E1A2F"/>
    <w:rsid w:val="000E1DD8"/>
    <w:rsid w:val="000E28C9"/>
    <w:rsid w:val="000E2E3F"/>
    <w:rsid w:val="000E3014"/>
    <w:rsid w:val="000E3616"/>
    <w:rsid w:val="000E36E0"/>
    <w:rsid w:val="000E3D61"/>
    <w:rsid w:val="000E47D5"/>
    <w:rsid w:val="000E47E6"/>
    <w:rsid w:val="000E4990"/>
    <w:rsid w:val="000E4AF1"/>
    <w:rsid w:val="000E4C30"/>
    <w:rsid w:val="000E5806"/>
    <w:rsid w:val="000E58A2"/>
    <w:rsid w:val="000E78C7"/>
    <w:rsid w:val="000F0194"/>
    <w:rsid w:val="000F06E3"/>
    <w:rsid w:val="000F0728"/>
    <w:rsid w:val="000F0E66"/>
    <w:rsid w:val="000F0E70"/>
    <w:rsid w:val="000F1927"/>
    <w:rsid w:val="000F1C07"/>
    <w:rsid w:val="000F1E21"/>
    <w:rsid w:val="000F2EB3"/>
    <w:rsid w:val="000F2EE7"/>
    <w:rsid w:val="000F300E"/>
    <w:rsid w:val="000F40D6"/>
    <w:rsid w:val="000F49DF"/>
    <w:rsid w:val="000F4B5F"/>
    <w:rsid w:val="000F4C1D"/>
    <w:rsid w:val="000F52BF"/>
    <w:rsid w:val="000F578A"/>
    <w:rsid w:val="000F5B99"/>
    <w:rsid w:val="000F61D4"/>
    <w:rsid w:val="000F65A2"/>
    <w:rsid w:val="000F6749"/>
    <w:rsid w:val="000F7039"/>
    <w:rsid w:val="000F7159"/>
    <w:rsid w:val="00100390"/>
    <w:rsid w:val="00100BC9"/>
    <w:rsid w:val="00101016"/>
    <w:rsid w:val="00101200"/>
    <w:rsid w:val="00101B7E"/>
    <w:rsid w:val="0010220A"/>
    <w:rsid w:val="0010237C"/>
    <w:rsid w:val="00102733"/>
    <w:rsid w:val="0010278A"/>
    <w:rsid w:val="00103232"/>
    <w:rsid w:val="001038FA"/>
    <w:rsid w:val="00103A33"/>
    <w:rsid w:val="00103F47"/>
    <w:rsid w:val="0010483B"/>
    <w:rsid w:val="00104BD8"/>
    <w:rsid w:val="00104E62"/>
    <w:rsid w:val="00105093"/>
    <w:rsid w:val="0010546E"/>
    <w:rsid w:val="00105C47"/>
    <w:rsid w:val="001066B8"/>
    <w:rsid w:val="00106B1A"/>
    <w:rsid w:val="001077DC"/>
    <w:rsid w:val="00107A62"/>
    <w:rsid w:val="0011064E"/>
    <w:rsid w:val="0011089E"/>
    <w:rsid w:val="00111F21"/>
    <w:rsid w:val="001121CE"/>
    <w:rsid w:val="00112B37"/>
    <w:rsid w:val="00113151"/>
    <w:rsid w:val="001133FE"/>
    <w:rsid w:val="001151F3"/>
    <w:rsid w:val="001152CF"/>
    <w:rsid w:val="001159F1"/>
    <w:rsid w:val="00116126"/>
    <w:rsid w:val="00116799"/>
    <w:rsid w:val="001169CF"/>
    <w:rsid w:val="001169F2"/>
    <w:rsid w:val="00116BF8"/>
    <w:rsid w:val="00116D65"/>
    <w:rsid w:val="00117076"/>
    <w:rsid w:val="001170D2"/>
    <w:rsid w:val="00117398"/>
    <w:rsid w:val="00117581"/>
    <w:rsid w:val="001208FC"/>
    <w:rsid w:val="00121027"/>
    <w:rsid w:val="00121211"/>
    <w:rsid w:val="001213EB"/>
    <w:rsid w:val="001219B0"/>
    <w:rsid w:val="001219CA"/>
    <w:rsid w:val="00121E87"/>
    <w:rsid w:val="0012269D"/>
    <w:rsid w:val="001241B0"/>
    <w:rsid w:val="001244CD"/>
    <w:rsid w:val="00125218"/>
    <w:rsid w:val="00125731"/>
    <w:rsid w:val="00126C83"/>
    <w:rsid w:val="00127077"/>
    <w:rsid w:val="00127201"/>
    <w:rsid w:val="001273C2"/>
    <w:rsid w:val="001273F3"/>
    <w:rsid w:val="00127636"/>
    <w:rsid w:val="0013053F"/>
    <w:rsid w:val="0013110E"/>
    <w:rsid w:val="00131D5E"/>
    <w:rsid w:val="001321DA"/>
    <w:rsid w:val="001324AB"/>
    <w:rsid w:val="001339CD"/>
    <w:rsid w:val="00133C0B"/>
    <w:rsid w:val="001354D9"/>
    <w:rsid w:val="00135CA0"/>
    <w:rsid w:val="00136108"/>
    <w:rsid w:val="00136121"/>
    <w:rsid w:val="00136742"/>
    <w:rsid w:val="00136D5A"/>
    <w:rsid w:val="001405C6"/>
    <w:rsid w:val="001407B7"/>
    <w:rsid w:val="00141013"/>
    <w:rsid w:val="00141972"/>
    <w:rsid w:val="00141A71"/>
    <w:rsid w:val="00142609"/>
    <w:rsid w:val="00142650"/>
    <w:rsid w:val="00142C62"/>
    <w:rsid w:val="001453EA"/>
    <w:rsid w:val="001455BE"/>
    <w:rsid w:val="00145B0F"/>
    <w:rsid w:val="00145BA0"/>
    <w:rsid w:val="001468DD"/>
    <w:rsid w:val="00146A2E"/>
    <w:rsid w:val="00146CC4"/>
    <w:rsid w:val="001473CE"/>
    <w:rsid w:val="001479D0"/>
    <w:rsid w:val="00147C22"/>
    <w:rsid w:val="0015071C"/>
    <w:rsid w:val="00150B1C"/>
    <w:rsid w:val="001514DA"/>
    <w:rsid w:val="0015196B"/>
    <w:rsid w:val="00151C71"/>
    <w:rsid w:val="00153FBA"/>
    <w:rsid w:val="001549CA"/>
    <w:rsid w:val="0015588A"/>
    <w:rsid w:val="001559BB"/>
    <w:rsid w:val="001565D6"/>
    <w:rsid w:val="001568CF"/>
    <w:rsid w:val="00157BD2"/>
    <w:rsid w:val="00157F68"/>
    <w:rsid w:val="00160867"/>
    <w:rsid w:val="00160992"/>
    <w:rsid w:val="00160FB1"/>
    <w:rsid w:val="001610BD"/>
    <w:rsid w:val="001614C6"/>
    <w:rsid w:val="001615C8"/>
    <w:rsid w:val="0016184E"/>
    <w:rsid w:val="0016196C"/>
    <w:rsid w:val="00161F54"/>
    <w:rsid w:val="0016204C"/>
    <w:rsid w:val="00162C23"/>
    <w:rsid w:val="00162D48"/>
    <w:rsid w:val="00163363"/>
    <w:rsid w:val="0016383D"/>
    <w:rsid w:val="00163CB1"/>
    <w:rsid w:val="00163DD4"/>
    <w:rsid w:val="0016484E"/>
    <w:rsid w:val="0016562D"/>
    <w:rsid w:val="0016584B"/>
    <w:rsid w:val="00165AEB"/>
    <w:rsid w:val="00165B40"/>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340"/>
    <w:rsid w:val="00180599"/>
    <w:rsid w:val="00180DD5"/>
    <w:rsid w:val="001812AE"/>
    <w:rsid w:val="00181488"/>
    <w:rsid w:val="0018155A"/>
    <w:rsid w:val="001818A4"/>
    <w:rsid w:val="00181F57"/>
    <w:rsid w:val="00181F86"/>
    <w:rsid w:val="00182761"/>
    <w:rsid w:val="00182964"/>
    <w:rsid w:val="001829A8"/>
    <w:rsid w:val="00182B14"/>
    <w:rsid w:val="00182E94"/>
    <w:rsid w:val="00182EA4"/>
    <w:rsid w:val="001832C7"/>
    <w:rsid w:val="00183C2B"/>
    <w:rsid w:val="00183DA2"/>
    <w:rsid w:val="00184A1A"/>
    <w:rsid w:val="00184E7C"/>
    <w:rsid w:val="00185B11"/>
    <w:rsid w:val="00185C24"/>
    <w:rsid w:val="00186406"/>
    <w:rsid w:val="0018733B"/>
    <w:rsid w:val="001876AE"/>
    <w:rsid w:val="00187AB5"/>
    <w:rsid w:val="00187B8E"/>
    <w:rsid w:val="00187C0F"/>
    <w:rsid w:val="001907FC"/>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D97"/>
    <w:rsid w:val="00197ED4"/>
    <w:rsid w:val="00197F4C"/>
    <w:rsid w:val="001A0038"/>
    <w:rsid w:val="001A02E9"/>
    <w:rsid w:val="001A0681"/>
    <w:rsid w:val="001A0C22"/>
    <w:rsid w:val="001A1B21"/>
    <w:rsid w:val="001A1CB9"/>
    <w:rsid w:val="001A2D40"/>
    <w:rsid w:val="001A37C4"/>
    <w:rsid w:val="001A3997"/>
    <w:rsid w:val="001A4617"/>
    <w:rsid w:val="001A587F"/>
    <w:rsid w:val="001A5A6B"/>
    <w:rsid w:val="001A5B11"/>
    <w:rsid w:val="001A5F1B"/>
    <w:rsid w:val="001A60D1"/>
    <w:rsid w:val="001A64C8"/>
    <w:rsid w:val="001A64F2"/>
    <w:rsid w:val="001A6D14"/>
    <w:rsid w:val="001A71EE"/>
    <w:rsid w:val="001A75BC"/>
    <w:rsid w:val="001A77F3"/>
    <w:rsid w:val="001A7EE0"/>
    <w:rsid w:val="001B124E"/>
    <w:rsid w:val="001B15B2"/>
    <w:rsid w:val="001B1C22"/>
    <w:rsid w:val="001B2560"/>
    <w:rsid w:val="001B31DC"/>
    <w:rsid w:val="001B34C6"/>
    <w:rsid w:val="001B45E5"/>
    <w:rsid w:val="001B5458"/>
    <w:rsid w:val="001B5DDC"/>
    <w:rsid w:val="001B6001"/>
    <w:rsid w:val="001B6F12"/>
    <w:rsid w:val="001B7221"/>
    <w:rsid w:val="001B7843"/>
    <w:rsid w:val="001B7C29"/>
    <w:rsid w:val="001B7C41"/>
    <w:rsid w:val="001C0466"/>
    <w:rsid w:val="001C179B"/>
    <w:rsid w:val="001C1F51"/>
    <w:rsid w:val="001C221D"/>
    <w:rsid w:val="001C22CE"/>
    <w:rsid w:val="001C2E15"/>
    <w:rsid w:val="001C32C7"/>
    <w:rsid w:val="001C333A"/>
    <w:rsid w:val="001C37B3"/>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26A"/>
    <w:rsid w:val="001D03D5"/>
    <w:rsid w:val="001D0625"/>
    <w:rsid w:val="001D09CD"/>
    <w:rsid w:val="001D142C"/>
    <w:rsid w:val="001D172F"/>
    <w:rsid w:val="001D1DBE"/>
    <w:rsid w:val="001D21FC"/>
    <w:rsid w:val="001D277D"/>
    <w:rsid w:val="001D2B2B"/>
    <w:rsid w:val="001D2C09"/>
    <w:rsid w:val="001D3819"/>
    <w:rsid w:val="001D3F9E"/>
    <w:rsid w:val="001D40AF"/>
    <w:rsid w:val="001D40E9"/>
    <w:rsid w:val="001D4CE0"/>
    <w:rsid w:val="001D50D4"/>
    <w:rsid w:val="001D5629"/>
    <w:rsid w:val="001D5678"/>
    <w:rsid w:val="001D6000"/>
    <w:rsid w:val="001D6568"/>
    <w:rsid w:val="001D7832"/>
    <w:rsid w:val="001D7AA6"/>
    <w:rsid w:val="001D7ECF"/>
    <w:rsid w:val="001E0967"/>
    <w:rsid w:val="001E12C7"/>
    <w:rsid w:val="001E1332"/>
    <w:rsid w:val="001E138E"/>
    <w:rsid w:val="001E202D"/>
    <w:rsid w:val="001E229D"/>
    <w:rsid w:val="001E2EE7"/>
    <w:rsid w:val="001E4863"/>
    <w:rsid w:val="001E4876"/>
    <w:rsid w:val="001E492C"/>
    <w:rsid w:val="001E4CD1"/>
    <w:rsid w:val="001E4CE7"/>
    <w:rsid w:val="001E52BD"/>
    <w:rsid w:val="001E55E0"/>
    <w:rsid w:val="001E6826"/>
    <w:rsid w:val="001E6B6A"/>
    <w:rsid w:val="001E7943"/>
    <w:rsid w:val="001E7A51"/>
    <w:rsid w:val="001E7FB0"/>
    <w:rsid w:val="001F0299"/>
    <w:rsid w:val="001F0A15"/>
    <w:rsid w:val="001F0B4D"/>
    <w:rsid w:val="001F0EB9"/>
    <w:rsid w:val="001F1041"/>
    <w:rsid w:val="001F133A"/>
    <w:rsid w:val="001F2180"/>
    <w:rsid w:val="001F262B"/>
    <w:rsid w:val="001F2639"/>
    <w:rsid w:val="001F2A25"/>
    <w:rsid w:val="001F2F77"/>
    <w:rsid w:val="001F3ED9"/>
    <w:rsid w:val="001F4B8D"/>
    <w:rsid w:val="001F532D"/>
    <w:rsid w:val="001F5593"/>
    <w:rsid w:val="001F55A9"/>
    <w:rsid w:val="001F5941"/>
    <w:rsid w:val="001F5B2F"/>
    <w:rsid w:val="001F6E2D"/>
    <w:rsid w:val="001F7082"/>
    <w:rsid w:val="001F74FD"/>
    <w:rsid w:val="001F768E"/>
    <w:rsid w:val="002008F8"/>
    <w:rsid w:val="0020120E"/>
    <w:rsid w:val="00204634"/>
    <w:rsid w:val="00204ABF"/>
    <w:rsid w:val="00205A38"/>
    <w:rsid w:val="0021000F"/>
    <w:rsid w:val="0021077F"/>
    <w:rsid w:val="002109F1"/>
    <w:rsid w:val="00210FA0"/>
    <w:rsid w:val="00211185"/>
    <w:rsid w:val="00211D34"/>
    <w:rsid w:val="0021209C"/>
    <w:rsid w:val="002120AC"/>
    <w:rsid w:val="002124A3"/>
    <w:rsid w:val="00212CEF"/>
    <w:rsid w:val="00212F62"/>
    <w:rsid w:val="002136EC"/>
    <w:rsid w:val="002136F4"/>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3D68"/>
    <w:rsid w:val="00224071"/>
    <w:rsid w:val="00224814"/>
    <w:rsid w:val="00224A95"/>
    <w:rsid w:val="0022567C"/>
    <w:rsid w:val="00225A8C"/>
    <w:rsid w:val="002263DB"/>
    <w:rsid w:val="00226B06"/>
    <w:rsid w:val="00226BC8"/>
    <w:rsid w:val="002271BD"/>
    <w:rsid w:val="00227C6A"/>
    <w:rsid w:val="0023019F"/>
    <w:rsid w:val="00230617"/>
    <w:rsid w:val="00230E7D"/>
    <w:rsid w:val="00232883"/>
    <w:rsid w:val="0023476D"/>
    <w:rsid w:val="00235855"/>
    <w:rsid w:val="002358B9"/>
    <w:rsid w:val="00235B05"/>
    <w:rsid w:val="00236378"/>
    <w:rsid w:val="00236775"/>
    <w:rsid w:val="00236B7B"/>
    <w:rsid w:val="00236C85"/>
    <w:rsid w:val="00236EB8"/>
    <w:rsid w:val="002375C3"/>
    <w:rsid w:val="00237650"/>
    <w:rsid w:val="002376AA"/>
    <w:rsid w:val="00240937"/>
    <w:rsid w:val="002410D5"/>
    <w:rsid w:val="00241CA1"/>
    <w:rsid w:val="00241D77"/>
    <w:rsid w:val="00243C1C"/>
    <w:rsid w:val="00243C73"/>
    <w:rsid w:val="00244761"/>
    <w:rsid w:val="00244C1D"/>
    <w:rsid w:val="002452AA"/>
    <w:rsid w:val="00245E18"/>
    <w:rsid w:val="0024623F"/>
    <w:rsid w:val="00247A99"/>
    <w:rsid w:val="00250FBF"/>
    <w:rsid w:val="002512CE"/>
    <w:rsid w:val="00251CD9"/>
    <w:rsid w:val="00252575"/>
    <w:rsid w:val="00252A2F"/>
    <w:rsid w:val="002532DD"/>
    <w:rsid w:val="002536BB"/>
    <w:rsid w:val="00253952"/>
    <w:rsid w:val="00253985"/>
    <w:rsid w:val="00253F38"/>
    <w:rsid w:val="00253F9A"/>
    <w:rsid w:val="00254057"/>
    <w:rsid w:val="002542EF"/>
    <w:rsid w:val="00254868"/>
    <w:rsid w:val="002557A1"/>
    <w:rsid w:val="00255CEE"/>
    <w:rsid w:val="00255EDF"/>
    <w:rsid w:val="00256200"/>
    <w:rsid w:val="00257077"/>
    <w:rsid w:val="00257678"/>
    <w:rsid w:val="00257B98"/>
    <w:rsid w:val="00260579"/>
    <w:rsid w:val="002605BE"/>
    <w:rsid w:val="00260C6C"/>
    <w:rsid w:val="00260FA2"/>
    <w:rsid w:val="002615BC"/>
    <w:rsid w:val="00261A49"/>
    <w:rsid w:val="00261FDE"/>
    <w:rsid w:val="0026238B"/>
    <w:rsid w:val="00262BC3"/>
    <w:rsid w:val="0026301C"/>
    <w:rsid w:val="00263A62"/>
    <w:rsid w:val="00263F26"/>
    <w:rsid w:val="002640F8"/>
    <w:rsid w:val="00264A0A"/>
    <w:rsid w:val="00264E5C"/>
    <w:rsid w:val="0026583A"/>
    <w:rsid w:val="00265D0F"/>
    <w:rsid w:val="002662C1"/>
    <w:rsid w:val="00266CD6"/>
    <w:rsid w:val="00267743"/>
    <w:rsid w:val="00267F1F"/>
    <w:rsid w:val="00270125"/>
    <w:rsid w:val="002705BE"/>
    <w:rsid w:val="002705E0"/>
    <w:rsid w:val="0027094B"/>
    <w:rsid w:val="002714DC"/>
    <w:rsid w:val="00271CD3"/>
    <w:rsid w:val="00272165"/>
    <w:rsid w:val="00273183"/>
    <w:rsid w:val="00273234"/>
    <w:rsid w:val="00273400"/>
    <w:rsid w:val="00273702"/>
    <w:rsid w:val="00273C3C"/>
    <w:rsid w:val="00273DC7"/>
    <w:rsid w:val="00274195"/>
    <w:rsid w:val="00274ABB"/>
    <w:rsid w:val="00274E92"/>
    <w:rsid w:val="00275844"/>
    <w:rsid w:val="00275B9A"/>
    <w:rsid w:val="00275DAB"/>
    <w:rsid w:val="0027600A"/>
    <w:rsid w:val="002764E2"/>
    <w:rsid w:val="00277E55"/>
    <w:rsid w:val="00277E6A"/>
    <w:rsid w:val="00280809"/>
    <w:rsid w:val="002813ED"/>
    <w:rsid w:val="00281952"/>
    <w:rsid w:val="00281D74"/>
    <w:rsid w:val="00282BAC"/>
    <w:rsid w:val="00282DDA"/>
    <w:rsid w:val="00285AB7"/>
    <w:rsid w:val="002870AE"/>
    <w:rsid w:val="002870CA"/>
    <w:rsid w:val="0028750E"/>
    <w:rsid w:val="002879B8"/>
    <w:rsid w:val="00287F5C"/>
    <w:rsid w:val="002901B2"/>
    <w:rsid w:val="00290209"/>
    <w:rsid w:val="002902A5"/>
    <w:rsid w:val="0029072D"/>
    <w:rsid w:val="002907A3"/>
    <w:rsid w:val="002908AC"/>
    <w:rsid w:val="002927A1"/>
    <w:rsid w:val="002935C9"/>
    <w:rsid w:val="00293991"/>
    <w:rsid w:val="00293B48"/>
    <w:rsid w:val="00293D9D"/>
    <w:rsid w:val="0029542F"/>
    <w:rsid w:val="00295EB2"/>
    <w:rsid w:val="00295EB9"/>
    <w:rsid w:val="00296235"/>
    <w:rsid w:val="00296DE6"/>
    <w:rsid w:val="002977C1"/>
    <w:rsid w:val="0029780F"/>
    <w:rsid w:val="002A0037"/>
    <w:rsid w:val="002A1672"/>
    <w:rsid w:val="002A1BE8"/>
    <w:rsid w:val="002A1ED4"/>
    <w:rsid w:val="002A20F5"/>
    <w:rsid w:val="002A25DE"/>
    <w:rsid w:val="002A2CA3"/>
    <w:rsid w:val="002A40D1"/>
    <w:rsid w:val="002A4B27"/>
    <w:rsid w:val="002A5DC8"/>
    <w:rsid w:val="002A64E4"/>
    <w:rsid w:val="002A6586"/>
    <w:rsid w:val="002A67A5"/>
    <w:rsid w:val="002A681A"/>
    <w:rsid w:val="002A7482"/>
    <w:rsid w:val="002A782A"/>
    <w:rsid w:val="002A7A47"/>
    <w:rsid w:val="002B00C2"/>
    <w:rsid w:val="002B0C46"/>
    <w:rsid w:val="002B1063"/>
    <w:rsid w:val="002B10AF"/>
    <w:rsid w:val="002B11E2"/>
    <w:rsid w:val="002B12C2"/>
    <w:rsid w:val="002B13C8"/>
    <w:rsid w:val="002B2118"/>
    <w:rsid w:val="002B231D"/>
    <w:rsid w:val="002B24B8"/>
    <w:rsid w:val="002B272E"/>
    <w:rsid w:val="002B2844"/>
    <w:rsid w:val="002B2C38"/>
    <w:rsid w:val="002B31C3"/>
    <w:rsid w:val="002B33E2"/>
    <w:rsid w:val="002B39C2"/>
    <w:rsid w:val="002B3E35"/>
    <w:rsid w:val="002B415D"/>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5B77"/>
    <w:rsid w:val="002C61FB"/>
    <w:rsid w:val="002C6B70"/>
    <w:rsid w:val="002C6D5B"/>
    <w:rsid w:val="002C7161"/>
    <w:rsid w:val="002D05DF"/>
    <w:rsid w:val="002D09DD"/>
    <w:rsid w:val="002D1360"/>
    <w:rsid w:val="002D14D6"/>
    <w:rsid w:val="002D28C5"/>
    <w:rsid w:val="002D2C28"/>
    <w:rsid w:val="002D2FEE"/>
    <w:rsid w:val="002D32DB"/>
    <w:rsid w:val="002D3936"/>
    <w:rsid w:val="002D3AE9"/>
    <w:rsid w:val="002D3C72"/>
    <w:rsid w:val="002D4239"/>
    <w:rsid w:val="002D4510"/>
    <w:rsid w:val="002D45E4"/>
    <w:rsid w:val="002D496E"/>
    <w:rsid w:val="002D4DBF"/>
    <w:rsid w:val="002D4DCB"/>
    <w:rsid w:val="002D5170"/>
    <w:rsid w:val="002D52EF"/>
    <w:rsid w:val="002D5983"/>
    <w:rsid w:val="002D5CD9"/>
    <w:rsid w:val="002D5F5F"/>
    <w:rsid w:val="002D694E"/>
    <w:rsid w:val="002D6D93"/>
    <w:rsid w:val="002D6DEA"/>
    <w:rsid w:val="002D734E"/>
    <w:rsid w:val="002D7417"/>
    <w:rsid w:val="002D75D8"/>
    <w:rsid w:val="002E0068"/>
    <w:rsid w:val="002E0220"/>
    <w:rsid w:val="002E0B6A"/>
    <w:rsid w:val="002E13D6"/>
    <w:rsid w:val="002E2200"/>
    <w:rsid w:val="002E2870"/>
    <w:rsid w:val="002E3BE2"/>
    <w:rsid w:val="002E3F34"/>
    <w:rsid w:val="002E45FB"/>
    <w:rsid w:val="002E467F"/>
    <w:rsid w:val="002E4A7B"/>
    <w:rsid w:val="002E52A2"/>
    <w:rsid w:val="002E5598"/>
    <w:rsid w:val="002E633F"/>
    <w:rsid w:val="002E7392"/>
    <w:rsid w:val="002E7B1F"/>
    <w:rsid w:val="002E7C97"/>
    <w:rsid w:val="002F0734"/>
    <w:rsid w:val="002F110D"/>
    <w:rsid w:val="002F1C15"/>
    <w:rsid w:val="002F1F22"/>
    <w:rsid w:val="002F220A"/>
    <w:rsid w:val="002F2230"/>
    <w:rsid w:val="002F2331"/>
    <w:rsid w:val="002F2CAE"/>
    <w:rsid w:val="002F2E5B"/>
    <w:rsid w:val="002F3ADE"/>
    <w:rsid w:val="002F44EE"/>
    <w:rsid w:val="002F46E7"/>
    <w:rsid w:val="002F5964"/>
    <w:rsid w:val="002F68DC"/>
    <w:rsid w:val="002F69E2"/>
    <w:rsid w:val="002F6B2D"/>
    <w:rsid w:val="002F6FA4"/>
    <w:rsid w:val="003001AB"/>
    <w:rsid w:val="003002CF"/>
    <w:rsid w:val="00300658"/>
    <w:rsid w:val="00301831"/>
    <w:rsid w:val="003025A6"/>
    <w:rsid w:val="003034FF"/>
    <w:rsid w:val="00303B0C"/>
    <w:rsid w:val="003050F2"/>
    <w:rsid w:val="0030543B"/>
    <w:rsid w:val="00305F90"/>
    <w:rsid w:val="003064CA"/>
    <w:rsid w:val="003067CB"/>
    <w:rsid w:val="00306806"/>
    <w:rsid w:val="00306D4D"/>
    <w:rsid w:val="00306FAE"/>
    <w:rsid w:val="0030742A"/>
    <w:rsid w:val="00307E78"/>
    <w:rsid w:val="00307EE0"/>
    <w:rsid w:val="003101DA"/>
    <w:rsid w:val="003104E6"/>
    <w:rsid w:val="00310A0A"/>
    <w:rsid w:val="00310C77"/>
    <w:rsid w:val="00310D6D"/>
    <w:rsid w:val="003112F3"/>
    <w:rsid w:val="003116A1"/>
    <w:rsid w:val="003131EF"/>
    <w:rsid w:val="0031371F"/>
    <w:rsid w:val="00313EA3"/>
    <w:rsid w:val="00313F24"/>
    <w:rsid w:val="003140F6"/>
    <w:rsid w:val="00314757"/>
    <w:rsid w:val="003158BB"/>
    <w:rsid w:val="0031597A"/>
    <w:rsid w:val="00315BDC"/>
    <w:rsid w:val="00315D1E"/>
    <w:rsid w:val="00315D7A"/>
    <w:rsid w:val="003160C6"/>
    <w:rsid w:val="00316494"/>
    <w:rsid w:val="003164AE"/>
    <w:rsid w:val="003167A7"/>
    <w:rsid w:val="00316E0F"/>
    <w:rsid w:val="003172F2"/>
    <w:rsid w:val="00317867"/>
    <w:rsid w:val="00317AAB"/>
    <w:rsid w:val="00320E04"/>
    <w:rsid w:val="003211CE"/>
    <w:rsid w:val="00321514"/>
    <w:rsid w:val="00321A5C"/>
    <w:rsid w:val="003225CF"/>
    <w:rsid w:val="00322725"/>
    <w:rsid w:val="00323436"/>
    <w:rsid w:val="003237C0"/>
    <w:rsid w:val="00324813"/>
    <w:rsid w:val="003252B3"/>
    <w:rsid w:val="00325DC9"/>
    <w:rsid w:val="00326EC9"/>
    <w:rsid w:val="00327115"/>
    <w:rsid w:val="003277CA"/>
    <w:rsid w:val="003279C3"/>
    <w:rsid w:val="00327F30"/>
    <w:rsid w:val="003304E3"/>
    <w:rsid w:val="00330664"/>
    <w:rsid w:val="00330C73"/>
    <w:rsid w:val="00330F48"/>
    <w:rsid w:val="00331498"/>
    <w:rsid w:val="00331519"/>
    <w:rsid w:val="00331776"/>
    <w:rsid w:val="00332889"/>
    <w:rsid w:val="00333684"/>
    <w:rsid w:val="003338B2"/>
    <w:rsid w:val="00333991"/>
    <w:rsid w:val="00333BCF"/>
    <w:rsid w:val="00333D9E"/>
    <w:rsid w:val="00333DEF"/>
    <w:rsid w:val="0033449E"/>
    <w:rsid w:val="00334DE5"/>
    <w:rsid w:val="00335488"/>
    <w:rsid w:val="0033586A"/>
    <w:rsid w:val="00335DE5"/>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CF5"/>
    <w:rsid w:val="00345DCF"/>
    <w:rsid w:val="00345F9C"/>
    <w:rsid w:val="0034634C"/>
    <w:rsid w:val="003464DD"/>
    <w:rsid w:val="00346736"/>
    <w:rsid w:val="00347046"/>
    <w:rsid w:val="003474E3"/>
    <w:rsid w:val="00350ADD"/>
    <w:rsid w:val="00350DCD"/>
    <w:rsid w:val="00350E02"/>
    <w:rsid w:val="00350F79"/>
    <w:rsid w:val="003510EA"/>
    <w:rsid w:val="0035131F"/>
    <w:rsid w:val="003517D7"/>
    <w:rsid w:val="00351B30"/>
    <w:rsid w:val="00352018"/>
    <w:rsid w:val="003520BA"/>
    <w:rsid w:val="003522D8"/>
    <w:rsid w:val="003532CD"/>
    <w:rsid w:val="00353B83"/>
    <w:rsid w:val="00353D16"/>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96C"/>
    <w:rsid w:val="003634A0"/>
    <w:rsid w:val="00363602"/>
    <w:rsid w:val="0036394B"/>
    <w:rsid w:val="00363FEF"/>
    <w:rsid w:val="003646ED"/>
    <w:rsid w:val="00364E98"/>
    <w:rsid w:val="00365054"/>
    <w:rsid w:val="00365905"/>
    <w:rsid w:val="00365ACC"/>
    <w:rsid w:val="003666DE"/>
    <w:rsid w:val="00366E69"/>
    <w:rsid w:val="00366F6C"/>
    <w:rsid w:val="00367EDD"/>
    <w:rsid w:val="003702E2"/>
    <w:rsid w:val="0037046B"/>
    <w:rsid w:val="00370647"/>
    <w:rsid w:val="003709B5"/>
    <w:rsid w:val="00371444"/>
    <w:rsid w:val="00371866"/>
    <w:rsid w:val="00371FF1"/>
    <w:rsid w:val="003725F2"/>
    <w:rsid w:val="00373493"/>
    <w:rsid w:val="003738F2"/>
    <w:rsid w:val="00373972"/>
    <w:rsid w:val="00374459"/>
    <w:rsid w:val="003748D4"/>
    <w:rsid w:val="00374F24"/>
    <w:rsid w:val="003759C2"/>
    <w:rsid w:val="00375DFD"/>
    <w:rsid w:val="00376E91"/>
    <w:rsid w:val="00377081"/>
    <w:rsid w:val="003776F5"/>
    <w:rsid w:val="00377700"/>
    <w:rsid w:val="003779E2"/>
    <w:rsid w:val="00377C59"/>
    <w:rsid w:val="00377DFB"/>
    <w:rsid w:val="00380469"/>
    <w:rsid w:val="00380F79"/>
    <w:rsid w:val="0038101B"/>
    <w:rsid w:val="0038159C"/>
    <w:rsid w:val="003816E7"/>
    <w:rsid w:val="00381F8D"/>
    <w:rsid w:val="00382518"/>
    <w:rsid w:val="00382924"/>
    <w:rsid w:val="00382B58"/>
    <w:rsid w:val="0038321B"/>
    <w:rsid w:val="00383743"/>
    <w:rsid w:val="003846E2"/>
    <w:rsid w:val="00385074"/>
    <w:rsid w:val="00385348"/>
    <w:rsid w:val="00385747"/>
    <w:rsid w:val="00385B46"/>
    <w:rsid w:val="00385D78"/>
    <w:rsid w:val="003862C8"/>
    <w:rsid w:val="003865A3"/>
    <w:rsid w:val="00386762"/>
    <w:rsid w:val="00386BA4"/>
    <w:rsid w:val="00386DCA"/>
    <w:rsid w:val="00387917"/>
    <w:rsid w:val="00390AA6"/>
    <w:rsid w:val="00390AFD"/>
    <w:rsid w:val="0039125C"/>
    <w:rsid w:val="00391695"/>
    <w:rsid w:val="00391F2E"/>
    <w:rsid w:val="00392134"/>
    <w:rsid w:val="003921C5"/>
    <w:rsid w:val="00392839"/>
    <w:rsid w:val="00393154"/>
    <w:rsid w:val="003932A0"/>
    <w:rsid w:val="003934DB"/>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6FB"/>
    <w:rsid w:val="003A0781"/>
    <w:rsid w:val="003A07AC"/>
    <w:rsid w:val="003A0A73"/>
    <w:rsid w:val="003A19E0"/>
    <w:rsid w:val="003A2012"/>
    <w:rsid w:val="003A2098"/>
    <w:rsid w:val="003A2585"/>
    <w:rsid w:val="003A2ECD"/>
    <w:rsid w:val="003A31F6"/>
    <w:rsid w:val="003A33A2"/>
    <w:rsid w:val="003A433A"/>
    <w:rsid w:val="003A45C2"/>
    <w:rsid w:val="003A47E9"/>
    <w:rsid w:val="003A4E9A"/>
    <w:rsid w:val="003A4FBC"/>
    <w:rsid w:val="003A5707"/>
    <w:rsid w:val="003A59B3"/>
    <w:rsid w:val="003A6398"/>
    <w:rsid w:val="003A66ED"/>
    <w:rsid w:val="003A672C"/>
    <w:rsid w:val="003A6E0A"/>
    <w:rsid w:val="003A7002"/>
    <w:rsid w:val="003B000F"/>
    <w:rsid w:val="003B0249"/>
    <w:rsid w:val="003B0BDA"/>
    <w:rsid w:val="003B0C63"/>
    <w:rsid w:val="003B0F4A"/>
    <w:rsid w:val="003B1065"/>
    <w:rsid w:val="003B3A4B"/>
    <w:rsid w:val="003B3B4D"/>
    <w:rsid w:val="003B4284"/>
    <w:rsid w:val="003B4767"/>
    <w:rsid w:val="003B4C7D"/>
    <w:rsid w:val="003B5350"/>
    <w:rsid w:val="003B59D6"/>
    <w:rsid w:val="003B5BC2"/>
    <w:rsid w:val="003B5C50"/>
    <w:rsid w:val="003B610A"/>
    <w:rsid w:val="003B69D9"/>
    <w:rsid w:val="003B762B"/>
    <w:rsid w:val="003B7C9E"/>
    <w:rsid w:val="003B7CC6"/>
    <w:rsid w:val="003B7F1D"/>
    <w:rsid w:val="003C00D4"/>
    <w:rsid w:val="003C0415"/>
    <w:rsid w:val="003C0780"/>
    <w:rsid w:val="003C0A0E"/>
    <w:rsid w:val="003C0B54"/>
    <w:rsid w:val="003C10B3"/>
    <w:rsid w:val="003C1E3A"/>
    <w:rsid w:val="003C2ADE"/>
    <w:rsid w:val="003C30B7"/>
    <w:rsid w:val="003C317A"/>
    <w:rsid w:val="003C328B"/>
    <w:rsid w:val="003C33A7"/>
    <w:rsid w:val="003C3447"/>
    <w:rsid w:val="003C4107"/>
    <w:rsid w:val="003C4444"/>
    <w:rsid w:val="003C484E"/>
    <w:rsid w:val="003C54D3"/>
    <w:rsid w:val="003C5690"/>
    <w:rsid w:val="003C63AF"/>
    <w:rsid w:val="003C7827"/>
    <w:rsid w:val="003C7F70"/>
    <w:rsid w:val="003D076C"/>
    <w:rsid w:val="003D07A6"/>
    <w:rsid w:val="003D0983"/>
    <w:rsid w:val="003D0985"/>
    <w:rsid w:val="003D11F9"/>
    <w:rsid w:val="003D128A"/>
    <w:rsid w:val="003D220A"/>
    <w:rsid w:val="003D3471"/>
    <w:rsid w:val="003D3478"/>
    <w:rsid w:val="003D39B9"/>
    <w:rsid w:val="003D3B96"/>
    <w:rsid w:val="003D40FF"/>
    <w:rsid w:val="003D5179"/>
    <w:rsid w:val="003D7B0A"/>
    <w:rsid w:val="003D7C1A"/>
    <w:rsid w:val="003E033E"/>
    <w:rsid w:val="003E03A5"/>
    <w:rsid w:val="003E098E"/>
    <w:rsid w:val="003E2000"/>
    <w:rsid w:val="003E2085"/>
    <w:rsid w:val="003E21E1"/>
    <w:rsid w:val="003E368A"/>
    <w:rsid w:val="003E3723"/>
    <w:rsid w:val="003E3DFA"/>
    <w:rsid w:val="003E492F"/>
    <w:rsid w:val="003E4930"/>
    <w:rsid w:val="003E4CB2"/>
    <w:rsid w:val="003E5919"/>
    <w:rsid w:val="003E597C"/>
    <w:rsid w:val="003E5E1C"/>
    <w:rsid w:val="003E609F"/>
    <w:rsid w:val="003E6C86"/>
    <w:rsid w:val="003E70EE"/>
    <w:rsid w:val="003E78B5"/>
    <w:rsid w:val="003E7CD4"/>
    <w:rsid w:val="003E7FC6"/>
    <w:rsid w:val="003F00DD"/>
    <w:rsid w:val="003F0B21"/>
    <w:rsid w:val="003F0F32"/>
    <w:rsid w:val="003F2061"/>
    <w:rsid w:val="003F2C15"/>
    <w:rsid w:val="003F2C68"/>
    <w:rsid w:val="003F2EBE"/>
    <w:rsid w:val="003F42F5"/>
    <w:rsid w:val="003F47D3"/>
    <w:rsid w:val="003F4BA3"/>
    <w:rsid w:val="003F5030"/>
    <w:rsid w:val="003F5B85"/>
    <w:rsid w:val="003F5F69"/>
    <w:rsid w:val="003F67F8"/>
    <w:rsid w:val="003F693F"/>
    <w:rsid w:val="003F6CB9"/>
    <w:rsid w:val="003F6D82"/>
    <w:rsid w:val="003F7251"/>
    <w:rsid w:val="003F759E"/>
    <w:rsid w:val="004005F5"/>
    <w:rsid w:val="0040061A"/>
    <w:rsid w:val="004006C4"/>
    <w:rsid w:val="00400821"/>
    <w:rsid w:val="00401931"/>
    <w:rsid w:val="00401AC7"/>
    <w:rsid w:val="004021C1"/>
    <w:rsid w:val="004022CD"/>
    <w:rsid w:val="00402BFD"/>
    <w:rsid w:val="00402DB6"/>
    <w:rsid w:val="004030B3"/>
    <w:rsid w:val="0040394F"/>
    <w:rsid w:val="00404162"/>
    <w:rsid w:val="0040463C"/>
    <w:rsid w:val="00404AD5"/>
    <w:rsid w:val="00405F58"/>
    <w:rsid w:val="00406167"/>
    <w:rsid w:val="00406786"/>
    <w:rsid w:val="0040689E"/>
    <w:rsid w:val="00406A5A"/>
    <w:rsid w:val="00407447"/>
    <w:rsid w:val="00407EC6"/>
    <w:rsid w:val="004104BA"/>
    <w:rsid w:val="00410898"/>
    <w:rsid w:val="00410D8A"/>
    <w:rsid w:val="0041140D"/>
    <w:rsid w:val="00411EB4"/>
    <w:rsid w:val="0041293E"/>
    <w:rsid w:val="00412A46"/>
    <w:rsid w:val="00412C33"/>
    <w:rsid w:val="00413231"/>
    <w:rsid w:val="004132EB"/>
    <w:rsid w:val="00413375"/>
    <w:rsid w:val="004137A7"/>
    <w:rsid w:val="00413CA2"/>
    <w:rsid w:val="00414101"/>
    <w:rsid w:val="00414196"/>
    <w:rsid w:val="004141AC"/>
    <w:rsid w:val="0041506D"/>
    <w:rsid w:val="004156AC"/>
    <w:rsid w:val="004157C0"/>
    <w:rsid w:val="00415BAB"/>
    <w:rsid w:val="00415E08"/>
    <w:rsid w:val="00415ED2"/>
    <w:rsid w:val="004161D2"/>
    <w:rsid w:val="0041623A"/>
    <w:rsid w:val="00416472"/>
    <w:rsid w:val="0041751A"/>
    <w:rsid w:val="00417D2C"/>
    <w:rsid w:val="0042068C"/>
    <w:rsid w:val="0042108D"/>
    <w:rsid w:val="00421717"/>
    <w:rsid w:val="004219C2"/>
    <w:rsid w:val="00421B08"/>
    <w:rsid w:val="004220E1"/>
    <w:rsid w:val="00422A56"/>
    <w:rsid w:val="00422C83"/>
    <w:rsid w:val="00423178"/>
    <w:rsid w:val="004232B6"/>
    <w:rsid w:val="0042431A"/>
    <w:rsid w:val="00424B00"/>
    <w:rsid w:val="00425439"/>
    <w:rsid w:val="00425D61"/>
    <w:rsid w:val="004264A2"/>
    <w:rsid w:val="004264B1"/>
    <w:rsid w:val="004265AD"/>
    <w:rsid w:val="00426BB5"/>
    <w:rsid w:val="00426EB0"/>
    <w:rsid w:val="00426ECD"/>
    <w:rsid w:val="004279F7"/>
    <w:rsid w:val="004300F8"/>
    <w:rsid w:val="00430421"/>
    <w:rsid w:val="00430F5F"/>
    <w:rsid w:val="004326BC"/>
    <w:rsid w:val="004328B4"/>
    <w:rsid w:val="00432CC0"/>
    <w:rsid w:val="00432E73"/>
    <w:rsid w:val="0043355C"/>
    <w:rsid w:val="004340D7"/>
    <w:rsid w:val="0043426B"/>
    <w:rsid w:val="004346F8"/>
    <w:rsid w:val="0043471F"/>
    <w:rsid w:val="00434814"/>
    <w:rsid w:val="00434ABA"/>
    <w:rsid w:val="0043597F"/>
    <w:rsid w:val="0043700A"/>
    <w:rsid w:val="004370EE"/>
    <w:rsid w:val="0043725D"/>
    <w:rsid w:val="0043726D"/>
    <w:rsid w:val="004372C9"/>
    <w:rsid w:val="00437CD6"/>
    <w:rsid w:val="00437E09"/>
    <w:rsid w:val="00440675"/>
    <w:rsid w:val="004406DC"/>
    <w:rsid w:val="0044295F"/>
    <w:rsid w:val="00442B7B"/>
    <w:rsid w:val="00442F78"/>
    <w:rsid w:val="0044323E"/>
    <w:rsid w:val="00443286"/>
    <w:rsid w:val="00443358"/>
    <w:rsid w:val="00443362"/>
    <w:rsid w:val="00443CCC"/>
    <w:rsid w:val="0044462D"/>
    <w:rsid w:val="0044478B"/>
    <w:rsid w:val="00444C0B"/>
    <w:rsid w:val="0044547A"/>
    <w:rsid w:val="00445BC0"/>
    <w:rsid w:val="0044652A"/>
    <w:rsid w:val="00446750"/>
    <w:rsid w:val="00447264"/>
    <w:rsid w:val="0044775D"/>
    <w:rsid w:val="004477A0"/>
    <w:rsid w:val="00447904"/>
    <w:rsid w:val="00447AB3"/>
    <w:rsid w:val="004534E7"/>
    <w:rsid w:val="00453B17"/>
    <w:rsid w:val="004542CA"/>
    <w:rsid w:val="00454713"/>
    <w:rsid w:val="00454944"/>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060"/>
    <w:rsid w:val="00463A7A"/>
    <w:rsid w:val="00463A90"/>
    <w:rsid w:val="00463ED2"/>
    <w:rsid w:val="00463F64"/>
    <w:rsid w:val="00464B25"/>
    <w:rsid w:val="00464F48"/>
    <w:rsid w:val="00465D4A"/>
    <w:rsid w:val="00465D8E"/>
    <w:rsid w:val="00466859"/>
    <w:rsid w:val="004669D7"/>
    <w:rsid w:val="00466B8D"/>
    <w:rsid w:val="00467300"/>
    <w:rsid w:val="00467598"/>
    <w:rsid w:val="004700C0"/>
    <w:rsid w:val="0047122B"/>
    <w:rsid w:val="004716F2"/>
    <w:rsid w:val="00472764"/>
    <w:rsid w:val="00473B7A"/>
    <w:rsid w:val="004740A6"/>
    <w:rsid w:val="004741FF"/>
    <w:rsid w:val="004742E4"/>
    <w:rsid w:val="004747F8"/>
    <w:rsid w:val="00476A76"/>
    <w:rsid w:val="00477657"/>
    <w:rsid w:val="00477940"/>
    <w:rsid w:val="00477B56"/>
    <w:rsid w:val="00477FA8"/>
    <w:rsid w:val="004804DB"/>
    <w:rsid w:val="004813B3"/>
    <w:rsid w:val="004813DC"/>
    <w:rsid w:val="004814AE"/>
    <w:rsid w:val="00481650"/>
    <w:rsid w:val="004817C1"/>
    <w:rsid w:val="0048230E"/>
    <w:rsid w:val="004827B1"/>
    <w:rsid w:val="00482A32"/>
    <w:rsid w:val="00483379"/>
    <w:rsid w:val="00483BFD"/>
    <w:rsid w:val="004852E2"/>
    <w:rsid w:val="004858D8"/>
    <w:rsid w:val="0048630F"/>
    <w:rsid w:val="004875EF"/>
    <w:rsid w:val="00487C72"/>
    <w:rsid w:val="00487E42"/>
    <w:rsid w:val="0049009A"/>
    <w:rsid w:val="004902C7"/>
    <w:rsid w:val="004912F0"/>
    <w:rsid w:val="00491668"/>
    <w:rsid w:val="004925EB"/>
    <w:rsid w:val="0049289D"/>
    <w:rsid w:val="00492943"/>
    <w:rsid w:val="00492C73"/>
    <w:rsid w:val="00492F22"/>
    <w:rsid w:val="00493415"/>
    <w:rsid w:val="00493732"/>
    <w:rsid w:val="00493EAE"/>
    <w:rsid w:val="00493F7C"/>
    <w:rsid w:val="00495155"/>
    <w:rsid w:val="004960E9"/>
    <w:rsid w:val="00496414"/>
    <w:rsid w:val="004964D6"/>
    <w:rsid w:val="004971D3"/>
    <w:rsid w:val="0049798C"/>
    <w:rsid w:val="004A00D1"/>
    <w:rsid w:val="004A01C2"/>
    <w:rsid w:val="004A0407"/>
    <w:rsid w:val="004A0449"/>
    <w:rsid w:val="004A0A85"/>
    <w:rsid w:val="004A0DC6"/>
    <w:rsid w:val="004A0E37"/>
    <w:rsid w:val="004A0FD2"/>
    <w:rsid w:val="004A0FE9"/>
    <w:rsid w:val="004A13B2"/>
    <w:rsid w:val="004A1599"/>
    <w:rsid w:val="004A17C1"/>
    <w:rsid w:val="004A1A5C"/>
    <w:rsid w:val="004A20FE"/>
    <w:rsid w:val="004A2D00"/>
    <w:rsid w:val="004A2DE3"/>
    <w:rsid w:val="004A2E88"/>
    <w:rsid w:val="004A326A"/>
    <w:rsid w:val="004A32DB"/>
    <w:rsid w:val="004A33B8"/>
    <w:rsid w:val="004A36F8"/>
    <w:rsid w:val="004A4BF0"/>
    <w:rsid w:val="004A51E0"/>
    <w:rsid w:val="004A5305"/>
    <w:rsid w:val="004A573C"/>
    <w:rsid w:val="004A57FA"/>
    <w:rsid w:val="004A5D79"/>
    <w:rsid w:val="004B0074"/>
    <w:rsid w:val="004B0114"/>
    <w:rsid w:val="004B0FC4"/>
    <w:rsid w:val="004B11B2"/>
    <w:rsid w:val="004B12C2"/>
    <w:rsid w:val="004B1676"/>
    <w:rsid w:val="004B25B0"/>
    <w:rsid w:val="004B27FE"/>
    <w:rsid w:val="004B2AA0"/>
    <w:rsid w:val="004B36BD"/>
    <w:rsid w:val="004B370F"/>
    <w:rsid w:val="004B3ADD"/>
    <w:rsid w:val="004B3B4B"/>
    <w:rsid w:val="004B3F5C"/>
    <w:rsid w:val="004B4139"/>
    <w:rsid w:val="004B428D"/>
    <w:rsid w:val="004B47B2"/>
    <w:rsid w:val="004B4A60"/>
    <w:rsid w:val="004B5442"/>
    <w:rsid w:val="004B5904"/>
    <w:rsid w:val="004B5F87"/>
    <w:rsid w:val="004B6821"/>
    <w:rsid w:val="004B6B94"/>
    <w:rsid w:val="004B73D6"/>
    <w:rsid w:val="004B7CE2"/>
    <w:rsid w:val="004B7F82"/>
    <w:rsid w:val="004C0B8C"/>
    <w:rsid w:val="004C1D1A"/>
    <w:rsid w:val="004C203F"/>
    <w:rsid w:val="004C24BD"/>
    <w:rsid w:val="004C2760"/>
    <w:rsid w:val="004C27D5"/>
    <w:rsid w:val="004C2B06"/>
    <w:rsid w:val="004C3D09"/>
    <w:rsid w:val="004C3DBD"/>
    <w:rsid w:val="004C3E2A"/>
    <w:rsid w:val="004C4868"/>
    <w:rsid w:val="004C497A"/>
    <w:rsid w:val="004C5987"/>
    <w:rsid w:val="004C6FE1"/>
    <w:rsid w:val="004C7024"/>
    <w:rsid w:val="004C7DB6"/>
    <w:rsid w:val="004D03CB"/>
    <w:rsid w:val="004D0817"/>
    <w:rsid w:val="004D0934"/>
    <w:rsid w:val="004D142A"/>
    <w:rsid w:val="004D31A2"/>
    <w:rsid w:val="004D3EB6"/>
    <w:rsid w:val="004D49E3"/>
    <w:rsid w:val="004D4FB5"/>
    <w:rsid w:val="004D5600"/>
    <w:rsid w:val="004D7634"/>
    <w:rsid w:val="004E1FE4"/>
    <w:rsid w:val="004E214E"/>
    <w:rsid w:val="004E21B3"/>
    <w:rsid w:val="004E3275"/>
    <w:rsid w:val="004E39E2"/>
    <w:rsid w:val="004E47D0"/>
    <w:rsid w:val="004E499F"/>
    <w:rsid w:val="004E5893"/>
    <w:rsid w:val="004E5EDD"/>
    <w:rsid w:val="004E65F3"/>
    <w:rsid w:val="004E6DA1"/>
    <w:rsid w:val="004E6EB0"/>
    <w:rsid w:val="004E700F"/>
    <w:rsid w:val="004E74C8"/>
    <w:rsid w:val="004E74DF"/>
    <w:rsid w:val="004F0002"/>
    <w:rsid w:val="004F0408"/>
    <w:rsid w:val="004F155B"/>
    <w:rsid w:val="004F19FB"/>
    <w:rsid w:val="004F24B5"/>
    <w:rsid w:val="004F2597"/>
    <w:rsid w:val="004F2628"/>
    <w:rsid w:val="004F4032"/>
    <w:rsid w:val="004F42EB"/>
    <w:rsid w:val="004F43CD"/>
    <w:rsid w:val="004F4552"/>
    <w:rsid w:val="004F4668"/>
    <w:rsid w:val="004F5032"/>
    <w:rsid w:val="004F569D"/>
    <w:rsid w:val="004F6361"/>
    <w:rsid w:val="004F6585"/>
    <w:rsid w:val="004F68C4"/>
    <w:rsid w:val="004F7825"/>
    <w:rsid w:val="00500A28"/>
    <w:rsid w:val="005014A3"/>
    <w:rsid w:val="00501750"/>
    <w:rsid w:val="005019D0"/>
    <w:rsid w:val="00501A6B"/>
    <w:rsid w:val="00501DC9"/>
    <w:rsid w:val="0050269F"/>
    <w:rsid w:val="0050282B"/>
    <w:rsid w:val="0050318E"/>
    <w:rsid w:val="00503BA2"/>
    <w:rsid w:val="00503EB5"/>
    <w:rsid w:val="00504458"/>
    <w:rsid w:val="00504D75"/>
    <w:rsid w:val="00504DE2"/>
    <w:rsid w:val="00505153"/>
    <w:rsid w:val="00505281"/>
    <w:rsid w:val="0050528C"/>
    <w:rsid w:val="00505673"/>
    <w:rsid w:val="005058C1"/>
    <w:rsid w:val="00506B35"/>
    <w:rsid w:val="00506C59"/>
    <w:rsid w:val="00507C8B"/>
    <w:rsid w:val="00510059"/>
    <w:rsid w:val="00510831"/>
    <w:rsid w:val="005114DD"/>
    <w:rsid w:val="005118A4"/>
    <w:rsid w:val="00512CC9"/>
    <w:rsid w:val="00513428"/>
    <w:rsid w:val="00513885"/>
    <w:rsid w:val="00513A6C"/>
    <w:rsid w:val="00514674"/>
    <w:rsid w:val="0051485D"/>
    <w:rsid w:val="0051500A"/>
    <w:rsid w:val="00515246"/>
    <w:rsid w:val="00515C6C"/>
    <w:rsid w:val="00515F11"/>
    <w:rsid w:val="00516F67"/>
    <w:rsid w:val="0051737B"/>
    <w:rsid w:val="00517DBC"/>
    <w:rsid w:val="00517E73"/>
    <w:rsid w:val="005206E2"/>
    <w:rsid w:val="0052103F"/>
    <w:rsid w:val="00521378"/>
    <w:rsid w:val="005213F1"/>
    <w:rsid w:val="00522142"/>
    <w:rsid w:val="00522D49"/>
    <w:rsid w:val="005233AA"/>
    <w:rsid w:val="005236DB"/>
    <w:rsid w:val="00524B22"/>
    <w:rsid w:val="00524EFD"/>
    <w:rsid w:val="005267C5"/>
    <w:rsid w:val="00526CB1"/>
    <w:rsid w:val="00527C63"/>
    <w:rsid w:val="00527E4B"/>
    <w:rsid w:val="005300D3"/>
    <w:rsid w:val="00530569"/>
    <w:rsid w:val="005307C3"/>
    <w:rsid w:val="00530A8E"/>
    <w:rsid w:val="0053131E"/>
    <w:rsid w:val="00532748"/>
    <w:rsid w:val="00533B44"/>
    <w:rsid w:val="00533B5B"/>
    <w:rsid w:val="00533FEB"/>
    <w:rsid w:val="00534885"/>
    <w:rsid w:val="00535147"/>
    <w:rsid w:val="005359FB"/>
    <w:rsid w:val="00535BE9"/>
    <w:rsid w:val="0053648C"/>
    <w:rsid w:val="005367E5"/>
    <w:rsid w:val="00536884"/>
    <w:rsid w:val="00536B23"/>
    <w:rsid w:val="00537525"/>
    <w:rsid w:val="00537735"/>
    <w:rsid w:val="00537935"/>
    <w:rsid w:val="005379D4"/>
    <w:rsid w:val="0054060C"/>
    <w:rsid w:val="0054066A"/>
    <w:rsid w:val="0054090B"/>
    <w:rsid w:val="00541222"/>
    <w:rsid w:val="00541724"/>
    <w:rsid w:val="005427A9"/>
    <w:rsid w:val="005429C6"/>
    <w:rsid w:val="0054305C"/>
    <w:rsid w:val="005431E8"/>
    <w:rsid w:val="00543502"/>
    <w:rsid w:val="00543E92"/>
    <w:rsid w:val="00543F74"/>
    <w:rsid w:val="00544019"/>
    <w:rsid w:val="00544E35"/>
    <w:rsid w:val="00544F82"/>
    <w:rsid w:val="00545484"/>
    <w:rsid w:val="00546550"/>
    <w:rsid w:val="005470D9"/>
    <w:rsid w:val="00547653"/>
    <w:rsid w:val="005479B0"/>
    <w:rsid w:val="0055024D"/>
    <w:rsid w:val="005505D0"/>
    <w:rsid w:val="00551A54"/>
    <w:rsid w:val="00551BF1"/>
    <w:rsid w:val="00551CF1"/>
    <w:rsid w:val="0055300C"/>
    <w:rsid w:val="00553935"/>
    <w:rsid w:val="005539CD"/>
    <w:rsid w:val="00554AF3"/>
    <w:rsid w:val="00554BC1"/>
    <w:rsid w:val="00556498"/>
    <w:rsid w:val="005566FD"/>
    <w:rsid w:val="0055740F"/>
    <w:rsid w:val="005575A4"/>
    <w:rsid w:val="0056082B"/>
    <w:rsid w:val="005609BC"/>
    <w:rsid w:val="00560C53"/>
    <w:rsid w:val="00561796"/>
    <w:rsid w:val="00562294"/>
    <w:rsid w:val="005626E0"/>
    <w:rsid w:val="0056286A"/>
    <w:rsid w:val="00564AB4"/>
    <w:rsid w:val="00564ABA"/>
    <w:rsid w:val="00564C4E"/>
    <w:rsid w:val="00565193"/>
    <w:rsid w:val="00565841"/>
    <w:rsid w:val="005672F4"/>
    <w:rsid w:val="0057046A"/>
    <w:rsid w:val="00570511"/>
    <w:rsid w:val="0057063C"/>
    <w:rsid w:val="00570D80"/>
    <w:rsid w:val="00571792"/>
    <w:rsid w:val="00572213"/>
    <w:rsid w:val="00572C43"/>
    <w:rsid w:val="00573488"/>
    <w:rsid w:val="00574084"/>
    <w:rsid w:val="005745EF"/>
    <w:rsid w:val="0057472E"/>
    <w:rsid w:val="00574D2F"/>
    <w:rsid w:val="00574FB3"/>
    <w:rsid w:val="005758E2"/>
    <w:rsid w:val="00575B58"/>
    <w:rsid w:val="00575D04"/>
    <w:rsid w:val="00575E42"/>
    <w:rsid w:val="005766AC"/>
    <w:rsid w:val="00577129"/>
    <w:rsid w:val="005771BF"/>
    <w:rsid w:val="00577639"/>
    <w:rsid w:val="005776E1"/>
    <w:rsid w:val="0057777C"/>
    <w:rsid w:val="00577CB1"/>
    <w:rsid w:val="00577EC1"/>
    <w:rsid w:val="0058064D"/>
    <w:rsid w:val="0058075D"/>
    <w:rsid w:val="00580F3A"/>
    <w:rsid w:val="00581C4D"/>
    <w:rsid w:val="00581F52"/>
    <w:rsid w:val="005823A4"/>
    <w:rsid w:val="00582420"/>
    <w:rsid w:val="0058248D"/>
    <w:rsid w:val="00582696"/>
    <w:rsid w:val="00582B8C"/>
    <w:rsid w:val="005841EE"/>
    <w:rsid w:val="00584F15"/>
    <w:rsid w:val="00584F27"/>
    <w:rsid w:val="0058644D"/>
    <w:rsid w:val="00586538"/>
    <w:rsid w:val="00587758"/>
    <w:rsid w:val="005879B0"/>
    <w:rsid w:val="00587A4B"/>
    <w:rsid w:val="00590A4F"/>
    <w:rsid w:val="00591425"/>
    <w:rsid w:val="00591A13"/>
    <w:rsid w:val="00591EE7"/>
    <w:rsid w:val="005925C3"/>
    <w:rsid w:val="0059268F"/>
    <w:rsid w:val="0059314A"/>
    <w:rsid w:val="005935AC"/>
    <w:rsid w:val="00593853"/>
    <w:rsid w:val="00593BFB"/>
    <w:rsid w:val="00593C4F"/>
    <w:rsid w:val="00594486"/>
    <w:rsid w:val="005946A8"/>
    <w:rsid w:val="00595744"/>
    <w:rsid w:val="005959BB"/>
    <w:rsid w:val="00596C97"/>
    <w:rsid w:val="00596D0A"/>
    <w:rsid w:val="00596E8D"/>
    <w:rsid w:val="00597494"/>
    <w:rsid w:val="00597BFA"/>
    <w:rsid w:val="005A00FD"/>
    <w:rsid w:val="005A0536"/>
    <w:rsid w:val="005A05EE"/>
    <w:rsid w:val="005A158B"/>
    <w:rsid w:val="005A1AD2"/>
    <w:rsid w:val="005A24F3"/>
    <w:rsid w:val="005A2829"/>
    <w:rsid w:val="005A36C1"/>
    <w:rsid w:val="005A38D6"/>
    <w:rsid w:val="005A38F3"/>
    <w:rsid w:val="005A3B54"/>
    <w:rsid w:val="005A4114"/>
    <w:rsid w:val="005A4191"/>
    <w:rsid w:val="005A4407"/>
    <w:rsid w:val="005A49FD"/>
    <w:rsid w:val="005A4C09"/>
    <w:rsid w:val="005A559B"/>
    <w:rsid w:val="005A59EF"/>
    <w:rsid w:val="005A5C18"/>
    <w:rsid w:val="005A5CD0"/>
    <w:rsid w:val="005A5DD8"/>
    <w:rsid w:val="005A624E"/>
    <w:rsid w:val="005A7139"/>
    <w:rsid w:val="005A7891"/>
    <w:rsid w:val="005B093D"/>
    <w:rsid w:val="005B0AEB"/>
    <w:rsid w:val="005B0BBE"/>
    <w:rsid w:val="005B0E4C"/>
    <w:rsid w:val="005B1078"/>
    <w:rsid w:val="005B1CB8"/>
    <w:rsid w:val="005B21FE"/>
    <w:rsid w:val="005B289C"/>
    <w:rsid w:val="005B2A18"/>
    <w:rsid w:val="005B2B95"/>
    <w:rsid w:val="005B2D56"/>
    <w:rsid w:val="005B2FB4"/>
    <w:rsid w:val="005B3825"/>
    <w:rsid w:val="005B3B6C"/>
    <w:rsid w:val="005B3F3E"/>
    <w:rsid w:val="005B424B"/>
    <w:rsid w:val="005B427C"/>
    <w:rsid w:val="005B4D19"/>
    <w:rsid w:val="005B5FF8"/>
    <w:rsid w:val="005B6583"/>
    <w:rsid w:val="005C0BD6"/>
    <w:rsid w:val="005C0C94"/>
    <w:rsid w:val="005C0CD4"/>
    <w:rsid w:val="005C0F04"/>
    <w:rsid w:val="005C13F0"/>
    <w:rsid w:val="005C14B4"/>
    <w:rsid w:val="005C17B7"/>
    <w:rsid w:val="005C2383"/>
    <w:rsid w:val="005C25B1"/>
    <w:rsid w:val="005C2CFE"/>
    <w:rsid w:val="005C361E"/>
    <w:rsid w:val="005C3F2A"/>
    <w:rsid w:val="005C4862"/>
    <w:rsid w:val="005C50CB"/>
    <w:rsid w:val="005C599C"/>
    <w:rsid w:val="005C63A8"/>
    <w:rsid w:val="005C7B2B"/>
    <w:rsid w:val="005D0F1F"/>
    <w:rsid w:val="005D1429"/>
    <w:rsid w:val="005D215E"/>
    <w:rsid w:val="005D3655"/>
    <w:rsid w:val="005D3998"/>
    <w:rsid w:val="005D492F"/>
    <w:rsid w:val="005D4E62"/>
    <w:rsid w:val="005D52B3"/>
    <w:rsid w:val="005D539E"/>
    <w:rsid w:val="005D589C"/>
    <w:rsid w:val="005D5E7C"/>
    <w:rsid w:val="005D6385"/>
    <w:rsid w:val="005D6F30"/>
    <w:rsid w:val="005D7287"/>
    <w:rsid w:val="005D7748"/>
    <w:rsid w:val="005D790C"/>
    <w:rsid w:val="005E006D"/>
    <w:rsid w:val="005E008F"/>
    <w:rsid w:val="005E099D"/>
    <w:rsid w:val="005E0EDE"/>
    <w:rsid w:val="005E10CF"/>
    <w:rsid w:val="005E189C"/>
    <w:rsid w:val="005E1DD4"/>
    <w:rsid w:val="005E2458"/>
    <w:rsid w:val="005E2563"/>
    <w:rsid w:val="005E343D"/>
    <w:rsid w:val="005E37C7"/>
    <w:rsid w:val="005E3CAA"/>
    <w:rsid w:val="005E438D"/>
    <w:rsid w:val="005E4D01"/>
    <w:rsid w:val="005E54E9"/>
    <w:rsid w:val="005E57B7"/>
    <w:rsid w:val="005E5875"/>
    <w:rsid w:val="005E5ED5"/>
    <w:rsid w:val="005E654A"/>
    <w:rsid w:val="005E6915"/>
    <w:rsid w:val="005E6D07"/>
    <w:rsid w:val="005E7111"/>
    <w:rsid w:val="005E7908"/>
    <w:rsid w:val="005E7991"/>
    <w:rsid w:val="005E7C1F"/>
    <w:rsid w:val="005F041B"/>
    <w:rsid w:val="005F1971"/>
    <w:rsid w:val="005F2625"/>
    <w:rsid w:val="005F26F3"/>
    <w:rsid w:val="005F3081"/>
    <w:rsid w:val="005F3318"/>
    <w:rsid w:val="005F3359"/>
    <w:rsid w:val="005F3710"/>
    <w:rsid w:val="005F493B"/>
    <w:rsid w:val="005F4B51"/>
    <w:rsid w:val="005F4BA3"/>
    <w:rsid w:val="005F562F"/>
    <w:rsid w:val="005F65B1"/>
    <w:rsid w:val="005F6F29"/>
    <w:rsid w:val="005F6F41"/>
    <w:rsid w:val="005F770D"/>
    <w:rsid w:val="005F7A7E"/>
    <w:rsid w:val="00600176"/>
    <w:rsid w:val="00600955"/>
    <w:rsid w:val="00600D39"/>
    <w:rsid w:val="00601082"/>
    <w:rsid w:val="0060185B"/>
    <w:rsid w:val="00602A51"/>
    <w:rsid w:val="00602AC4"/>
    <w:rsid w:val="00602AEA"/>
    <w:rsid w:val="00602C54"/>
    <w:rsid w:val="006038CC"/>
    <w:rsid w:val="00603AF2"/>
    <w:rsid w:val="006043B8"/>
    <w:rsid w:val="00604D50"/>
    <w:rsid w:val="00605168"/>
    <w:rsid w:val="006055B1"/>
    <w:rsid w:val="00605810"/>
    <w:rsid w:val="0060586A"/>
    <w:rsid w:val="00605965"/>
    <w:rsid w:val="00605B89"/>
    <w:rsid w:val="0060604C"/>
    <w:rsid w:val="006061CD"/>
    <w:rsid w:val="0060659D"/>
    <w:rsid w:val="006068B7"/>
    <w:rsid w:val="00606F6A"/>
    <w:rsid w:val="006100C2"/>
    <w:rsid w:val="006105D5"/>
    <w:rsid w:val="0061061E"/>
    <w:rsid w:val="0061075A"/>
    <w:rsid w:val="00610853"/>
    <w:rsid w:val="00610D7A"/>
    <w:rsid w:val="00611BAF"/>
    <w:rsid w:val="00611D96"/>
    <w:rsid w:val="00611E61"/>
    <w:rsid w:val="00612058"/>
    <w:rsid w:val="00612392"/>
    <w:rsid w:val="006132E4"/>
    <w:rsid w:val="00613A17"/>
    <w:rsid w:val="00613AE5"/>
    <w:rsid w:val="00614BCD"/>
    <w:rsid w:val="00615A42"/>
    <w:rsid w:val="00616689"/>
    <w:rsid w:val="00616A85"/>
    <w:rsid w:val="00616D43"/>
    <w:rsid w:val="006173C7"/>
    <w:rsid w:val="0061769C"/>
    <w:rsid w:val="006205BB"/>
    <w:rsid w:val="00621520"/>
    <w:rsid w:val="006218F4"/>
    <w:rsid w:val="00621A12"/>
    <w:rsid w:val="00621ABE"/>
    <w:rsid w:val="00621DE3"/>
    <w:rsid w:val="00622414"/>
    <w:rsid w:val="006229FA"/>
    <w:rsid w:val="006235E2"/>
    <w:rsid w:val="006236DA"/>
    <w:rsid w:val="00623D9D"/>
    <w:rsid w:val="00624952"/>
    <w:rsid w:val="006249D9"/>
    <w:rsid w:val="006250EC"/>
    <w:rsid w:val="00625642"/>
    <w:rsid w:val="00625DC6"/>
    <w:rsid w:val="00626026"/>
    <w:rsid w:val="00626C69"/>
    <w:rsid w:val="00627B30"/>
    <w:rsid w:val="006301EC"/>
    <w:rsid w:val="0063030F"/>
    <w:rsid w:val="00630697"/>
    <w:rsid w:val="0063084B"/>
    <w:rsid w:val="006310E9"/>
    <w:rsid w:val="00631535"/>
    <w:rsid w:val="0063153F"/>
    <w:rsid w:val="00632BB1"/>
    <w:rsid w:val="00632C3D"/>
    <w:rsid w:val="00633102"/>
    <w:rsid w:val="00633485"/>
    <w:rsid w:val="0063353C"/>
    <w:rsid w:val="00634194"/>
    <w:rsid w:val="00634430"/>
    <w:rsid w:val="00634669"/>
    <w:rsid w:val="00635170"/>
    <w:rsid w:val="00635A91"/>
    <w:rsid w:val="00635D20"/>
    <w:rsid w:val="006363D0"/>
    <w:rsid w:val="006366A7"/>
    <w:rsid w:val="00636A05"/>
    <w:rsid w:val="0064008D"/>
    <w:rsid w:val="00640274"/>
    <w:rsid w:val="00640FA4"/>
    <w:rsid w:val="0064111E"/>
    <w:rsid w:val="0064117E"/>
    <w:rsid w:val="00641483"/>
    <w:rsid w:val="00642010"/>
    <w:rsid w:val="00642FAA"/>
    <w:rsid w:val="0064391D"/>
    <w:rsid w:val="00643EAD"/>
    <w:rsid w:val="00644013"/>
    <w:rsid w:val="00644451"/>
    <w:rsid w:val="006444D4"/>
    <w:rsid w:val="00644661"/>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B37"/>
    <w:rsid w:val="00654F3E"/>
    <w:rsid w:val="00655782"/>
    <w:rsid w:val="00655805"/>
    <w:rsid w:val="0065599E"/>
    <w:rsid w:val="00656128"/>
    <w:rsid w:val="00657695"/>
    <w:rsid w:val="0065780E"/>
    <w:rsid w:val="0066005D"/>
    <w:rsid w:val="00660E08"/>
    <w:rsid w:val="006632DB"/>
    <w:rsid w:val="006645AA"/>
    <w:rsid w:val="00664A68"/>
    <w:rsid w:val="006666EB"/>
    <w:rsid w:val="00666FC9"/>
    <w:rsid w:val="006673B1"/>
    <w:rsid w:val="006675CD"/>
    <w:rsid w:val="006676B9"/>
    <w:rsid w:val="00667F2A"/>
    <w:rsid w:val="006706EF"/>
    <w:rsid w:val="00670C0D"/>
    <w:rsid w:val="00670F1A"/>
    <w:rsid w:val="00670F7F"/>
    <w:rsid w:val="00671249"/>
    <w:rsid w:val="00671E39"/>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89D"/>
    <w:rsid w:val="00680B68"/>
    <w:rsid w:val="00680CCA"/>
    <w:rsid w:val="00682364"/>
    <w:rsid w:val="006829AD"/>
    <w:rsid w:val="00682A8D"/>
    <w:rsid w:val="00683161"/>
    <w:rsid w:val="00683187"/>
    <w:rsid w:val="00683F0F"/>
    <w:rsid w:val="00684919"/>
    <w:rsid w:val="00684AB3"/>
    <w:rsid w:val="00684D9B"/>
    <w:rsid w:val="006854E5"/>
    <w:rsid w:val="00685915"/>
    <w:rsid w:val="00685EE8"/>
    <w:rsid w:val="006861EF"/>
    <w:rsid w:val="00686C91"/>
    <w:rsid w:val="00686CBD"/>
    <w:rsid w:val="00686F1A"/>
    <w:rsid w:val="00687275"/>
    <w:rsid w:val="006876EA"/>
    <w:rsid w:val="0068781A"/>
    <w:rsid w:val="00690155"/>
    <w:rsid w:val="0069091A"/>
    <w:rsid w:val="00690AC9"/>
    <w:rsid w:val="00690FA7"/>
    <w:rsid w:val="00691D21"/>
    <w:rsid w:val="00691EFD"/>
    <w:rsid w:val="00691EFE"/>
    <w:rsid w:val="0069208C"/>
    <w:rsid w:val="00692B0E"/>
    <w:rsid w:val="00692D63"/>
    <w:rsid w:val="0069352A"/>
    <w:rsid w:val="0069403C"/>
    <w:rsid w:val="00694885"/>
    <w:rsid w:val="00694BC8"/>
    <w:rsid w:val="00694E03"/>
    <w:rsid w:val="00695918"/>
    <w:rsid w:val="00696554"/>
    <w:rsid w:val="00696592"/>
    <w:rsid w:val="00696618"/>
    <w:rsid w:val="006966DC"/>
    <w:rsid w:val="00696CF4"/>
    <w:rsid w:val="006970CF"/>
    <w:rsid w:val="00697556"/>
    <w:rsid w:val="006A0F3F"/>
    <w:rsid w:val="006A14B5"/>
    <w:rsid w:val="006A2161"/>
    <w:rsid w:val="006A2E43"/>
    <w:rsid w:val="006A32BB"/>
    <w:rsid w:val="006A33FF"/>
    <w:rsid w:val="006A42F9"/>
    <w:rsid w:val="006A4548"/>
    <w:rsid w:val="006A4DA4"/>
    <w:rsid w:val="006A53DF"/>
    <w:rsid w:val="006A5506"/>
    <w:rsid w:val="006A5BD7"/>
    <w:rsid w:val="006A61E7"/>
    <w:rsid w:val="006A71B1"/>
    <w:rsid w:val="006A71F5"/>
    <w:rsid w:val="006A7392"/>
    <w:rsid w:val="006A7868"/>
    <w:rsid w:val="006B0EAB"/>
    <w:rsid w:val="006B1271"/>
    <w:rsid w:val="006B12CB"/>
    <w:rsid w:val="006B23A9"/>
    <w:rsid w:val="006B24FC"/>
    <w:rsid w:val="006B2AC4"/>
    <w:rsid w:val="006B2C70"/>
    <w:rsid w:val="006B2CA2"/>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C0D"/>
    <w:rsid w:val="006C0ED5"/>
    <w:rsid w:val="006C169B"/>
    <w:rsid w:val="006C25DB"/>
    <w:rsid w:val="006C2A8E"/>
    <w:rsid w:val="006C3136"/>
    <w:rsid w:val="006C4101"/>
    <w:rsid w:val="006C4F01"/>
    <w:rsid w:val="006C51CA"/>
    <w:rsid w:val="006C5AFE"/>
    <w:rsid w:val="006C5DF0"/>
    <w:rsid w:val="006C5F79"/>
    <w:rsid w:val="006C5F80"/>
    <w:rsid w:val="006C650A"/>
    <w:rsid w:val="006D0453"/>
    <w:rsid w:val="006D0550"/>
    <w:rsid w:val="006D0E7F"/>
    <w:rsid w:val="006D156B"/>
    <w:rsid w:val="006D2557"/>
    <w:rsid w:val="006D2817"/>
    <w:rsid w:val="006D394A"/>
    <w:rsid w:val="006D3BEB"/>
    <w:rsid w:val="006D3C42"/>
    <w:rsid w:val="006D3D61"/>
    <w:rsid w:val="006D3E0D"/>
    <w:rsid w:val="006D3F38"/>
    <w:rsid w:val="006D489D"/>
    <w:rsid w:val="006D4A98"/>
    <w:rsid w:val="006D50F4"/>
    <w:rsid w:val="006D594A"/>
    <w:rsid w:val="006D5A35"/>
    <w:rsid w:val="006D62B1"/>
    <w:rsid w:val="006D643D"/>
    <w:rsid w:val="006D6563"/>
    <w:rsid w:val="006D73D6"/>
    <w:rsid w:val="006D757F"/>
    <w:rsid w:val="006D77C2"/>
    <w:rsid w:val="006D7C8F"/>
    <w:rsid w:val="006D7EEB"/>
    <w:rsid w:val="006D7EF7"/>
    <w:rsid w:val="006E0D31"/>
    <w:rsid w:val="006E135C"/>
    <w:rsid w:val="006E2120"/>
    <w:rsid w:val="006E22B6"/>
    <w:rsid w:val="006E24AF"/>
    <w:rsid w:val="006E2A92"/>
    <w:rsid w:val="006E36D6"/>
    <w:rsid w:val="006E3A7F"/>
    <w:rsid w:val="006E3EFE"/>
    <w:rsid w:val="006E42CE"/>
    <w:rsid w:val="006E443E"/>
    <w:rsid w:val="006E4656"/>
    <w:rsid w:val="006E5435"/>
    <w:rsid w:val="006E5C5D"/>
    <w:rsid w:val="006E654E"/>
    <w:rsid w:val="006E6A53"/>
    <w:rsid w:val="006E712D"/>
    <w:rsid w:val="006F0147"/>
    <w:rsid w:val="006F18AB"/>
    <w:rsid w:val="006F1914"/>
    <w:rsid w:val="006F1CD6"/>
    <w:rsid w:val="006F2052"/>
    <w:rsid w:val="006F2360"/>
    <w:rsid w:val="006F2F91"/>
    <w:rsid w:val="006F35B9"/>
    <w:rsid w:val="006F4C1B"/>
    <w:rsid w:val="006F55A6"/>
    <w:rsid w:val="006F57C3"/>
    <w:rsid w:val="006F5AA7"/>
    <w:rsid w:val="006F5AD7"/>
    <w:rsid w:val="006F611E"/>
    <w:rsid w:val="006F65EE"/>
    <w:rsid w:val="006F6A9F"/>
    <w:rsid w:val="006F6D95"/>
    <w:rsid w:val="006F74A5"/>
    <w:rsid w:val="006F75C6"/>
    <w:rsid w:val="006F7B4F"/>
    <w:rsid w:val="006F7E3F"/>
    <w:rsid w:val="0070117F"/>
    <w:rsid w:val="0070130A"/>
    <w:rsid w:val="0070157F"/>
    <w:rsid w:val="00701F4A"/>
    <w:rsid w:val="00701FB5"/>
    <w:rsid w:val="007026B9"/>
    <w:rsid w:val="00702CC9"/>
    <w:rsid w:val="00702DFD"/>
    <w:rsid w:val="00703123"/>
    <w:rsid w:val="007031F7"/>
    <w:rsid w:val="00704B23"/>
    <w:rsid w:val="0070524E"/>
    <w:rsid w:val="007053F1"/>
    <w:rsid w:val="0070698A"/>
    <w:rsid w:val="00706F13"/>
    <w:rsid w:val="00706F5F"/>
    <w:rsid w:val="00706FFA"/>
    <w:rsid w:val="0070702E"/>
    <w:rsid w:val="00707180"/>
    <w:rsid w:val="007072E8"/>
    <w:rsid w:val="00707ABF"/>
    <w:rsid w:val="0071081E"/>
    <w:rsid w:val="00712D37"/>
    <w:rsid w:val="007130D0"/>
    <w:rsid w:val="007132F9"/>
    <w:rsid w:val="007134B0"/>
    <w:rsid w:val="00713D0E"/>
    <w:rsid w:val="00713EC6"/>
    <w:rsid w:val="007141C5"/>
    <w:rsid w:val="00714EB2"/>
    <w:rsid w:val="007158C6"/>
    <w:rsid w:val="007160FE"/>
    <w:rsid w:val="0071618D"/>
    <w:rsid w:val="00716534"/>
    <w:rsid w:val="00716EA8"/>
    <w:rsid w:val="0072061B"/>
    <w:rsid w:val="00720985"/>
    <w:rsid w:val="00721239"/>
    <w:rsid w:val="0072154E"/>
    <w:rsid w:val="0072197D"/>
    <w:rsid w:val="00721A16"/>
    <w:rsid w:val="00721CB1"/>
    <w:rsid w:val="00721F7B"/>
    <w:rsid w:val="007224EF"/>
    <w:rsid w:val="00722504"/>
    <w:rsid w:val="007234AF"/>
    <w:rsid w:val="00723806"/>
    <w:rsid w:val="007241B7"/>
    <w:rsid w:val="007242D4"/>
    <w:rsid w:val="007245E2"/>
    <w:rsid w:val="007249CA"/>
    <w:rsid w:val="00725DFE"/>
    <w:rsid w:val="00725FA4"/>
    <w:rsid w:val="007264D8"/>
    <w:rsid w:val="007267A9"/>
    <w:rsid w:val="00726809"/>
    <w:rsid w:val="007269AB"/>
    <w:rsid w:val="00726EEB"/>
    <w:rsid w:val="0072749E"/>
    <w:rsid w:val="0072788E"/>
    <w:rsid w:val="00727F83"/>
    <w:rsid w:val="007304D6"/>
    <w:rsid w:val="00731156"/>
    <w:rsid w:val="007313E8"/>
    <w:rsid w:val="0073143C"/>
    <w:rsid w:val="007319CF"/>
    <w:rsid w:val="00731B22"/>
    <w:rsid w:val="007325B0"/>
    <w:rsid w:val="0073310B"/>
    <w:rsid w:val="00733C9A"/>
    <w:rsid w:val="00734321"/>
    <w:rsid w:val="007346AF"/>
    <w:rsid w:val="0073552C"/>
    <w:rsid w:val="0073597E"/>
    <w:rsid w:val="00736377"/>
    <w:rsid w:val="007366D8"/>
    <w:rsid w:val="00736F10"/>
    <w:rsid w:val="00737268"/>
    <w:rsid w:val="00737FC3"/>
    <w:rsid w:val="0074020B"/>
    <w:rsid w:val="007402FF"/>
    <w:rsid w:val="00740446"/>
    <w:rsid w:val="00741712"/>
    <w:rsid w:val="007427CC"/>
    <w:rsid w:val="00743486"/>
    <w:rsid w:val="007434E2"/>
    <w:rsid w:val="00743809"/>
    <w:rsid w:val="007438A9"/>
    <w:rsid w:val="00743CCE"/>
    <w:rsid w:val="00744757"/>
    <w:rsid w:val="0074491E"/>
    <w:rsid w:val="00745325"/>
    <w:rsid w:val="00745D50"/>
    <w:rsid w:val="00746489"/>
    <w:rsid w:val="00746A79"/>
    <w:rsid w:val="00746AEF"/>
    <w:rsid w:val="007474A4"/>
    <w:rsid w:val="00747B9D"/>
    <w:rsid w:val="00747C13"/>
    <w:rsid w:val="0075075C"/>
    <w:rsid w:val="00751970"/>
    <w:rsid w:val="00751E8F"/>
    <w:rsid w:val="00751EF3"/>
    <w:rsid w:val="00752031"/>
    <w:rsid w:val="00753C4B"/>
    <w:rsid w:val="007546D0"/>
    <w:rsid w:val="00754AE0"/>
    <w:rsid w:val="00754E32"/>
    <w:rsid w:val="0075595E"/>
    <w:rsid w:val="00756468"/>
    <w:rsid w:val="007567E2"/>
    <w:rsid w:val="00756DFA"/>
    <w:rsid w:val="00756EC3"/>
    <w:rsid w:val="00757462"/>
    <w:rsid w:val="00757A3E"/>
    <w:rsid w:val="00757B24"/>
    <w:rsid w:val="00760160"/>
    <w:rsid w:val="00761339"/>
    <w:rsid w:val="007615E9"/>
    <w:rsid w:val="007616CD"/>
    <w:rsid w:val="00761A28"/>
    <w:rsid w:val="00761F02"/>
    <w:rsid w:val="0076247A"/>
    <w:rsid w:val="007624BB"/>
    <w:rsid w:val="00762543"/>
    <w:rsid w:val="00762E7E"/>
    <w:rsid w:val="007636CA"/>
    <w:rsid w:val="00763E5B"/>
    <w:rsid w:val="00763FB1"/>
    <w:rsid w:val="007644E1"/>
    <w:rsid w:val="00764956"/>
    <w:rsid w:val="00764FC5"/>
    <w:rsid w:val="00765BF3"/>
    <w:rsid w:val="0076635A"/>
    <w:rsid w:val="007667A8"/>
    <w:rsid w:val="00766F53"/>
    <w:rsid w:val="0076777C"/>
    <w:rsid w:val="00770203"/>
    <w:rsid w:val="00770391"/>
    <w:rsid w:val="00770C05"/>
    <w:rsid w:val="0077189E"/>
    <w:rsid w:val="00772CB0"/>
    <w:rsid w:val="00772EE7"/>
    <w:rsid w:val="007732A6"/>
    <w:rsid w:val="00773386"/>
    <w:rsid w:val="00773A17"/>
    <w:rsid w:val="00773B93"/>
    <w:rsid w:val="0077402E"/>
    <w:rsid w:val="00774B8D"/>
    <w:rsid w:val="00774FF8"/>
    <w:rsid w:val="00775271"/>
    <w:rsid w:val="007757AE"/>
    <w:rsid w:val="00775964"/>
    <w:rsid w:val="00775C47"/>
    <w:rsid w:val="00776159"/>
    <w:rsid w:val="007765FE"/>
    <w:rsid w:val="00776775"/>
    <w:rsid w:val="00776A7A"/>
    <w:rsid w:val="00776BD0"/>
    <w:rsid w:val="00777DBF"/>
    <w:rsid w:val="00780489"/>
    <w:rsid w:val="0078052E"/>
    <w:rsid w:val="007810BE"/>
    <w:rsid w:val="007818F2"/>
    <w:rsid w:val="00781E11"/>
    <w:rsid w:val="00782BA7"/>
    <w:rsid w:val="0078331D"/>
    <w:rsid w:val="007833A7"/>
    <w:rsid w:val="007833C9"/>
    <w:rsid w:val="007838D1"/>
    <w:rsid w:val="00785730"/>
    <w:rsid w:val="00785EDC"/>
    <w:rsid w:val="00786458"/>
    <w:rsid w:val="00787219"/>
    <w:rsid w:val="00787FFA"/>
    <w:rsid w:val="00790034"/>
    <w:rsid w:val="007902A0"/>
    <w:rsid w:val="007905F7"/>
    <w:rsid w:val="00790666"/>
    <w:rsid w:val="00790ABF"/>
    <w:rsid w:val="00790E66"/>
    <w:rsid w:val="00792487"/>
    <w:rsid w:val="00793509"/>
    <w:rsid w:val="00794353"/>
    <w:rsid w:val="00794BAC"/>
    <w:rsid w:val="00794E60"/>
    <w:rsid w:val="007951A8"/>
    <w:rsid w:val="00795B57"/>
    <w:rsid w:val="00795BFB"/>
    <w:rsid w:val="0079655C"/>
    <w:rsid w:val="00796DF5"/>
    <w:rsid w:val="0079750B"/>
    <w:rsid w:val="007A0C15"/>
    <w:rsid w:val="007A0CF3"/>
    <w:rsid w:val="007A0F38"/>
    <w:rsid w:val="007A10D6"/>
    <w:rsid w:val="007A1BA2"/>
    <w:rsid w:val="007A223A"/>
    <w:rsid w:val="007A299D"/>
    <w:rsid w:val="007A3929"/>
    <w:rsid w:val="007A4519"/>
    <w:rsid w:val="007A4753"/>
    <w:rsid w:val="007A4C02"/>
    <w:rsid w:val="007A570A"/>
    <w:rsid w:val="007A59A0"/>
    <w:rsid w:val="007A5A0A"/>
    <w:rsid w:val="007A5A47"/>
    <w:rsid w:val="007A6139"/>
    <w:rsid w:val="007A6F1F"/>
    <w:rsid w:val="007A6F7F"/>
    <w:rsid w:val="007A766F"/>
    <w:rsid w:val="007A7D76"/>
    <w:rsid w:val="007A7E06"/>
    <w:rsid w:val="007B095A"/>
    <w:rsid w:val="007B0989"/>
    <w:rsid w:val="007B0F22"/>
    <w:rsid w:val="007B1C48"/>
    <w:rsid w:val="007B237E"/>
    <w:rsid w:val="007B2424"/>
    <w:rsid w:val="007B2617"/>
    <w:rsid w:val="007B2760"/>
    <w:rsid w:val="007B35F6"/>
    <w:rsid w:val="007B361C"/>
    <w:rsid w:val="007B3DF4"/>
    <w:rsid w:val="007B4F3D"/>
    <w:rsid w:val="007B56F2"/>
    <w:rsid w:val="007B59D7"/>
    <w:rsid w:val="007B5D12"/>
    <w:rsid w:val="007B5E9A"/>
    <w:rsid w:val="007B5F8B"/>
    <w:rsid w:val="007B6A62"/>
    <w:rsid w:val="007B6B7D"/>
    <w:rsid w:val="007B71A2"/>
    <w:rsid w:val="007B7211"/>
    <w:rsid w:val="007B7859"/>
    <w:rsid w:val="007B796D"/>
    <w:rsid w:val="007C177F"/>
    <w:rsid w:val="007C1C5C"/>
    <w:rsid w:val="007C255D"/>
    <w:rsid w:val="007C266F"/>
    <w:rsid w:val="007C2CB7"/>
    <w:rsid w:val="007C3D92"/>
    <w:rsid w:val="007C51B6"/>
    <w:rsid w:val="007C52AB"/>
    <w:rsid w:val="007C543C"/>
    <w:rsid w:val="007C5765"/>
    <w:rsid w:val="007C5866"/>
    <w:rsid w:val="007C6311"/>
    <w:rsid w:val="007C6478"/>
    <w:rsid w:val="007C667B"/>
    <w:rsid w:val="007C6720"/>
    <w:rsid w:val="007C689F"/>
    <w:rsid w:val="007C6DF4"/>
    <w:rsid w:val="007D030C"/>
    <w:rsid w:val="007D0713"/>
    <w:rsid w:val="007D0C55"/>
    <w:rsid w:val="007D0F59"/>
    <w:rsid w:val="007D10C6"/>
    <w:rsid w:val="007D139A"/>
    <w:rsid w:val="007D15B2"/>
    <w:rsid w:val="007D1E3E"/>
    <w:rsid w:val="007D2144"/>
    <w:rsid w:val="007D2BF0"/>
    <w:rsid w:val="007D2EB4"/>
    <w:rsid w:val="007D31C9"/>
    <w:rsid w:val="007D39F7"/>
    <w:rsid w:val="007D3F74"/>
    <w:rsid w:val="007D400B"/>
    <w:rsid w:val="007D40FE"/>
    <w:rsid w:val="007D47E9"/>
    <w:rsid w:val="007D4AC8"/>
    <w:rsid w:val="007D4BDB"/>
    <w:rsid w:val="007D5B60"/>
    <w:rsid w:val="007D793F"/>
    <w:rsid w:val="007D7F35"/>
    <w:rsid w:val="007E015A"/>
    <w:rsid w:val="007E01D6"/>
    <w:rsid w:val="007E0298"/>
    <w:rsid w:val="007E0CC2"/>
    <w:rsid w:val="007E0EE1"/>
    <w:rsid w:val="007E13C5"/>
    <w:rsid w:val="007E14A3"/>
    <w:rsid w:val="007E2168"/>
    <w:rsid w:val="007E2681"/>
    <w:rsid w:val="007E3184"/>
    <w:rsid w:val="007E34CC"/>
    <w:rsid w:val="007E4121"/>
    <w:rsid w:val="007E43C4"/>
    <w:rsid w:val="007E4A18"/>
    <w:rsid w:val="007E4A19"/>
    <w:rsid w:val="007E4AF0"/>
    <w:rsid w:val="007E6094"/>
    <w:rsid w:val="007E72CA"/>
    <w:rsid w:val="007E7590"/>
    <w:rsid w:val="007F0337"/>
    <w:rsid w:val="007F0361"/>
    <w:rsid w:val="007F0C9C"/>
    <w:rsid w:val="007F0D30"/>
    <w:rsid w:val="007F1350"/>
    <w:rsid w:val="007F18A8"/>
    <w:rsid w:val="007F20DF"/>
    <w:rsid w:val="007F2631"/>
    <w:rsid w:val="007F3306"/>
    <w:rsid w:val="007F4514"/>
    <w:rsid w:val="007F4754"/>
    <w:rsid w:val="007F4EDE"/>
    <w:rsid w:val="007F523F"/>
    <w:rsid w:val="007F5801"/>
    <w:rsid w:val="007F5C72"/>
    <w:rsid w:val="007F5D28"/>
    <w:rsid w:val="007F60ED"/>
    <w:rsid w:val="007F657D"/>
    <w:rsid w:val="007F693B"/>
    <w:rsid w:val="007F7077"/>
    <w:rsid w:val="007F76DA"/>
    <w:rsid w:val="007F7E38"/>
    <w:rsid w:val="007F7F48"/>
    <w:rsid w:val="0080025F"/>
    <w:rsid w:val="00800BD9"/>
    <w:rsid w:val="00800E56"/>
    <w:rsid w:val="00800E64"/>
    <w:rsid w:val="00801FFA"/>
    <w:rsid w:val="00802033"/>
    <w:rsid w:val="00802125"/>
    <w:rsid w:val="008024FC"/>
    <w:rsid w:val="00802762"/>
    <w:rsid w:val="00802C8D"/>
    <w:rsid w:val="0080345F"/>
    <w:rsid w:val="0080425C"/>
    <w:rsid w:val="00804950"/>
    <w:rsid w:val="00804B6F"/>
    <w:rsid w:val="00804EEE"/>
    <w:rsid w:val="008050B8"/>
    <w:rsid w:val="00805567"/>
    <w:rsid w:val="00805874"/>
    <w:rsid w:val="00805A37"/>
    <w:rsid w:val="00805F15"/>
    <w:rsid w:val="00806C01"/>
    <w:rsid w:val="00807273"/>
    <w:rsid w:val="00807A08"/>
    <w:rsid w:val="00807F05"/>
    <w:rsid w:val="0081003B"/>
    <w:rsid w:val="00810083"/>
    <w:rsid w:val="00810BE0"/>
    <w:rsid w:val="00811BC6"/>
    <w:rsid w:val="00812AD9"/>
    <w:rsid w:val="008137D1"/>
    <w:rsid w:val="00813839"/>
    <w:rsid w:val="00813908"/>
    <w:rsid w:val="00813C04"/>
    <w:rsid w:val="0081481D"/>
    <w:rsid w:val="008148CC"/>
    <w:rsid w:val="00814B85"/>
    <w:rsid w:val="00814D59"/>
    <w:rsid w:val="00814EE0"/>
    <w:rsid w:val="00815408"/>
    <w:rsid w:val="00816207"/>
    <w:rsid w:val="0081630D"/>
    <w:rsid w:val="008167B6"/>
    <w:rsid w:val="0081708A"/>
    <w:rsid w:val="00817625"/>
    <w:rsid w:val="00817846"/>
    <w:rsid w:val="00820794"/>
    <w:rsid w:val="008210A2"/>
    <w:rsid w:val="008211A4"/>
    <w:rsid w:val="00821797"/>
    <w:rsid w:val="00821A08"/>
    <w:rsid w:val="00821AA9"/>
    <w:rsid w:val="00821C87"/>
    <w:rsid w:val="00822BE6"/>
    <w:rsid w:val="00822D51"/>
    <w:rsid w:val="0082340B"/>
    <w:rsid w:val="0082345D"/>
    <w:rsid w:val="00823D09"/>
    <w:rsid w:val="0082417E"/>
    <w:rsid w:val="008248DF"/>
    <w:rsid w:val="008254FC"/>
    <w:rsid w:val="00825717"/>
    <w:rsid w:val="008263EB"/>
    <w:rsid w:val="00826AE0"/>
    <w:rsid w:val="00826CC6"/>
    <w:rsid w:val="0082750D"/>
    <w:rsid w:val="0082774E"/>
    <w:rsid w:val="00827893"/>
    <w:rsid w:val="008303E9"/>
    <w:rsid w:val="008303EE"/>
    <w:rsid w:val="00830DFB"/>
    <w:rsid w:val="00831A19"/>
    <w:rsid w:val="00831DC1"/>
    <w:rsid w:val="0083274D"/>
    <w:rsid w:val="008334AE"/>
    <w:rsid w:val="00833623"/>
    <w:rsid w:val="008336A4"/>
    <w:rsid w:val="008339A3"/>
    <w:rsid w:val="00833AEE"/>
    <w:rsid w:val="00833DC8"/>
    <w:rsid w:val="00834411"/>
    <w:rsid w:val="008346AF"/>
    <w:rsid w:val="00834A37"/>
    <w:rsid w:val="0083509A"/>
    <w:rsid w:val="00835290"/>
    <w:rsid w:val="0083588F"/>
    <w:rsid w:val="008360FC"/>
    <w:rsid w:val="008365C2"/>
    <w:rsid w:val="00836609"/>
    <w:rsid w:val="008368F1"/>
    <w:rsid w:val="00836977"/>
    <w:rsid w:val="0083705E"/>
    <w:rsid w:val="0083734E"/>
    <w:rsid w:val="00837F44"/>
    <w:rsid w:val="008404DF"/>
    <w:rsid w:val="00840E93"/>
    <w:rsid w:val="008417FE"/>
    <w:rsid w:val="00841F41"/>
    <w:rsid w:val="00842138"/>
    <w:rsid w:val="00843CE8"/>
    <w:rsid w:val="00844110"/>
    <w:rsid w:val="00844603"/>
    <w:rsid w:val="00845923"/>
    <w:rsid w:val="00846EBD"/>
    <w:rsid w:val="0084730E"/>
    <w:rsid w:val="0084779A"/>
    <w:rsid w:val="008479FF"/>
    <w:rsid w:val="00847B74"/>
    <w:rsid w:val="00851155"/>
    <w:rsid w:val="00851C34"/>
    <w:rsid w:val="008521A1"/>
    <w:rsid w:val="0085240E"/>
    <w:rsid w:val="008527B5"/>
    <w:rsid w:val="00852BA6"/>
    <w:rsid w:val="00852BBA"/>
    <w:rsid w:val="0085317C"/>
    <w:rsid w:val="0085379E"/>
    <w:rsid w:val="00853915"/>
    <w:rsid w:val="00853F5D"/>
    <w:rsid w:val="00854910"/>
    <w:rsid w:val="00854A95"/>
    <w:rsid w:val="00855277"/>
    <w:rsid w:val="0085560F"/>
    <w:rsid w:val="0085572D"/>
    <w:rsid w:val="008557F9"/>
    <w:rsid w:val="0085582A"/>
    <w:rsid w:val="008561DA"/>
    <w:rsid w:val="00856DB0"/>
    <w:rsid w:val="00856FB5"/>
    <w:rsid w:val="008570D6"/>
    <w:rsid w:val="00857788"/>
    <w:rsid w:val="008577D0"/>
    <w:rsid w:val="00857AC4"/>
    <w:rsid w:val="00860101"/>
    <w:rsid w:val="00860BC4"/>
    <w:rsid w:val="00860C48"/>
    <w:rsid w:val="00861033"/>
    <w:rsid w:val="00862010"/>
    <w:rsid w:val="00862589"/>
    <w:rsid w:val="00862C82"/>
    <w:rsid w:val="00862FD1"/>
    <w:rsid w:val="00863B7D"/>
    <w:rsid w:val="008641A3"/>
    <w:rsid w:val="00864DF2"/>
    <w:rsid w:val="00865302"/>
    <w:rsid w:val="008657E9"/>
    <w:rsid w:val="00865DD0"/>
    <w:rsid w:val="00865F1E"/>
    <w:rsid w:val="00865FC7"/>
    <w:rsid w:val="00866B2F"/>
    <w:rsid w:val="00866F39"/>
    <w:rsid w:val="00867907"/>
    <w:rsid w:val="0087001A"/>
    <w:rsid w:val="0087038A"/>
    <w:rsid w:val="00870498"/>
    <w:rsid w:val="0087054E"/>
    <w:rsid w:val="0087105D"/>
    <w:rsid w:val="00871127"/>
    <w:rsid w:val="00871381"/>
    <w:rsid w:val="00871AE7"/>
    <w:rsid w:val="008720ED"/>
    <w:rsid w:val="00872A86"/>
    <w:rsid w:val="00872ACB"/>
    <w:rsid w:val="00872FA6"/>
    <w:rsid w:val="00873150"/>
    <w:rsid w:val="00873219"/>
    <w:rsid w:val="0087399F"/>
    <w:rsid w:val="008749B9"/>
    <w:rsid w:val="00874ADA"/>
    <w:rsid w:val="00874D13"/>
    <w:rsid w:val="00874EF4"/>
    <w:rsid w:val="00875000"/>
    <w:rsid w:val="0087657D"/>
    <w:rsid w:val="00876CC1"/>
    <w:rsid w:val="0087755D"/>
    <w:rsid w:val="008803F3"/>
    <w:rsid w:val="008807D5"/>
    <w:rsid w:val="00880832"/>
    <w:rsid w:val="008817B3"/>
    <w:rsid w:val="008817DA"/>
    <w:rsid w:val="00881968"/>
    <w:rsid w:val="00881A2C"/>
    <w:rsid w:val="00882046"/>
    <w:rsid w:val="008827FA"/>
    <w:rsid w:val="00883EDE"/>
    <w:rsid w:val="00884344"/>
    <w:rsid w:val="0088438E"/>
    <w:rsid w:val="00884584"/>
    <w:rsid w:val="00884D15"/>
    <w:rsid w:val="008851CF"/>
    <w:rsid w:val="00885BE0"/>
    <w:rsid w:val="00886351"/>
    <w:rsid w:val="008867FD"/>
    <w:rsid w:val="00886992"/>
    <w:rsid w:val="00886EE1"/>
    <w:rsid w:val="0088727D"/>
    <w:rsid w:val="008874AE"/>
    <w:rsid w:val="00887712"/>
    <w:rsid w:val="00887778"/>
    <w:rsid w:val="00887D43"/>
    <w:rsid w:val="00890C1C"/>
    <w:rsid w:val="008910BE"/>
    <w:rsid w:val="008916E7"/>
    <w:rsid w:val="00891C4A"/>
    <w:rsid w:val="00892933"/>
    <w:rsid w:val="00892C9F"/>
    <w:rsid w:val="00892FE7"/>
    <w:rsid w:val="0089361E"/>
    <w:rsid w:val="0089421C"/>
    <w:rsid w:val="0089529E"/>
    <w:rsid w:val="008955C4"/>
    <w:rsid w:val="00895B2C"/>
    <w:rsid w:val="00895C66"/>
    <w:rsid w:val="0089652A"/>
    <w:rsid w:val="00896DC1"/>
    <w:rsid w:val="008970D2"/>
    <w:rsid w:val="00897A01"/>
    <w:rsid w:val="00897A5D"/>
    <w:rsid w:val="00897C75"/>
    <w:rsid w:val="008A0243"/>
    <w:rsid w:val="008A0595"/>
    <w:rsid w:val="008A05FE"/>
    <w:rsid w:val="008A066F"/>
    <w:rsid w:val="008A0B31"/>
    <w:rsid w:val="008A11AF"/>
    <w:rsid w:val="008A205F"/>
    <w:rsid w:val="008A2549"/>
    <w:rsid w:val="008A2F58"/>
    <w:rsid w:val="008A37F2"/>
    <w:rsid w:val="008A38F4"/>
    <w:rsid w:val="008A4181"/>
    <w:rsid w:val="008A4DD5"/>
    <w:rsid w:val="008A4F0C"/>
    <w:rsid w:val="008A5141"/>
    <w:rsid w:val="008A573A"/>
    <w:rsid w:val="008A58C5"/>
    <w:rsid w:val="008A5A4D"/>
    <w:rsid w:val="008A5A4F"/>
    <w:rsid w:val="008A6FA1"/>
    <w:rsid w:val="008A72BE"/>
    <w:rsid w:val="008A756A"/>
    <w:rsid w:val="008A7885"/>
    <w:rsid w:val="008A7E41"/>
    <w:rsid w:val="008A7E58"/>
    <w:rsid w:val="008B0373"/>
    <w:rsid w:val="008B0752"/>
    <w:rsid w:val="008B0BCA"/>
    <w:rsid w:val="008B0C20"/>
    <w:rsid w:val="008B1501"/>
    <w:rsid w:val="008B1543"/>
    <w:rsid w:val="008B173B"/>
    <w:rsid w:val="008B220D"/>
    <w:rsid w:val="008B2589"/>
    <w:rsid w:val="008B25D3"/>
    <w:rsid w:val="008B370B"/>
    <w:rsid w:val="008B385E"/>
    <w:rsid w:val="008B3B03"/>
    <w:rsid w:val="008B3C18"/>
    <w:rsid w:val="008B3D84"/>
    <w:rsid w:val="008B3E68"/>
    <w:rsid w:val="008B49A0"/>
    <w:rsid w:val="008B4BAD"/>
    <w:rsid w:val="008B4FA0"/>
    <w:rsid w:val="008B549E"/>
    <w:rsid w:val="008B79DB"/>
    <w:rsid w:val="008B7F2D"/>
    <w:rsid w:val="008C0852"/>
    <w:rsid w:val="008C0C9E"/>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57C2"/>
    <w:rsid w:val="008C62B9"/>
    <w:rsid w:val="008C66E6"/>
    <w:rsid w:val="008C66ED"/>
    <w:rsid w:val="008C7804"/>
    <w:rsid w:val="008C79A9"/>
    <w:rsid w:val="008C7FDB"/>
    <w:rsid w:val="008D0F69"/>
    <w:rsid w:val="008D1130"/>
    <w:rsid w:val="008D18E6"/>
    <w:rsid w:val="008D1CA0"/>
    <w:rsid w:val="008D227C"/>
    <w:rsid w:val="008D2C28"/>
    <w:rsid w:val="008D2F15"/>
    <w:rsid w:val="008D31DE"/>
    <w:rsid w:val="008D32F0"/>
    <w:rsid w:val="008D3424"/>
    <w:rsid w:val="008D36C8"/>
    <w:rsid w:val="008D4513"/>
    <w:rsid w:val="008D462E"/>
    <w:rsid w:val="008D4BCA"/>
    <w:rsid w:val="008D4D38"/>
    <w:rsid w:val="008D538A"/>
    <w:rsid w:val="008D55A9"/>
    <w:rsid w:val="008D6A65"/>
    <w:rsid w:val="008D78F4"/>
    <w:rsid w:val="008D7A9B"/>
    <w:rsid w:val="008E1C05"/>
    <w:rsid w:val="008E2118"/>
    <w:rsid w:val="008E2DAC"/>
    <w:rsid w:val="008E2F4A"/>
    <w:rsid w:val="008E4B42"/>
    <w:rsid w:val="008E5B20"/>
    <w:rsid w:val="008E5D8F"/>
    <w:rsid w:val="008E64DD"/>
    <w:rsid w:val="008E6F6E"/>
    <w:rsid w:val="008E70DD"/>
    <w:rsid w:val="008E72C1"/>
    <w:rsid w:val="008E73BD"/>
    <w:rsid w:val="008E76AC"/>
    <w:rsid w:val="008F0319"/>
    <w:rsid w:val="008F035E"/>
    <w:rsid w:val="008F057E"/>
    <w:rsid w:val="008F11DD"/>
    <w:rsid w:val="008F1403"/>
    <w:rsid w:val="008F18D2"/>
    <w:rsid w:val="008F1B6C"/>
    <w:rsid w:val="008F2086"/>
    <w:rsid w:val="008F209A"/>
    <w:rsid w:val="008F20FD"/>
    <w:rsid w:val="008F21F6"/>
    <w:rsid w:val="008F25DC"/>
    <w:rsid w:val="008F2649"/>
    <w:rsid w:val="008F3209"/>
    <w:rsid w:val="008F3557"/>
    <w:rsid w:val="008F3FAA"/>
    <w:rsid w:val="008F460B"/>
    <w:rsid w:val="008F4D05"/>
    <w:rsid w:val="008F4ED9"/>
    <w:rsid w:val="008F4F2F"/>
    <w:rsid w:val="008F4F4C"/>
    <w:rsid w:val="008F4F52"/>
    <w:rsid w:val="008F52C3"/>
    <w:rsid w:val="008F5A34"/>
    <w:rsid w:val="008F67D9"/>
    <w:rsid w:val="008F7434"/>
    <w:rsid w:val="008F7457"/>
    <w:rsid w:val="008F7F7E"/>
    <w:rsid w:val="009000A9"/>
    <w:rsid w:val="00900FAF"/>
    <w:rsid w:val="0090144C"/>
    <w:rsid w:val="00901E63"/>
    <w:rsid w:val="0090222B"/>
    <w:rsid w:val="009025CA"/>
    <w:rsid w:val="0090264D"/>
    <w:rsid w:val="009033FA"/>
    <w:rsid w:val="009037FB"/>
    <w:rsid w:val="009039F3"/>
    <w:rsid w:val="00903E1A"/>
    <w:rsid w:val="0090471A"/>
    <w:rsid w:val="00904A1B"/>
    <w:rsid w:val="00905366"/>
    <w:rsid w:val="0090539D"/>
    <w:rsid w:val="00906B3E"/>
    <w:rsid w:val="00906E99"/>
    <w:rsid w:val="00907376"/>
    <w:rsid w:val="009076EF"/>
    <w:rsid w:val="00910695"/>
    <w:rsid w:val="00910EC5"/>
    <w:rsid w:val="009115EE"/>
    <w:rsid w:val="00911877"/>
    <w:rsid w:val="00911DE7"/>
    <w:rsid w:val="00911FB6"/>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4CD"/>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23B"/>
    <w:rsid w:val="009303B3"/>
    <w:rsid w:val="009304C4"/>
    <w:rsid w:val="009307A4"/>
    <w:rsid w:val="009311FB"/>
    <w:rsid w:val="009315F9"/>
    <w:rsid w:val="00931691"/>
    <w:rsid w:val="009317D5"/>
    <w:rsid w:val="0093195E"/>
    <w:rsid w:val="00931FC2"/>
    <w:rsid w:val="009322BE"/>
    <w:rsid w:val="00934163"/>
    <w:rsid w:val="00934D76"/>
    <w:rsid w:val="009353DF"/>
    <w:rsid w:val="009358D6"/>
    <w:rsid w:val="00935BDA"/>
    <w:rsid w:val="00936D61"/>
    <w:rsid w:val="00937681"/>
    <w:rsid w:val="00937E6A"/>
    <w:rsid w:val="00940779"/>
    <w:rsid w:val="009413F9"/>
    <w:rsid w:val="009419D8"/>
    <w:rsid w:val="0094240E"/>
    <w:rsid w:val="009424E6"/>
    <w:rsid w:val="009426E4"/>
    <w:rsid w:val="00942862"/>
    <w:rsid w:val="009431FC"/>
    <w:rsid w:val="009434D0"/>
    <w:rsid w:val="0094390A"/>
    <w:rsid w:val="00943A49"/>
    <w:rsid w:val="00943C28"/>
    <w:rsid w:val="00943D9B"/>
    <w:rsid w:val="009443B2"/>
    <w:rsid w:val="009449EB"/>
    <w:rsid w:val="00944D54"/>
    <w:rsid w:val="009454C6"/>
    <w:rsid w:val="00946CD2"/>
    <w:rsid w:val="00947256"/>
    <w:rsid w:val="00947A45"/>
    <w:rsid w:val="00947E01"/>
    <w:rsid w:val="009500B9"/>
    <w:rsid w:val="009504B9"/>
    <w:rsid w:val="0095052C"/>
    <w:rsid w:val="00950D25"/>
    <w:rsid w:val="00951EEF"/>
    <w:rsid w:val="00951F79"/>
    <w:rsid w:val="00952E6F"/>
    <w:rsid w:val="00953D94"/>
    <w:rsid w:val="009548BF"/>
    <w:rsid w:val="00955001"/>
    <w:rsid w:val="0095515B"/>
    <w:rsid w:val="009556A3"/>
    <w:rsid w:val="00955C28"/>
    <w:rsid w:val="00956B6C"/>
    <w:rsid w:val="0095702B"/>
    <w:rsid w:val="0095737C"/>
    <w:rsid w:val="00957AFA"/>
    <w:rsid w:val="00957D90"/>
    <w:rsid w:val="009608BF"/>
    <w:rsid w:val="00961272"/>
    <w:rsid w:val="009617BA"/>
    <w:rsid w:val="00961D9C"/>
    <w:rsid w:val="00961E52"/>
    <w:rsid w:val="009623B5"/>
    <w:rsid w:val="00962D2A"/>
    <w:rsid w:val="00962F94"/>
    <w:rsid w:val="00963079"/>
    <w:rsid w:val="009630CB"/>
    <w:rsid w:val="009641E0"/>
    <w:rsid w:val="00964837"/>
    <w:rsid w:val="009668C2"/>
    <w:rsid w:val="0096779C"/>
    <w:rsid w:val="00967818"/>
    <w:rsid w:val="00967846"/>
    <w:rsid w:val="009702EF"/>
    <w:rsid w:val="0097042F"/>
    <w:rsid w:val="00970AB5"/>
    <w:rsid w:val="00970F05"/>
    <w:rsid w:val="0097137B"/>
    <w:rsid w:val="00971C1D"/>
    <w:rsid w:val="00971CAE"/>
    <w:rsid w:val="00972067"/>
    <w:rsid w:val="00972810"/>
    <w:rsid w:val="00972DBA"/>
    <w:rsid w:val="0097332C"/>
    <w:rsid w:val="00973B27"/>
    <w:rsid w:val="009740AD"/>
    <w:rsid w:val="0097484B"/>
    <w:rsid w:val="009749BF"/>
    <w:rsid w:val="00974A51"/>
    <w:rsid w:val="00974AB5"/>
    <w:rsid w:val="00975FE2"/>
    <w:rsid w:val="009768B3"/>
    <w:rsid w:val="00976FA3"/>
    <w:rsid w:val="009773D9"/>
    <w:rsid w:val="0097762F"/>
    <w:rsid w:val="00977AB1"/>
    <w:rsid w:val="00977B56"/>
    <w:rsid w:val="0098014A"/>
    <w:rsid w:val="00980CC0"/>
    <w:rsid w:val="00980CE6"/>
    <w:rsid w:val="00981454"/>
    <w:rsid w:val="00981EC9"/>
    <w:rsid w:val="00982133"/>
    <w:rsid w:val="00982C98"/>
    <w:rsid w:val="0098306D"/>
    <w:rsid w:val="009835A3"/>
    <w:rsid w:val="009838BB"/>
    <w:rsid w:val="009839DB"/>
    <w:rsid w:val="00983AC3"/>
    <w:rsid w:val="00984097"/>
    <w:rsid w:val="009849EF"/>
    <w:rsid w:val="00984A11"/>
    <w:rsid w:val="00984D33"/>
    <w:rsid w:val="00984F50"/>
    <w:rsid w:val="009856DC"/>
    <w:rsid w:val="009858BC"/>
    <w:rsid w:val="00985E0A"/>
    <w:rsid w:val="009861D3"/>
    <w:rsid w:val="0098685C"/>
    <w:rsid w:val="009868C9"/>
    <w:rsid w:val="00986D00"/>
    <w:rsid w:val="0098704F"/>
    <w:rsid w:val="0098706D"/>
    <w:rsid w:val="009874E0"/>
    <w:rsid w:val="009879CC"/>
    <w:rsid w:val="00987A3B"/>
    <w:rsid w:val="00987A78"/>
    <w:rsid w:val="009906B3"/>
    <w:rsid w:val="00991053"/>
    <w:rsid w:val="00991279"/>
    <w:rsid w:val="0099183C"/>
    <w:rsid w:val="00991C8F"/>
    <w:rsid w:val="009920BD"/>
    <w:rsid w:val="0099256D"/>
    <w:rsid w:val="009935FB"/>
    <w:rsid w:val="00993C4E"/>
    <w:rsid w:val="009947A4"/>
    <w:rsid w:val="00995A85"/>
    <w:rsid w:val="00995CD6"/>
    <w:rsid w:val="00996880"/>
    <w:rsid w:val="00996E44"/>
    <w:rsid w:val="00996FBB"/>
    <w:rsid w:val="00997427"/>
    <w:rsid w:val="0099791B"/>
    <w:rsid w:val="00997DB6"/>
    <w:rsid w:val="009A0BE3"/>
    <w:rsid w:val="009A1546"/>
    <w:rsid w:val="009A1B75"/>
    <w:rsid w:val="009A2471"/>
    <w:rsid w:val="009A24C7"/>
    <w:rsid w:val="009A2A6E"/>
    <w:rsid w:val="009A358A"/>
    <w:rsid w:val="009A3699"/>
    <w:rsid w:val="009A3CB4"/>
    <w:rsid w:val="009A40CB"/>
    <w:rsid w:val="009A48BD"/>
    <w:rsid w:val="009A4937"/>
    <w:rsid w:val="009A5085"/>
    <w:rsid w:val="009A577F"/>
    <w:rsid w:val="009A5A79"/>
    <w:rsid w:val="009A718C"/>
    <w:rsid w:val="009A7FBB"/>
    <w:rsid w:val="009B0512"/>
    <w:rsid w:val="009B08CE"/>
    <w:rsid w:val="009B0DB1"/>
    <w:rsid w:val="009B0EAA"/>
    <w:rsid w:val="009B0F5D"/>
    <w:rsid w:val="009B16DD"/>
    <w:rsid w:val="009B1E44"/>
    <w:rsid w:val="009B2075"/>
    <w:rsid w:val="009B23A4"/>
    <w:rsid w:val="009B24A0"/>
    <w:rsid w:val="009B2AE1"/>
    <w:rsid w:val="009B2CD0"/>
    <w:rsid w:val="009B2E29"/>
    <w:rsid w:val="009B3FBE"/>
    <w:rsid w:val="009B47B8"/>
    <w:rsid w:val="009B4B50"/>
    <w:rsid w:val="009B4EC1"/>
    <w:rsid w:val="009B5B47"/>
    <w:rsid w:val="009B5BF0"/>
    <w:rsid w:val="009B650E"/>
    <w:rsid w:val="009B684E"/>
    <w:rsid w:val="009B6A4D"/>
    <w:rsid w:val="009B719C"/>
    <w:rsid w:val="009C0C7D"/>
    <w:rsid w:val="009C1259"/>
    <w:rsid w:val="009C1458"/>
    <w:rsid w:val="009C1F98"/>
    <w:rsid w:val="009C2CDC"/>
    <w:rsid w:val="009C2FE7"/>
    <w:rsid w:val="009C39E9"/>
    <w:rsid w:val="009C43A9"/>
    <w:rsid w:val="009C4611"/>
    <w:rsid w:val="009C4E15"/>
    <w:rsid w:val="009C5517"/>
    <w:rsid w:val="009C5638"/>
    <w:rsid w:val="009C570E"/>
    <w:rsid w:val="009C5B8B"/>
    <w:rsid w:val="009C5DF9"/>
    <w:rsid w:val="009C5EF8"/>
    <w:rsid w:val="009C67B3"/>
    <w:rsid w:val="009C7377"/>
    <w:rsid w:val="009C7834"/>
    <w:rsid w:val="009C7C72"/>
    <w:rsid w:val="009C7F0C"/>
    <w:rsid w:val="009C7F5D"/>
    <w:rsid w:val="009C7F7C"/>
    <w:rsid w:val="009D0402"/>
    <w:rsid w:val="009D181B"/>
    <w:rsid w:val="009D228A"/>
    <w:rsid w:val="009D26E4"/>
    <w:rsid w:val="009D29B9"/>
    <w:rsid w:val="009D2A8A"/>
    <w:rsid w:val="009D3F90"/>
    <w:rsid w:val="009D42DC"/>
    <w:rsid w:val="009D53AA"/>
    <w:rsid w:val="009D5B19"/>
    <w:rsid w:val="009D6398"/>
    <w:rsid w:val="009D6CB1"/>
    <w:rsid w:val="009D75A2"/>
    <w:rsid w:val="009D7E92"/>
    <w:rsid w:val="009E01CC"/>
    <w:rsid w:val="009E040C"/>
    <w:rsid w:val="009E045A"/>
    <w:rsid w:val="009E0E69"/>
    <w:rsid w:val="009E1442"/>
    <w:rsid w:val="009E1760"/>
    <w:rsid w:val="009E1D42"/>
    <w:rsid w:val="009E2C2B"/>
    <w:rsid w:val="009E3519"/>
    <w:rsid w:val="009E3B2E"/>
    <w:rsid w:val="009E3FBC"/>
    <w:rsid w:val="009E41C1"/>
    <w:rsid w:val="009E5101"/>
    <w:rsid w:val="009E55CA"/>
    <w:rsid w:val="009E5D0C"/>
    <w:rsid w:val="009E5FE5"/>
    <w:rsid w:val="009E6687"/>
    <w:rsid w:val="009E66DF"/>
    <w:rsid w:val="009E76E6"/>
    <w:rsid w:val="009E7833"/>
    <w:rsid w:val="009E7D6E"/>
    <w:rsid w:val="009F00F4"/>
    <w:rsid w:val="009F014E"/>
    <w:rsid w:val="009F05C2"/>
    <w:rsid w:val="009F0EA9"/>
    <w:rsid w:val="009F1067"/>
    <w:rsid w:val="009F1422"/>
    <w:rsid w:val="009F158E"/>
    <w:rsid w:val="009F1C65"/>
    <w:rsid w:val="009F2008"/>
    <w:rsid w:val="009F27EF"/>
    <w:rsid w:val="009F308B"/>
    <w:rsid w:val="009F3EAA"/>
    <w:rsid w:val="009F4523"/>
    <w:rsid w:val="009F46E8"/>
    <w:rsid w:val="009F4A54"/>
    <w:rsid w:val="009F4BEC"/>
    <w:rsid w:val="009F55E7"/>
    <w:rsid w:val="009F66BE"/>
    <w:rsid w:val="009F77AD"/>
    <w:rsid w:val="009F7FE0"/>
    <w:rsid w:val="00A00412"/>
    <w:rsid w:val="00A0087D"/>
    <w:rsid w:val="00A01227"/>
    <w:rsid w:val="00A02005"/>
    <w:rsid w:val="00A02A35"/>
    <w:rsid w:val="00A035D1"/>
    <w:rsid w:val="00A03809"/>
    <w:rsid w:val="00A0383E"/>
    <w:rsid w:val="00A03FBB"/>
    <w:rsid w:val="00A04891"/>
    <w:rsid w:val="00A04BAA"/>
    <w:rsid w:val="00A04CC2"/>
    <w:rsid w:val="00A04D07"/>
    <w:rsid w:val="00A058BC"/>
    <w:rsid w:val="00A05918"/>
    <w:rsid w:val="00A06C9A"/>
    <w:rsid w:val="00A06EBF"/>
    <w:rsid w:val="00A07266"/>
    <w:rsid w:val="00A0773B"/>
    <w:rsid w:val="00A10266"/>
    <w:rsid w:val="00A11034"/>
    <w:rsid w:val="00A1129E"/>
    <w:rsid w:val="00A118D5"/>
    <w:rsid w:val="00A11A8C"/>
    <w:rsid w:val="00A12305"/>
    <w:rsid w:val="00A12B6F"/>
    <w:rsid w:val="00A12BEB"/>
    <w:rsid w:val="00A12F7B"/>
    <w:rsid w:val="00A12FCC"/>
    <w:rsid w:val="00A13243"/>
    <w:rsid w:val="00A13E30"/>
    <w:rsid w:val="00A1540B"/>
    <w:rsid w:val="00A15A77"/>
    <w:rsid w:val="00A15B3A"/>
    <w:rsid w:val="00A15B44"/>
    <w:rsid w:val="00A16106"/>
    <w:rsid w:val="00A16111"/>
    <w:rsid w:val="00A16628"/>
    <w:rsid w:val="00A169CF"/>
    <w:rsid w:val="00A1714D"/>
    <w:rsid w:val="00A20326"/>
    <w:rsid w:val="00A20444"/>
    <w:rsid w:val="00A20616"/>
    <w:rsid w:val="00A2083F"/>
    <w:rsid w:val="00A20E4C"/>
    <w:rsid w:val="00A2191C"/>
    <w:rsid w:val="00A21993"/>
    <w:rsid w:val="00A21C1A"/>
    <w:rsid w:val="00A253A8"/>
    <w:rsid w:val="00A25FD7"/>
    <w:rsid w:val="00A2614F"/>
    <w:rsid w:val="00A27C03"/>
    <w:rsid w:val="00A27DFA"/>
    <w:rsid w:val="00A27F03"/>
    <w:rsid w:val="00A304F5"/>
    <w:rsid w:val="00A308A0"/>
    <w:rsid w:val="00A30A25"/>
    <w:rsid w:val="00A30C52"/>
    <w:rsid w:val="00A30D33"/>
    <w:rsid w:val="00A31737"/>
    <w:rsid w:val="00A31C48"/>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1C35"/>
    <w:rsid w:val="00A425FF"/>
    <w:rsid w:val="00A4385A"/>
    <w:rsid w:val="00A43AFF"/>
    <w:rsid w:val="00A4407F"/>
    <w:rsid w:val="00A44AEF"/>
    <w:rsid w:val="00A452A4"/>
    <w:rsid w:val="00A452D1"/>
    <w:rsid w:val="00A45A18"/>
    <w:rsid w:val="00A45C43"/>
    <w:rsid w:val="00A45CFE"/>
    <w:rsid w:val="00A46251"/>
    <w:rsid w:val="00A46C3E"/>
    <w:rsid w:val="00A47AE3"/>
    <w:rsid w:val="00A50546"/>
    <w:rsid w:val="00A50763"/>
    <w:rsid w:val="00A508EB"/>
    <w:rsid w:val="00A511B7"/>
    <w:rsid w:val="00A5156B"/>
    <w:rsid w:val="00A52666"/>
    <w:rsid w:val="00A53DD8"/>
    <w:rsid w:val="00A54264"/>
    <w:rsid w:val="00A5443C"/>
    <w:rsid w:val="00A54A10"/>
    <w:rsid w:val="00A54A54"/>
    <w:rsid w:val="00A54A6F"/>
    <w:rsid w:val="00A558C4"/>
    <w:rsid w:val="00A55EE3"/>
    <w:rsid w:val="00A560B6"/>
    <w:rsid w:val="00A57EF0"/>
    <w:rsid w:val="00A60AF5"/>
    <w:rsid w:val="00A60E96"/>
    <w:rsid w:val="00A61663"/>
    <w:rsid w:val="00A61AAE"/>
    <w:rsid w:val="00A61AE1"/>
    <w:rsid w:val="00A62242"/>
    <w:rsid w:val="00A62A1D"/>
    <w:rsid w:val="00A62B6E"/>
    <w:rsid w:val="00A630EE"/>
    <w:rsid w:val="00A631F2"/>
    <w:rsid w:val="00A63753"/>
    <w:rsid w:val="00A63936"/>
    <w:rsid w:val="00A63AD0"/>
    <w:rsid w:val="00A656DE"/>
    <w:rsid w:val="00A65874"/>
    <w:rsid w:val="00A65EE4"/>
    <w:rsid w:val="00A6629F"/>
    <w:rsid w:val="00A662D1"/>
    <w:rsid w:val="00A66776"/>
    <w:rsid w:val="00A66989"/>
    <w:rsid w:val="00A66F82"/>
    <w:rsid w:val="00A6732D"/>
    <w:rsid w:val="00A67878"/>
    <w:rsid w:val="00A67918"/>
    <w:rsid w:val="00A7005F"/>
    <w:rsid w:val="00A7042D"/>
    <w:rsid w:val="00A70544"/>
    <w:rsid w:val="00A70A1B"/>
    <w:rsid w:val="00A70ED0"/>
    <w:rsid w:val="00A712C5"/>
    <w:rsid w:val="00A716C7"/>
    <w:rsid w:val="00A71ACE"/>
    <w:rsid w:val="00A71BD0"/>
    <w:rsid w:val="00A72250"/>
    <w:rsid w:val="00A7312C"/>
    <w:rsid w:val="00A743FA"/>
    <w:rsid w:val="00A74472"/>
    <w:rsid w:val="00A74774"/>
    <w:rsid w:val="00A74DC3"/>
    <w:rsid w:val="00A75391"/>
    <w:rsid w:val="00A75927"/>
    <w:rsid w:val="00A75C0D"/>
    <w:rsid w:val="00A76023"/>
    <w:rsid w:val="00A76034"/>
    <w:rsid w:val="00A76208"/>
    <w:rsid w:val="00A76EA1"/>
    <w:rsid w:val="00A77273"/>
    <w:rsid w:val="00A77302"/>
    <w:rsid w:val="00A7793A"/>
    <w:rsid w:val="00A77AB5"/>
    <w:rsid w:val="00A77FB0"/>
    <w:rsid w:val="00A77FDE"/>
    <w:rsid w:val="00A80AE4"/>
    <w:rsid w:val="00A81112"/>
    <w:rsid w:val="00A81AC9"/>
    <w:rsid w:val="00A838A1"/>
    <w:rsid w:val="00A83AAF"/>
    <w:rsid w:val="00A8406C"/>
    <w:rsid w:val="00A8433E"/>
    <w:rsid w:val="00A8491D"/>
    <w:rsid w:val="00A84A77"/>
    <w:rsid w:val="00A851CE"/>
    <w:rsid w:val="00A8593A"/>
    <w:rsid w:val="00A85C14"/>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1E3D"/>
    <w:rsid w:val="00A9395A"/>
    <w:rsid w:val="00A93D5C"/>
    <w:rsid w:val="00A94166"/>
    <w:rsid w:val="00A94392"/>
    <w:rsid w:val="00A94D54"/>
    <w:rsid w:val="00A963D2"/>
    <w:rsid w:val="00A966B9"/>
    <w:rsid w:val="00A970DD"/>
    <w:rsid w:val="00A97364"/>
    <w:rsid w:val="00A974B6"/>
    <w:rsid w:val="00A97A28"/>
    <w:rsid w:val="00AA0A5C"/>
    <w:rsid w:val="00AA1586"/>
    <w:rsid w:val="00AA1657"/>
    <w:rsid w:val="00AA1D01"/>
    <w:rsid w:val="00AA1EB0"/>
    <w:rsid w:val="00AA1F72"/>
    <w:rsid w:val="00AA2316"/>
    <w:rsid w:val="00AA258A"/>
    <w:rsid w:val="00AA2ABC"/>
    <w:rsid w:val="00AA2AF6"/>
    <w:rsid w:val="00AA386A"/>
    <w:rsid w:val="00AA3BE6"/>
    <w:rsid w:val="00AA4CC7"/>
    <w:rsid w:val="00AA4E1D"/>
    <w:rsid w:val="00AA4FBB"/>
    <w:rsid w:val="00AA555B"/>
    <w:rsid w:val="00AA5B59"/>
    <w:rsid w:val="00AA5BDF"/>
    <w:rsid w:val="00AA5E8E"/>
    <w:rsid w:val="00AA608C"/>
    <w:rsid w:val="00AA6264"/>
    <w:rsid w:val="00AA6F1B"/>
    <w:rsid w:val="00AA74BE"/>
    <w:rsid w:val="00AA75CA"/>
    <w:rsid w:val="00AA770E"/>
    <w:rsid w:val="00AB07C8"/>
    <w:rsid w:val="00AB07EB"/>
    <w:rsid w:val="00AB0896"/>
    <w:rsid w:val="00AB0D15"/>
    <w:rsid w:val="00AB0E1B"/>
    <w:rsid w:val="00AB103D"/>
    <w:rsid w:val="00AB1601"/>
    <w:rsid w:val="00AB1DEF"/>
    <w:rsid w:val="00AB1EFA"/>
    <w:rsid w:val="00AB2597"/>
    <w:rsid w:val="00AB2B39"/>
    <w:rsid w:val="00AB2FA7"/>
    <w:rsid w:val="00AB3A88"/>
    <w:rsid w:val="00AB43D6"/>
    <w:rsid w:val="00AB4443"/>
    <w:rsid w:val="00AB4D00"/>
    <w:rsid w:val="00AB580D"/>
    <w:rsid w:val="00AB5929"/>
    <w:rsid w:val="00AB6147"/>
    <w:rsid w:val="00AB6CA7"/>
    <w:rsid w:val="00AB77DB"/>
    <w:rsid w:val="00AB7B39"/>
    <w:rsid w:val="00AC08F0"/>
    <w:rsid w:val="00AC0A76"/>
    <w:rsid w:val="00AC1045"/>
    <w:rsid w:val="00AC2065"/>
    <w:rsid w:val="00AC2827"/>
    <w:rsid w:val="00AC2B1A"/>
    <w:rsid w:val="00AC2CDE"/>
    <w:rsid w:val="00AC3500"/>
    <w:rsid w:val="00AC3523"/>
    <w:rsid w:val="00AC4338"/>
    <w:rsid w:val="00AC5534"/>
    <w:rsid w:val="00AC5633"/>
    <w:rsid w:val="00AC582F"/>
    <w:rsid w:val="00AC7C41"/>
    <w:rsid w:val="00AD01E4"/>
    <w:rsid w:val="00AD0858"/>
    <w:rsid w:val="00AD0CCC"/>
    <w:rsid w:val="00AD1077"/>
    <w:rsid w:val="00AD14A1"/>
    <w:rsid w:val="00AD17DB"/>
    <w:rsid w:val="00AD1A5B"/>
    <w:rsid w:val="00AD1B36"/>
    <w:rsid w:val="00AD318F"/>
    <w:rsid w:val="00AD3886"/>
    <w:rsid w:val="00AD3F7E"/>
    <w:rsid w:val="00AD4E76"/>
    <w:rsid w:val="00AD4F16"/>
    <w:rsid w:val="00AD50FF"/>
    <w:rsid w:val="00AD587E"/>
    <w:rsid w:val="00AD6AEC"/>
    <w:rsid w:val="00AD6D52"/>
    <w:rsid w:val="00AD6D99"/>
    <w:rsid w:val="00AD6FF7"/>
    <w:rsid w:val="00AD701D"/>
    <w:rsid w:val="00AD71C2"/>
    <w:rsid w:val="00AD7F9E"/>
    <w:rsid w:val="00AE0AEA"/>
    <w:rsid w:val="00AE0FB8"/>
    <w:rsid w:val="00AE1220"/>
    <w:rsid w:val="00AE1487"/>
    <w:rsid w:val="00AE1FDC"/>
    <w:rsid w:val="00AE2B23"/>
    <w:rsid w:val="00AE32AC"/>
    <w:rsid w:val="00AE389E"/>
    <w:rsid w:val="00AE4727"/>
    <w:rsid w:val="00AE4CB4"/>
    <w:rsid w:val="00AE6237"/>
    <w:rsid w:val="00AE68DF"/>
    <w:rsid w:val="00AE6A0A"/>
    <w:rsid w:val="00AE6D42"/>
    <w:rsid w:val="00AE6E4A"/>
    <w:rsid w:val="00AE71B0"/>
    <w:rsid w:val="00AE7340"/>
    <w:rsid w:val="00AE739C"/>
    <w:rsid w:val="00AE7D23"/>
    <w:rsid w:val="00AF1BBD"/>
    <w:rsid w:val="00AF274E"/>
    <w:rsid w:val="00AF2DAB"/>
    <w:rsid w:val="00AF3067"/>
    <w:rsid w:val="00AF4340"/>
    <w:rsid w:val="00AF5197"/>
    <w:rsid w:val="00AF5701"/>
    <w:rsid w:val="00AF597E"/>
    <w:rsid w:val="00AF5D9A"/>
    <w:rsid w:val="00AF6726"/>
    <w:rsid w:val="00AF6CA1"/>
    <w:rsid w:val="00AF6D23"/>
    <w:rsid w:val="00AF6D72"/>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983"/>
    <w:rsid w:val="00B05A1D"/>
    <w:rsid w:val="00B05BEA"/>
    <w:rsid w:val="00B05E5B"/>
    <w:rsid w:val="00B0677C"/>
    <w:rsid w:val="00B06798"/>
    <w:rsid w:val="00B07649"/>
    <w:rsid w:val="00B07E5C"/>
    <w:rsid w:val="00B07E93"/>
    <w:rsid w:val="00B07E9B"/>
    <w:rsid w:val="00B10207"/>
    <w:rsid w:val="00B10510"/>
    <w:rsid w:val="00B107E0"/>
    <w:rsid w:val="00B10CE6"/>
    <w:rsid w:val="00B10DCE"/>
    <w:rsid w:val="00B10E9A"/>
    <w:rsid w:val="00B11B92"/>
    <w:rsid w:val="00B11CE0"/>
    <w:rsid w:val="00B11E0C"/>
    <w:rsid w:val="00B11E6F"/>
    <w:rsid w:val="00B120D4"/>
    <w:rsid w:val="00B12C8C"/>
    <w:rsid w:val="00B12D02"/>
    <w:rsid w:val="00B12EB8"/>
    <w:rsid w:val="00B12F4E"/>
    <w:rsid w:val="00B13026"/>
    <w:rsid w:val="00B13C5C"/>
    <w:rsid w:val="00B141E7"/>
    <w:rsid w:val="00B14556"/>
    <w:rsid w:val="00B14C6E"/>
    <w:rsid w:val="00B14F80"/>
    <w:rsid w:val="00B16BAF"/>
    <w:rsid w:val="00B178EE"/>
    <w:rsid w:val="00B20589"/>
    <w:rsid w:val="00B21619"/>
    <w:rsid w:val="00B21ABC"/>
    <w:rsid w:val="00B21DAA"/>
    <w:rsid w:val="00B23645"/>
    <w:rsid w:val="00B23F04"/>
    <w:rsid w:val="00B2568B"/>
    <w:rsid w:val="00B25747"/>
    <w:rsid w:val="00B25B45"/>
    <w:rsid w:val="00B25D68"/>
    <w:rsid w:val="00B264B5"/>
    <w:rsid w:val="00B26BEE"/>
    <w:rsid w:val="00B26FBE"/>
    <w:rsid w:val="00B27123"/>
    <w:rsid w:val="00B3058B"/>
    <w:rsid w:val="00B32148"/>
    <w:rsid w:val="00B32EB3"/>
    <w:rsid w:val="00B330AC"/>
    <w:rsid w:val="00B339D2"/>
    <w:rsid w:val="00B33AEF"/>
    <w:rsid w:val="00B34AE0"/>
    <w:rsid w:val="00B351B4"/>
    <w:rsid w:val="00B3577F"/>
    <w:rsid w:val="00B362BF"/>
    <w:rsid w:val="00B365ED"/>
    <w:rsid w:val="00B37429"/>
    <w:rsid w:val="00B37CF6"/>
    <w:rsid w:val="00B37F7E"/>
    <w:rsid w:val="00B403A3"/>
    <w:rsid w:val="00B414C3"/>
    <w:rsid w:val="00B416D3"/>
    <w:rsid w:val="00B4190E"/>
    <w:rsid w:val="00B41DD4"/>
    <w:rsid w:val="00B42776"/>
    <w:rsid w:val="00B42959"/>
    <w:rsid w:val="00B44C8D"/>
    <w:rsid w:val="00B44EED"/>
    <w:rsid w:val="00B44F73"/>
    <w:rsid w:val="00B454C6"/>
    <w:rsid w:val="00B456AC"/>
    <w:rsid w:val="00B4596C"/>
    <w:rsid w:val="00B467FA"/>
    <w:rsid w:val="00B46BCA"/>
    <w:rsid w:val="00B46BD6"/>
    <w:rsid w:val="00B46F87"/>
    <w:rsid w:val="00B472BF"/>
    <w:rsid w:val="00B478A0"/>
    <w:rsid w:val="00B50148"/>
    <w:rsid w:val="00B5058C"/>
    <w:rsid w:val="00B50591"/>
    <w:rsid w:val="00B506B1"/>
    <w:rsid w:val="00B50F14"/>
    <w:rsid w:val="00B510DE"/>
    <w:rsid w:val="00B51F50"/>
    <w:rsid w:val="00B52612"/>
    <w:rsid w:val="00B52B6B"/>
    <w:rsid w:val="00B53767"/>
    <w:rsid w:val="00B53D86"/>
    <w:rsid w:val="00B54206"/>
    <w:rsid w:val="00B54919"/>
    <w:rsid w:val="00B54F96"/>
    <w:rsid w:val="00B55DC7"/>
    <w:rsid w:val="00B55F6D"/>
    <w:rsid w:val="00B579BE"/>
    <w:rsid w:val="00B57BC4"/>
    <w:rsid w:val="00B608E3"/>
    <w:rsid w:val="00B60EE3"/>
    <w:rsid w:val="00B613E6"/>
    <w:rsid w:val="00B61525"/>
    <w:rsid w:val="00B616F2"/>
    <w:rsid w:val="00B61AAF"/>
    <w:rsid w:val="00B61C8B"/>
    <w:rsid w:val="00B61ED0"/>
    <w:rsid w:val="00B62155"/>
    <w:rsid w:val="00B627BF"/>
    <w:rsid w:val="00B627C8"/>
    <w:rsid w:val="00B62EDD"/>
    <w:rsid w:val="00B63062"/>
    <w:rsid w:val="00B63684"/>
    <w:rsid w:val="00B65858"/>
    <w:rsid w:val="00B65917"/>
    <w:rsid w:val="00B661C6"/>
    <w:rsid w:val="00B67729"/>
    <w:rsid w:val="00B7004F"/>
    <w:rsid w:val="00B70231"/>
    <w:rsid w:val="00B70355"/>
    <w:rsid w:val="00B71387"/>
    <w:rsid w:val="00B714F5"/>
    <w:rsid w:val="00B72053"/>
    <w:rsid w:val="00B72B2D"/>
    <w:rsid w:val="00B73087"/>
    <w:rsid w:val="00B7387A"/>
    <w:rsid w:val="00B739EB"/>
    <w:rsid w:val="00B74422"/>
    <w:rsid w:val="00B744B4"/>
    <w:rsid w:val="00B746A5"/>
    <w:rsid w:val="00B74ABD"/>
    <w:rsid w:val="00B74C67"/>
    <w:rsid w:val="00B75170"/>
    <w:rsid w:val="00B753E5"/>
    <w:rsid w:val="00B7562D"/>
    <w:rsid w:val="00B76279"/>
    <w:rsid w:val="00B80276"/>
    <w:rsid w:val="00B8074B"/>
    <w:rsid w:val="00B81016"/>
    <w:rsid w:val="00B8115C"/>
    <w:rsid w:val="00B8164C"/>
    <w:rsid w:val="00B81769"/>
    <w:rsid w:val="00B81D9F"/>
    <w:rsid w:val="00B82452"/>
    <w:rsid w:val="00B83B13"/>
    <w:rsid w:val="00B84135"/>
    <w:rsid w:val="00B84636"/>
    <w:rsid w:val="00B84EF1"/>
    <w:rsid w:val="00B852BE"/>
    <w:rsid w:val="00B85376"/>
    <w:rsid w:val="00B856FB"/>
    <w:rsid w:val="00B859DD"/>
    <w:rsid w:val="00B863FA"/>
    <w:rsid w:val="00B876C4"/>
    <w:rsid w:val="00B87806"/>
    <w:rsid w:val="00B879C6"/>
    <w:rsid w:val="00B87BC1"/>
    <w:rsid w:val="00B87EC9"/>
    <w:rsid w:val="00B90564"/>
    <w:rsid w:val="00B90904"/>
    <w:rsid w:val="00B90936"/>
    <w:rsid w:val="00B9156A"/>
    <w:rsid w:val="00B9176F"/>
    <w:rsid w:val="00B91BD8"/>
    <w:rsid w:val="00B91DD3"/>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36"/>
    <w:rsid w:val="00B97FD3"/>
    <w:rsid w:val="00BA0415"/>
    <w:rsid w:val="00BA1A50"/>
    <w:rsid w:val="00BA1CF6"/>
    <w:rsid w:val="00BA3641"/>
    <w:rsid w:val="00BA37EF"/>
    <w:rsid w:val="00BA3E55"/>
    <w:rsid w:val="00BA652B"/>
    <w:rsid w:val="00BA6AC6"/>
    <w:rsid w:val="00BA6B17"/>
    <w:rsid w:val="00BA7371"/>
    <w:rsid w:val="00BA794F"/>
    <w:rsid w:val="00BB0D0D"/>
    <w:rsid w:val="00BB14C5"/>
    <w:rsid w:val="00BB240E"/>
    <w:rsid w:val="00BB2AF2"/>
    <w:rsid w:val="00BB4DA1"/>
    <w:rsid w:val="00BB640E"/>
    <w:rsid w:val="00BC01CB"/>
    <w:rsid w:val="00BC04AE"/>
    <w:rsid w:val="00BC0C38"/>
    <w:rsid w:val="00BC1012"/>
    <w:rsid w:val="00BC1A23"/>
    <w:rsid w:val="00BC1BDF"/>
    <w:rsid w:val="00BC37CC"/>
    <w:rsid w:val="00BC389C"/>
    <w:rsid w:val="00BC38FD"/>
    <w:rsid w:val="00BC3F42"/>
    <w:rsid w:val="00BC4C2F"/>
    <w:rsid w:val="00BC4F60"/>
    <w:rsid w:val="00BC5C8E"/>
    <w:rsid w:val="00BC607F"/>
    <w:rsid w:val="00BC6374"/>
    <w:rsid w:val="00BC789D"/>
    <w:rsid w:val="00BD08B5"/>
    <w:rsid w:val="00BD10CF"/>
    <w:rsid w:val="00BD17B8"/>
    <w:rsid w:val="00BD209F"/>
    <w:rsid w:val="00BD2615"/>
    <w:rsid w:val="00BD338B"/>
    <w:rsid w:val="00BD531C"/>
    <w:rsid w:val="00BD58E3"/>
    <w:rsid w:val="00BD5E99"/>
    <w:rsid w:val="00BD60BA"/>
    <w:rsid w:val="00BD692E"/>
    <w:rsid w:val="00BD736A"/>
    <w:rsid w:val="00BD7D7B"/>
    <w:rsid w:val="00BE0BC1"/>
    <w:rsid w:val="00BE10E0"/>
    <w:rsid w:val="00BE1884"/>
    <w:rsid w:val="00BE2258"/>
    <w:rsid w:val="00BE22ED"/>
    <w:rsid w:val="00BE2E74"/>
    <w:rsid w:val="00BE312F"/>
    <w:rsid w:val="00BE3AA2"/>
    <w:rsid w:val="00BE3F19"/>
    <w:rsid w:val="00BE4AC7"/>
    <w:rsid w:val="00BE511C"/>
    <w:rsid w:val="00BE5EC2"/>
    <w:rsid w:val="00BE5F03"/>
    <w:rsid w:val="00BE5F6C"/>
    <w:rsid w:val="00BE6CB2"/>
    <w:rsid w:val="00BF0039"/>
    <w:rsid w:val="00BF18EE"/>
    <w:rsid w:val="00BF2A3A"/>
    <w:rsid w:val="00BF38C0"/>
    <w:rsid w:val="00BF3B8F"/>
    <w:rsid w:val="00BF413D"/>
    <w:rsid w:val="00BF4A84"/>
    <w:rsid w:val="00BF4AF3"/>
    <w:rsid w:val="00BF4F5B"/>
    <w:rsid w:val="00BF5206"/>
    <w:rsid w:val="00BF5537"/>
    <w:rsid w:val="00BF55C7"/>
    <w:rsid w:val="00BF56F8"/>
    <w:rsid w:val="00BF5C18"/>
    <w:rsid w:val="00BF6325"/>
    <w:rsid w:val="00BF6462"/>
    <w:rsid w:val="00BF691B"/>
    <w:rsid w:val="00C001BC"/>
    <w:rsid w:val="00C0052D"/>
    <w:rsid w:val="00C00864"/>
    <w:rsid w:val="00C01296"/>
    <w:rsid w:val="00C01681"/>
    <w:rsid w:val="00C016B3"/>
    <w:rsid w:val="00C0242F"/>
    <w:rsid w:val="00C02F15"/>
    <w:rsid w:val="00C034CB"/>
    <w:rsid w:val="00C0380F"/>
    <w:rsid w:val="00C0512A"/>
    <w:rsid w:val="00C05140"/>
    <w:rsid w:val="00C051A8"/>
    <w:rsid w:val="00C05360"/>
    <w:rsid w:val="00C054BC"/>
    <w:rsid w:val="00C0562E"/>
    <w:rsid w:val="00C05B13"/>
    <w:rsid w:val="00C063DA"/>
    <w:rsid w:val="00C067D9"/>
    <w:rsid w:val="00C068B4"/>
    <w:rsid w:val="00C06AD9"/>
    <w:rsid w:val="00C072D4"/>
    <w:rsid w:val="00C0737F"/>
    <w:rsid w:val="00C07B5B"/>
    <w:rsid w:val="00C07BE3"/>
    <w:rsid w:val="00C104A6"/>
    <w:rsid w:val="00C10580"/>
    <w:rsid w:val="00C10AEA"/>
    <w:rsid w:val="00C12451"/>
    <w:rsid w:val="00C13329"/>
    <w:rsid w:val="00C152DE"/>
    <w:rsid w:val="00C15AD7"/>
    <w:rsid w:val="00C15D4A"/>
    <w:rsid w:val="00C164EF"/>
    <w:rsid w:val="00C16E34"/>
    <w:rsid w:val="00C16EC7"/>
    <w:rsid w:val="00C16F07"/>
    <w:rsid w:val="00C17105"/>
    <w:rsid w:val="00C17185"/>
    <w:rsid w:val="00C1718C"/>
    <w:rsid w:val="00C17462"/>
    <w:rsid w:val="00C17897"/>
    <w:rsid w:val="00C1799A"/>
    <w:rsid w:val="00C20575"/>
    <w:rsid w:val="00C20F02"/>
    <w:rsid w:val="00C21984"/>
    <w:rsid w:val="00C21D42"/>
    <w:rsid w:val="00C22623"/>
    <w:rsid w:val="00C22939"/>
    <w:rsid w:val="00C23575"/>
    <w:rsid w:val="00C24409"/>
    <w:rsid w:val="00C248DA"/>
    <w:rsid w:val="00C25325"/>
    <w:rsid w:val="00C254DA"/>
    <w:rsid w:val="00C255BD"/>
    <w:rsid w:val="00C259B6"/>
    <w:rsid w:val="00C25EEE"/>
    <w:rsid w:val="00C260F1"/>
    <w:rsid w:val="00C30416"/>
    <w:rsid w:val="00C30A4D"/>
    <w:rsid w:val="00C320BC"/>
    <w:rsid w:val="00C328B9"/>
    <w:rsid w:val="00C32B9C"/>
    <w:rsid w:val="00C335F6"/>
    <w:rsid w:val="00C33CEE"/>
    <w:rsid w:val="00C340A7"/>
    <w:rsid w:val="00C34945"/>
    <w:rsid w:val="00C34C0F"/>
    <w:rsid w:val="00C3532F"/>
    <w:rsid w:val="00C35531"/>
    <w:rsid w:val="00C35EAD"/>
    <w:rsid w:val="00C35FD7"/>
    <w:rsid w:val="00C36AC7"/>
    <w:rsid w:val="00C37827"/>
    <w:rsid w:val="00C37DCE"/>
    <w:rsid w:val="00C40098"/>
    <w:rsid w:val="00C409D5"/>
    <w:rsid w:val="00C40B14"/>
    <w:rsid w:val="00C4111A"/>
    <w:rsid w:val="00C419C4"/>
    <w:rsid w:val="00C422B7"/>
    <w:rsid w:val="00C43538"/>
    <w:rsid w:val="00C435C3"/>
    <w:rsid w:val="00C43DEE"/>
    <w:rsid w:val="00C43E46"/>
    <w:rsid w:val="00C43FB3"/>
    <w:rsid w:val="00C44559"/>
    <w:rsid w:val="00C44664"/>
    <w:rsid w:val="00C454D2"/>
    <w:rsid w:val="00C4564A"/>
    <w:rsid w:val="00C4593E"/>
    <w:rsid w:val="00C45C07"/>
    <w:rsid w:val="00C45C1D"/>
    <w:rsid w:val="00C461F9"/>
    <w:rsid w:val="00C46D54"/>
    <w:rsid w:val="00C46D70"/>
    <w:rsid w:val="00C47123"/>
    <w:rsid w:val="00C4735F"/>
    <w:rsid w:val="00C4799E"/>
    <w:rsid w:val="00C47AAC"/>
    <w:rsid w:val="00C47E68"/>
    <w:rsid w:val="00C47EB1"/>
    <w:rsid w:val="00C503C9"/>
    <w:rsid w:val="00C504F0"/>
    <w:rsid w:val="00C505AE"/>
    <w:rsid w:val="00C50C61"/>
    <w:rsid w:val="00C50CB6"/>
    <w:rsid w:val="00C51339"/>
    <w:rsid w:val="00C51C0F"/>
    <w:rsid w:val="00C51F22"/>
    <w:rsid w:val="00C521D6"/>
    <w:rsid w:val="00C52444"/>
    <w:rsid w:val="00C52731"/>
    <w:rsid w:val="00C53ACA"/>
    <w:rsid w:val="00C53CD9"/>
    <w:rsid w:val="00C54EFF"/>
    <w:rsid w:val="00C5513B"/>
    <w:rsid w:val="00C55A70"/>
    <w:rsid w:val="00C56429"/>
    <w:rsid w:val="00C5651E"/>
    <w:rsid w:val="00C56625"/>
    <w:rsid w:val="00C5685E"/>
    <w:rsid w:val="00C57545"/>
    <w:rsid w:val="00C578BA"/>
    <w:rsid w:val="00C57F24"/>
    <w:rsid w:val="00C610E4"/>
    <w:rsid w:val="00C61528"/>
    <w:rsid w:val="00C619AE"/>
    <w:rsid w:val="00C61EFC"/>
    <w:rsid w:val="00C6234B"/>
    <w:rsid w:val="00C62896"/>
    <w:rsid w:val="00C62FA9"/>
    <w:rsid w:val="00C63295"/>
    <w:rsid w:val="00C63554"/>
    <w:rsid w:val="00C63D2B"/>
    <w:rsid w:val="00C63EAE"/>
    <w:rsid w:val="00C6422C"/>
    <w:rsid w:val="00C64B34"/>
    <w:rsid w:val="00C64EBD"/>
    <w:rsid w:val="00C6530D"/>
    <w:rsid w:val="00C65F90"/>
    <w:rsid w:val="00C66102"/>
    <w:rsid w:val="00C66288"/>
    <w:rsid w:val="00C669A5"/>
    <w:rsid w:val="00C66EF2"/>
    <w:rsid w:val="00C67449"/>
    <w:rsid w:val="00C70CED"/>
    <w:rsid w:val="00C71119"/>
    <w:rsid w:val="00C7177D"/>
    <w:rsid w:val="00C71CD7"/>
    <w:rsid w:val="00C722B7"/>
    <w:rsid w:val="00C738B6"/>
    <w:rsid w:val="00C73BEF"/>
    <w:rsid w:val="00C73F70"/>
    <w:rsid w:val="00C73FE9"/>
    <w:rsid w:val="00C74A6C"/>
    <w:rsid w:val="00C74CD6"/>
    <w:rsid w:val="00C752B7"/>
    <w:rsid w:val="00C756B3"/>
    <w:rsid w:val="00C75884"/>
    <w:rsid w:val="00C7593E"/>
    <w:rsid w:val="00C75964"/>
    <w:rsid w:val="00C75DB5"/>
    <w:rsid w:val="00C7629F"/>
    <w:rsid w:val="00C76C96"/>
    <w:rsid w:val="00C7740C"/>
    <w:rsid w:val="00C775BB"/>
    <w:rsid w:val="00C77E93"/>
    <w:rsid w:val="00C77FEE"/>
    <w:rsid w:val="00C80845"/>
    <w:rsid w:val="00C80A9C"/>
    <w:rsid w:val="00C80BB5"/>
    <w:rsid w:val="00C80EC1"/>
    <w:rsid w:val="00C812E4"/>
    <w:rsid w:val="00C81674"/>
    <w:rsid w:val="00C81937"/>
    <w:rsid w:val="00C81A85"/>
    <w:rsid w:val="00C81E60"/>
    <w:rsid w:val="00C834FD"/>
    <w:rsid w:val="00C83648"/>
    <w:rsid w:val="00C83E38"/>
    <w:rsid w:val="00C84B6F"/>
    <w:rsid w:val="00C86385"/>
    <w:rsid w:val="00C865D4"/>
    <w:rsid w:val="00C8661B"/>
    <w:rsid w:val="00C86796"/>
    <w:rsid w:val="00C86A6F"/>
    <w:rsid w:val="00C8734F"/>
    <w:rsid w:val="00C87698"/>
    <w:rsid w:val="00C8795B"/>
    <w:rsid w:val="00C87C0D"/>
    <w:rsid w:val="00C87C2A"/>
    <w:rsid w:val="00C911C3"/>
    <w:rsid w:val="00C91AD0"/>
    <w:rsid w:val="00C9275E"/>
    <w:rsid w:val="00C92948"/>
    <w:rsid w:val="00C92BC5"/>
    <w:rsid w:val="00C9410E"/>
    <w:rsid w:val="00C9430C"/>
    <w:rsid w:val="00C953A8"/>
    <w:rsid w:val="00C957F6"/>
    <w:rsid w:val="00C95B62"/>
    <w:rsid w:val="00CA01A4"/>
    <w:rsid w:val="00CA07A2"/>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0AF"/>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5BC"/>
    <w:rsid w:val="00CB1869"/>
    <w:rsid w:val="00CB1903"/>
    <w:rsid w:val="00CB1FCC"/>
    <w:rsid w:val="00CB2566"/>
    <w:rsid w:val="00CB2692"/>
    <w:rsid w:val="00CB2BC5"/>
    <w:rsid w:val="00CB2BDB"/>
    <w:rsid w:val="00CB2C9C"/>
    <w:rsid w:val="00CB379B"/>
    <w:rsid w:val="00CB3EE2"/>
    <w:rsid w:val="00CB3F1C"/>
    <w:rsid w:val="00CB4632"/>
    <w:rsid w:val="00CB46CD"/>
    <w:rsid w:val="00CB4DEA"/>
    <w:rsid w:val="00CB5DD0"/>
    <w:rsid w:val="00CB66D6"/>
    <w:rsid w:val="00CB680C"/>
    <w:rsid w:val="00CB6E0E"/>
    <w:rsid w:val="00CB7B6F"/>
    <w:rsid w:val="00CC0027"/>
    <w:rsid w:val="00CC0571"/>
    <w:rsid w:val="00CC0FAA"/>
    <w:rsid w:val="00CC1256"/>
    <w:rsid w:val="00CC1CF9"/>
    <w:rsid w:val="00CC284F"/>
    <w:rsid w:val="00CC31F9"/>
    <w:rsid w:val="00CC373A"/>
    <w:rsid w:val="00CC457E"/>
    <w:rsid w:val="00CC48B3"/>
    <w:rsid w:val="00CC497B"/>
    <w:rsid w:val="00CC51D4"/>
    <w:rsid w:val="00CC5275"/>
    <w:rsid w:val="00CC52DF"/>
    <w:rsid w:val="00CC5834"/>
    <w:rsid w:val="00CC598E"/>
    <w:rsid w:val="00CC5FAC"/>
    <w:rsid w:val="00CC6296"/>
    <w:rsid w:val="00CC63F0"/>
    <w:rsid w:val="00CC65DA"/>
    <w:rsid w:val="00CC688E"/>
    <w:rsid w:val="00CC6DF7"/>
    <w:rsid w:val="00CC735A"/>
    <w:rsid w:val="00CC7FA1"/>
    <w:rsid w:val="00CD0813"/>
    <w:rsid w:val="00CD0F38"/>
    <w:rsid w:val="00CD139F"/>
    <w:rsid w:val="00CD16F9"/>
    <w:rsid w:val="00CD17D5"/>
    <w:rsid w:val="00CD1B1B"/>
    <w:rsid w:val="00CD1C22"/>
    <w:rsid w:val="00CD1F4E"/>
    <w:rsid w:val="00CD237A"/>
    <w:rsid w:val="00CD32B1"/>
    <w:rsid w:val="00CD36CE"/>
    <w:rsid w:val="00CD3F6A"/>
    <w:rsid w:val="00CD403F"/>
    <w:rsid w:val="00CD4090"/>
    <w:rsid w:val="00CD51E4"/>
    <w:rsid w:val="00CD5508"/>
    <w:rsid w:val="00CD56FC"/>
    <w:rsid w:val="00CD5DB7"/>
    <w:rsid w:val="00CD5F81"/>
    <w:rsid w:val="00CD6E3D"/>
    <w:rsid w:val="00CD6EE1"/>
    <w:rsid w:val="00CD7251"/>
    <w:rsid w:val="00CE03C4"/>
    <w:rsid w:val="00CE06ED"/>
    <w:rsid w:val="00CE11D2"/>
    <w:rsid w:val="00CE1445"/>
    <w:rsid w:val="00CE1D36"/>
    <w:rsid w:val="00CE2294"/>
    <w:rsid w:val="00CE239F"/>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40B"/>
    <w:rsid w:val="00CF29D9"/>
    <w:rsid w:val="00CF2F4F"/>
    <w:rsid w:val="00CF2FA3"/>
    <w:rsid w:val="00CF3763"/>
    <w:rsid w:val="00CF4C8F"/>
    <w:rsid w:val="00CF502D"/>
    <w:rsid w:val="00CF524F"/>
    <w:rsid w:val="00CF6069"/>
    <w:rsid w:val="00CF64F0"/>
    <w:rsid w:val="00CF6BF9"/>
    <w:rsid w:val="00D00B94"/>
    <w:rsid w:val="00D00D38"/>
    <w:rsid w:val="00D0106E"/>
    <w:rsid w:val="00D018F0"/>
    <w:rsid w:val="00D019B7"/>
    <w:rsid w:val="00D01DB5"/>
    <w:rsid w:val="00D033DD"/>
    <w:rsid w:val="00D03800"/>
    <w:rsid w:val="00D0404E"/>
    <w:rsid w:val="00D041E4"/>
    <w:rsid w:val="00D04712"/>
    <w:rsid w:val="00D04822"/>
    <w:rsid w:val="00D04DCC"/>
    <w:rsid w:val="00D050C7"/>
    <w:rsid w:val="00D06264"/>
    <w:rsid w:val="00D065D3"/>
    <w:rsid w:val="00D06DD6"/>
    <w:rsid w:val="00D076D6"/>
    <w:rsid w:val="00D07BE3"/>
    <w:rsid w:val="00D10A6F"/>
    <w:rsid w:val="00D10E88"/>
    <w:rsid w:val="00D11BA0"/>
    <w:rsid w:val="00D11BCD"/>
    <w:rsid w:val="00D135FB"/>
    <w:rsid w:val="00D13F0F"/>
    <w:rsid w:val="00D14A7D"/>
    <w:rsid w:val="00D14C1B"/>
    <w:rsid w:val="00D14C94"/>
    <w:rsid w:val="00D150D8"/>
    <w:rsid w:val="00D15A13"/>
    <w:rsid w:val="00D15B8D"/>
    <w:rsid w:val="00D21151"/>
    <w:rsid w:val="00D21295"/>
    <w:rsid w:val="00D21AA4"/>
    <w:rsid w:val="00D224D3"/>
    <w:rsid w:val="00D2288E"/>
    <w:rsid w:val="00D2315D"/>
    <w:rsid w:val="00D23CEA"/>
    <w:rsid w:val="00D23D87"/>
    <w:rsid w:val="00D25386"/>
    <w:rsid w:val="00D25453"/>
    <w:rsid w:val="00D25962"/>
    <w:rsid w:val="00D25D64"/>
    <w:rsid w:val="00D26388"/>
    <w:rsid w:val="00D2674B"/>
    <w:rsid w:val="00D26CBF"/>
    <w:rsid w:val="00D2730C"/>
    <w:rsid w:val="00D30136"/>
    <w:rsid w:val="00D30269"/>
    <w:rsid w:val="00D30326"/>
    <w:rsid w:val="00D30D20"/>
    <w:rsid w:val="00D312DE"/>
    <w:rsid w:val="00D3132E"/>
    <w:rsid w:val="00D31ACF"/>
    <w:rsid w:val="00D31CDE"/>
    <w:rsid w:val="00D323AA"/>
    <w:rsid w:val="00D330CC"/>
    <w:rsid w:val="00D330DB"/>
    <w:rsid w:val="00D342A6"/>
    <w:rsid w:val="00D34465"/>
    <w:rsid w:val="00D34B67"/>
    <w:rsid w:val="00D34B69"/>
    <w:rsid w:val="00D352C5"/>
    <w:rsid w:val="00D36841"/>
    <w:rsid w:val="00D36F17"/>
    <w:rsid w:val="00D3707B"/>
    <w:rsid w:val="00D372A4"/>
    <w:rsid w:val="00D3759C"/>
    <w:rsid w:val="00D37CBB"/>
    <w:rsid w:val="00D4043B"/>
    <w:rsid w:val="00D40739"/>
    <w:rsid w:val="00D418EA"/>
    <w:rsid w:val="00D419E0"/>
    <w:rsid w:val="00D424D5"/>
    <w:rsid w:val="00D435DF"/>
    <w:rsid w:val="00D4363E"/>
    <w:rsid w:val="00D444EF"/>
    <w:rsid w:val="00D45361"/>
    <w:rsid w:val="00D4560F"/>
    <w:rsid w:val="00D45783"/>
    <w:rsid w:val="00D45C90"/>
    <w:rsid w:val="00D464BF"/>
    <w:rsid w:val="00D4679C"/>
    <w:rsid w:val="00D47B51"/>
    <w:rsid w:val="00D47F76"/>
    <w:rsid w:val="00D50184"/>
    <w:rsid w:val="00D50480"/>
    <w:rsid w:val="00D50999"/>
    <w:rsid w:val="00D51238"/>
    <w:rsid w:val="00D5176D"/>
    <w:rsid w:val="00D520CB"/>
    <w:rsid w:val="00D524A1"/>
    <w:rsid w:val="00D52C8C"/>
    <w:rsid w:val="00D531BE"/>
    <w:rsid w:val="00D538BA"/>
    <w:rsid w:val="00D53963"/>
    <w:rsid w:val="00D53E26"/>
    <w:rsid w:val="00D54DAE"/>
    <w:rsid w:val="00D54F80"/>
    <w:rsid w:val="00D551B8"/>
    <w:rsid w:val="00D5524B"/>
    <w:rsid w:val="00D56179"/>
    <w:rsid w:val="00D56235"/>
    <w:rsid w:val="00D5625D"/>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4B"/>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3AE"/>
    <w:rsid w:val="00D665AD"/>
    <w:rsid w:val="00D66AF7"/>
    <w:rsid w:val="00D66E2F"/>
    <w:rsid w:val="00D67482"/>
    <w:rsid w:val="00D674C4"/>
    <w:rsid w:val="00D67E4F"/>
    <w:rsid w:val="00D7178C"/>
    <w:rsid w:val="00D71A0F"/>
    <w:rsid w:val="00D72F94"/>
    <w:rsid w:val="00D733CA"/>
    <w:rsid w:val="00D738A0"/>
    <w:rsid w:val="00D74A6E"/>
    <w:rsid w:val="00D74A89"/>
    <w:rsid w:val="00D74CDB"/>
    <w:rsid w:val="00D76739"/>
    <w:rsid w:val="00D76FED"/>
    <w:rsid w:val="00D771CC"/>
    <w:rsid w:val="00D7739C"/>
    <w:rsid w:val="00D77559"/>
    <w:rsid w:val="00D776F1"/>
    <w:rsid w:val="00D777B8"/>
    <w:rsid w:val="00D77923"/>
    <w:rsid w:val="00D77FA6"/>
    <w:rsid w:val="00D8105C"/>
    <w:rsid w:val="00D82C30"/>
    <w:rsid w:val="00D82FE0"/>
    <w:rsid w:val="00D835FD"/>
    <w:rsid w:val="00D83EA2"/>
    <w:rsid w:val="00D867BC"/>
    <w:rsid w:val="00D86DC8"/>
    <w:rsid w:val="00D86DCD"/>
    <w:rsid w:val="00D9027B"/>
    <w:rsid w:val="00D90648"/>
    <w:rsid w:val="00D9070A"/>
    <w:rsid w:val="00D90841"/>
    <w:rsid w:val="00D909D7"/>
    <w:rsid w:val="00D9141E"/>
    <w:rsid w:val="00D91480"/>
    <w:rsid w:val="00D914DE"/>
    <w:rsid w:val="00D92967"/>
    <w:rsid w:val="00D92C87"/>
    <w:rsid w:val="00D92C98"/>
    <w:rsid w:val="00D93788"/>
    <w:rsid w:val="00D94249"/>
    <w:rsid w:val="00D94ADF"/>
    <w:rsid w:val="00D950FB"/>
    <w:rsid w:val="00D951B7"/>
    <w:rsid w:val="00D95533"/>
    <w:rsid w:val="00D95D12"/>
    <w:rsid w:val="00D969CA"/>
    <w:rsid w:val="00D9723C"/>
    <w:rsid w:val="00DA051D"/>
    <w:rsid w:val="00DA0C3F"/>
    <w:rsid w:val="00DA16FC"/>
    <w:rsid w:val="00DA1FF6"/>
    <w:rsid w:val="00DA2C4C"/>
    <w:rsid w:val="00DA2FF4"/>
    <w:rsid w:val="00DA3295"/>
    <w:rsid w:val="00DA34BD"/>
    <w:rsid w:val="00DA380E"/>
    <w:rsid w:val="00DA3A60"/>
    <w:rsid w:val="00DA466C"/>
    <w:rsid w:val="00DA4DD7"/>
    <w:rsid w:val="00DA52BD"/>
    <w:rsid w:val="00DA565E"/>
    <w:rsid w:val="00DA5909"/>
    <w:rsid w:val="00DA6280"/>
    <w:rsid w:val="00DA7BF4"/>
    <w:rsid w:val="00DA7EA8"/>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42C3"/>
    <w:rsid w:val="00DC542E"/>
    <w:rsid w:val="00DC5AA6"/>
    <w:rsid w:val="00DC5C29"/>
    <w:rsid w:val="00DC6B5C"/>
    <w:rsid w:val="00DC6F2A"/>
    <w:rsid w:val="00DC720D"/>
    <w:rsid w:val="00DD01E5"/>
    <w:rsid w:val="00DD10E4"/>
    <w:rsid w:val="00DD1471"/>
    <w:rsid w:val="00DD273A"/>
    <w:rsid w:val="00DD2C10"/>
    <w:rsid w:val="00DD2F13"/>
    <w:rsid w:val="00DD485D"/>
    <w:rsid w:val="00DD486D"/>
    <w:rsid w:val="00DD4BFF"/>
    <w:rsid w:val="00DD4C3C"/>
    <w:rsid w:val="00DD4CE3"/>
    <w:rsid w:val="00DD4F0E"/>
    <w:rsid w:val="00DD7A13"/>
    <w:rsid w:val="00DE0B40"/>
    <w:rsid w:val="00DE17E4"/>
    <w:rsid w:val="00DE3053"/>
    <w:rsid w:val="00DE3142"/>
    <w:rsid w:val="00DE33AF"/>
    <w:rsid w:val="00DE41F8"/>
    <w:rsid w:val="00DE47B1"/>
    <w:rsid w:val="00DE4CD8"/>
    <w:rsid w:val="00DE4E24"/>
    <w:rsid w:val="00DE56B8"/>
    <w:rsid w:val="00DE596A"/>
    <w:rsid w:val="00DE5D06"/>
    <w:rsid w:val="00DE65D5"/>
    <w:rsid w:val="00DE69F8"/>
    <w:rsid w:val="00DE7955"/>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07E85"/>
    <w:rsid w:val="00E101AA"/>
    <w:rsid w:val="00E10F4B"/>
    <w:rsid w:val="00E118CD"/>
    <w:rsid w:val="00E11A4F"/>
    <w:rsid w:val="00E11CE7"/>
    <w:rsid w:val="00E12083"/>
    <w:rsid w:val="00E1314A"/>
    <w:rsid w:val="00E13B60"/>
    <w:rsid w:val="00E143C4"/>
    <w:rsid w:val="00E145CB"/>
    <w:rsid w:val="00E1526A"/>
    <w:rsid w:val="00E15284"/>
    <w:rsid w:val="00E15628"/>
    <w:rsid w:val="00E156FE"/>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4607"/>
    <w:rsid w:val="00E24960"/>
    <w:rsid w:val="00E24D3E"/>
    <w:rsid w:val="00E263E3"/>
    <w:rsid w:val="00E26B7A"/>
    <w:rsid w:val="00E26F47"/>
    <w:rsid w:val="00E27AEE"/>
    <w:rsid w:val="00E27B1D"/>
    <w:rsid w:val="00E3085D"/>
    <w:rsid w:val="00E31239"/>
    <w:rsid w:val="00E31CD2"/>
    <w:rsid w:val="00E3357D"/>
    <w:rsid w:val="00E34026"/>
    <w:rsid w:val="00E3437A"/>
    <w:rsid w:val="00E35D5A"/>
    <w:rsid w:val="00E36F20"/>
    <w:rsid w:val="00E37499"/>
    <w:rsid w:val="00E37F7A"/>
    <w:rsid w:val="00E403BF"/>
    <w:rsid w:val="00E40453"/>
    <w:rsid w:val="00E40696"/>
    <w:rsid w:val="00E40C86"/>
    <w:rsid w:val="00E40F00"/>
    <w:rsid w:val="00E41ADE"/>
    <w:rsid w:val="00E41C43"/>
    <w:rsid w:val="00E42680"/>
    <w:rsid w:val="00E42B55"/>
    <w:rsid w:val="00E42CB6"/>
    <w:rsid w:val="00E43DFB"/>
    <w:rsid w:val="00E43EAB"/>
    <w:rsid w:val="00E43EEF"/>
    <w:rsid w:val="00E447F8"/>
    <w:rsid w:val="00E44A2D"/>
    <w:rsid w:val="00E44BBB"/>
    <w:rsid w:val="00E44CDB"/>
    <w:rsid w:val="00E44F2B"/>
    <w:rsid w:val="00E45C2B"/>
    <w:rsid w:val="00E45F88"/>
    <w:rsid w:val="00E4651F"/>
    <w:rsid w:val="00E46761"/>
    <w:rsid w:val="00E47074"/>
    <w:rsid w:val="00E47304"/>
    <w:rsid w:val="00E47873"/>
    <w:rsid w:val="00E479F5"/>
    <w:rsid w:val="00E47D20"/>
    <w:rsid w:val="00E504EC"/>
    <w:rsid w:val="00E50647"/>
    <w:rsid w:val="00E51025"/>
    <w:rsid w:val="00E511C1"/>
    <w:rsid w:val="00E516BB"/>
    <w:rsid w:val="00E52574"/>
    <w:rsid w:val="00E5311E"/>
    <w:rsid w:val="00E531EE"/>
    <w:rsid w:val="00E5335D"/>
    <w:rsid w:val="00E534CF"/>
    <w:rsid w:val="00E53B82"/>
    <w:rsid w:val="00E53C15"/>
    <w:rsid w:val="00E5407D"/>
    <w:rsid w:val="00E55041"/>
    <w:rsid w:val="00E55564"/>
    <w:rsid w:val="00E55E09"/>
    <w:rsid w:val="00E55FE8"/>
    <w:rsid w:val="00E562AA"/>
    <w:rsid w:val="00E56A14"/>
    <w:rsid w:val="00E57393"/>
    <w:rsid w:val="00E57A0C"/>
    <w:rsid w:val="00E604EE"/>
    <w:rsid w:val="00E60DEE"/>
    <w:rsid w:val="00E60EBB"/>
    <w:rsid w:val="00E6127F"/>
    <w:rsid w:val="00E618AC"/>
    <w:rsid w:val="00E61CF9"/>
    <w:rsid w:val="00E6234C"/>
    <w:rsid w:val="00E62C0B"/>
    <w:rsid w:val="00E62EE4"/>
    <w:rsid w:val="00E63061"/>
    <w:rsid w:val="00E632E0"/>
    <w:rsid w:val="00E635AC"/>
    <w:rsid w:val="00E637F6"/>
    <w:rsid w:val="00E63A17"/>
    <w:rsid w:val="00E6570C"/>
    <w:rsid w:val="00E66DD9"/>
    <w:rsid w:val="00E67019"/>
    <w:rsid w:val="00E678E3"/>
    <w:rsid w:val="00E70217"/>
    <w:rsid w:val="00E70312"/>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5E6"/>
    <w:rsid w:val="00E75B01"/>
    <w:rsid w:val="00E76AAF"/>
    <w:rsid w:val="00E76CDC"/>
    <w:rsid w:val="00E76ECB"/>
    <w:rsid w:val="00E771A7"/>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87FFD"/>
    <w:rsid w:val="00E9061E"/>
    <w:rsid w:val="00E90955"/>
    <w:rsid w:val="00E9178C"/>
    <w:rsid w:val="00E9264A"/>
    <w:rsid w:val="00E93C5E"/>
    <w:rsid w:val="00E93EB3"/>
    <w:rsid w:val="00E93FB3"/>
    <w:rsid w:val="00E943E3"/>
    <w:rsid w:val="00E9503E"/>
    <w:rsid w:val="00E9574D"/>
    <w:rsid w:val="00E9684B"/>
    <w:rsid w:val="00E96874"/>
    <w:rsid w:val="00E97099"/>
    <w:rsid w:val="00E97CB0"/>
    <w:rsid w:val="00EA0849"/>
    <w:rsid w:val="00EA14C7"/>
    <w:rsid w:val="00EA1FC2"/>
    <w:rsid w:val="00EA28FF"/>
    <w:rsid w:val="00EA30EB"/>
    <w:rsid w:val="00EA372B"/>
    <w:rsid w:val="00EA3C94"/>
    <w:rsid w:val="00EA3F15"/>
    <w:rsid w:val="00EA3F81"/>
    <w:rsid w:val="00EA4149"/>
    <w:rsid w:val="00EA4959"/>
    <w:rsid w:val="00EA4A39"/>
    <w:rsid w:val="00EA52EF"/>
    <w:rsid w:val="00EA59DF"/>
    <w:rsid w:val="00EA5FBC"/>
    <w:rsid w:val="00EA6384"/>
    <w:rsid w:val="00EA6385"/>
    <w:rsid w:val="00EA64F9"/>
    <w:rsid w:val="00EA7847"/>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5C4"/>
    <w:rsid w:val="00EB7721"/>
    <w:rsid w:val="00EC0664"/>
    <w:rsid w:val="00EC081A"/>
    <w:rsid w:val="00EC0893"/>
    <w:rsid w:val="00EC090A"/>
    <w:rsid w:val="00EC0D38"/>
    <w:rsid w:val="00EC0F36"/>
    <w:rsid w:val="00EC19F3"/>
    <w:rsid w:val="00EC1B50"/>
    <w:rsid w:val="00EC1D4D"/>
    <w:rsid w:val="00EC2796"/>
    <w:rsid w:val="00EC3714"/>
    <w:rsid w:val="00EC389E"/>
    <w:rsid w:val="00EC3B62"/>
    <w:rsid w:val="00EC4B96"/>
    <w:rsid w:val="00EC564B"/>
    <w:rsid w:val="00EC62C4"/>
    <w:rsid w:val="00EC71E4"/>
    <w:rsid w:val="00EC72FC"/>
    <w:rsid w:val="00EC7775"/>
    <w:rsid w:val="00ED0102"/>
    <w:rsid w:val="00ED0822"/>
    <w:rsid w:val="00ED0EE2"/>
    <w:rsid w:val="00ED1DFF"/>
    <w:rsid w:val="00ED219D"/>
    <w:rsid w:val="00ED28C9"/>
    <w:rsid w:val="00ED2A1C"/>
    <w:rsid w:val="00ED3EA2"/>
    <w:rsid w:val="00ED3F33"/>
    <w:rsid w:val="00ED4147"/>
    <w:rsid w:val="00ED45AC"/>
    <w:rsid w:val="00ED4D14"/>
    <w:rsid w:val="00ED4E49"/>
    <w:rsid w:val="00ED4EB3"/>
    <w:rsid w:val="00ED51A0"/>
    <w:rsid w:val="00ED54C8"/>
    <w:rsid w:val="00ED63A2"/>
    <w:rsid w:val="00ED7166"/>
    <w:rsid w:val="00ED7610"/>
    <w:rsid w:val="00EE014D"/>
    <w:rsid w:val="00EE058F"/>
    <w:rsid w:val="00EE0793"/>
    <w:rsid w:val="00EE0E6E"/>
    <w:rsid w:val="00EE1002"/>
    <w:rsid w:val="00EE235A"/>
    <w:rsid w:val="00EE2CA0"/>
    <w:rsid w:val="00EE2E6D"/>
    <w:rsid w:val="00EE2E6E"/>
    <w:rsid w:val="00EE2F3A"/>
    <w:rsid w:val="00EE3106"/>
    <w:rsid w:val="00EE3A47"/>
    <w:rsid w:val="00EE3B42"/>
    <w:rsid w:val="00EE422D"/>
    <w:rsid w:val="00EE4260"/>
    <w:rsid w:val="00EE4311"/>
    <w:rsid w:val="00EE49E1"/>
    <w:rsid w:val="00EE4BDB"/>
    <w:rsid w:val="00EE5298"/>
    <w:rsid w:val="00EE594F"/>
    <w:rsid w:val="00EE59D3"/>
    <w:rsid w:val="00EE5CB9"/>
    <w:rsid w:val="00EE5F7D"/>
    <w:rsid w:val="00EE6C8A"/>
    <w:rsid w:val="00EE6E20"/>
    <w:rsid w:val="00EE71CE"/>
    <w:rsid w:val="00EE7BF4"/>
    <w:rsid w:val="00EE7D8A"/>
    <w:rsid w:val="00EF0142"/>
    <w:rsid w:val="00EF0942"/>
    <w:rsid w:val="00EF0A19"/>
    <w:rsid w:val="00EF0C4F"/>
    <w:rsid w:val="00EF0E52"/>
    <w:rsid w:val="00EF10AD"/>
    <w:rsid w:val="00EF1B32"/>
    <w:rsid w:val="00EF2031"/>
    <w:rsid w:val="00EF2641"/>
    <w:rsid w:val="00EF297F"/>
    <w:rsid w:val="00EF2A9E"/>
    <w:rsid w:val="00EF2BFF"/>
    <w:rsid w:val="00EF32C0"/>
    <w:rsid w:val="00EF330F"/>
    <w:rsid w:val="00EF339E"/>
    <w:rsid w:val="00EF3921"/>
    <w:rsid w:val="00EF4B93"/>
    <w:rsid w:val="00EF63CE"/>
    <w:rsid w:val="00EF6591"/>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501D"/>
    <w:rsid w:val="00F05FD5"/>
    <w:rsid w:val="00F0631F"/>
    <w:rsid w:val="00F066E9"/>
    <w:rsid w:val="00F0759E"/>
    <w:rsid w:val="00F075A1"/>
    <w:rsid w:val="00F07E4D"/>
    <w:rsid w:val="00F10171"/>
    <w:rsid w:val="00F10203"/>
    <w:rsid w:val="00F10644"/>
    <w:rsid w:val="00F10A59"/>
    <w:rsid w:val="00F10E43"/>
    <w:rsid w:val="00F10F88"/>
    <w:rsid w:val="00F13503"/>
    <w:rsid w:val="00F13554"/>
    <w:rsid w:val="00F13FC5"/>
    <w:rsid w:val="00F143DE"/>
    <w:rsid w:val="00F145B9"/>
    <w:rsid w:val="00F14C6D"/>
    <w:rsid w:val="00F15075"/>
    <w:rsid w:val="00F15208"/>
    <w:rsid w:val="00F158EE"/>
    <w:rsid w:val="00F158F4"/>
    <w:rsid w:val="00F16034"/>
    <w:rsid w:val="00F1649D"/>
    <w:rsid w:val="00F16A7F"/>
    <w:rsid w:val="00F16C18"/>
    <w:rsid w:val="00F16E1A"/>
    <w:rsid w:val="00F170CC"/>
    <w:rsid w:val="00F171E1"/>
    <w:rsid w:val="00F1720B"/>
    <w:rsid w:val="00F17C1E"/>
    <w:rsid w:val="00F20B97"/>
    <w:rsid w:val="00F2158F"/>
    <w:rsid w:val="00F2233E"/>
    <w:rsid w:val="00F22540"/>
    <w:rsid w:val="00F2274A"/>
    <w:rsid w:val="00F22B5C"/>
    <w:rsid w:val="00F22B84"/>
    <w:rsid w:val="00F22C56"/>
    <w:rsid w:val="00F2329B"/>
    <w:rsid w:val="00F23351"/>
    <w:rsid w:val="00F23E17"/>
    <w:rsid w:val="00F24049"/>
    <w:rsid w:val="00F24931"/>
    <w:rsid w:val="00F24FFB"/>
    <w:rsid w:val="00F2581E"/>
    <w:rsid w:val="00F263F8"/>
    <w:rsid w:val="00F26AEF"/>
    <w:rsid w:val="00F274BB"/>
    <w:rsid w:val="00F27665"/>
    <w:rsid w:val="00F27729"/>
    <w:rsid w:val="00F27F24"/>
    <w:rsid w:val="00F302E2"/>
    <w:rsid w:val="00F306A1"/>
    <w:rsid w:val="00F30B18"/>
    <w:rsid w:val="00F31266"/>
    <w:rsid w:val="00F31642"/>
    <w:rsid w:val="00F31679"/>
    <w:rsid w:val="00F31E1C"/>
    <w:rsid w:val="00F321F4"/>
    <w:rsid w:val="00F326E6"/>
    <w:rsid w:val="00F32898"/>
    <w:rsid w:val="00F33430"/>
    <w:rsid w:val="00F337D9"/>
    <w:rsid w:val="00F33B43"/>
    <w:rsid w:val="00F33C70"/>
    <w:rsid w:val="00F34239"/>
    <w:rsid w:val="00F34585"/>
    <w:rsid w:val="00F34782"/>
    <w:rsid w:val="00F34E34"/>
    <w:rsid w:val="00F350AF"/>
    <w:rsid w:val="00F35816"/>
    <w:rsid w:val="00F358D1"/>
    <w:rsid w:val="00F35935"/>
    <w:rsid w:val="00F35B02"/>
    <w:rsid w:val="00F365B7"/>
    <w:rsid w:val="00F37175"/>
    <w:rsid w:val="00F37B32"/>
    <w:rsid w:val="00F41373"/>
    <w:rsid w:val="00F42CBD"/>
    <w:rsid w:val="00F432E6"/>
    <w:rsid w:val="00F43858"/>
    <w:rsid w:val="00F43CA8"/>
    <w:rsid w:val="00F4404D"/>
    <w:rsid w:val="00F44EE6"/>
    <w:rsid w:val="00F4514D"/>
    <w:rsid w:val="00F4540C"/>
    <w:rsid w:val="00F459E6"/>
    <w:rsid w:val="00F4627D"/>
    <w:rsid w:val="00F465C5"/>
    <w:rsid w:val="00F46D22"/>
    <w:rsid w:val="00F479D3"/>
    <w:rsid w:val="00F47B94"/>
    <w:rsid w:val="00F505B2"/>
    <w:rsid w:val="00F50683"/>
    <w:rsid w:val="00F50FAE"/>
    <w:rsid w:val="00F51347"/>
    <w:rsid w:val="00F513F0"/>
    <w:rsid w:val="00F51E2E"/>
    <w:rsid w:val="00F52759"/>
    <w:rsid w:val="00F52C1D"/>
    <w:rsid w:val="00F52F1F"/>
    <w:rsid w:val="00F53D77"/>
    <w:rsid w:val="00F55C1A"/>
    <w:rsid w:val="00F55D66"/>
    <w:rsid w:val="00F55DA9"/>
    <w:rsid w:val="00F5619A"/>
    <w:rsid w:val="00F569FD"/>
    <w:rsid w:val="00F57245"/>
    <w:rsid w:val="00F572C5"/>
    <w:rsid w:val="00F57C65"/>
    <w:rsid w:val="00F61F7D"/>
    <w:rsid w:val="00F621DA"/>
    <w:rsid w:val="00F62312"/>
    <w:rsid w:val="00F62459"/>
    <w:rsid w:val="00F62791"/>
    <w:rsid w:val="00F62BFA"/>
    <w:rsid w:val="00F62ECE"/>
    <w:rsid w:val="00F633BD"/>
    <w:rsid w:val="00F634AC"/>
    <w:rsid w:val="00F63C14"/>
    <w:rsid w:val="00F63C57"/>
    <w:rsid w:val="00F64113"/>
    <w:rsid w:val="00F6422C"/>
    <w:rsid w:val="00F645E4"/>
    <w:rsid w:val="00F64E17"/>
    <w:rsid w:val="00F651E9"/>
    <w:rsid w:val="00F652B9"/>
    <w:rsid w:val="00F66696"/>
    <w:rsid w:val="00F669AB"/>
    <w:rsid w:val="00F66A2C"/>
    <w:rsid w:val="00F66B49"/>
    <w:rsid w:val="00F66D76"/>
    <w:rsid w:val="00F66E9F"/>
    <w:rsid w:val="00F66EEC"/>
    <w:rsid w:val="00F671ED"/>
    <w:rsid w:val="00F67A7C"/>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2B1"/>
    <w:rsid w:val="00F736B6"/>
    <w:rsid w:val="00F736C4"/>
    <w:rsid w:val="00F742A8"/>
    <w:rsid w:val="00F7590A"/>
    <w:rsid w:val="00F75BC2"/>
    <w:rsid w:val="00F76456"/>
    <w:rsid w:val="00F7664E"/>
    <w:rsid w:val="00F76F67"/>
    <w:rsid w:val="00F778C7"/>
    <w:rsid w:val="00F779E7"/>
    <w:rsid w:val="00F77BED"/>
    <w:rsid w:val="00F80839"/>
    <w:rsid w:val="00F81167"/>
    <w:rsid w:val="00F8124F"/>
    <w:rsid w:val="00F813A4"/>
    <w:rsid w:val="00F8145D"/>
    <w:rsid w:val="00F81D80"/>
    <w:rsid w:val="00F82194"/>
    <w:rsid w:val="00F821A3"/>
    <w:rsid w:val="00F82A9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879"/>
    <w:rsid w:val="00F86A8F"/>
    <w:rsid w:val="00F870C0"/>
    <w:rsid w:val="00F875A4"/>
    <w:rsid w:val="00F8779B"/>
    <w:rsid w:val="00F9033A"/>
    <w:rsid w:val="00F9088F"/>
    <w:rsid w:val="00F913DF"/>
    <w:rsid w:val="00F9164E"/>
    <w:rsid w:val="00F9246A"/>
    <w:rsid w:val="00F9314A"/>
    <w:rsid w:val="00F935FB"/>
    <w:rsid w:val="00F9373E"/>
    <w:rsid w:val="00F940B9"/>
    <w:rsid w:val="00F94BAD"/>
    <w:rsid w:val="00F955C3"/>
    <w:rsid w:val="00F957D8"/>
    <w:rsid w:val="00F95F39"/>
    <w:rsid w:val="00F97F25"/>
    <w:rsid w:val="00FA136C"/>
    <w:rsid w:val="00FA15A0"/>
    <w:rsid w:val="00FA218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B62"/>
    <w:rsid w:val="00FB5F17"/>
    <w:rsid w:val="00FB63CC"/>
    <w:rsid w:val="00FB643F"/>
    <w:rsid w:val="00FB6677"/>
    <w:rsid w:val="00FB7323"/>
    <w:rsid w:val="00FC0120"/>
    <w:rsid w:val="00FC0171"/>
    <w:rsid w:val="00FC02FB"/>
    <w:rsid w:val="00FC0C9B"/>
    <w:rsid w:val="00FC14E0"/>
    <w:rsid w:val="00FC1531"/>
    <w:rsid w:val="00FC1AB3"/>
    <w:rsid w:val="00FC1D20"/>
    <w:rsid w:val="00FC1DF1"/>
    <w:rsid w:val="00FC1ED8"/>
    <w:rsid w:val="00FC2A06"/>
    <w:rsid w:val="00FC33A7"/>
    <w:rsid w:val="00FC37D0"/>
    <w:rsid w:val="00FC3897"/>
    <w:rsid w:val="00FC4840"/>
    <w:rsid w:val="00FC50E8"/>
    <w:rsid w:val="00FC58EF"/>
    <w:rsid w:val="00FC5B6C"/>
    <w:rsid w:val="00FC5D2B"/>
    <w:rsid w:val="00FC60B4"/>
    <w:rsid w:val="00FC60FA"/>
    <w:rsid w:val="00FC614C"/>
    <w:rsid w:val="00FC68BE"/>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5F"/>
    <w:rsid w:val="00FD68B0"/>
    <w:rsid w:val="00FD6FD5"/>
    <w:rsid w:val="00FD769D"/>
    <w:rsid w:val="00FD7A96"/>
    <w:rsid w:val="00FE00C6"/>
    <w:rsid w:val="00FE038E"/>
    <w:rsid w:val="00FE0DC5"/>
    <w:rsid w:val="00FE1FE5"/>
    <w:rsid w:val="00FE277E"/>
    <w:rsid w:val="00FE27D3"/>
    <w:rsid w:val="00FE2F7F"/>
    <w:rsid w:val="00FE3867"/>
    <w:rsid w:val="00FE39D7"/>
    <w:rsid w:val="00FE3EA7"/>
    <w:rsid w:val="00FE43B3"/>
    <w:rsid w:val="00FE44FD"/>
    <w:rsid w:val="00FE48A9"/>
    <w:rsid w:val="00FE5037"/>
    <w:rsid w:val="00FE59E2"/>
    <w:rsid w:val="00FE5C4E"/>
    <w:rsid w:val="00FE5D5D"/>
    <w:rsid w:val="00FE6E46"/>
    <w:rsid w:val="00FF03A0"/>
    <w:rsid w:val="00FF094C"/>
    <w:rsid w:val="00FF0AD3"/>
    <w:rsid w:val="00FF0B25"/>
    <w:rsid w:val="00FF158F"/>
    <w:rsid w:val="00FF19A3"/>
    <w:rsid w:val="00FF19B6"/>
    <w:rsid w:val="00FF26F4"/>
    <w:rsid w:val="00FF3285"/>
    <w:rsid w:val="00FF34A3"/>
    <w:rsid w:val="00FF3651"/>
    <w:rsid w:val="00FF3EAD"/>
    <w:rsid w:val="00FF4670"/>
    <w:rsid w:val="00FF46DF"/>
    <w:rsid w:val="00FF4F3F"/>
    <w:rsid w:val="00FF50A9"/>
    <w:rsid w:val="00FF6855"/>
    <w:rsid w:val="00FF6BE9"/>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96624116">
      <w:bodyDiv w:val="1"/>
      <w:marLeft w:val="0"/>
      <w:marRight w:val="0"/>
      <w:marTop w:val="0"/>
      <w:marBottom w:val="0"/>
      <w:divBdr>
        <w:top w:val="none" w:sz="0" w:space="0" w:color="auto"/>
        <w:left w:val="none" w:sz="0" w:space="0" w:color="auto"/>
        <w:bottom w:val="none" w:sz="0" w:space="0" w:color="auto"/>
        <w:right w:val="none" w:sz="0" w:space="0" w:color="auto"/>
      </w:divBdr>
    </w:div>
    <w:div w:id="770276073">
      <w:bodyDiv w:val="1"/>
      <w:marLeft w:val="0"/>
      <w:marRight w:val="0"/>
      <w:marTop w:val="0"/>
      <w:marBottom w:val="0"/>
      <w:divBdr>
        <w:top w:val="none" w:sz="0" w:space="0" w:color="auto"/>
        <w:left w:val="none" w:sz="0" w:space="0" w:color="auto"/>
        <w:bottom w:val="none" w:sz="0" w:space="0" w:color="auto"/>
        <w:right w:val="none" w:sz="0" w:space="0" w:color="auto"/>
      </w:divBdr>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11958355">
      <w:bodyDiv w:val="1"/>
      <w:marLeft w:val="0"/>
      <w:marRight w:val="0"/>
      <w:marTop w:val="0"/>
      <w:marBottom w:val="0"/>
      <w:divBdr>
        <w:top w:val="none" w:sz="0" w:space="0" w:color="auto"/>
        <w:left w:val="none" w:sz="0" w:space="0" w:color="auto"/>
        <w:bottom w:val="none" w:sz="0" w:space="0" w:color="auto"/>
        <w:right w:val="none" w:sz="0" w:space="0" w:color="auto"/>
      </w:divBdr>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0BB8D4-0C47-42DC-B645-8857FCAF64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23</Pages>
  <Words>6794</Words>
  <Characters>37371</Characters>
  <Application>Microsoft Office Word</Application>
  <DocSecurity>0</DocSecurity>
  <Lines>311</Lines>
  <Paragraphs>88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44077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2015-05-08T23:25:00Z</cp:lastPrinted>
  <dcterms:created xsi:type="dcterms:W3CDTF">2015-05-15T14:47:00Z</dcterms:created>
  <dcterms:modified xsi:type="dcterms:W3CDTF">2015-05-15T14:47:00Z</dcterms:modified>
</cp:coreProperties>
</file>