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3E42EC"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96028787" r:id="rId9"/>
        </w:object>
      </w:r>
    </w:p>
    <w:p w:rsidR="00625DC6" w:rsidRPr="001954E9" w:rsidRDefault="00625DC6" w:rsidP="00341E8F">
      <w:pPr>
        <w:pStyle w:val="Encabezado"/>
        <w:tabs>
          <w:tab w:val="clear" w:pos="8504"/>
          <w:tab w:val="left" w:pos="0"/>
          <w:tab w:val="right" w:pos="9356"/>
        </w:tabs>
        <w:ind w:left="0"/>
        <w:jc w:val="both"/>
        <w:rPr>
          <w:rFonts w:ascii="Bookman Old Style" w:hAnsi="Bookman Old Style"/>
          <w:szCs w:val="24"/>
        </w:rPr>
      </w:pP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A47AD0">
        <w:rPr>
          <w:rFonts w:ascii="Bookman Old Style" w:hAnsi="Bookman Old Style"/>
          <w:sz w:val="24"/>
          <w:szCs w:val="24"/>
        </w:rPr>
        <w:t>8</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Pr="001954E9" w:rsidRDefault="0092593B" w:rsidP="00341E8F">
      <w:pPr>
        <w:widowControl w:val="0"/>
        <w:adjustRightInd w:val="0"/>
        <w:ind w:left="0" w:right="20"/>
        <w:jc w:val="both"/>
        <w:rPr>
          <w:rFonts w:ascii="Bookman Old Style" w:hAnsi="Bookman Old Style" w:cs="Arial"/>
          <w:lang w:val="es-ES_tradnl"/>
        </w:rPr>
      </w:pPr>
    </w:p>
    <w:p w:rsidR="00656686" w:rsidRPr="00341E8F" w:rsidRDefault="00273C2C" w:rsidP="00656686">
      <w:pPr>
        <w:widowControl w:val="0"/>
        <w:adjustRightInd w:val="0"/>
        <w:ind w:left="0" w:right="2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F01CA3" w:rsidRPr="001954E9">
        <w:rPr>
          <w:rFonts w:ascii="Bookman Old Style" w:hAnsi="Bookman Old Style" w:cs="Arial"/>
          <w:lang w:val="es-ES_tradnl"/>
        </w:rPr>
        <w:t xml:space="preserve">transitorio </w:t>
      </w:r>
      <w:r w:rsidR="00656686" w:rsidRPr="00341E8F">
        <w:rPr>
          <w:rFonts w:ascii="Bookman Old Style" w:hAnsi="Bookman Old Style" w:cs="Arial"/>
          <w:lang w:val="es-ES_tradnl"/>
        </w:rPr>
        <w:t xml:space="preserve">por uso del sistema de distribución de gas combustible por redes de tubería para el mercado relevante </w:t>
      </w:r>
      <w:r w:rsidR="00656686">
        <w:rPr>
          <w:rFonts w:ascii="Bookman Old Style" w:hAnsi="Bookman Old Style" w:cs="Arial"/>
          <w:lang w:val="es-ES_tradnl"/>
        </w:rPr>
        <w:t xml:space="preserve">conformado </w:t>
      </w:r>
      <w:r w:rsidR="00656686" w:rsidRPr="00241B5F">
        <w:rPr>
          <w:rFonts w:ascii="Bookman Old Style" w:hAnsi="Bookman Old Style" w:cs="Arial"/>
          <w:lang w:val="es-ES_tradnl"/>
        </w:rPr>
        <w:t xml:space="preserve">por </w:t>
      </w:r>
      <w:r w:rsidR="00843746">
        <w:rPr>
          <w:rFonts w:ascii="Bookman Old Style" w:hAnsi="Bookman Old Style" w:cs="Arial"/>
          <w:lang w:val="es-ES_tradnl"/>
        </w:rPr>
        <w:t>los</w:t>
      </w:r>
      <w:r w:rsidR="001B0F48">
        <w:rPr>
          <w:rFonts w:ascii="Bookman Old Style" w:hAnsi="Bookman Old Style" w:cs="Arial"/>
          <w:lang w:val="es-ES_tradnl"/>
        </w:rPr>
        <w:t xml:space="preserve"> </w:t>
      </w:r>
      <w:r w:rsidR="006B6721" w:rsidRPr="009575C5">
        <w:rPr>
          <w:rFonts w:ascii="Bookman Old Style" w:hAnsi="Bookman Old Style" w:cs="Arial"/>
          <w:lang w:val="es-ES_tradnl"/>
        </w:rPr>
        <w:t xml:space="preserve">centros poblados de </w:t>
      </w:r>
      <w:r w:rsidR="00B67453" w:rsidRPr="009575C5">
        <w:rPr>
          <w:rFonts w:ascii="Bookman Old Style" w:hAnsi="Bookman Old Style" w:cs="Arial"/>
          <w:lang w:val="es-ES_tradnl"/>
        </w:rPr>
        <w:t xml:space="preserve">Taravita en el municipio de Fúquene, Ticha, Nengua y Miña en el municipio de Guachetá, </w:t>
      </w:r>
      <w:r w:rsidR="006B6721" w:rsidRPr="009575C5">
        <w:rPr>
          <w:rFonts w:ascii="Bookman Old Style" w:hAnsi="Bookman Old Style" w:cs="Arial"/>
        </w:rPr>
        <w:t xml:space="preserve">departamento de </w:t>
      </w:r>
      <w:r w:rsidR="00B67453" w:rsidRPr="009575C5">
        <w:rPr>
          <w:rFonts w:ascii="Bookman Old Style" w:hAnsi="Bookman Old Style" w:cs="Arial"/>
        </w:rPr>
        <w:t>Cundinamarca</w:t>
      </w:r>
      <w:r w:rsidR="00DC3EFD" w:rsidRPr="009575C5">
        <w:rPr>
          <w:rFonts w:ascii="Bookman Old Style" w:hAnsi="Bookman Old Style" w:cs="Arial"/>
        </w:rPr>
        <w:t>,</w:t>
      </w:r>
      <w:r w:rsidR="00DC3EFD" w:rsidRPr="009575C5">
        <w:rPr>
          <w:rFonts w:ascii="Bookman Old Style" w:hAnsi="Bookman Old Style" w:cs="Arial"/>
          <w:lang w:val="es-ES_tradnl"/>
        </w:rPr>
        <w:t xml:space="preserve"> </w:t>
      </w:r>
      <w:r w:rsidR="00656686" w:rsidRPr="009575C5">
        <w:rPr>
          <w:rFonts w:ascii="Bookman Old Style" w:hAnsi="Bookman Old Style" w:cs="Arial"/>
          <w:lang w:val="es-ES_tradnl"/>
        </w:rPr>
        <w:t xml:space="preserve">según solicitud tarifaria presentada por la empresa </w:t>
      </w:r>
      <w:r w:rsidR="001B0F48" w:rsidRPr="009575C5">
        <w:rPr>
          <w:rFonts w:ascii="Bookman Old Style" w:hAnsi="Bookman Old Style" w:cs="Arial"/>
          <w:lang w:val="es-ES_tradnl"/>
        </w:rPr>
        <w:t>INGENIERIA Y SERVICIOS S.A. E.S.P.</w:t>
      </w:r>
    </w:p>
    <w:p w:rsidR="00FE7A62" w:rsidRPr="001954E9" w:rsidRDefault="00FE7A62" w:rsidP="00341E8F">
      <w:pPr>
        <w:widowControl w:val="0"/>
        <w:adjustRightInd w:val="0"/>
        <w:ind w:left="0" w:right="20"/>
        <w:jc w:val="center"/>
        <w:rPr>
          <w:rFonts w:ascii="Bookman Old Style" w:hAnsi="Bookman Old Style" w:cs="Arial"/>
          <w:lang w:val="es-ES_tradnl"/>
        </w:rPr>
      </w:pPr>
    </w:p>
    <w:p w:rsidR="00273C2C" w:rsidRPr="00170D7D" w:rsidRDefault="00273C2C" w:rsidP="007A439E">
      <w:pPr>
        <w:widowControl w:val="0"/>
        <w:adjustRightInd w:val="0"/>
        <w:ind w:left="0" w:right="20"/>
        <w:jc w:val="center"/>
        <w:rPr>
          <w:rFonts w:ascii="Bookman Old Style" w:hAnsi="Bookman Old Style" w:cs="Arial"/>
          <w:sz w:val="12"/>
          <w:lang w:val="es-CO"/>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7A439E">
      <w:pPr>
        <w:ind w:left="0"/>
        <w:jc w:val="center"/>
        <w:rPr>
          <w:rFonts w:ascii="Bookman Old Style" w:hAnsi="Bookman Old Style" w:cs="Arial"/>
          <w:b/>
        </w:rPr>
      </w:pPr>
    </w:p>
    <w:p w:rsidR="00273C2C" w:rsidRPr="00170D7D" w:rsidRDefault="00273C2C" w:rsidP="007A439E">
      <w:pPr>
        <w:ind w:left="0"/>
        <w:jc w:val="center"/>
        <w:rPr>
          <w:rFonts w:ascii="Bookman Old Style" w:hAnsi="Bookman Old Style" w:cs="Arial"/>
          <w:sz w:val="14"/>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BF6E67" w:rsidP="00F36B65">
      <w:pPr>
        <w:numPr>
          <w:ilvl w:val="0"/>
          <w:numId w:val="2"/>
        </w:numPr>
        <w:ind w:left="567" w:hanging="567"/>
        <w:jc w:val="both"/>
        <w:rPr>
          <w:rFonts w:ascii="Bookman Old Style" w:hAnsi="Bookman Old Style" w:cs="Arial"/>
          <w:b/>
        </w:rPr>
      </w:pPr>
      <w:r w:rsidRPr="001954E9">
        <w:rPr>
          <w:rFonts w:ascii="Bookman Old Style" w:hAnsi="Bookman Old Style" w:cs="Arial"/>
          <w:b/>
        </w:rPr>
        <w:t xml:space="preserve">Antecedentes </w:t>
      </w:r>
    </w:p>
    <w:p w:rsidR="00BF6E67" w:rsidRPr="001954E9" w:rsidRDefault="00BF6E67"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341E8F">
      <w:pPr>
        <w:widowControl w:val="0"/>
        <w:adjustRightInd w:val="0"/>
        <w:ind w:left="0"/>
        <w:jc w:val="both"/>
        <w:rPr>
          <w:rFonts w:ascii="Bookman Old Style" w:hAnsi="Bookman Old Style" w:cs="Arial"/>
          <w:spacing w:val="-3"/>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rsidR="00A11391" w:rsidRPr="001954E9" w:rsidRDefault="00A11391" w:rsidP="00341E8F">
      <w:pPr>
        <w:widowControl w:val="0"/>
        <w:adjustRightInd w:val="0"/>
        <w:ind w:left="0"/>
        <w:jc w:val="both"/>
        <w:rPr>
          <w:rFonts w:ascii="Bookman Old Style" w:hAnsi="Bookman Old Style" w:cs="Arial"/>
        </w:rPr>
      </w:pPr>
    </w:p>
    <w:p w:rsidR="00A44502" w:rsidRPr="001954E9" w:rsidRDefault="007467F1" w:rsidP="00341E8F">
      <w:pPr>
        <w:widowControl w:val="0"/>
        <w:adjustRightInd w:val="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563C3D" w:rsidRPr="001954E9" w:rsidRDefault="004F371F" w:rsidP="00563C3D">
      <w:pPr>
        <w:keepNext/>
        <w:spacing w:before="240" w:after="60"/>
        <w:ind w:left="0"/>
        <w:jc w:val="both"/>
        <w:outlineLvl w:val="0"/>
        <w:rPr>
          <w:rFonts w:ascii="Bookman Old Style" w:hAnsi="Bookman Old Style"/>
          <w:bCs/>
        </w:rPr>
      </w:pPr>
      <w:r w:rsidRPr="001954E9">
        <w:rPr>
          <w:rFonts w:ascii="Bookman Old Style" w:hAnsi="Bookman Old Style" w:cs="Arial"/>
        </w:rPr>
        <w:t xml:space="preserve">El artículo 9º de la Resolución 202 de 2013, dispone </w:t>
      </w:r>
      <w:r w:rsidR="004B460E" w:rsidRPr="001954E9">
        <w:rPr>
          <w:rFonts w:ascii="Bookman Old Style" w:hAnsi="Bookman Old Style" w:cs="Arial"/>
        </w:rPr>
        <w:t xml:space="preserve">que la metodología para el cálculo de los cargos de distribución se hará </w:t>
      </w:r>
      <w:r w:rsidR="004B460E" w:rsidRPr="001954E9">
        <w:rPr>
          <w:rFonts w:ascii="Bookman Old Style" w:hAnsi="Bookman Old Style" w:cs="Arial"/>
          <w:bCs/>
        </w:rPr>
        <w:t xml:space="preserve">aplicando </w:t>
      </w:r>
      <w:r w:rsidR="00563C3D" w:rsidRPr="001954E9">
        <w:rPr>
          <w:rFonts w:ascii="Bookman Old Style" w:hAnsi="Bookman Old Style"/>
          <w:bCs/>
        </w:rPr>
        <w:t xml:space="preserve">costos medios históricos y/o los costos medios de mediano plazo, para el Mercado Relevante de Distribución para el Siguiente Período Tarifario, </w:t>
      </w:r>
      <w:r w:rsidR="007F3868" w:rsidRPr="001954E9">
        <w:rPr>
          <w:rFonts w:ascii="Bookman Old Style" w:hAnsi="Bookman Old Style"/>
          <w:bCs/>
        </w:rPr>
        <w:t xml:space="preserve">y </w:t>
      </w:r>
      <w:r w:rsidR="00563C3D" w:rsidRPr="001954E9">
        <w:rPr>
          <w:rFonts w:ascii="Bookman Old Style" w:hAnsi="Bookman Old Style"/>
          <w:bCs/>
        </w:rPr>
        <w:t>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Mercado Relevante de Distribución.</w:t>
      </w:r>
    </w:p>
    <w:p w:rsidR="002E4DC3" w:rsidRPr="001954E9" w:rsidRDefault="002E4DC3" w:rsidP="00341E8F">
      <w:pPr>
        <w:widowControl w:val="0"/>
        <w:adjustRightInd w:val="0"/>
        <w:ind w:left="0"/>
        <w:jc w:val="both"/>
        <w:rPr>
          <w:rFonts w:ascii="Bookman Old Style" w:hAnsi="Bookman Old Style" w:cs="Arial"/>
        </w:rPr>
      </w:pPr>
    </w:p>
    <w:p w:rsidR="0000682F" w:rsidRPr="001954E9" w:rsidRDefault="0000682F" w:rsidP="00341E8F">
      <w:pPr>
        <w:widowControl w:val="0"/>
        <w:adjustRightInd w:val="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 </w:t>
      </w:r>
      <w:r w:rsidR="00A44502" w:rsidRPr="001954E9">
        <w:rPr>
          <w:rFonts w:ascii="Bookman Old Style" w:hAnsi="Bookman Old Style" w:cs="Arial"/>
        </w:rPr>
        <w:t xml:space="preserve">Resolución </w:t>
      </w:r>
      <w:r w:rsidRPr="001954E9">
        <w:rPr>
          <w:rFonts w:ascii="Bookman Old Style" w:hAnsi="Bookman Old Style" w:cs="Arial"/>
        </w:rPr>
        <w:t>CREG 052 de 2014, Resolución CREG 138 de 2014, Resolución CREG 112 de 2015, Resolución CREG 125 de 2015 y Resolución CREG 141 de 2015 se modificó y adicionó</w:t>
      </w:r>
      <w:r w:rsidR="00A44502" w:rsidRPr="001954E9">
        <w:rPr>
          <w:rFonts w:ascii="Bookman Old Style" w:hAnsi="Bookman Old Style" w:cs="Arial"/>
        </w:rPr>
        <w:t xml:space="preserve"> la Resolución CREG 202 de 2013.</w:t>
      </w:r>
    </w:p>
    <w:p w:rsidR="004355FC" w:rsidRPr="001954E9" w:rsidRDefault="004355FC" w:rsidP="00341E8F">
      <w:pPr>
        <w:widowControl w:val="0"/>
        <w:adjustRightInd w:val="0"/>
        <w:ind w:left="0"/>
        <w:jc w:val="both"/>
        <w:rPr>
          <w:rFonts w:ascii="Bookman Old Style" w:hAnsi="Bookman Old Style"/>
        </w:rPr>
      </w:pPr>
    </w:p>
    <w:p w:rsidR="001C24F8" w:rsidRPr="001954E9" w:rsidRDefault="001C24F8" w:rsidP="00341E8F">
      <w:pPr>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rsidR="001C24F8" w:rsidRPr="001954E9" w:rsidRDefault="001C24F8" w:rsidP="00341E8F">
      <w:pPr>
        <w:widowControl w:val="0"/>
        <w:adjustRightInd w:val="0"/>
        <w:ind w:left="0"/>
        <w:jc w:val="both"/>
        <w:rPr>
          <w:rFonts w:ascii="Bookman Old Style" w:hAnsi="Bookman Old Style"/>
        </w:rPr>
      </w:pPr>
    </w:p>
    <w:p w:rsidR="001C24F8" w:rsidRPr="001954E9" w:rsidRDefault="001C24F8" w:rsidP="00341E8F">
      <w:pPr>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  </w:t>
      </w:r>
    </w:p>
    <w:p w:rsidR="001C24F8" w:rsidRPr="001954E9" w:rsidRDefault="001C24F8" w:rsidP="00341E8F">
      <w:pPr>
        <w:widowControl w:val="0"/>
        <w:adjustRightInd w:val="0"/>
        <w:ind w:left="0"/>
        <w:jc w:val="both"/>
        <w:rPr>
          <w:rFonts w:ascii="Bookman Old Style" w:hAnsi="Bookman Old Style"/>
        </w:rPr>
      </w:pPr>
    </w:p>
    <w:p w:rsidR="0000682F" w:rsidRPr="001954E9" w:rsidRDefault="0000682F" w:rsidP="00341E8F">
      <w:pPr>
        <w:widowControl w:val="0"/>
        <w:adjustRightInd w:val="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sidR="00175814">
        <w:rPr>
          <w:rFonts w:ascii="Bookman Old Style" w:hAnsi="Bookman Old Style" w:cs="Arial"/>
        </w:rPr>
        <w:t xml:space="preserve"> </w:t>
      </w:r>
      <w:r w:rsidRPr="001954E9">
        <w:rPr>
          <w:rFonts w:ascii="Bookman Old Style" w:hAnsi="Bookman Old Style" w:cs="Arial"/>
        </w:rPr>
        <w:t xml:space="preserve">095 de 2015, que contiene la definición de las funciones óptimas para determinar la remuneración de los gastos de Administración, Operación y Mantenimiento - AOM de las actividades de distribución y comercialización de gas combustible por redes de tubería y de Otros Activos para la actividad de distribución conforme a lo definido en el anexo 9 y 10 de la </w:t>
      </w:r>
      <w:r w:rsidR="00A91BF5" w:rsidRPr="001954E9">
        <w:rPr>
          <w:rFonts w:ascii="Bookman Old Style" w:hAnsi="Bookman Old Style" w:cs="Arial"/>
        </w:rPr>
        <w:t>R</w:t>
      </w:r>
      <w:r w:rsidRPr="001954E9">
        <w:rPr>
          <w:rFonts w:ascii="Bookman Old Style" w:hAnsi="Bookman Old Style" w:cs="Arial"/>
        </w:rPr>
        <w:t>esolución CREG 202 de 2013.</w:t>
      </w:r>
    </w:p>
    <w:p w:rsidR="0000682F" w:rsidRPr="001954E9" w:rsidRDefault="0000682F" w:rsidP="00341E8F">
      <w:pPr>
        <w:ind w:left="0"/>
        <w:jc w:val="both"/>
        <w:rPr>
          <w:rFonts w:ascii="Bookman Old Style" w:eastAsia="MS Mincho" w:hAnsi="Bookman Old Style" w:cs="Arial"/>
          <w:sz w:val="22"/>
          <w:lang w:val="es-ES_tradnl" w:eastAsia="en-US"/>
        </w:rPr>
      </w:pPr>
    </w:p>
    <w:p w:rsidR="00034210" w:rsidRPr="00034210" w:rsidRDefault="00034210" w:rsidP="00034210">
      <w:pPr>
        <w:widowControl w:val="0"/>
        <w:adjustRightInd w:val="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 conforme a lo definido en la Resolución CREG 202 de 2013 y sus modificatorias</w:t>
      </w:r>
      <w:r>
        <w:rPr>
          <w:rFonts w:ascii="Bookman Old Style" w:hAnsi="Bookman Old Style" w:cs="Arial"/>
        </w:rPr>
        <w:t>.</w:t>
      </w:r>
    </w:p>
    <w:p w:rsidR="00B16275" w:rsidRPr="001954E9" w:rsidRDefault="00B16275" w:rsidP="00341E8F">
      <w:pPr>
        <w:widowControl w:val="0"/>
        <w:adjustRightInd w:val="0"/>
        <w:ind w:left="0"/>
        <w:jc w:val="both"/>
        <w:rPr>
          <w:rFonts w:ascii="Bookman Old Style" w:hAnsi="Bookman Old Style" w:cs="Arial"/>
        </w:rPr>
      </w:pPr>
    </w:p>
    <w:p w:rsidR="00E6146A" w:rsidRDefault="00E6146A" w:rsidP="00E6146A">
      <w:pPr>
        <w:widowControl w:val="0"/>
        <w:adjustRightInd w:val="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w:t>
      </w:r>
      <w:r w:rsidR="00A13C50">
        <w:rPr>
          <w:rFonts w:ascii="Bookman Old Style" w:hAnsi="Bookman Old Style" w:cs="Arial"/>
        </w:rPr>
        <w:t>l</w:t>
      </w:r>
      <w:r w:rsidRPr="001954E9">
        <w:rPr>
          <w:rFonts w:ascii="Bookman Old Style" w:hAnsi="Bookman Old Style" w:cs="Arial"/>
        </w:rPr>
        <w:t xml:space="preserve"> </w:t>
      </w:r>
      <w:r w:rsidR="00A13C50">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rsidR="004333D1" w:rsidRDefault="004333D1" w:rsidP="00E6146A">
      <w:pPr>
        <w:widowControl w:val="0"/>
        <w:adjustRightInd w:val="0"/>
        <w:ind w:left="0"/>
        <w:jc w:val="both"/>
        <w:rPr>
          <w:rFonts w:ascii="Bookman Old Style" w:hAnsi="Bookman Old Style" w:cs="Arial"/>
        </w:rPr>
      </w:pPr>
    </w:p>
    <w:p w:rsidR="004333D1" w:rsidRDefault="004333D1" w:rsidP="00E6146A">
      <w:pPr>
        <w:widowControl w:val="0"/>
        <w:adjustRightInd w:val="0"/>
        <w:ind w:left="0"/>
        <w:jc w:val="both"/>
        <w:rPr>
          <w:rFonts w:ascii="Bookman Old Style" w:hAnsi="Bookman Old Style" w:cs="Arial"/>
        </w:rPr>
      </w:pPr>
    </w:p>
    <w:p w:rsidR="004333D1" w:rsidRPr="001954E9" w:rsidRDefault="004333D1" w:rsidP="00E6146A">
      <w:pPr>
        <w:widowControl w:val="0"/>
        <w:adjustRightInd w:val="0"/>
        <w:ind w:left="0"/>
        <w:jc w:val="both"/>
        <w:rPr>
          <w:rFonts w:ascii="Bookman Old Style" w:hAnsi="Bookman Old Style" w:cs="Arial"/>
          <w:lang w:val="es-ES_tradnl"/>
        </w:rPr>
      </w:pPr>
    </w:p>
    <w:p w:rsidR="00E6146A" w:rsidRPr="001954E9" w:rsidRDefault="00E6146A" w:rsidP="00341E8F">
      <w:pPr>
        <w:widowControl w:val="0"/>
        <w:adjustRightInd w:val="0"/>
        <w:ind w:left="0"/>
        <w:jc w:val="both"/>
        <w:rPr>
          <w:rFonts w:ascii="Bookman Old Style" w:hAnsi="Bookman Old Style" w:cs="Arial"/>
          <w:lang w:val="es-ES_tradnl"/>
        </w:rPr>
      </w:pPr>
    </w:p>
    <w:p w:rsidR="00A51D8F" w:rsidRPr="001954E9" w:rsidRDefault="006328A4" w:rsidP="00F36B65">
      <w:pPr>
        <w:widowControl w:val="0"/>
        <w:numPr>
          <w:ilvl w:val="0"/>
          <w:numId w:val="2"/>
        </w:numPr>
        <w:adjustRightInd w:val="0"/>
        <w:ind w:left="567" w:hanging="567"/>
        <w:jc w:val="both"/>
        <w:rPr>
          <w:rFonts w:ascii="Bookman Old Style" w:hAnsi="Bookman Old Style" w:cs="Arial"/>
          <w:b/>
        </w:rPr>
      </w:pPr>
      <w:r w:rsidRPr="001954E9">
        <w:rPr>
          <w:rFonts w:ascii="Bookman Old Style" w:hAnsi="Bookman Old Style" w:cs="Arial"/>
          <w:b/>
        </w:rPr>
        <w:t xml:space="preserve"> </w:t>
      </w:r>
      <w:r w:rsidR="00A51D8F" w:rsidRPr="001954E9">
        <w:rPr>
          <w:rFonts w:ascii="Bookman Old Style" w:hAnsi="Bookman Old Style" w:cs="Arial"/>
          <w:b/>
        </w:rPr>
        <w:t>Trámite de la actuación administrativa</w:t>
      </w:r>
    </w:p>
    <w:p w:rsidR="005873FD" w:rsidRPr="001954E9" w:rsidRDefault="005873FD" w:rsidP="00341E8F">
      <w:pPr>
        <w:widowControl w:val="0"/>
        <w:adjustRightInd w:val="0"/>
        <w:ind w:left="0" w:right="20"/>
        <w:jc w:val="both"/>
        <w:rPr>
          <w:rFonts w:ascii="Bookman Old Style" w:hAnsi="Bookman Old Style"/>
        </w:rPr>
      </w:pPr>
    </w:p>
    <w:p w:rsidR="003A46CB" w:rsidRDefault="003A46CB" w:rsidP="003A46CB">
      <w:pPr>
        <w:widowControl w:val="0"/>
        <w:adjustRightInd w:val="0"/>
        <w:ind w:left="0" w:right="20"/>
        <w:jc w:val="both"/>
        <w:rPr>
          <w:rFonts w:ascii="Bookman Old Style" w:hAnsi="Bookman Old Style" w:cs="Arial"/>
        </w:rPr>
      </w:pPr>
      <w:r w:rsidRPr="008C2AC6">
        <w:rPr>
          <w:rFonts w:ascii="Bookman Old Style" w:hAnsi="Bookman Old Style" w:cs="Arial"/>
        </w:rPr>
        <w:t xml:space="preserve">La empresa </w:t>
      </w:r>
      <w:r w:rsidR="00016BF0" w:rsidRPr="000F2F87">
        <w:rPr>
          <w:rFonts w:ascii="Bookman Old Style" w:hAnsi="Bookman Old Style" w:cs="Arial"/>
        </w:rPr>
        <w:t>INGENIERIA Y SERVICIOS S.A. E.S.P.</w:t>
      </w:r>
      <w:r w:rsidR="001C3895" w:rsidRPr="009575C5">
        <w:rPr>
          <w:rFonts w:ascii="Bookman Old Style" w:hAnsi="Bookman Old Style" w:cs="Arial"/>
        </w:rPr>
        <w:t>, a través de la comunicaci</w:t>
      </w:r>
      <w:r w:rsidR="00A019F4" w:rsidRPr="009575C5">
        <w:rPr>
          <w:rFonts w:ascii="Bookman Old Style" w:hAnsi="Bookman Old Style" w:cs="Arial"/>
        </w:rPr>
        <w:t>ón</w:t>
      </w:r>
      <w:r w:rsidR="006D34CD" w:rsidRPr="009575C5">
        <w:rPr>
          <w:rFonts w:ascii="Bookman Old Style" w:hAnsi="Bookman Old Style" w:cs="Arial"/>
        </w:rPr>
        <w:t xml:space="preserve"> radicada en la C</w:t>
      </w:r>
      <w:r w:rsidR="001C3895" w:rsidRPr="009575C5">
        <w:rPr>
          <w:rFonts w:ascii="Bookman Old Style" w:hAnsi="Bookman Old Style" w:cs="Arial"/>
        </w:rPr>
        <w:t xml:space="preserve">REG bajo </w:t>
      </w:r>
      <w:r w:rsidR="00A019F4" w:rsidRPr="009575C5">
        <w:rPr>
          <w:rFonts w:ascii="Bookman Old Style" w:hAnsi="Bookman Old Style" w:cs="Arial"/>
        </w:rPr>
        <w:t xml:space="preserve">el </w:t>
      </w:r>
      <w:r w:rsidR="006D34CD" w:rsidRPr="009575C5">
        <w:rPr>
          <w:rFonts w:ascii="Bookman Old Style" w:hAnsi="Bookman Old Style" w:cs="Arial"/>
        </w:rPr>
        <w:t xml:space="preserve">número </w:t>
      </w:r>
      <w:r w:rsidR="00486F43" w:rsidRPr="000F2F87">
        <w:rPr>
          <w:rFonts w:ascii="Bookman Old Style" w:hAnsi="Bookman Old Style" w:cs="Arial"/>
        </w:rPr>
        <w:t>E-2017-01</w:t>
      </w:r>
      <w:r w:rsidR="00B67453" w:rsidRPr="000F2F87">
        <w:rPr>
          <w:rFonts w:ascii="Bookman Old Style" w:hAnsi="Bookman Old Style" w:cs="Arial"/>
        </w:rPr>
        <w:t>1721</w:t>
      </w:r>
      <w:r w:rsidR="00486F43" w:rsidRPr="000F2F87">
        <w:rPr>
          <w:rFonts w:ascii="Bookman Old Style" w:hAnsi="Bookman Old Style" w:cs="Arial"/>
        </w:rPr>
        <w:t xml:space="preserve"> </w:t>
      </w:r>
      <w:r w:rsidR="00016BF0" w:rsidRPr="000F2F87">
        <w:rPr>
          <w:rFonts w:ascii="Bookman Old Style" w:hAnsi="Bookman Old Style" w:cs="Arial"/>
        </w:rPr>
        <w:t xml:space="preserve">de diciembre </w:t>
      </w:r>
      <w:r w:rsidR="0019584B" w:rsidRPr="000F2F87">
        <w:rPr>
          <w:rFonts w:ascii="Bookman Old Style" w:hAnsi="Bookman Old Style" w:cs="Arial"/>
        </w:rPr>
        <w:t>18</w:t>
      </w:r>
      <w:r w:rsidR="00EC35B2" w:rsidRPr="000F2F87">
        <w:rPr>
          <w:rFonts w:ascii="Bookman Old Style" w:hAnsi="Bookman Old Style" w:cs="Arial"/>
        </w:rPr>
        <w:t xml:space="preserve"> de 2017</w:t>
      </w:r>
      <w:r w:rsidR="0021674F" w:rsidRPr="009575C5">
        <w:rPr>
          <w:rFonts w:ascii="Bookman Old Style" w:hAnsi="Bookman Old Style" w:cs="Arial"/>
        </w:rPr>
        <w:t xml:space="preserve">, </w:t>
      </w:r>
      <w:r w:rsidRPr="000963D8">
        <w:rPr>
          <w:rFonts w:ascii="Bookman Old Style" w:hAnsi="Bookman Old Style" w:cs="Arial"/>
        </w:rPr>
        <w:t xml:space="preserve">con base en lo establecido en las resoluciones CREG 202 de 2013 y sus modificaciones y adiciones, solicitó aprobación de cargos de distribución de </w:t>
      </w:r>
      <w:r w:rsidR="0019584B" w:rsidRPr="000F2F87">
        <w:rPr>
          <w:rFonts w:ascii="Bookman Old Style" w:hAnsi="Bookman Old Style" w:cs="Arial"/>
        </w:rPr>
        <w:t>GN</w:t>
      </w:r>
      <w:r w:rsidRPr="00B665FD">
        <w:rPr>
          <w:rFonts w:ascii="Bookman Old Style" w:hAnsi="Bookman Old Style" w:cs="Arial"/>
        </w:rPr>
        <w:t xml:space="preserve"> por redes, para el mercado relevante conformado por </w:t>
      </w:r>
      <w:r w:rsidR="00156E4C">
        <w:rPr>
          <w:rFonts w:ascii="Bookman Old Style" w:hAnsi="Bookman Old Style" w:cs="Arial"/>
        </w:rPr>
        <w:t xml:space="preserve">los </w:t>
      </w:r>
      <w:r>
        <w:rPr>
          <w:rFonts w:ascii="Bookman Old Style" w:hAnsi="Bookman Old Style" w:cs="Arial"/>
        </w:rPr>
        <w:t>siguiente</w:t>
      </w:r>
      <w:r w:rsidR="00156E4C">
        <w:rPr>
          <w:rFonts w:ascii="Bookman Old Style" w:hAnsi="Bookman Old Style" w:cs="Arial"/>
        </w:rPr>
        <w:t>s</w:t>
      </w:r>
      <w:r w:rsidR="003117F3">
        <w:rPr>
          <w:rFonts w:ascii="Bookman Old Style" w:hAnsi="Bookman Old Style" w:cs="Arial"/>
        </w:rPr>
        <w:t xml:space="preserve"> </w:t>
      </w:r>
      <w:r w:rsidR="0019584B">
        <w:rPr>
          <w:rFonts w:ascii="Bookman Old Style" w:hAnsi="Bookman Old Style" w:cs="Arial"/>
        </w:rPr>
        <w:t>centro</w:t>
      </w:r>
      <w:r w:rsidR="003117F3">
        <w:rPr>
          <w:rFonts w:ascii="Bookman Old Style" w:hAnsi="Bookman Old Style" w:cs="Arial"/>
        </w:rPr>
        <w:t>s</w:t>
      </w:r>
      <w:r w:rsidR="0019584B">
        <w:rPr>
          <w:rFonts w:ascii="Bookman Old Style" w:hAnsi="Bookman Old Style" w:cs="Arial"/>
        </w:rPr>
        <w:t xml:space="preserve"> poblados</w:t>
      </w:r>
      <w:r>
        <w:rPr>
          <w:rFonts w:ascii="Bookman Old Style" w:hAnsi="Bookman Old Style" w:cs="Arial"/>
        </w:rPr>
        <w:t>:</w:t>
      </w:r>
    </w:p>
    <w:p w:rsidR="0019584B" w:rsidRPr="004333D1" w:rsidRDefault="0019584B" w:rsidP="003A46CB">
      <w:pPr>
        <w:widowControl w:val="0"/>
        <w:adjustRightInd w:val="0"/>
        <w:ind w:left="0" w:right="20"/>
        <w:jc w:val="both"/>
        <w:rPr>
          <w:rFonts w:ascii="Bookman Old Style" w:hAnsi="Bookman Old Style" w:cs="Arial"/>
          <w:sz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2235"/>
        <w:gridCol w:w="2126"/>
        <w:gridCol w:w="1905"/>
      </w:tblGrid>
      <w:tr w:rsidR="00254D85" w:rsidRPr="00C52112" w:rsidTr="00796D44">
        <w:trPr>
          <w:jc w:val="center"/>
        </w:trPr>
        <w:tc>
          <w:tcPr>
            <w:tcW w:w="2722" w:type="dxa"/>
            <w:shd w:val="clear" w:color="auto" w:fill="D9D9D9"/>
          </w:tcPr>
          <w:p w:rsidR="00254D85" w:rsidRPr="00E35625" w:rsidRDefault="00254D85" w:rsidP="00796D44">
            <w:pPr>
              <w:keepNext/>
              <w:ind w:left="-98"/>
              <w:jc w:val="center"/>
              <w:rPr>
                <w:rFonts w:ascii="Bookman Old Style" w:hAnsi="Bookman Old Style" w:cs="Arial"/>
                <w:b/>
                <w:sz w:val="22"/>
              </w:rPr>
            </w:pPr>
            <w:r>
              <w:rPr>
                <w:rFonts w:ascii="Bookman Old Style" w:hAnsi="Bookman Old Style" w:cs="Arial"/>
                <w:b/>
                <w:sz w:val="22"/>
              </w:rPr>
              <w:t>Nombre de los centros poblados</w:t>
            </w:r>
          </w:p>
        </w:tc>
        <w:tc>
          <w:tcPr>
            <w:tcW w:w="2235" w:type="dxa"/>
            <w:shd w:val="clear" w:color="auto" w:fill="D9D9D9"/>
            <w:vAlign w:val="center"/>
          </w:tcPr>
          <w:p w:rsidR="00254D85" w:rsidRPr="00E35625" w:rsidRDefault="00254D85" w:rsidP="00796D44">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126" w:type="dxa"/>
            <w:shd w:val="clear" w:color="auto" w:fill="D9D9D9"/>
            <w:vAlign w:val="center"/>
          </w:tcPr>
          <w:p w:rsidR="00254D85" w:rsidRPr="00E35625" w:rsidRDefault="00254D85" w:rsidP="00796D44">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1905" w:type="dxa"/>
            <w:shd w:val="clear" w:color="auto" w:fill="D9D9D9"/>
            <w:vAlign w:val="center"/>
          </w:tcPr>
          <w:p w:rsidR="00254D85" w:rsidRPr="00E35625" w:rsidRDefault="00254D85" w:rsidP="00796D44">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254D85" w:rsidRPr="00C52112" w:rsidTr="00796D44">
        <w:trPr>
          <w:jc w:val="center"/>
        </w:trPr>
        <w:tc>
          <w:tcPr>
            <w:tcW w:w="2722" w:type="dxa"/>
          </w:tcPr>
          <w:p w:rsidR="00254D85" w:rsidRPr="00E35625" w:rsidRDefault="00254D85" w:rsidP="00796D44">
            <w:pPr>
              <w:ind w:left="33" w:right="-1"/>
              <w:rPr>
                <w:rFonts w:ascii="Bookman Old Style" w:hAnsi="Bookman Old Style" w:cs="Arial"/>
                <w:sz w:val="22"/>
              </w:rPr>
            </w:pPr>
            <w:r>
              <w:rPr>
                <w:rFonts w:ascii="Bookman Old Style" w:hAnsi="Bookman Old Style" w:cs="Arial"/>
                <w:sz w:val="22"/>
              </w:rPr>
              <w:t>Taravita</w:t>
            </w:r>
          </w:p>
        </w:tc>
        <w:tc>
          <w:tcPr>
            <w:tcW w:w="2235" w:type="dxa"/>
            <w:shd w:val="clear" w:color="auto" w:fill="auto"/>
            <w:vAlign w:val="center"/>
          </w:tcPr>
          <w:p w:rsidR="00254D85" w:rsidRPr="00E35625" w:rsidRDefault="00254D85" w:rsidP="00796D44">
            <w:pPr>
              <w:ind w:left="-98" w:right="-1"/>
              <w:jc w:val="center"/>
              <w:rPr>
                <w:rFonts w:ascii="Bookman Old Style" w:hAnsi="Bookman Old Style" w:cs="Arial"/>
                <w:sz w:val="22"/>
              </w:rPr>
            </w:pPr>
            <w:r>
              <w:rPr>
                <w:rFonts w:ascii="Bookman Old Style" w:hAnsi="Bookman Old Style" w:cs="Arial"/>
                <w:sz w:val="22"/>
              </w:rPr>
              <w:t>25288</w:t>
            </w:r>
          </w:p>
        </w:tc>
        <w:tc>
          <w:tcPr>
            <w:tcW w:w="2126" w:type="dxa"/>
            <w:shd w:val="clear" w:color="auto" w:fill="auto"/>
            <w:vAlign w:val="center"/>
          </w:tcPr>
          <w:p w:rsidR="00254D85" w:rsidRPr="00E35625" w:rsidRDefault="00254D85" w:rsidP="00796D44">
            <w:pPr>
              <w:ind w:left="-98" w:right="-1"/>
              <w:jc w:val="center"/>
              <w:rPr>
                <w:rFonts w:ascii="Bookman Old Style" w:hAnsi="Bookman Old Style" w:cs="Arial"/>
                <w:sz w:val="22"/>
              </w:rPr>
            </w:pPr>
            <w:r>
              <w:rPr>
                <w:rFonts w:ascii="Bookman Old Style" w:hAnsi="Bookman Old Style" w:cs="Arial"/>
                <w:sz w:val="22"/>
              </w:rPr>
              <w:t>Fúquene</w:t>
            </w:r>
          </w:p>
        </w:tc>
        <w:tc>
          <w:tcPr>
            <w:tcW w:w="1905" w:type="dxa"/>
            <w:vMerge w:val="restart"/>
            <w:shd w:val="clear" w:color="auto" w:fill="auto"/>
            <w:vAlign w:val="center"/>
          </w:tcPr>
          <w:p w:rsidR="00254D85" w:rsidRPr="00E35625" w:rsidRDefault="00254D85" w:rsidP="00796D44">
            <w:pPr>
              <w:ind w:left="-98" w:right="-1"/>
              <w:jc w:val="center"/>
              <w:rPr>
                <w:rFonts w:ascii="Bookman Old Style" w:hAnsi="Bookman Old Style" w:cs="Arial"/>
                <w:sz w:val="22"/>
              </w:rPr>
            </w:pPr>
            <w:r>
              <w:rPr>
                <w:rFonts w:ascii="Bookman Old Style" w:hAnsi="Bookman Old Style" w:cs="Arial"/>
                <w:sz w:val="22"/>
              </w:rPr>
              <w:t>Cundinamarca</w:t>
            </w:r>
          </w:p>
        </w:tc>
      </w:tr>
      <w:tr w:rsidR="00254D85" w:rsidRPr="00C52112" w:rsidTr="00796D44">
        <w:trPr>
          <w:jc w:val="center"/>
        </w:trPr>
        <w:tc>
          <w:tcPr>
            <w:tcW w:w="2722" w:type="dxa"/>
          </w:tcPr>
          <w:p w:rsidR="00254D85" w:rsidRPr="00E35625" w:rsidRDefault="00254D85" w:rsidP="00796D44">
            <w:pPr>
              <w:ind w:left="33" w:right="-1"/>
              <w:rPr>
                <w:rFonts w:ascii="Bookman Old Style" w:hAnsi="Bookman Old Style" w:cs="Arial"/>
                <w:sz w:val="22"/>
              </w:rPr>
            </w:pPr>
            <w:r>
              <w:rPr>
                <w:rFonts w:ascii="Bookman Old Style" w:hAnsi="Bookman Old Style" w:cs="Arial"/>
                <w:sz w:val="22"/>
              </w:rPr>
              <w:t>Ticha</w:t>
            </w:r>
          </w:p>
        </w:tc>
        <w:tc>
          <w:tcPr>
            <w:tcW w:w="2235" w:type="dxa"/>
            <w:vMerge w:val="restart"/>
            <w:shd w:val="clear" w:color="auto" w:fill="auto"/>
            <w:vAlign w:val="center"/>
          </w:tcPr>
          <w:p w:rsidR="00254D85" w:rsidRPr="00E35625" w:rsidRDefault="00254D85" w:rsidP="00796D44">
            <w:pPr>
              <w:ind w:left="-98" w:right="-1"/>
              <w:jc w:val="center"/>
              <w:rPr>
                <w:rFonts w:ascii="Bookman Old Style" w:hAnsi="Bookman Old Style" w:cs="Arial"/>
                <w:sz w:val="22"/>
              </w:rPr>
            </w:pPr>
            <w:r>
              <w:rPr>
                <w:rFonts w:ascii="Bookman Old Style" w:hAnsi="Bookman Old Style" w:cs="Arial"/>
                <w:sz w:val="22"/>
              </w:rPr>
              <w:t>25317</w:t>
            </w:r>
          </w:p>
        </w:tc>
        <w:tc>
          <w:tcPr>
            <w:tcW w:w="2126" w:type="dxa"/>
            <w:vMerge w:val="restart"/>
            <w:shd w:val="clear" w:color="auto" w:fill="auto"/>
            <w:vAlign w:val="center"/>
          </w:tcPr>
          <w:p w:rsidR="00254D85" w:rsidRPr="00E35625" w:rsidRDefault="00254D85" w:rsidP="00796D44">
            <w:pPr>
              <w:ind w:left="-98" w:right="-1"/>
              <w:jc w:val="center"/>
              <w:rPr>
                <w:rFonts w:ascii="Bookman Old Style" w:hAnsi="Bookman Old Style" w:cs="Arial"/>
                <w:sz w:val="22"/>
              </w:rPr>
            </w:pPr>
            <w:r>
              <w:rPr>
                <w:rFonts w:ascii="Bookman Old Style" w:hAnsi="Bookman Old Style" w:cs="Arial"/>
                <w:sz w:val="22"/>
              </w:rPr>
              <w:t>Guachetá</w:t>
            </w:r>
          </w:p>
        </w:tc>
        <w:tc>
          <w:tcPr>
            <w:tcW w:w="1905" w:type="dxa"/>
            <w:vMerge/>
            <w:shd w:val="clear" w:color="auto" w:fill="auto"/>
          </w:tcPr>
          <w:p w:rsidR="00254D85" w:rsidRPr="00E35625" w:rsidRDefault="00254D85" w:rsidP="00796D44">
            <w:pPr>
              <w:ind w:left="-98" w:right="-1"/>
              <w:jc w:val="center"/>
              <w:rPr>
                <w:rFonts w:ascii="Bookman Old Style" w:hAnsi="Bookman Old Style" w:cs="Arial"/>
                <w:sz w:val="22"/>
              </w:rPr>
            </w:pPr>
          </w:p>
        </w:tc>
      </w:tr>
      <w:tr w:rsidR="00254D85" w:rsidRPr="00C52112" w:rsidTr="00796D44">
        <w:trPr>
          <w:jc w:val="center"/>
        </w:trPr>
        <w:tc>
          <w:tcPr>
            <w:tcW w:w="2722" w:type="dxa"/>
          </w:tcPr>
          <w:p w:rsidR="00254D85" w:rsidRDefault="00254D85" w:rsidP="00796D44">
            <w:pPr>
              <w:ind w:left="33" w:right="-1"/>
              <w:rPr>
                <w:rFonts w:ascii="Bookman Old Style" w:hAnsi="Bookman Old Style" w:cs="Arial"/>
                <w:sz w:val="22"/>
              </w:rPr>
            </w:pPr>
            <w:r>
              <w:rPr>
                <w:rFonts w:ascii="Bookman Old Style" w:hAnsi="Bookman Old Style" w:cs="Arial"/>
                <w:sz w:val="22"/>
              </w:rPr>
              <w:t>Nengua</w:t>
            </w:r>
          </w:p>
        </w:tc>
        <w:tc>
          <w:tcPr>
            <w:tcW w:w="2235" w:type="dxa"/>
            <w:vMerge/>
            <w:shd w:val="clear" w:color="auto" w:fill="auto"/>
          </w:tcPr>
          <w:p w:rsidR="00254D85" w:rsidRPr="00E35625" w:rsidRDefault="00254D85" w:rsidP="00796D44">
            <w:pPr>
              <w:ind w:left="-98" w:right="-1"/>
              <w:jc w:val="center"/>
              <w:rPr>
                <w:rFonts w:ascii="Bookman Old Style" w:hAnsi="Bookman Old Style" w:cs="Arial"/>
                <w:sz w:val="22"/>
              </w:rPr>
            </w:pPr>
          </w:p>
        </w:tc>
        <w:tc>
          <w:tcPr>
            <w:tcW w:w="2126" w:type="dxa"/>
            <w:vMerge/>
            <w:shd w:val="clear" w:color="auto" w:fill="auto"/>
          </w:tcPr>
          <w:p w:rsidR="00254D85" w:rsidRPr="00E35625" w:rsidRDefault="00254D85" w:rsidP="00796D44">
            <w:pPr>
              <w:ind w:left="-98" w:right="-1"/>
              <w:jc w:val="center"/>
              <w:rPr>
                <w:rFonts w:ascii="Bookman Old Style" w:hAnsi="Bookman Old Style" w:cs="Arial"/>
                <w:sz w:val="22"/>
              </w:rPr>
            </w:pPr>
          </w:p>
        </w:tc>
        <w:tc>
          <w:tcPr>
            <w:tcW w:w="1905" w:type="dxa"/>
            <w:vMerge/>
            <w:shd w:val="clear" w:color="auto" w:fill="auto"/>
          </w:tcPr>
          <w:p w:rsidR="00254D85" w:rsidRPr="00E35625" w:rsidRDefault="00254D85" w:rsidP="00796D44">
            <w:pPr>
              <w:ind w:left="-98" w:right="-1"/>
              <w:jc w:val="center"/>
              <w:rPr>
                <w:rFonts w:ascii="Bookman Old Style" w:hAnsi="Bookman Old Style" w:cs="Arial"/>
                <w:sz w:val="22"/>
              </w:rPr>
            </w:pPr>
          </w:p>
        </w:tc>
      </w:tr>
      <w:tr w:rsidR="00254D85" w:rsidRPr="00C52112" w:rsidTr="00796D44">
        <w:trPr>
          <w:jc w:val="center"/>
        </w:trPr>
        <w:tc>
          <w:tcPr>
            <w:tcW w:w="2722" w:type="dxa"/>
          </w:tcPr>
          <w:p w:rsidR="00254D85" w:rsidRDefault="00254D85" w:rsidP="00796D44">
            <w:pPr>
              <w:ind w:left="33" w:right="-1"/>
              <w:rPr>
                <w:rFonts w:ascii="Bookman Old Style" w:hAnsi="Bookman Old Style" w:cs="Arial"/>
                <w:sz w:val="22"/>
              </w:rPr>
            </w:pPr>
            <w:r>
              <w:rPr>
                <w:rFonts w:ascii="Bookman Old Style" w:hAnsi="Bookman Old Style" w:cs="Arial"/>
                <w:sz w:val="22"/>
              </w:rPr>
              <w:t>Miña</w:t>
            </w:r>
          </w:p>
        </w:tc>
        <w:tc>
          <w:tcPr>
            <w:tcW w:w="2235" w:type="dxa"/>
            <w:vMerge/>
            <w:shd w:val="clear" w:color="auto" w:fill="auto"/>
          </w:tcPr>
          <w:p w:rsidR="00254D85" w:rsidRPr="00E35625" w:rsidRDefault="00254D85" w:rsidP="00796D44">
            <w:pPr>
              <w:ind w:left="-98" w:right="-1"/>
              <w:jc w:val="center"/>
              <w:rPr>
                <w:rFonts w:ascii="Bookman Old Style" w:hAnsi="Bookman Old Style" w:cs="Arial"/>
                <w:sz w:val="22"/>
              </w:rPr>
            </w:pPr>
          </w:p>
        </w:tc>
        <w:tc>
          <w:tcPr>
            <w:tcW w:w="2126" w:type="dxa"/>
            <w:vMerge/>
            <w:shd w:val="clear" w:color="auto" w:fill="auto"/>
          </w:tcPr>
          <w:p w:rsidR="00254D85" w:rsidRPr="00E35625" w:rsidRDefault="00254D85" w:rsidP="00796D44">
            <w:pPr>
              <w:ind w:left="-98" w:right="-1"/>
              <w:jc w:val="center"/>
              <w:rPr>
                <w:rFonts w:ascii="Bookman Old Style" w:hAnsi="Bookman Old Style" w:cs="Arial"/>
                <w:sz w:val="22"/>
              </w:rPr>
            </w:pPr>
          </w:p>
        </w:tc>
        <w:tc>
          <w:tcPr>
            <w:tcW w:w="1905" w:type="dxa"/>
            <w:vMerge/>
            <w:shd w:val="clear" w:color="auto" w:fill="auto"/>
          </w:tcPr>
          <w:p w:rsidR="00254D85" w:rsidRPr="00E35625" w:rsidRDefault="00254D85" w:rsidP="00796D44">
            <w:pPr>
              <w:ind w:left="-98" w:right="-1"/>
              <w:jc w:val="center"/>
              <w:rPr>
                <w:rFonts w:ascii="Bookman Old Style" w:hAnsi="Bookman Old Style" w:cs="Arial"/>
                <w:sz w:val="22"/>
              </w:rPr>
            </w:pPr>
          </w:p>
        </w:tc>
      </w:tr>
    </w:tbl>
    <w:p w:rsidR="0019584B" w:rsidRPr="004333D1" w:rsidRDefault="0019584B" w:rsidP="003A46CB">
      <w:pPr>
        <w:widowControl w:val="0"/>
        <w:adjustRightInd w:val="0"/>
        <w:ind w:left="0" w:right="20"/>
        <w:jc w:val="both"/>
        <w:rPr>
          <w:rFonts w:ascii="Bookman Old Style" w:hAnsi="Bookman Old Style" w:cs="Arial"/>
          <w:sz w:val="32"/>
        </w:rPr>
      </w:pPr>
    </w:p>
    <w:p w:rsidR="005873FD" w:rsidRDefault="005873FD" w:rsidP="00341E8F">
      <w:pPr>
        <w:widowControl w:val="0"/>
        <w:adjustRightInd w:val="0"/>
        <w:ind w:left="0" w:right="20"/>
        <w:jc w:val="both"/>
        <w:rPr>
          <w:rFonts w:ascii="Bookman Old Style" w:hAnsi="Bookman Old Style" w:cs="Arial"/>
        </w:rPr>
      </w:pPr>
      <w:r w:rsidRPr="001954E9">
        <w:rPr>
          <w:rFonts w:ascii="Bookman Old Style" w:hAnsi="Bookman Old Style" w:cs="Arial"/>
        </w:rPr>
        <w:t>En la mencionada comunicación se allegaron l</w:t>
      </w:r>
      <w:r w:rsidR="00886F37" w:rsidRPr="001954E9">
        <w:rPr>
          <w:rFonts w:ascii="Bookman Old Style" w:hAnsi="Bookman Old Style" w:cs="Arial"/>
        </w:rPr>
        <w:t>os datos de demanda</w:t>
      </w:r>
      <w:r w:rsidRPr="001954E9">
        <w:rPr>
          <w:rFonts w:ascii="Bookman Old Style" w:hAnsi="Bookman Old Style" w:cs="Arial"/>
        </w:rPr>
        <w:t xml:space="preserve">, </w:t>
      </w:r>
      <w:r w:rsidR="00886F37" w:rsidRPr="001954E9">
        <w:rPr>
          <w:rFonts w:ascii="Bookman Old Style" w:hAnsi="Bookman Old Style" w:cs="Arial"/>
        </w:rPr>
        <w:t xml:space="preserve">gastos de administración operación y mantenimiento AOM y las inversiones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3117F3" w:rsidRDefault="003117F3" w:rsidP="00341E8F">
      <w:pPr>
        <w:widowControl w:val="0"/>
        <w:adjustRightInd w:val="0"/>
        <w:ind w:left="0" w:right="20"/>
        <w:jc w:val="both"/>
        <w:rPr>
          <w:rFonts w:ascii="Bookman Old Style" w:hAnsi="Bookman Old Style" w:cs="Arial"/>
        </w:rPr>
      </w:pPr>
    </w:p>
    <w:p w:rsidR="003117F3" w:rsidRDefault="003117F3" w:rsidP="003117F3">
      <w:pPr>
        <w:widowControl w:val="0"/>
        <w:adjustRightInd w:val="0"/>
        <w:ind w:left="0" w:right="20"/>
        <w:jc w:val="both"/>
        <w:rPr>
          <w:rFonts w:ascii="Bookman Old Style" w:hAnsi="Bookman Old Style" w:cs="Arial"/>
        </w:rPr>
      </w:pPr>
      <w:r w:rsidRPr="00B17FEB">
        <w:rPr>
          <w:rFonts w:ascii="Bookman Old Style" w:hAnsi="Bookman Old Style" w:cs="Arial"/>
        </w:rPr>
        <w:t xml:space="preserve">Mediante oficio con radicado </w:t>
      </w:r>
      <w:r w:rsidRPr="000F2F87">
        <w:rPr>
          <w:rFonts w:ascii="Bookman Old Style" w:hAnsi="Bookman Old Style" w:cs="Arial"/>
        </w:rPr>
        <w:t>CREG E-2017-01205</w:t>
      </w:r>
      <w:r w:rsidR="00796D44" w:rsidRPr="000F2F87">
        <w:rPr>
          <w:rFonts w:ascii="Bookman Old Style" w:hAnsi="Bookman Old Style" w:cs="Arial"/>
        </w:rPr>
        <w:t>3</w:t>
      </w:r>
      <w:r w:rsidRPr="000F2F87">
        <w:rPr>
          <w:rFonts w:ascii="Bookman Old Style" w:hAnsi="Bookman Old Style" w:cs="Arial"/>
        </w:rPr>
        <w:t xml:space="preserve"> de diciembre 26 de 2017</w:t>
      </w:r>
      <w:r w:rsidRPr="009575C5">
        <w:rPr>
          <w:rFonts w:ascii="Bookman Old Style" w:hAnsi="Bookman Old Style" w:cs="Arial"/>
        </w:rPr>
        <w:t xml:space="preserve">, la </w:t>
      </w:r>
      <w:r w:rsidRPr="000F2F87">
        <w:rPr>
          <w:rFonts w:ascii="Bookman Old Style" w:hAnsi="Bookman Old Style" w:cs="Arial"/>
        </w:rPr>
        <w:t>Unidad de Planeación Minero Energética – UPME,</w:t>
      </w:r>
      <w:r w:rsidRPr="009575C5">
        <w:rPr>
          <w:rFonts w:ascii="Bookman Old Style" w:hAnsi="Bookman Old Style" w:cs="Arial"/>
        </w:rPr>
        <w:t xml:space="preserve"> remite concepto en el que </w:t>
      </w:r>
      <w:r w:rsidRPr="000963D8">
        <w:rPr>
          <w:rFonts w:ascii="Bookman Old Style" w:hAnsi="Bookman Old Style" w:cs="Arial"/>
        </w:rPr>
        <w:t xml:space="preserve">considera que la metodología de proyección de demanda de gas propuesta por la empresa </w:t>
      </w:r>
      <w:r w:rsidRPr="000F2F87">
        <w:rPr>
          <w:rFonts w:ascii="Bookman Old Style" w:hAnsi="Bookman Old Style" w:cs="Arial"/>
        </w:rPr>
        <w:t>INGENIERIA Y SERVICIOS S.A. E.S.P.</w:t>
      </w:r>
      <w:r w:rsidRPr="009575C5">
        <w:rPr>
          <w:rFonts w:ascii="Bookman Old Style" w:hAnsi="Bookman Old Style" w:cs="Arial"/>
        </w:rPr>
        <w:t xml:space="preserve"> para los </w:t>
      </w:r>
      <w:r w:rsidRPr="000F2F87">
        <w:rPr>
          <w:rFonts w:ascii="Bookman Old Style" w:hAnsi="Bookman Old Style" w:cs="Arial"/>
        </w:rPr>
        <w:t xml:space="preserve">centros poblados de </w:t>
      </w:r>
      <w:r w:rsidR="00B67453" w:rsidRPr="000F2F87">
        <w:rPr>
          <w:rFonts w:ascii="Bookman Old Style" w:hAnsi="Bookman Old Style" w:cs="Arial"/>
        </w:rPr>
        <w:t>Taravita en el municipio de Fúquene, Ticha, Nengua y Miña en el municipio de Guachetá</w:t>
      </w:r>
      <w:r w:rsidRPr="000F2F87">
        <w:rPr>
          <w:rFonts w:ascii="Bookman Old Style" w:hAnsi="Bookman Old Style" w:cs="Arial"/>
        </w:rPr>
        <w:t xml:space="preserve">, departamento de </w:t>
      </w:r>
      <w:r w:rsidR="00B67453" w:rsidRPr="000F2F87">
        <w:rPr>
          <w:rFonts w:ascii="Bookman Old Style" w:hAnsi="Bookman Old Style" w:cs="Arial"/>
        </w:rPr>
        <w:t>Cundinamarca</w:t>
      </w:r>
      <w:r w:rsidRPr="009575C5">
        <w:rPr>
          <w:rFonts w:ascii="Bookman Old Style" w:hAnsi="Bookman Old Style" w:cs="Arial"/>
        </w:rPr>
        <w:t>, cumple con los requerimientos contenidos en el Anexo 13 de la Resolución CREG</w:t>
      </w:r>
      <w:r w:rsidRPr="00341E8F">
        <w:rPr>
          <w:rFonts w:ascii="Bookman Old Style" w:hAnsi="Bookman Old Style" w:cs="Arial"/>
        </w:rPr>
        <w:t xml:space="preserve"> 202 de 2013.</w:t>
      </w:r>
    </w:p>
    <w:p w:rsidR="00B11FDF" w:rsidRDefault="00B11FDF" w:rsidP="003A46CB">
      <w:pPr>
        <w:widowControl w:val="0"/>
        <w:adjustRightInd w:val="0"/>
        <w:ind w:left="0" w:right="20"/>
        <w:jc w:val="both"/>
        <w:rPr>
          <w:rFonts w:ascii="Bookman Old Style" w:hAnsi="Bookman Old Style" w:cs="Arial"/>
        </w:rPr>
      </w:pPr>
    </w:p>
    <w:p w:rsidR="00902198" w:rsidRDefault="00902198" w:rsidP="00DB2DC9">
      <w:pPr>
        <w:widowControl w:val="0"/>
        <w:adjustRightInd w:val="0"/>
        <w:ind w:left="0" w:right="20"/>
        <w:jc w:val="both"/>
        <w:rPr>
          <w:rFonts w:ascii="Bookman Old Style" w:hAnsi="Bookman Old Style" w:cs="Arial"/>
        </w:rPr>
      </w:pPr>
      <w:r>
        <w:rPr>
          <w:rFonts w:ascii="Bookman Old Style" w:hAnsi="Bookman Old Style" w:cs="Arial"/>
        </w:rPr>
        <w:t xml:space="preserve">La </w:t>
      </w:r>
      <w:r w:rsidRPr="009575C5">
        <w:rPr>
          <w:rFonts w:ascii="Bookman Old Style" w:hAnsi="Bookman Old Style" w:cs="Arial"/>
        </w:rPr>
        <w:t xml:space="preserve">empresa </w:t>
      </w:r>
      <w:r w:rsidRPr="000F2F87">
        <w:rPr>
          <w:rFonts w:ascii="Bookman Old Style" w:hAnsi="Bookman Old Style" w:cs="Arial"/>
        </w:rPr>
        <w:t>INGENIERIA Y SERVICIOS S.A. E.S.P.</w:t>
      </w:r>
      <w:r w:rsidRPr="009575C5">
        <w:rPr>
          <w:rFonts w:ascii="Bookman Old Style" w:hAnsi="Bookman Old Style" w:cs="Arial"/>
        </w:rPr>
        <w:t xml:space="preserve"> a través del radicado CREG </w:t>
      </w:r>
      <w:r w:rsidR="00DB2DC9" w:rsidRPr="000F2F87">
        <w:rPr>
          <w:rFonts w:ascii="Bookman Old Style" w:hAnsi="Bookman Old Style" w:cs="Arial"/>
        </w:rPr>
        <w:t>E-2018-000917 de febrero 6 de 2018</w:t>
      </w:r>
      <w:r w:rsidR="00DB2DC9" w:rsidRPr="009575C5">
        <w:rPr>
          <w:rFonts w:ascii="Bookman Old Style" w:hAnsi="Bookman Old Style" w:cs="Arial"/>
        </w:rPr>
        <w:t>,</w:t>
      </w:r>
      <w:r w:rsidR="00DB2DC9">
        <w:rPr>
          <w:rFonts w:ascii="Bookman Old Style" w:hAnsi="Bookman Old Style" w:cs="Arial"/>
        </w:rPr>
        <w:t xml:space="preserve"> solicitó </w:t>
      </w:r>
      <w:r w:rsidR="00DB2DC9">
        <w:rPr>
          <w:rFonts w:ascii="Bookman Old Style" w:hAnsi="Bookman Old Style" w:cs="Arial"/>
          <w:szCs w:val="22"/>
        </w:rPr>
        <w:t>habilitar en el aplicativo ApliGas, la solicitud tarifaria No. 13</w:t>
      </w:r>
      <w:r w:rsidR="004D721C">
        <w:rPr>
          <w:rFonts w:ascii="Bookman Old Style" w:hAnsi="Bookman Old Style" w:cs="Arial"/>
          <w:szCs w:val="22"/>
        </w:rPr>
        <w:t>22</w:t>
      </w:r>
      <w:r w:rsidR="00DB2DC9">
        <w:rPr>
          <w:rFonts w:ascii="Bookman Old Style" w:hAnsi="Bookman Old Style" w:cs="Arial"/>
          <w:szCs w:val="22"/>
        </w:rPr>
        <w:t xml:space="preserve"> para realizar un ajuste de las unidades constructivas del Mercado Relevante de Distribución para el Siguiente Periodo Tarifario objeto de análisis, de tal manera que su solicitud tarifaria coincida con los valores incluidos en el convenio de cofinanciación </w:t>
      </w:r>
      <w:r w:rsidR="00DB2DC9" w:rsidRPr="000F2F87">
        <w:rPr>
          <w:rFonts w:ascii="Bookman Old Style" w:hAnsi="Bookman Old Style" w:cs="Arial"/>
          <w:szCs w:val="22"/>
        </w:rPr>
        <w:t>G</w:t>
      </w:r>
      <w:r w:rsidR="004903EE" w:rsidRPr="000F2F87">
        <w:rPr>
          <w:rFonts w:ascii="Bookman Old Style" w:hAnsi="Bookman Old Style" w:cs="Arial"/>
          <w:szCs w:val="22"/>
        </w:rPr>
        <w:t>G</w:t>
      </w:r>
      <w:r w:rsidR="00EF0291" w:rsidRPr="000F2F87">
        <w:rPr>
          <w:rFonts w:ascii="Bookman Old Style" w:hAnsi="Bookman Old Style" w:cs="Arial"/>
          <w:szCs w:val="22"/>
        </w:rPr>
        <w:t>C</w:t>
      </w:r>
      <w:r w:rsidR="00DB2DC9" w:rsidRPr="000F2F87">
        <w:rPr>
          <w:rFonts w:ascii="Bookman Old Style" w:hAnsi="Bookman Old Style" w:cs="Arial"/>
          <w:szCs w:val="22"/>
        </w:rPr>
        <w:t xml:space="preserve"> </w:t>
      </w:r>
      <w:r w:rsidR="00EF0291" w:rsidRPr="000F2F87">
        <w:rPr>
          <w:rFonts w:ascii="Bookman Old Style" w:hAnsi="Bookman Old Style" w:cs="Arial"/>
          <w:szCs w:val="22"/>
        </w:rPr>
        <w:t>5</w:t>
      </w:r>
      <w:r w:rsidR="004D721C" w:rsidRPr="000F2F87">
        <w:rPr>
          <w:rFonts w:ascii="Bookman Old Style" w:hAnsi="Bookman Old Style" w:cs="Arial"/>
          <w:szCs w:val="22"/>
        </w:rPr>
        <w:t>88</w:t>
      </w:r>
      <w:r w:rsidR="00DB2DC9" w:rsidRPr="000F2F87">
        <w:rPr>
          <w:rFonts w:ascii="Bookman Old Style" w:hAnsi="Bookman Old Style" w:cs="Arial"/>
          <w:szCs w:val="22"/>
        </w:rPr>
        <w:t xml:space="preserve"> de 2017</w:t>
      </w:r>
      <w:r w:rsidR="00DB2DC9" w:rsidRPr="009575C5">
        <w:rPr>
          <w:rFonts w:ascii="Bookman Old Style" w:hAnsi="Bookman Old Style" w:cs="Arial"/>
          <w:szCs w:val="22"/>
        </w:rPr>
        <w:t xml:space="preserve"> </w:t>
      </w:r>
      <w:r w:rsidR="004903EE" w:rsidRPr="009575C5">
        <w:rPr>
          <w:rFonts w:ascii="Bookman Old Style" w:hAnsi="Bookman Old Style" w:cs="Arial"/>
          <w:szCs w:val="22"/>
        </w:rPr>
        <w:t>suscrito</w:t>
      </w:r>
      <w:r w:rsidR="00DB2DC9">
        <w:rPr>
          <w:rFonts w:ascii="Bookman Old Style" w:hAnsi="Bookman Old Style" w:cs="Arial"/>
          <w:szCs w:val="22"/>
        </w:rPr>
        <w:t xml:space="preserve"> entre el Ministerio de Minas y Energía </w:t>
      </w:r>
      <w:r w:rsidR="004903EE">
        <w:rPr>
          <w:rFonts w:ascii="Bookman Old Style" w:hAnsi="Bookman Old Style" w:cs="Arial"/>
          <w:szCs w:val="22"/>
        </w:rPr>
        <w:t>–</w:t>
      </w:r>
      <w:r w:rsidR="00DB2DC9">
        <w:rPr>
          <w:rFonts w:ascii="Bookman Old Style" w:hAnsi="Bookman Old Style" w:cs="Arial"/>
          <w:szCs w:val="22"/>
        </w:rPr>
        <w:t xml:space="preserve"> </w:t>
      </w:r>
      <w:r w:rsidR="004903EE">
        <w:rPr>
          <w:rFonts w:ascii="Bookman Old Style" w:hAnsi="Bookman Old Style" w:cs="Arial"/>
          <w:szCs w:val="22"/>
        </w:rPr>
        <w:t>Fondo Especial Cuota de Fomento de Gas Natural</w:t>
      </w:r>
      <w:r w:rsidR="00DB2DC9">
        <w:rPr>
          <w:rFonts w:ascii="Bookman Old Style" w:hAnsi="Bookman Old Style" w:cs="Arial"/>
          <w:szCs w:val="22"/>
        </w:rPr>
        <w:t xml:space="preserve"> y la empresa INGENIERÍA Y SERVICIOS S.A. E.S.P.</w:t>
      </w:r>
    </w:p>
    <w:p w:rsidR="004D721C" w:rsidRDefault="004D721C" w:rsidP="004D721C">
      <w:pPr>
        <w:widowControl w:val="0"/>
        <w:adjustRightInd w:val="0"/>
        <w:ind w:left="0" w:right="20"/>
        <w:jc w:val="both"/>
        <w:rPr>
          <w:rFonts w:ascii="Bookman Old Style" w:hAnsi="Bookman Old Style" w:cs="Arial"/>
        </w:rPr>
      </w:pPr>
    </w:p>
    <w:p w:rsidR="004D721C" w:rsidRDefault="004D721C" w:rsidP="004D721C">
      <w:pPr>
        <w:widowControl w:val="0"/>
        <w:adjustRightInd w:val="0"/>
        <w:ind w:left="0" w:right="20"/>
        <w:jc w:val="both"/>
        <w:rPr>
          <w:rFonts w:ascii="Bookman Old Style" w:hAnsi="Bookman Old Style" w:cs="Arial"/>
        </w:rPr>
      </w:pPr>
      <w:r>
        <w:rPr>
          <w:rFonts w:ascii="Bookman Old Style" w:hAnsi="Bookman Old Style" w:cs="Arial"/>
        </w:rPr>
        <w:t xml:space="preserve">Mediante oficio con </w:t>
      </w:r>
      <w:r w:rsidRPr="009575C5">
        <w:rPr>
          <w:rFonts w:ascii="Bookman Old Style" w:hAnsi="Bookman Old Style" w:cs="Arial"/>
        </w:rPr>
        <w:t xml:space="preserve">radicado </w:t>
      </w:r>
      <w:r w:rsidRPr="000F2F87">
        <w:rPr>
          <w:rFonts w:ascii="Bookman Old Style" w:hAnsi="Bookman Old Style" w:cs="Arial"/>
        </w:rPr>
        <w:t>CREG E-2018-001031 de febrero 09 de 2018</w:t>
      </w:r>
      <w:r w:rsidRPr="009575C5">
        <w:rPr>
          <w:rFonts w:ascii="Bookman Old Style" w:hAnsi="Bookman Old Style" w:cs="Arial"/>
        </w:rPr>
        <w:t xml:space="preserve">, la empresa </w:t>
      </w:r>
      <w:r w:rsidRPr="000F2F87">
        <w:rPr>
          <w:rFonts w:ascii="Bookman Old Style" w:hAnsi="Bookman Old Style" w:cs="Arial"/>
        </w:rPr>
        <w:t>INGENIERIA Y SERVICIOS S.A. E.S.P.</w:t>
      </w:r>
      <w:r w:rsidRPr="009575C5">
        <w:rPr>
          <w:rFonts w:ascii="Bookman Old Style" w:hAnsi="Bookman Old Style" w:cs="Arial"/>
        </w:rPr>
        <w:t xml:space="preserve"> realiza</w:t>
      </w:r>
      <w:r>
        <w:rPr>
          <w:rFonts w:ascii="Bookman Old Style" w:hAnsi="Bookman Old Style" w:cs="Arial"/>
        </w:rPr>
        <w:t xml:space="preserve"> alcance a su solicitud tarifaria adjuntando la certificación que demuestra que al menos el 80% de los usuarios potenciales del servicio de gas de los centros poblados objeto de la solicitud, se encuentran interesados en contar con el servicio.</w:t>
      </w:r>
    </w:p>
    <w:p w:rsidR="00902198" w:rsidRDefault="00902198" w:rsidP="003A46CB">
      <w:pPr>
        <w:widowControl w:val="0"/>
        <w:adjustRightInd w:val="0"/>
        <w:ind w:left="0" w:right="20"/>
        <w:jc w:val="both"/>
        <w:rPr>
          <w:rFonts w:ascii="Bookman Old Style" w:hAnsi="Bookman Old Style" w:cs="Arial"/>
        </w:rPr>
      </w:pPr>
    </w:p>
    <w:p w:rsidR="009C33A0" w:rsidRDefault="009C33A0" w:rsidP="009C33A0">
      <w:pPr>
        <w:widowControl w:val="0"/>
        <w:adjustRightInd w:val="0"/>
        <w:ind w:left="0" w:right="20"/>
        <w:jc w:val="both"/>
        <w:rPr>
          <w:rFonts w:ascii="Bookman Old Style" w:hAnsi="Bookman Old Style" w:cs="Arial"/>
        </w:rPr>
      </w:pPr>
      <w:r>
        <w:rPr>
          <w:rFonts w:ascii="Bookman Old Style" w:hAnsi="Bookman Old Style" w:cs="Arial"/>
        </w:rPr>
        <w:t xml:space="preserve">Mediante la comunicación </w:t>
      </w:r>
      <w:r w:rsidRPr="000F2F87">
        <w:rPr>
          <w:rFonts w:ascii="Bookman Old Style" w:hAnsi="Bookman Old Style" w:cs="Arial"/>
        </w:rPr>
        <w:t>S-2018-000860 de febrero 26 de 2018</w:t>
      </w:r>
      <w:r w:rsidRPr="009575C5">
        <w:rPr>
          <w:rFonts w:ascii="Bookman Old Style" w:hAnsi="Bookman Old Style" w:cs="Arial"/>
        </w:rPr>
        <w:t xml:space="preserve">, la Comisión informa a la empresa INGENIERIA Y SERVICIOS S.A. E.S.P. que una vez abierta la actuación conducente a la aprobación de su solicitud de cargos, se realizará </w:t>
      </w:r>
      <w:r w:rsidRPr="009575C5">
        <w:rPr>
          <w:rFonts w:ascii="Bookman Old Style" w:hAnsi="Bookman Old Style" w:cs="Arial"/>
        </w:rPr>
        <w:lastRenderedPageBreak/>
        <w:t xml:space="preserve">el requerimiento de la información para incluirla en el análisis. Lo anterior como respuesta al requerimiento realizado en el radicado </w:t>
      </w:r>
      <w:r w:rsidRPr="000F2F87">
        <w:rPr>
          <w:rFonts w:ascii="Bookman Old Style" w:hAnsi="Bookman Old Style" w:cs="Arial"/>
        </w:rPr>
        <w:t>CREG E-2018-000917.</w:t>
      </w:r>
    </w:p>
    <w:p w:rsidR="00B178E5" w:rsidRDefault="00B178E5" w:rsidP="009C33A0">
      <w:pPr>
        <w:widowControl w:val="0"/>
        <w:adjustRightInd w:val="0"/>
        <w:ind w:left="0" w:right="20"/>
        <w:jc w:val="both"/>
        <w:rPr>
          <w:rFonts w:ascii="Bookman Old Style" w:hAnsi="Bookman Old Style" w:cs="Arial"/>
        </w:rPr>
      </w:pPr>
    </w:p>
    <w:p w:rsidR="00B178E5" w:rsidRPr="009575C5" w:rsidRDefault="00B178E5" w:rsidP="00B178E5">
      <w:pPr>
        <w:widowControl w:val="0"/>
        <w:adjustRightInd w:val="0"/>
        <w:ind w:left="0" w:right="20"/>
        <w:jc w:val="both"/>
        <w:rPr>
          <w:rFonts w:ascii="Bookman Old Style" w:hAnsi="Bookman Old Style" w:cs="Arial"/>
        </w:rPr>
      </w:pPr>
      <w:r w:rsidRPr="009575C5">
        <w:rPr>
          <w:rFonts w:ascii="Bookman Old Style" w:hAnsi="Bookman Old Style" w:cs="Arial"/>
        </w:rPr>
        <w:t xml:space="preserve">Mediante </w:t>
      </w:r>
      <w:r w:rsidRPr="000F2F87">
        <w:rPr>
          <w:rFonts w:ascii="Bookman Old Style" w:hAnsi="Bookman Old Style" w:cs="Arial"/>
        </w:rPr>
        <w:t>auto</w:t>
      </w:r>
      <w:r w:rsidRPr="009575C5">
        <w:rPr>
          <w:rFonts w:ascii="Bookman Old Style" w:hAnsi="Bookman Old Style" w:cs="Arial"/>
        </w:rPr>
        <w:t xml:space="preserve"> proferido el día </w:t>
      </w:r>
      <w:r w:rsidRPr="000F2F87">
        <w:rPr>
          <w:rFonts w:ascii="Bookman Old Style" w:hAnsi="Bookman Old Style" w:cs="Arial"/>
        </w:rPr>
        <w:t>25 de abril de 2018</w:t>
      </w:r>
      <w:r w:rsidRPr="009575C5">
        <w:rPr>
          <w:rFonts w:ascii="Bookman Old Style" w:hAnsi="Bookman Old Style" w:cs="Arial"/>
        </w:rPr>
        <w:t xml:space="preserve">, la Comisión de Regulación de Energía y Gas –CREG- </w:t>
      </w:r>
      <w:r w:rsidRPr="000963D8">
        <w:rPr>
          <w:rFonts w:ascii="Bookman Old Style" w:hAnsi="Bookman Old Style" w:cs="Arial"/>
        </w:rPr>
        <w:t xml:space="preserve">dispuso iniciar la respectiva actuación administrativa con fundamento en la solicitud presentada por la empresa </w:t>
      </w:r>
      <w:r w:rsidRPr="000F2F87">
        <w:rPr>
          <w:rFonts w:ascii="Bookman Old Style" w:hAnsi="Bookman Old Style" w:cs="Arial"/>
        </w:rPr>
        <w:t>INGENIERIA Y SERVICIOS S.A. E.S.P.</w:t>
      </w:r>
      <w:r w:rsidRPr="009575C5">
        <w:rPr>
          <w:rFonts w:ascii="Bookman Old Style" w:hAnsi="Bookman Old Style" w:cs="Arial"/>
        </w:rPr>
        <w:t xml:space="preserve"> para la aprobación de los cargos de </w:t>
      </w:r>
      <w:r w:rsidRPr="009575C5">
        <w:rPr>
          <w:rFonts w:ascii="Bookman Old Style" w:hAnsi="Bookman Old Style" w:cs="Arial"/>
          <w:szCs w:val="22"/>
        </w:rPr>
        <w:t xml:space="preserve">distribución de </w:t>
      </w:r>
      <w:r w:rsidRPr="000F2F87">
        <w:rPr>
          <w:rFonts w:ascii="Bookman Old Style" w:hAnsi="Bookman Old Style" w:cs="Arial"/>
          <w:szCs w:val="22"/>
        </w:rPr>
        <w:t>GN</w:t>
      </w:r>
      <w:r w:rsidRPr="009575C5">
        <w:rPr>
          <w:rFonts w:ascii="Bookman Old Style" w:hAnsi="Bookman Old Style" w:cs="Arial"/>
          <w:szCs w:val="22"/>
        </w:rPr>
        <w:t xml:space="preserve"> por redes de tubería para el </w:t>
      </w:r>
      <w:r w:rsidRPr="009575C5">
        <w:rPr>
          <w:rFonts w:ascii="Bookman Old Style" w:hAnsi="Bookman Old Style" w:cs="Arial"/>
        </w:rPr>
        <w:t xml:space="preserve">mercado relevante </w:t>
      </w:r>
      <w:r w:rsidRPr="000F2F87">
        <w:rPr>
          <w:rFonts w:ascii="Bookman Old Style" w:hAnsi="Bookman Old Style" w:cs="Arial"/>
          <w:szCs w:val="22"/>
        </w:rPr>
        <w:t xml:space="preserve">conformado por </w:t>
      </w:r>
      <w:r w:rsidRPr="000F2F87">
        <w:rPr>
          <w:rFonts w:ascii="Bookman Old Style" w:hAnsi="Bookman Old Style" w:cs="Arial"/>
        </w:rPr>
        <w:t>los centros poblados de Taravita en el municipio de Fúquene, Ticha, Nengua y Miña en el municipio de Guachetá, departamento de Cundinamarca.</w:t>
      </w:r>
    </w:p>
    <w:p w:rsidR="00B178E5" w:rsidRPr="000963D8" w:rsidRDefault="00B178E5" w:rsidP="009C33A0">
      <w:pPr>
        <w:widowControl w:val="0"/>
        <w:adjustRightInd w:val="0"/>
        <w:ind w:left="0" w:right="20"/>
        <w:jc w:val="both"/>
        <w:rPr>
          <w:rFonts w:ascii="Bookman Old Style" w:hAnsi="Bookman Old Style" w:cs="Arial"/>
        </w:rPr>
      </w:pPr>
    </w:p>
    <w:p w:rsidR="006D6902" w:rsidRDefault="006D6902" w:rsidP="006D6902">
      <w:pPr>
        <w:widowControl w:val="0"/>
        <w:adjustRightInd w:val="0"/>
        <w:ind w:left="0" w:right="20"/>
        <w:jc w:val="both"/>
        <w:rPr>
          <w:rFonts w:ascii="Bookman Old Style" w:hAnsi="Bookman Old Style" w:cs="Arial"/>
          <w:szCs w:val="22"/>
        </w:rPr>
      </w:pPr>
      <w:r w:rsidRPr="000963D8">
        <w:rPr>
          <w:rFonts w:ascii="Bookman Old Style" w:hAnsi="Bookman Old Style" w:cs="Arial"/>
          <w:szCs w:val="22"/>
        </w:rPr>
        <w:t xml:space="preserve">De acuerdo con lo establecido en el </w:t>
      </w:r>
      <w:r w:rsidRPr="000F2F87">
        <w:rPr>
          <w:rFonts w:ascii="Bookman Old Style" w:hAnsi="Bookman Old Style" w:cs="Arial"/>
          <w:szCs w:val="22"/>
        </w:rPr>
        <w:t xml:space="preserve">auto del </w:t>
      </w:r>
      <w:r w:rsidRPr="000F2F87">
        <w:rPr>
          <w:rFonts w:ascii="Bookman Old Style" w:hAnsi="Bookman Old Style" w:cs="Arial"/>
        </w:rPr>
        <w:t>25 de abril de 2018</w:t>
      </w:r>
      <w:r w:rsidRPr="009575C5">
        <w:rPr>
          <w:rFonts w:ascii="Bookman Old Style" w:hAnsi="Bookman Old Style" w:cs="Arial"/>
          <w:szCs w:val="22"/>
        </w:rPr>
        <w:t xml:space="preserve">, y para cumplir con lo dispuesto en el artículo 37 del Código de Procedimiento Administrativo y de lo Contencioso Administrativo, en el </w:t>
      </w:r>
      <w:r w:rsidRPr="004333D1">
        <w:rPr>
          <w:rFonts w:ascii="Bookman Old Style" w:hAnsi="Bookman Old Style" w:cs="Arial"/>
          <w:i/>
          <w:szCs w:val="22"/>
        </w:rPr>
        <w:t>Diario Oficial</w:t>
      </w:r>
      <w:r w:rsidRPr="000F2F87">
        <w:rPr>
          <w:rFonts w:ascii="Bookman Old Style" w:hAnsi="Bookman Old Style" w:cs="Arial"/>
          <w:szCs w:val="22"/>
        </w:rPr>
        <w:t xml:space="preserve"> No. 50.578 del 28 de abril de 2018</w:t>
      </w:r>
      <w:r w:rsidRPr="009575C5">
        <w:rPr>
          <w:rFonts w:ascii="Bookman Old Style" w:hAnsi="Bookman Old Style" w:cs="Arial"/>
          <w:szCs w:val="22"/>
        </w:rPr>
        <w:t xml:space="preserve"> y el </w:t>
      </w:r>
      <w:r w:rsidRPr="000F2F87">
        <w:rPr>
          <w:rFonts w:ascii="Bookman Old Style" w:hAnsi="Bookman Old Style" w:cs="Arial"/>
          <w:szCs w:val="22"/>
        </w:rPr>
        <w:t>Aviso No. 043 de 2018</w:t>
      </w:r>
      <w:r w:rsidRPr="009575C5">
        <w:rPr>
          <w:rFonts w:ascii="Bookman Old Style" w:hAnsi="Bookman Old Style" w:cs="Arial"/>
          <w:szCs w:val="22"/>
        </w:rPr>
        <w:t xml:space="preserve">, se publicó un extracto con el resumen de la actuación administrativa en relación con la solicitud presentada por </w:t>
      </w:r>
      <w:r w:rsidRPr="000F2F87">
        <w:rPr>
          <w:rFonts w:ascii="Bookman Old Style" w:hAnsi="Bookman Old Style" w:cs="Arial"/>
        </w:rPr>
        <w:t>INGENIERIA Y SERVICIOS S.A. E.S.P.</w:t>
      </w:r>
      <w:r w:rsidRPr="009575C5">
        <w:rPr>
          <w:rFonts w:ascii="Bookman Old Style" w:hAnsi="Bookman Old Style" w:cs="Arial"/>
        </w:rPr>
        <w:t xml:space="preserve"> para la aprobación de cargos de </w:t>
      </w:r>
      <w:r w:rsidRPr="009575C5">
        <w:rPr>
          <w:rFonts w:ascii="Bookman Old Style" w:hAnsi="Bookman Old Style" w:cs="Arial"/>
          <w:szCs w:val="22"/>
        </w:rPr>
        <w:t xml:space="preserve">distribución de </w:t>
      </w:r>
      <w:r w:rsidRPr="000F2F87">
        <w:rPr>
          <w:rFonts w:ascii="Bookman Old Style" w:hAnsi="Bookman Old Style" w:cs="Arial"/>
          <w:szCs w:val="22"/>
        </w:rPr>
        <w:t>GN</w:t>
      </w:r>
      <w:r w:rsidRPr="009575C5">
        <w:rPr>
          <w:rFonts w:ascii="Bookman Old Style" w:hAnsi="Bookman Old Style" w:cs="Arial"/>
          <w:szCs w:val="22"/>
        </w:rPr>
        <w:t xml:space="preserve"> por redes de tubería. Lo anterior, a fin de que los terceros interesados </w:t>
      </w:r>
      <w:r w:rsidRPr="000963D8">
        <w:rPr>
          <w:rFonts w:ascii="Bookman Old Style" w:hAnsi="Bookman Old Style" w:cs="Arial"/>
          <w:szCs w:val="22"/>
        </w:rPr>
        <w:t>pudiesen hacerse parte en la respectiva actuación.</w:t>
      </w:r>
      <w:r w:rsidRPr="00341E8F">
        <w:rPr>
          <w:rFonts w:ascii="Bookman Old Style" w:hAnsi="Bookman Old Style" w:cs="Arial"/>
          <w:szCs w:val="22"/>
        </w:rPr>
        <w:t xml:space="preserve"> </w:t>
      </w:r>
    </w:p>
    <w:p w:rsidR="00C879BD" w:rsidRDefault="00C879BD" w:rsidP="003A46CB">
      <w:pPr>
        <w:widowControl w:val="0"/>
        <w:adjustRightInd w:val="0"/>
        <w:ind w:left="0" w:right="20"/>
        <w:jc w:val="both"/>
        <w:rPr>
          <w:rFonts w:ascii="Bookman Old Style" w:hAnsi="Bookman Old Style" w:cs="Arial"/>
        </w:rPr>
      </w:pPr>
    </w:p>
    <w:p w:rsidR="003D1703" w:rsidRDefault="003D1703" w:rsidP="003D1703">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9575C5">
        <w:rPr>
          <w:rFonts w:ascii="Bookman Old Style" w:hAnsi="Bookman Old Style" w:cs="Arial"/>
        </w:rPr>
        <w:t xml:space="preserve">Mediante </w:t>
      </w:r>
      <w:r w:rsidRPr="000F2F87">
        <w:rPr>
          <w:rFonts w:ascii="Bookman Old Style" w:hAnsi="Bookman Old Style" w:cs="Arial"/>
        </w:rPr>
        <w:t>auto de pruebas del junio 18 de 2018</w:t>
      </w:r>
      <w:r w:rsidRPr="009575C5">
        <w:rPr>
          <w:rFonts w:ascii="Bookman Old Style" w:hAnsi="Bookman Old Style" w:cs="Arial"/>
        </w:rPr>
        <w:t xml:space="preserve">, la Comisión solicitó a la empresa INGENIERIA Y SERVICIOS S.A. E.S.P. que aclarara la información referente al reporte de los activos contables de distribución correspondiente al </w:t>
      </w:r>
      <w:r w:rsidRPr="000F2F87">
        <w:rPr>
          <w:rFonts w:ascii="Bookman Old Style" w:hAnsi="Bookman Old Style" w:cs="Arial"/>
          <w:szCs w:val="22"/>
        </w:rPr>
        <w:t>Mercado Relevante Especial</w:t>
      </w:r>
      <w:r w:rsidRPr="009575C5">
        <w:rPr>
          <w:rFonts w:ascii="Bookman Old Style" w:hAnsi="Bookman Old Style" w:cs="Arial"/>
          <w:szCs w:val="22"/>
        </w:rPr>
        <w:t xml:space="preserve"> de Distribución para el Siguiente Periodo Tarifario</w:t>
      </w:r>
      <w:r w:rsidRPr="009575C5">
        <w:rPr>
          <w:rFonts w:ascii="Bookman Old Style" w:hAnsi="Bookman Old Style" w:cs="Arial"/>
        </w:rPr>
        <w:t>, conformado por los centros poblados</w:t>
      </w:r>
      <w:r>
        <w:rPr>
          <w:rFonts w:ascii="Bookman Old Style" w:hAnsi="Bookman Old Style" w:cs="Arial"/>
        </w:rPr>
        <w:t xml:space="preserve"> de Taravita en el municipio de Fúquene, Ticha, Nengua y Miña en el municipio de Guachetá, departamento de Cundinamarca</w:t>
      </w:r>
      <w:r w:rsidRPr="00025775">
        <w:rPr>
          <w:rFonts w:ascii="Bookman Old Style" w:hAnsi="Bookman Old Style" w:cs="Arial"/>
        </w:rPr>
        <w:t>.</w:t>
      </w:r>
      <w:r>
        <w:rPr>
          <w:rFonts w:ascii="Bookman Old Style" w:hAnsi="Bookman Old Style" w:cs="Arial"/>
        </w:rPr>
        <w:t xml:space="preserve"> Por lo tanto, también se solicitó que propusiera los Cargos de Distribución para el </w:t>
      </w:r>
      <w:r>
        <w:rPr>
          <w:rFonts w:ascii="Bookman Old Style" w:hAnsi="Bookman Old Style" w:cs="Arial"/>
          <w:szCs w:val="22"/>
        </w:rPr>
        <w:t>Mercado Relevante de Distribución para el Siguiente Periodo Tarifario</w:t>
      </w:r>
      <w:r>
        <w:rPr>
          <w:rFonts w:ascii="Bookman Old Style" w:hAnsi="Bookman Old Style" w:cs="Arial"/>
        </w:rPr>
        <w:t xml:space="preserve"> considerando el reporte de activos anterior. </w:t>
      </w:r>
    </w:p>
    <w:p w:rsidR="003D1703" w:rsidRDefault="003D1703" w:rsidP="003D1703">
      <w:pPr>
        <w:widowControl w:val="0"/>
        <w:tabs>
          <w:tab w:val="center" w:pos="4512"/>
          <w:tab w:val="left" w:pos="7088"/>
        </w:tabs>
        <w:suppressAutoHyphens/>
        <w:adjustRightInd w:val="0"/>
        <w:ind w:left="0" w:right="51"/>
        <w:jc w:val="both"/>
        <w:textAlignment w:val="baseline"/>
        <w:rPr>
          <w:rFonts w:ascii="Bookman Old Style" w:hAnsi="Bookman Old Style" w:cs="Arial"/>
        </w:rPr>
      </w:pPr>
    </w:p>
    <w:p w:rsidR="003D1703" w:rsidRDefault="003D1703" w:rsidP="003D1703">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cs="Arial"/>
        </w:rPr>
        <w:t xml:space="preserve">La empresa INGENIERIA Y SERVICIOS S.A. E.S.P. remitió a la Comisión, mediante oficio con </w:t>
      </w:r>
      <w:r w:rsidRPr="009575C5">
        <w:rPr>
          <w:rFonts w:ascii="Bookman Old Style" w:hAnsi="Bookman Old Style" w:cs="Arial"/>
        </w:rPr>
        <w:t xml:space="preserve">radicado </w:t>
      </w:r>
      <w:r w:rsidRPr="000F2F87">
        <w:rPr>
          <w:rFonts w:ascii="Bookman Old Style" w:hAnsi="Bookman Old Style" w:cs="Arial"/>
        </w:rPr>
        <w:t>CREG E-2018-00623</w:t>
      </w:r>
      <w:r w:rsidR="00562071" w:rsidRPr="000F2F87">
        <w:rPr>
          <w:rFonts w:ascii="Bookman Old Style" w:hAnsi="Bookman Old Style" w:cs="Arial"/>
        </w:rPr>
        <w:t>2</w:t>
      </w:r>
      <w:r w:rsidRPr="000F2F87">
        <w:rPr>
          <w:rFonts w:ascii="Bookman Old Style" w:hAnsi="Bookman Old Style" w:cs="Arial"/>
        </w:rPr>
        <w:t xml:space="preserve"> de junio 25 de 2018</w:t>
      </w:r>
      <w:r w:rsidRPr="009575C5">
        <w:rPr>
          <w:rFonts w:ascii="Bookman Old Style" w:hAnsi="Bookman Old Style" w:cs="Arial"/>
        </w:rPr>
        <w:t>, la</w:t>
      </w:r>
      <w:r>
        <w:rPr>
          <w:rFonts w:ascii="Bookman Old Style" w:hAnsi="Bookman Old Style" w:cs="Arial"/>
        </w:rPr>
        <w:t xml:space="preserve"> información solicitada en el auto de pruebas de junio 18 de 2018, referente a los activos contables de distribución y a la propuesta de los Cargos de Distribución.</w:t>
      </w:r>
    </w:p>
    <w:p w:rsidR="00FF03E8" w:rsidRDefault="00FF03E8" w:rsidP="00C92F93">
      <w:pPr>
        <w:widowControl w:val="0"/>
        <w:tabs>
          <w:tab w:val="center" w:pos="4512"/>
          <w:tab w:val="left" w:pos="7088"/>
        </w:tabs>
        <w:suppressAutoHyphens/>
        <w:adjustRightInd w:val="0"/>
        <w:ind w:left="0" w:right="51"/>
        <w:jc w:val="both"/>
        <w:textAlignment w:val="baseline"/>
        <w:rPr>
          <w:rFonts w:ascii="Bookman Old Style" w:hAnsi="Bookman Old Style" w:cs="Arial"/>
        </w:rPr>
      </w:pPr>
    </w:p>
    <w:p w:rsidR="00FF03E8" w:rsidRDefault="00FF03E8" w:rsidP="00FF03E8">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5D0D58">
        <w:rPr>
          <w:rFonts w:ascii="Bookman Old Style" w:hAnsi="Bookman Old Style" w:cs="Arial"/>
        </w:rPr>
        <w:t xml:space="preserve">Dado que el sistema de distribución presentado por la empresa </w:t>
      </w:r>
      <w:r w:rsidR="001B0F48" w:rsidRPr="000F2F87">
        <w:rPr>
          <w:rFonts w:ascii="Bookman Old Style" w:hAnsi="Bookman Old Style" w:cs="Arial"/>
        </w:rPr>
        <w:t>INGENIERIA Y SERVICIOS S.A. E.S.P.</w:t>
      </w:r>
      <w:r w:rsidRPr="000F2F87">
        <w:rPr>
          <w:rFonts w:ascii="Bookman Old Style" w:hAnsi="Bookman Old Style" w:cs="Arial"/>
        </w:rPr>
        <w:t xml:space="preserve"> para el </w:t>
      </w:r>
      <w:r w:rsidR="00FF7ABA" w:rsidRPr="000F2F87">
        <w:rPr>
          <w:rFonts w:ascii="Bookman Old Style" w:hAnsi="Bookman Old Style" w:cs="Arial"/>
        </w:rPr>
        <w:t>Mercado R</w:t>
      </w:r>
      <w:r w:rsidRPr="000F2F87">
        <w:rPr>
          <w:rFonts w:ascii="Bookman Old Style" w:hAnsi="Bookman Old Style" w:cs="Arial"/>
        </w:rPr>
        <w:t xml:space="preserve">elevante conformado por </w:t>
      </w:r>
      <w:r w:rsidR="00FF7ABA" w:rsidRPr="000F2F87">
        <w:rPr>
          <w:rFonts w:ascii="Bookman Old Style" w:hAnsi="Bookman Old Style" w:cs="Arial"/>
        </w:rPr>
        <w:t xml:space="preserve">los </w:t>
      </w:r>
      <w:r w:rsidR="006B6721" w:rsidRPr="000F2F87">
        <w:rPr>
          <w:rFonts w:ascii="Bookman Old Style" w:hAnsi="Bookman Old Style" w:cs="Arial"/>
          <w:szCs w:val="22"/>
        </w:rPr>
        <w:t xml:space="preserve">centros poblados de </w:t>
      </w:r>
      <w:r w:rsidR="00B67453" w:rsidRPr="000F2F87">
        <w:rPr>
          <w:rFonts w:ascii="Bookman Old Style" w:hAnsi="Bookman Old Style" w:cs="Arial"/>
          <w:szCs w:val="22"/>
        </w:rPr>
        <w:t>Taravita en el municipio de Fúquene, Ticha, Nengua y Miña en el municipio de Guachetá</w:t>
      </w:r>
      <w:r w:rsidR="00562071" w:rsidRPr="000F2F87">
        <w:rPr>
          <w:rFonts w:ascii="Bookman Old Style" w:hAnsi="Bookman Old Style" w:cs="Arial"/>
          <w:szCs w:val="22"/>
        </w:rPr>
        <w:t>,</w:t>
      </w:r>
      <w:r w:rsidR="00CF4580" w:rsidRPr="000F2F87">
        <w:rPr>
          <w:rFonts w:ascii="Bookman Old Style" w:hAnsi="Bookman Old Style" w:cs="Arial"/>
          <w:szCs w:val="22"/>
        </w:rPr>
        <w:t xml:space="preserve"> </w:t>
      </w:r>
      <w:r w:rsidR="006B6721" w:rsidRPr="000F2F87">
        <w:rPr>
          <w:rFonts w:ascii="Bookman Old Style" w:hAnsi="Bookman Old Style" w:cs="Arial"/>
          <w:szCs w:val="22"/>
        </w:rPr>
        <w:t xml:space="preserve">departamento de </w:t>
      </w:r>
      <w:r w:rsidR="00B67453" w:rsidRPr="000F2F87">
        <w:rPr>
          <w:rFonts w:ascii="Bookman Old Style" w:hAnsi="Bookman Old Style" w:cs="Arial"/>
          <w:szCs w:val="22"/>
        </w:rPr>
        <w:t>Cundinamarca</w:t>
      </w:r>
      <w:r w:rsidRPr="000F2F87">
        <w:rPr>
          <w:rFonts w:ascii="Bookman Old Style" w:hAnsi="Bookman Old Style" w:cs="Arial"/>
        </w:rPr>
        <w:t>, cuenta con red primaria y secundaria y todos sus usuarios están conectados a la red secundaria, se po</w:t>
      </w:r>
      <w:r w:rsidRPr="009575C5">
        <w:rPr>
          <w:rFonts w:ascii="Bookman Old Style" w:hAnsi="Bookman Old Style" w:cs="Arial"/>
        </w:rPr>
        <w:t>drá</w:t>
      </w:r>
      <w:r w:rsidRPr="005D0D58">
        <w:rPr>
          <w:rFonts w:ascii="Bookman Old Style" w:hAnsi="Bookman Old Style" w:cs="Arial"/>
        </w:rPr>
        <w:t xml:space="preserve"> determinar para este mercado relevante un solo cargo de distribución que será aplicable a los usuarios de uso residencial y usuarios </w:t>
      </w:r>
      <w:r>
        <w:rPr>
          <w:rFonts w:ascii="Bookman Old Style" w:hAnsi="Bookman Old Style" w:cs="Arial"/>
        </w:rPr>
        <w:t>diferentes al uso residencial.</w:t>
      </w:r>
    </w:p>
    <w:p w:rsidR="00E42C9A" w:rsidRDefault="00E42C9A" w:rsidP="00341E8F">
      <w:pPr>
        <w:widowControl w:val="0"/>
        <w:tabs>
          <w:tab w:val="center" w:pos="4512"/>
          <w:tab w:val="left" w:pos="7088"/>
        </w:tabs>
        <w:suppressAutoHyphens/>
        <w:adjustRightInd w:val="0"/>
        <w:ind w:left="0" w:right="51"/>
        <w:jc w:val="both"/>
        <w:textAlignment w:val="baseline"/>
        <w:rPr>
          <w:rFonts w:ascii="Bookman Old Style" w:hAnsi="Bookman Old Style" w:cs="Arial"/>
        </w:rPr>
      </w:pPr>
    </w:p>
    <w:p w:rsidR="005873FD" w:rsidRPr="001954E9" w:rsidRDefault="005873FD" w:rsidP="00341E8F">
      <w:pPr>
        <w:widowControl w:val="0"/>
        <w:tabs>
          <w:tab w:val="center" w:pos="4512"/>
          <w:tab w:val="left" w:pos="7088"/>
        </w:tabs>
        <w:suppressAutoHyphens/>
        <w:adjustRightInd w:val="0"/>
        <w:ind w:left="0" w:right="51"/>
        <w:jc w:val="both"/>
        <w:textAlignment w:val="baseline"/>
        <w:rPr>
          <w:rFonts w:ascii="Bookman Old Style" w:hAnsi="Bookman Old Style" w:cs="Arial"/>
          <w:lang w:val="es-ES_tradn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C07E9D" w:rsidRPr="001954E9">
        <w:rPr>
          <w:rFonts w:ascii="Bookman Old Style" w:hAnsi="Bookman Old Style" w:cs="Arial"/>
        </w:rPr>
        <w:t xml:space="preserve"> </w:t>
      </w:r>
      <w:r w:rsidRPr="001954E9">
        <w:rPr>
          <w:rFonts w:ascii="Bookman Old Style" w:hAnsi="Bookman Old Style" w:cs="Arial"/>
        </w:rPr>
        <w:t xml:space="preserve">La aplicación de la fórmula tarifaria general inició a partir del 1 de enero de 2014 por un período </w:t>
      </w:r>
      <w:r w:rsidRPr="001954E9">
        <w:rPr>
          <w:rFonts w:ascii="Bookman Old Style" w:hAnsi="Bookman Old Style" w:cs="Arial"/>
        </w:rPr>
        <w:lastRenderedPageBreak/>
        <w:t>de cinco años</w:t>
      </w:r>
      <w:r w:rsidR="00C07E9D" w:rsidRPr="001954E9">
        <w:rPr>
          <w:rFonts w:ascii="Bookman Old Style" w:hAnsi="Bookman Old Style" w:cs="Arial"/>
        </w:rPr>
        <w:t>, sin perjuicio de lo establecido en el artículo 126 de la Ley 142 de 1994.</w:t>
      </w:r>
    </w:p>
    <w:p w:rsidR="003A46CB" w:rsidRDefault="003A46CB" w:rsidP="003A46CB">
      <w:pPr>
        <w:widowControl w:val="0"/>
        <w:adjustRightInd w:val="0"/>
        <w:ind w:left="0" w:right="20"/>
        <w:jc w:val="both"/>
        <w:rPr>
          <w:rFonts w:ascii="Bookman Old Style" w:hAnsi="Bookman Old Style" w:cs="Arial"/>
        </w:rPr>
      </w:pPr>
    </w:p>
    <w:p w:rsidR="003A46CB" w:rsidRDefault="003A46CB" w:rsidP="003A46CB">
      <w:pPr>
        <w:widowControl w:val="0"/>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rsidR="003A46CB" w:rsidRDefault="003A46CB" w:rsidP="003A46CB">
      <w:pPr>
        <w:widowControl w:val="0"/>
        <w:adjustRightInd w:val="0"/>
        <w:ind w:left="0" w:right="20"/>
        <w:jc w:val="both"/>
        <w:rPr>
          <w:rFonts w:ascii="Bookman Old Style" w:hAnsi="Bookman Old Style" w:cs="Arial"/>
        </w:rPr>
      </w:pPr>
    </w:p>
    <w:p w:rsidR="003A46CB" w:rsidRPr="005D0D58" w:rsidRDefault="003A46CB" w:rsidP="003A46CB">
      <w:pPr>
        <w:tabs>
          <w:tab w:val="left" w:pos="7513"/>
        </w:tabs>
        <w:ind w:left="426"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rsidR="003A46CB" w:rsidRPr="005D0D58" w:rsidRDefault="003A46CB" w:rsidP="003A46CB">
      <w:pPr>
        <w:tabs>
          <w:tab w:val="left" w:pos="7513"/>
        </w:tabs>
        <w:ind w:left="426" w:right="425"/>
        <w:jc w:val="both"/>
        <w:rPr>
          <w:rFonts w:ascii="Bookman Old Style" w:hAnsi="Bookman Old Style" w:cs="Arial"/>
          <w:i/>
          <w:sz w:val="22"/>
          <w:szCs w:val="20"/>
        </w:rPr>
      </w:pPr>
    </w:p>
    <w:p w:rsidR="003A46CB" w:rsidRPr="005D0D58" w:rsidRDefault="003A46CB" w:rsidP="003A46CB">
      <w:pPr>
        <w:tabs>
          <w:tab w:val="left" w:pos="7513"/>
        </w:tabs>
        <w:ind w:left="426"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deben excluir a los usuarios residenciales.</w:t>
      </w:r>
      <w:r>
        <w:rPr>
          <w:rFonts w:ascii="Bookman Old Style" w:hAnsi="Bookman Old Style" w:cs="Arial"/>
          <w:i/>
          <w:sz w:val="22"/>
          <w:szCs w:val="20"/>
        </w:rPr>
        <w:t>”</w:t>
      </w:r>
    </w:p>
    <w:p w:rsidR="003A46CB" w:rsidRDefault="003A46CB" w:rsidP="003A46CB">
      <w:pPr>
        <w:widowControl w:val="0"/>
        <w:adjustRightInd w:val="0"/>
        <w:ind w:left="0" w:right="20"/>
        <w:jc w:val="both"/>
        <w:rPr>
          <w:rFonts w:ascii="Bookman Old Style" w:hAnsi="Bookman Old Style" w:cs="Arial"/>
        </w:rPr>
      </w:pPr>
    </w:p>
    <w:p w:rsidR="00FF03E8" w:rsidRDefault="00FF03E8" w:rsidP="00FF03E8">
      <w:pPr>
        <w:widowControl w:val="0"/>
        <w:adjustRightInd w:val="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1B0F48" w:rsidRPr="000F2F87">
        <w:rPr>
          <w:rFonts w:ascii="Bookman Old Style" w:hAnsi="Bookman Old Style" w:cs="Arial"/>
        </w:rPr>
        <w:t>INGENIERIA Y SERVICIOS S.A. E.S.P.</w:t>
      </w:r>
      <w:r w:rsidRPr="000F2F87">
        <w:rPr>
          <w:rFonts w:ascii="Bookman Old Style" w:hAnsi="Bookman Old Style" w:cs="Arial"/>
        </w:rPr>
        <w:t>, mediante radicados CREG E</w:t>
      </w:r>
      <w:r w:rsidR="00005E67" w:rsidRPr="000F2F87">
        <w:rPr>
          <w:rFonts w:ascii="Bookman Old Style" w:hAnsi="Bookman Old Style" w:cs="Arial"/>
        </w:rPr>
        <w:t>-2017-01</w:t>
      </w:r>
      <w:r w:rsidR="00B34DCC" w:rsidRPr="000F2F87">
        <w:rPr>
          <w:rFonts w:ascii="Bookman Old Style" w:hAnsi="Bookman Old Style" w:cs="Arial"/>
        </w:rPr>
        <w:t>172</w:t>
      </w:r>
      <w:r w:rsidR="00056C53" w:rsidRPr="000F2F87">
        <w:rPr>
          <w:rFonts w:ascii="Bookman Old Style" w:hAnsi="Bookman Old Style" w:cs="Arial"/>
        </w:rPr>
        <w:t>1</w:t>
      </w:r>
      <w:r w:rsidR="00005E67" w:rsidRPr="000F2F87">
        <w:rPr>
          <w:rFonts w:ascii="Bookman Old Style" w:hAnsi="Bookman Old Style" w:cs="Arial"/>
        </w:rPr>
        <w:t>, E-2018-000</w:t>
      </w:r>
      <w:r w:rsidR="00B34DCC" w:rsidRPr="000F2F87">
        <w:rPr>
          <w:rFonts w:ascii="Bookman Old Style" w:hAnsi="Bookman Old Style" w:cs="Arial"/>
        </w:rPr>
        <w:t>917</w:t>
      </w:r>
      <w:r w:rsidR="00005E67" w:rsidRPr="000F2F87">
        <w:rPr>
          <w:rFonts w:ascii="Bookman Old Style" w:hAnsi="Bookman Old Style" w:cs="Arial"/>
        </w:rPr>
        <w:t>, E-2018-</w:t>
      </w:r>
      <w:r w:rsidR="00056C53" w:rsidRPr="000F2F87">
        <w:rPr>
          <w:rFonts w:ascii="Bookman Old Style" w:hAnsi="Bookman Old Style" w:cs="Arial"/>
        </w:rPr>
        <w:t>001031</w:t>
      </w:r>
      <w:r w:rsidR="00005E67" w:rsidRPr="000F2F87">
        <w:rPr>
          <w:rFonts w:ascii="Bookman Old Style" w:hAnsi="Bookman Old Style" w:cs="Arial"/>
        </w:rPr>
        <w:t>, y E-2018-006</w:t>
      </w:r>
      <w:r w:rsidR="00B34DCC" w:rsidRPr="000F2F87">
        <w:rPr>
          <w:rFonts w:ascii="Bookman Old Style" w:hAnsi="Bookman Old Style" w:cs="Arial"/>
        </w:rPr>
        <w:t>23</w:t>
      </w:r>
      <w:r w:rsidR="00056C53" w:rsidRPr="009575C5">
        <w:rPr>
          <w:rFonts w:ascii="Bookman Old Style" w:hAnsi="Bookman Old Style" w:cs="Arial"/>
        </w:rPr>
        <w:t>2</w:t>
      </w:r>
      <w:r w:rsidRPr="009575C5">
        <w:rPr>
          <w:rFonts w:ascii="Bookman Old Style" w:hAnsi="Bookman Old Style" w:cs="Arial"/>
        </w:rPr>
        <w:t>,</w:t>
      </w:r>
      <w:r w:rsidRPr="00400FD6">
        <w:rPr>
          <w:rFonts w:ascii="Bookman Old Style" w:hAnsi="Bookman Old Style" w:cs="Arial"/>
        </w:rPr>
        <w:t xml:space="preserve"> se</w:t>
      </w:r>
      <w:r w:rsidRPr="00D03E47">
        <w:rPr>
          <w:rFonts w:ascii="Bookman Old Style" w:hAnsi="Bookman Old Style" w:cs="Arial"/>
        </w:rPr>
        <w:t xml:space="preserv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las</w:t>
      </w:r>
      <w:r w:rsidRPr="00D03E47">
        <w:rPr>
          <w:rFonts w:ascii="Bookman Old Style" w:hAnsi="Bookman Old Style" w:cs="Arial"/>
        </w:rPr>
        <w:t xml:space="preserve">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ones</w:t>
      </w:r>
      <w:r w:rsidRPr="00D03E47">
        <w:rPr>
          <w:rFonts w:ascii="Bookman Old Style" w:hAnsi="Bookman Old Style" w:cs="Arial"/>
        </w:rPr>
        <w:t xml:space="preserve"> CREG </w:t>
      </w:r>
      <w:r>
        <w:rPr>
          <w:rFonts w:ascii="Bookman Old Style" w:hAnsi="Bookman Old Style" w:cs="Arial"/>
        </w:rPr>
        <w:t>202</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3</w:t>
      </w:r>
      <w:r>
        <w:rPr>
          <w:rFonts w:ascii="Bookman Old Style" w:hAnsi="Bookman Old Style" w:cs="Arial"/>
        </w:rPr>
        <w:t xml:space="preserve"> y modificatorias</w:t>
      </w:r>
      <w:r w:rsidRPr="00D03E47">
        <w:rPr>
          <w:rFonts w:ascii="Bookman Old Style" w:hAnsi="Bookman Old Style" w:cs="Arial"/>
        </w:rPr>
        <w:t>, según se relacionan, con su respectivo sustento, en el documento sop</w:t>
      </w:r>
      <w:r>
        <w:rPr>
          <w:rFonts w:ascii="Bookman Old Style" w:hAnsi="Bookman Old Style" w:cs="Arial"/>
        </w:rPr>
        <w:t>orte de la presente Resolución.</w:t>
      </w:r>
    </w:p>
    <w:p w:rsidR="00FF03E8" w:rsidRPr="001954E9" w:rsidRDefault="00FF03E8" w:rsidP="009C5BF2">
      <w:pPr>
        <w:ind w:left="0" w:right="-93"/>
        <w:jc w:val="both"/>
        <w:rPr>
          <w:rFonts w:ascii="Bookman Old Style" w:hAnsi="Bookman Old Style" w:cs="Arial"/>
        </w:rPr>
      </w:pPr>
    </w:p>
    <w:p w:rsidR="00C87369" w:rsidRPr="001954E9" w:rsidRDefault="002F5D62" w:rsidP="00F36B65">
      <w:pPr>
        <w:numPr>
          <w:ilvl w:val="0"/>
          <w:numId w:val="2"/>
        </w:numPr>
        <w:ind w:left="567" w:hanging="567"/>
        <w:jc w:val="both"/>
        <w:rPr>
          <w:rFonts w:ascii="Bookman Old Style" w:hAnsi="Bookman Old Style" w:cs="Arial"/>
          <w:b/>
          <w:lang w:val="es-ES_tradnl"/>
        </w:rPr>
      </w:pPr>
      <w:r w:rsidRPr="001954E9">
        <w:rPr>
          <w:rFonts w:ascii="Bookman Old Style" w:hAnsi="Bookman Old Style" w:cs="Arial"/>
          <w:b/>
          <w:lang w:val="es-ES_tradnl"/>
        </w:rPr>
        <w:t xml:space="preserve">Aspectos previos. </w:t>
      </w:r>
      <w:r w:rsidR="00C87369" w:rsidRPr="001954E9">
        <w:rPr>
          <w:rFonts w:ascii="Bookman Old Style" w:hAnsi="Bookman Old Style" w:cs="Arial"/>
          <w:b/>
          <w:lang w:val="es-ES_tradnl"/>
        </w:rPr>
        <w:t>Alcance de las facultades regulatorias de la CREG en el marco de la Ley 142 de 1994</w:t>
      </w:r>
      <w:r w:rsidR="009B3836" w:rsidRPr="001954E9">
        <w:rPr>
          <w:rFonts w:ascii="Bookman Old Style" w:hAnsi="Bookman Old Style" w:cs="Arial"/>
          <w:b/>
          <w:lang w:val="es-ES_tradnl"/>
        </w:rPr>
        <w:t>.</w:t>
      </w:r>
    </w:p>
    <w:p w:rsidR="00C87369" w:rsidRPr="001954E9" w:rsidRDefault="00C87369" w:rsidP="009C5BF2">
      <w:pPr>
        <w:ind w:left="0" w:right="-93"/>
        <w:jc w:val="both"/>
        <w:rPr>
          <w:rFonts w:ascii="Bookman Old Style" w:hAnsi="Bookman Old Style" w:cs="Arial"/>
          <w:lang w:val="es-ES_tradnl"/>
        </w:rPr>
      </w:pPr>
    </w:p>
    <w:p w:rsidR="002F30E3" w:rsidRPr="00F03E6D" w:rsidRDefault="002F30E3" w:rsidP="002F30E3">
      <w:pPr>
        <w:ind w:left="0"/>
        <w:jc w:val="both"/>
        <w:rPr>
          <w:rFonts w:ascii="Bookman Old Style" w:hAnsi="Bookman Old Style"/>
        </w:rPr>
      </w:pPr>
      <w:r w:rsidRPr="00F03E6D">
        <w:rPr>
          <w:rFonts w:ascii="Bookman Old Style" w:hAnsi="Bookman Old Style"/>
        </w:rPr>
        <w:t xml:space="preserve">Los principios, finalidades y normas establecidas por el legislador en materia de tarifas, y las funciones que sobre esta materia cumple </w:t>
      </w:r>
      <w:smartTag w:uri="urn:schemas-microsoft-com:office:smarttags" w:element="PersonName">
        <w:smartTagPr>
          <w:attr w:name="ProductID" w:val="la CREG"/>
        </w:smartTagPr>
        <w:r w:rsidRPr="00F03E6D">
          <w:rPr>
            <w:rFonts w:ascii="Bookman Old Style" w:hAnsi="Bookman Old Style"/>
          </w:rPr>
          <w:t>la CREG</w:t>
        </w:r>
      </w:smartTag>
      <w:r w:rsidRPr="00F03E6D">
        <w:rPr>
          <w:rFonts w:ascii="Bookman Old Style" w:hAnsi="Bookman Old Style"/>
        </w:rPr>
        <w:t xml:space="preserve">, tienen unos fines sociales y económicos, de rango constitucional y legal y sobre los cuales la jurisprudencia constitucional se ha pronunciado de manera general, así: </w:t>
      </w:r>
    </w:p>
    <w:p w:rsidR="002F30E3" w:rsidRPr="00AD0DCA" w:rsidRDefault="002F30E3" w:rsidP="002F30E3">
      <w:pPr>
        <w:ind w:left="0"/>
        <w:jc w:val="both"/>
        <w:rPr>
          <w:rFonts w:ascii="Bookman Old Style" w:hAnsi="Bookman Old Style"/>
          <w:i/>
          <w:sz w:val="20"/>
          <w:szCs w:val="20"/>
        </w:rPr>
      </w:pPr>
    </w:p>
    <w:p w:rsidR="002F30E3" w:rsidRPr="00AD0DCA" w:rsidRDefault="002F30E3" w:rsidP="006200C5">
      <w:pPr>
        <w:ind w:left="284" w:right="284"/>
        <w:jc w:val="both"/>
        <w:rPr>
          <w:rFonts w:ascii="Bookman Old Style" w:hAnsi="Bookman Old Style"/>
          <w:i/>
          <w:sz w:val="20"/>
          <w:szCs w:val="20"/>
          <w:shd w:val="clear" w:color="auto" w:fill="FFFFFF"/>
        </w:rPr>
      </w:pPr>
      <w:r w:rsidRPr="00F03E6D">
        <w:rPr>
          <w:rFonts w:ascii="Bookman Old Style" w:hAnsi="Bookman Old Style"/>
          <w:i/>
          <w:sz w:val="22"/>
          <w:szCs w:val="22"/>
        </w:rPr>
        <w:t>“</w:t>
      </w:r>
      <w:r w:rsidRPr="00F03E6D">
        <w:rPr>
          <w:rFonts w:ascii="Bookman Old Style" w:hAnsi="Bookman Old Style"/>
          <w:i/>
          <w:sz w:val="22"/>
          <w:szCs w:val="22"/>
          <w:shd w:val="clear" w:color="auto" w:fill="FFFFFF"/>
        </w:rPr>
        <w:t>En un Estado social de derecho la intervención estatal en el ámbito socio–económico puede obedecer al cumplimiento de diversas funciones generalmente agrupadas en cuatro grandes categorías: una función de redistribución del ingreso y de la propiedad</w:t>
      </w:r>
      <w:hyperlink r:id="rId10" w:anchor="_ftn87" w:history="1">
        <w:r w:rsidRPr="00F03E6D">
          <w:rPr>
            <w:rFonts w:ascii="Bookman Old Style" w:hAnsi="Bookman Old Style"/>
            <w:i/>
            <w:sz w:val="22"/>
            <w:szCs w:val="22"/>
            <w:u w:val="single"/>
          </w:rPr>
          <w:t>[87]</w:t>
        </w:r>
      </w:hyperlink>
      <w:r w:rsidRPr="00F03E6D">
        <w:rPr>
          <w:rFonts w:ascii="Bookman Old Style" w:hAnsi="Bookman Old Style"/>
          <w:i/>
          <w:sz w:val="22"/>
          <w:szCs w:val="22"/>
        </w:rPr>
        <w:t> </w:t>
      </w:r>
      <w:r w:rsidRPr="00F03E6D">
        <w:rPr>
          <w:rFonts w:ascii="Bookman Old Style" w:hAnsi="Bookman Old Style"/>
          <w:i/>
          <w:sz w:val="22"/>
          <w:szCs w:val="22"/>
          <w:shd w:val="clear" w:color="auto" w:fill="FFFFFF"/>
        </w:rPr>
        <w:t xml:space="preserve">expresamente consagrada en varias disposiciones de </w:t>
      </w:r>
      <w:smartTag w:uri="urn:schemas-microsoft-com:office:smarttags" w:element="PersonName">
        <w:smartTagPr>
          <w:attr w:name="ProductID" w:val="La Constituci￳n"/>
        </w:smartTagPr>
        <w:r w:rsidRPr="00F03E6D">
          <w:rPr>
            <w:rFonts w:ascii="Bookman Old Style" w:hAnsi="Bookman Old Style"/>
            <w:i/>
            <w:sz w:val="22"/>
            <w:szCs w:val="22"/>
            <w:shd w:val="clear" w:color="auto" w:fill="FFFFFF"/>
          </w:rPr>
          <w:t>la Constitución</w:t>
        </w:r>
      </w:smartTag>
      <w:r w:rsidRPr="00F03E6D">
        <w:rPr>
          <w:rFonts w:ascii="Bookman Old Style" w:hAnsi="Bookman Old Style"/>
          <w:i/>
          <w:sz w:val="22"/>
          <w:szCs w:val="22"/>
          <w:shd w:val="clear" w:color="auto" w:fill="FFFFFF"/>
        </w:rPr>
        <w:t xml:space="preserve"> con miras a alcanzar un "orden político, económico y social justo" (Preámbulo); una función de estabilización económica también consagrada en diversas normas superiores (artículos 334 inc, 1°, 339, 347, 371 y 373 de </w:t>
      </w:r>
      <w:smartTag w:uri="urn:schemas-microsoft-com:office:smarttags" w:element="PersonName">
        <w:smartTagPr>
          <w:attr w:name="ProductID" w:val="la C.P"/>
        </w:smartTagPr>
        <w:r w:rsidRPr="00F03E6D">
          <w:rPr>
            <w:rFonts w:ascii="Bookman Old Style" w:hAnsi="Bookman Old Style"/>
            <w:i/>
            <w:sz w:val="22"/>
            <w:szCs w:val="22"/>
            <w:shd w:val="clear" w:color="auto" w:fill="FFFFFF"/>
          </w:rPr>
          <w:t>la C.P</w:t>
        </w:r>
      </w:smartTag>
      <w:r w:rsidRPr="00F03E6D">
        <w:rPr>
          <w:rFonts w:ascii="Bookman Old Style" w:hAnsi="Bookman Old Style"/>
          <w:i/>
          <w:sz w:val="22"/>
          <w:szCs w:val="22"/>
          <w:shd w:val="clear" w:color="auto" w:fill="FFFFFF"/>
        </w:rPr>
        <w:t xml:space="preserve">.); una función de regulación económica y social de múltiples sectores y actividades específicas según los diversos parámetros trazados en </w:t>
      </w:r>
      <w:smartTag w:uri="urn:schemas-microsoft-com:office:smarttags" w:element="PersonName">
        <w:smartTagPr>
          <w:attr w:name="ProductID" w:val="La Constituci￳n"/>
        </w:smartTagPr>
        <w:r w:rsidRPr="00F03E6D">
          <w:rPr>
            <w:rFonts w:ascii="Bookman Old Style" w:hAnsi="Bookman Old Style"/>
            <w:i/>
            <w:sz w:val="22"/>
            <w:szCs w:val="22"/>
            <w:shd w:val="clear" w:color="auto" w:fill="FFFFFF"/>
          </w:rPr>
          <w:t>la Constitución</w:t>
        </w:r>
      </w:smartTag>
      <w:r w:rsidRPr="00F03E6D">
        <w:rPr>
          <w:rFonts w:ascii="Bookman Old Style" w:hAnsi="Bookman Old Style"/>
          <w:i/>
          <w:sz w:val="22"/>
          <w:szCs w:val="22"/>
          <w:shd w:val="clear" w:color="auto" w:fill="FFFFFF"/>
        </w:rPr>
        <w:t xml:space="preserve">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"función social" (artículo </w:t>
      </w:r>
      <w:smartTag w:uri="urn:schemas-microsoft-com:office:smarttags" w:element="metricconverter">
        <w:smartTagPr>
          <w:attr w:name="ProductID" w:val="58 C"/>
        </w:smartTagPr>
        <w:r w:rsidRPr="00F03E6D">
          <w:rPr>
            <w:rFonts w:ascii="Bookman Old Style" w:hAnsi="Bookman Old Style"/>
            <w:i/>
            <w:sz w:val="22"/>
            <w:szCs w:val="22"/>
            <w:shd w:val="clear" w:color="auto" w:fill="FFFFFF"/>
          </w:rPr>
          <w:t>58 C</w:t>
        </w:r>
      </w:smartTag>
      <w:r w:rsidRPr="00F03E6D">
        <w:rPr>
          <w:rFonts w:ascii="Bookman Old Style" w:hAnsi="Bookman Old Style"/>
          <w:i/>
          <w:sz w:val="22"/>
          <w:szCs w:val="22"/>
          <w:shd w:val="clear" w:color="auto" w:fill="FFFFFF"/>
        </w:rPr>
        <w:t xml:space="preserve">.P.) o la libertad de iniciativa privada y de la actividad económica siempre que se respete también la "función social" de la empresa (artículo </w:t>
      </w:r>
      <w:smartTag w:uri="urn:schemas-microsoft-com:office:smarttags" w:element="metricconverter">
        <w:smartTagPr>
          <w:attr w:name="ProductID" w:val="333 C"/>
        </w:smartTagPr>
        <w:r w:rsidRPr="00F03E6D">
          <w:rPr>
            <w:rFonts w:ascii="Bookman Old Style" w:hAnsi="Bookman Old Style"/>
            <w:i/>
            <w:sz w:val="22"/>
            <w:szCs w:val="22"/>
            <w:shd w:val="clear" w:color="auto" w:fill="FFFFFF"/>
          </w:rPr>
          <w:t>333 C</w:t>
        </w:r>
      </w:smartTag>
      <w:r w:rsidRPr="00F03E6D">
        <w:rPr>
          <w:rFonts w:ascii="Bookman Old Style" w:hAnsi="Bookman Old Style"/>
          <w:i/>
          <w:sz w:val="22"/>
          <w:szCs w:val="22"/>
          <w:shd w:val="clear" w:color="auto" w:fill="FFFFFF"/>
        </w:rPr>
        <w:t xml:space="preserve">.P.) en aras de la "distribución equitativa de las oportunidades y los beneficios del desarrollo" (artículo </w:t>
      </w:r>
      <w:smartTag w:uri="urn:schemas-microsoft-com:office:smarttags" w:element="metricconverter">
        <w:smartTagPr>
          <w:attr w:name="ProductID" w:val="334 C"/>
        </w:smartTagPr>
        <w:r w:rsidRPr="00F03E6D">
          <w:rPr>
            <w:rFonts w:ascii="Bookman Old Style" w:hAnsi="Bookman Old Style"/>
            <w:i/>
            <w:sz w:val="22"/>
            <w:szCs w:val="22"/>
            <w:shd w:val="clear" w:color="auto" w:fill="FFFFFF"/>
          </w:rPr>
          <w:t>334 C</w:t>
        </w:r>
      </w:smartTag>
      <w:r w:rsidRPr="00F03E6D">
        <w:rPr>
          <w:rFonts w:ascii="Bookman Old Style" w:hAnsi="Bookman Old Style"/>
          <w:i/>
          <w:sz w:val="22"/>
          <w:szCs w:val="22"/>
          <w:shd w:val="clear" w:color="auto" w:fill="FFFFFF"/>
        </w:rPr>
        <w:t>.P.)</w:t>
      </w:r>
      <w:hyperlink r:id="rId11" w:anchor="_ftn88" w:history="1">
        <w:r w:rsidRPr="00F03E6D">
          <w:rPr>
            <w:rFonts w:ascii="Bookman Old Style" w:hAnsi="Bookman Old Style"/>
            <w:i/>
            <w:sz w:val="22"/>
            <w:szCs w:val="22"/>
            <w:u w:val="single"/>
          </w:rPr>
          <w:t>[88]</w:t>
        </w:r>
      </w:hyperlink>
      <w:r w:rsidRPr="00F03E6D">
        <w:rPr>
          <w:rFonts w:ascii="Bookman Old Style" w:hAnsi="Bookman Old Style"/>
          <w:i/>
          <w:sz w:val="22"/>
          <w:szCs w:val="22"/>
          <w:shd w:val="clear" w:color="auto" w:fill="FFFFFF"/>
        </w:rPr>
        <w:t>”</w:t>
      </w:r>
      <w:r w:rsidRPr="00AD0DCA">
        <w:rPr>
          <w:rFonts w:ascii="Bookman Old Style" w:hAnsi="Bookman Old Style"/>
          <w:i/>
          <w:sz w:val="20"/>
          <w:szCs w:val="20"/>
          <w:shd w:val="clear" w:color="auto" w:fill="FFFFFF"/>
        </w:rPr>
        <w:t>.</w:t>
      </w:r>
      <w:r w:rsidRPr="00AD0DCA">
        <w:rPr>
          <w:rStyle w:val="Refdenotaalpie"/>
          <w:rFonts w:ascii="Bookman Old Style" w:hAnsi="Bookman Old Style"/>
          <w:i/>
          <w:sz w:val="20"/>
          <w:szCs w:val="20"/>
          <w:shd w:val="clear" w:color="auto" w:fill="FFFFFF"/>
        </w:rPr>
        <w:footnoteReference w:id="1"/>
      </w:r>
      <w:r w:rsidRPr="00AD0DCA">
        <w:rPr>
          <w:rFonts w:ascii="Bookman Old Style" w:hAnsi="Bookman Old Style"/>
          <w:i/>
          <w:sz w:val="20"/>
          <w:szCs w:val="20"/>
          <w:shd w:val="clear" w:color="auto" w:fill="FFFFFF"/>
        </w:rPr>
        <w:t>.</w:t>
      </w:r>
    </w:p>
    <w:p w:rsidR="002F30E3" w:rsidRPr="00AD0DCA" w:rsidRDefault="002F30E3" w:rsidP="002F30E3">
      <w:pPr>
        <w:ind w:left="0"/>
        <w:jc w:val="both"/>
        <w:rPr>
          <w:rFonts w:ascii="Bookman Old Style" w:hAnsi="Bookman Old Style"/>
          <w:i/>
          <w:sz w:val="20"/>
          <w:szCs w:val="20"/>
          <w:shd w:val="clear" w:color="auto" w:fill="FFFFFF"/>
        </w:rPr>
      </w:pPr>
    </w:p>
    <w:p w:rsidR="002F30E3" w:rsidRPr="00F03E6D" w:rsidRDefault="002F30E3" w:rsidP="002F30E3">
      <w:pPr>
        <w:ind w:left="0"/>
        <w:jc w:val="both"/>
        <w:rPr>
          <w:rFonts w:ascii="Bookman Old Style" w:hAnsi="Bookman Old Style"/>
          <w:shd w:val="clear" w:color="auto" w:fill="FFFFFF"/>
        </w:rPr>
      </w:pPr>
      <w:r w:rsidRPr="00F03E6D">
        <w:rPr>
          <w:rFonts w:ascii="Bookman Old Style" w:hAnsi="Bookman Old Style"/>
          <w:shd w:val="clear" w:color="auto" w:fill="FFFFFF"/>
        </w:rPr>
        <w:lastRenderedPageBreak/>
        <w:t>Precisamente es este último artículo 334 el desarrollado por la Ley 142 de 1994 en materia de regulación; que se concreta en la intervención económica del Estado en los servicios públicos domiciliarios mediante la cual se obligan a quienes prestan esos servicios al acatamiento de los principios, normas y reglamentos que se expidan (Ley 142, art. 14.18).</w:t>
      </w:r>
    </w:p>
    <w:p w:rsidR="002F30E3" w:rsidRPr="00F03E6D" w:rsidRDefault="002F30E3" w:rsidP="002F30E3">
      <w:pPr>
        <w:ind w:left="0"/>
        <w:jc w:val="both"/>
        <w:rPr>
          <w:rFonts w:ascii="Bookman Old Style" w:hAnsi="Bookman Old Style"/>
          <w:shd w:val="clear" w:color="auto" w:fill="FFFFFF"/>
        </w:rPr>
      </w:pPr>
    </w:p>
    <w:p w:rsidR="002F30E3" w:rsidRPr="00F03E6D" w:rsidRDefault="002F30E3" w:rsidP="002F30E3">
      <w:pPr>
        <w:ind w:left="0"/>
        <w:jc w:val="both"/>
        <w:rPr>
          <w:rFonts w:ascii="Bookman Old Style" w:hAnsi="Bookman Old Style"/>
          <w:shd w:val="clear" w:color="auto" w:fill="FFFFFF"/>
        </w:rPr>
      </w:pP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F03E6D">
            <w:rPr>
              <w:rFonts w:ascii="Bookman Old Style" w:hAnsi="Bookman Old Style"/>
              <w:shd w:val="clear" w:color="auto" w:fill="FFFFFF"/>
            </w:rPr>
            <w:t>La Corte</w:t>
          </w:r>
        </w:smartTag>
        <w:r w:rsidRPr="00F03E6D">
          <w:rPr>
            <w:rFonts w:ascii="Bookman Old Style" w:hAnsi="Bookman Old Style"/>
            <w:shd w:val="clear" w:color="auto" w:fill="FFFFFF"/>
          </w:rPr>
          <w:t xml:space="preserve"> Constitucional</w:t>
        </w:r>
      </w:smartTag>
      <w:r w:rsidRPr="00F03E6D">
        <w:rPr>
          <w:rFonts w:ascii="Bookman Old Style" w:hAnsi="Bookman Old Style"/>
          <w:shd w:val="clear" w:color="auto" w:fill="FFFFFF"/>
        </w:rPr>
        <w:t xml:space="preserve"> se ha referido a este tema en los siguientes términos:</w:t>
      </w:r>
    </w:p>
    <w:p w:rsidR="002F30E3" w:rsidRPr="00AD0DCA" w:rsidRDefault="002F30E3" w:rsidP="002F30E3">
      <w:pPr>
        <w:ind w:left="0"/>
        <w:jc w:val="both"/>
        <w:rPr>
          <w:rFonts w:ascii="Bookman Old Style" w:hAnsi="Bookman Old Style"/>
          <w:i/>
          <w:sz w:val="22"/>
          <w:szCs w:val="22"/>
          <w:shd w:val="clear" w:color="auto" w:fill="FFFFFF"/>
        </w:rPr>
      </w:pPr>
    </w:p>
    <w:p w:rsidR="002F30E3" w:rsidRPr="00AD0DCA" w:rsidRDefault="002F30E3" w:rsidP="006200C5">
      <w:pPr>
        <w:ind w:left="284" w:right="284"/>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“La regulación, en tanto que mecanismo de intervención del estado, busca garantizar la efectividad de los principios sociales y el adecuado funcionamiento del mercado… En este contexto, </w:t>
      </w:r>
      <w:smartTag w:uri="urn:schemas-microsoft-com:office:smarttags" w:element="PersonName">
        <w:smartTagPr>
          <w:attr w:name="ProductID" w:val="la Carta"/>
        </w:smartTagPr>
        <w:r w:rsidRPr="00AD0DCA">
          <w:rPr>
            <w:rFonts w:ascii="Bookman Old Style" w:hAnsi="Bookman Old Style"/>
            <w:i/>
            <w:sz w:val="22"/>
            <w:szCs w:val="22"/>
            <w:shd w:val="clear" w:color="auto" w:fill="FFFFFF"/>
          </w:rPr>
          <w:t>la Carta</w:t>
        </w:r>
      </w:smartTag>
      <w:r w:rsidRPr="00AD0DCA">
        <w:rPr>
          <w:rFonts w:ascii="Bookman Old Style" w:hAnsi="Bookman Old Style"/>
          <w:i/>
          <w:sz w:val="22"/>
          <w:szCs w:val="22"/>
          <w:shd w:val="clear" w:color="auto" w:fill="FFFFFF"/>
        </w:rPr>
        <w:t xml:space="preserve"> indica que los servicios públicos son inherentes a la finalidad social del Estado (art. 365 inc. Primero de </w:t>
      </w:r>
      <w:smartTag w:uri="urn:schemas-microsoft-com:office:smarttags" w:element="PersonName">
        <w:smartTagPr>
          <w:attr w:name="ProductID" w:val="la C.P"/>
        </w:smartTagPr>
        <w:r w:rsidRPr="00AD0DCA">
          <w:rPr>
            <w:rFonts w:ascii="Bookman Old Style" w:hAnsi="Bookman Old Style"/>
            <w:i/>
            <w:sz w:val="22"/>
            <w:szCs w:val="22"/>
            <w:shd w:val="clear" w:color="auto" w:fill="FFFFFF"/>
          </w:rPr>
          <w:t>la C.P</w:t>
        </w:r>
      </w:smartTag>
      <w:r w:rsidRPr="00AD0DCA">
        <w:rPr>
          <w:rFonts w:ascii="Bookman Old Style" w:hAnsi="Bookman Old Style"/>
          <w:i/>
          <w:sz w:val="22"/>
          <w:szCs w:val="22"/>
          <w:shd w:val="clear" w:color="auto" w:fill="FFFFFF"/>
        </w:rPr>
        <w:t>.), lo cual comprende el bienestar general y el mejoramiento de la calidad de vida de la población (art. 366). No podía ser de otra forma dado que, por una parte, la realización de los derechos fundamentales de las personas depende en gran medida de la adecuada prestación de los servicios públicos – p. ej. de agua, salud, saneamiento básico, energía, transporte, etc.- y que, por otra, el Constituyente ha optado por una forma estatal, el Estado Social de Derecho, destinada a corregir la deuda social existente en el país con los sectores sociales más desfavorecidos mediante un sistema político que busca la progresiva inclusión de todos los beneficios del progreso”.</w:t>
      </w:r>
      <w:r w:rsidRPr="00AD0DCA">
        <w:rPr>
          <w:rStyle w:val="Refdenotaalpie"/>
          <w:rFonts w:ascii="Bookman Old Style" w:hAnsi="Bookman Old Style"/>
          <w:i/>
          <w:sz w:val="22"/>
          <w:szCs w:val="22"/>
          <w:shd w:val="clear" w:color="auto" w:fill="FFFFFF"/>
        </w:rPr>
        <w:footnoteReference w:id="2"/>
      </w:r>
      <w:r w:rsidRPr="00AD0DCA">
        <w:rPr>
          <w:rFonts w:ascii="Bookman Old Style" w:hAnsi="Bookman Old Style"/>
          <w:i/>
          <w:sz w:val="22"/>
          <w:szCs w:val="22"/>
          <w:shd w:val="clear" w:color="auto" w:fill="FFFFFF"/>
        </w:rPr>
        <w:t xml:space="preserve">. </w:t>
      </w:r>
    </w:p>
    <w:p w:rsidR="002F30E3" w:rsidRPr="00AD0DCA" w:rsidRDefault="002F30E3" w:rsidP="002F30E3">
      <w:pPr>
        <w:ind w:left="0"/>
        <w:jc w:val="both"/>
        <w:rPr>
          <w:rFonts w:ascii="Bookman Old Style" w:hAnsi="Bookman Old Style"/>
          <w:i/>
          <w:sz w:val="22"/>
          <w:szCs w:val="22"/>
          <w:shd w:val="clear" w:color="auto" w:fill="FFFFFF"/>
        </w:rPr>
      </w:pPr>
    </w:p>
    <w:p w:rsidR="002F30E3" w:rsidRPr="00F03E6D" w:rsidRDefault="002F30E3" w:rsidP="002F30E3">
      <w:pPr>
        <w:ind w:left="0"/>
        <w:jc w:val="both"/>
        <w:rPr>
          <w:rFonts w:ascii="Bookman Old Style" w:hAnsi="Bookman Old Style"/>
          <w:shd w:val="clear" w:color="auto" w:fill="FFFFFF"/>
        </w:rPr>
      </w:pPr>
      <w:r w:rsidRPr="00F03E6D">
        <w:rPr>
          <w:rFonts w:ascii="Bookman Old Style" w:hAnsi="Bookman Old Style"/>
          <w:shd w:val="clear" w:color="auto" w:fill="FFFFFF"/>
        </w:rPr>
        <w:t xml:space="preserve">A lo anteriormente señalado por la jurisprudencia, se suma lo dispuesto en el Preámbulo de </w:t>
      </w:r>
      <w:smartTag w:uri="urn:schemas-microsoft-com:office:smarttags" w:element="PersonName">
        <w:smartTagPr>
          <w:attr w:name="ProductID" w:val="La Constituci￳n"/>
        </w:smartTagPr>
        <w:r w:rsidRPr="00F03E6D">
          <w:rPr>
            <w:rFonts w:ascii="Bookman Old Style" w:hAnsi="Bookman Old Style"/>
            <w:shd w:val="clear" w:color="auto" w:fill="FFFFFF"/>
          </w:rPr>
          <w:t>la Constitución</w:t>
        </w:r>
      </w:smartTag>
      <w:r w:rsidRPr="00F03E6D">
        <w:rPr>
          <w:rFonts w:ascii="Bookman Old Style" w:hAnsi="Bookman Old Style"/>
          <w:shd w:val="clear" w:color="auto" w:fill="FFFFFF"/>
        </w:rPr>
        <w:t xml:space="preserve">, sobre los fines del Estado entre otros: </w:t>
      </w:r>
    </w:p>
    <w:p w:rsidR="002F30E3" w:rsidRPr="00AD0DCA" w:rsidRDefault="002F30E3" w:rsidP="002F30E3">
      <w:pPr>
        <w:ind w:left="0"/>
        <w:jc w:val="both"/>
        <w:rPr>
          <w:rFonts w:ascii="Bookman Old Style" w:hAnsi="Bookman Old Style"/>
          <w:sz w:val="22"/>
          <w:szCs w:val="22"/>
          <w:shd w:val="clear" w:color="auto" w:fill="FFFFFF"/>
        </w:rPr>
      </w:pPr>
    </w:p>
    <w:p w:rsidR="002F30E3" w:rsidRPr="00AD0DCA" w:rsidRDefault="002F30E3" w:rsidP="006200C5">
      <w:pPr>
        <w:ind w:left="284" w:right="284"/>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“asegurar a sus integrantes la vida, la convivencia, el trabajo, la justicia, la igualdad, el conocimiento, la libertad y la paz, dentro de un marco jurídico, democrático y participativo que garantice un orden político, económico y social justo”, que según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son “expresiones todas estas del bien común como desiderátum de la sociedad y el estado”</w:t>
      </w:r>
      <w:r w:rsidRPr="00AD0DCA">
        <w:rPr>
          <w:rStyle w:val="Refdenotaalpie"/>
          <w:rFonts w:ascii="Bookman Old Style" w:hAnsi="Bookman Old Style"/>
          <w:i/>
          <w:sz w:val="22"/>
          <w:szCs w:val="22"/>
          <w:shd w:val="clear" w:color="auto" w:fill="FFFFFF"/>
        </w:rPr>
        <w:footnoteReference w:id="3"/>
      </w:r>
      <w:r w:rsidRPr="00AD0DCA">
        <w:rPr>
          <w:rFonts w:ascii="Bookman Old Style" w:hAnsi="Bookman Old Style"/>
          <w:i/>
          <w:sz w:val="22"/>
          <w:szCs w:val="22"/>
          <w:shd w:val="clear" w:color="auto" w:fill="FFFFFF"/>
        </w:rPr>
        <w:t xml:space="preserve">, y lo dispuesto en el artículo 1º., sobre la organización como estado social de derecho con </w:t>
      </w:r>
      <w:r w:rsidRPr="00AD0DCA">
        <w:rPr>
          <w:rFonts w:ascii="Bookman Old Style" w:hAnsi="Bookman Old Style"/>
          <w:i/>
          <w:sz w:val="22"/>
          <w:szCs w:val="22"/>
          <w:u w:val="single"/>
          <w:shd w:val="clear" w:color="auto" w:fill="FFFFFF"/>
        </w:rPr>
        <w:t>prevalencia del interés general</w:t>
      </w:r>
      <w:r w:rsidRPr="00AD0DCA">
        <w:rPr>
          <w:rFonts w:ascii="Bookman Old Style" w:hAnsi="Bookman Old Style"/>
          <w:i/>
          <w:sz w:val="22"/>
          <w:szCs w:val="22"/>
          <w:shd w:val="clear" w:color="auto" w:fill="FFFFFF"/>
        </w:rPr>
        <w:t xml:space="preserve">, y la obligatoriedad del ejercicio de la función administrativa al servicio de los intereses generales, se concluye que la función de regulación debe siempre ejercitarse dentro de ese interés general.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igualmente señala que los servidores públicos también deben actuar dentro de ese interés general cuando afirma que “los órganos que integran las ramas del poder público y las demás dependencias del Estado han de tener este principio constitucional como criterio básico en el ejercicio de sus atribuciones y competencias. De ahí que los servidores públicos, tal como lo declara el artículo 123 de </w:t>
      </w:r>
      <w:smartTag w:uri="urn:schemas-microsoft-com:office:smarttags" w:element="PersonName">
        <w:smartTagPr>
          <w:attr w:name="ProductID" w:val="La Constituci￳n"/>
        </w:smartTagPr>
        <w:r w:rsidRPr="00AD0DCA">
          <w:rPr>
            <w:rFonts w:ascii="Bookman Old Style" w:hAnsi="Bookman Old Style"/>
            <w:i/>
            <w:sz w:val="22"/>
            <w:szCs w:val="22"/>
            <w:shd w:val="clear" w:color="auto" w:fill="FFFFFF"/>
          </w:rPr>
          <w:t>la Constitución</w:t>
        </w:r>
      </w:smartTag>
      <w:r w:rsidRPr="00AD0DCA">
        <w:rPr>
          <w:rFonts w:ascii="Bookman Old Style" w:hAnsi="Bookman Old Style"/>
          <w:i/>
          <w:sz w:val="22"/>
          <w:szCs w:val="22"/>
          <w:shd w:val="clear" w:color="auto" w:fill="FFFFFF"/>
        </w:rPr>
        <w:t>, está al servicio del Estado y de la comunidad”.</w:t>
      </w:r>
      <w:r w:rsidRPr="00AD0DCA">
        <w:rPr>
          <w:rStyle w:val="Refdenotaalpie"/>
          <w:rFonts w:ascii="Bookman Old Style" w:hAnsi="Bookman Old Style"/>
          <w:i/>
          <w:sz w:val="22"/>
          <w:szCs w:val="22"/>
          <w:shd w:val="clear" w:color="auto" w:fill="FFFFFF"/>
        </w:rPr>
        <w:footnoteReference w:id="4"/>
      </w:r>
      <w:r w:rsidRPr="00AD0DCA">
        <w:rPr>
          <w:rFonts w:ascii="Bookman Old Style" w:hAnsi="Bookman Old Style"/>
          <w:i/>
          <w:sz w:val="22"/>
          <w:szCs w:val="22"/>
          <w:shd w:val="clear" w:color="auto" w:fill="FFFFFF"/>
        </w:rPr>
        <w:t>.</w:t>
      </w:r>
    </w:p>
    <w:p w:rsidR="002F30E3" w:rsidRDefault="002F30E3"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 xml:space="preserve">En relación con </w:t>
      </w:r>
      <w:r w:rsidR="00BE76E0" w:rsidRPr="001954E9">
        <w:rPr>
          <w:rFonts w:ascii="Bookman Old Style" w:hAnsi="Bookman Old Style" w:cs="Arial"/>
          <w:lang w:val="es-ES_tradnl"/>
        </w:rPr>
        <w:t xml:space="preserve">el alcance de </w:t>
      </w:r>
      <w:r w:rsidRPr="001954E9">
        <w:rPr>
          <w:rFonts w:ascii="Bookman Old Style" w:hAnsi="Bookman Old Style" w:cs="Arial"/>
          <w:lang w:val="es-ES_tradnl"/>
        </w:rPr>
        <w:t>las atribuciones asignadas a esta Comisión en las leyes 142 y 143 de 1994</w:t>
      </w:r>
      <w:r w:rsidR="006328A4" w:rsidRPr="001954E9">
        <w:rPr>
          <w:rFonts w:ascii="Bookman Old Style" w:hAnsi="Bookman Old Style" w:cs="Arial"/>
          <w:lang w:val="es-ES_tradnl"/>
        </w:rPr>
        <w:t xml:space="preserve"> en materia regulatoria</w:t>
      </w:r>
      <w:r w:rsidRPr="001954E9">
        <w:rPr>
          <w:rFonts w:ascii="Bookman Old Style" w:hAnsi="Bookman Old Style" w:cs="Arial"/>
          <w:lang w:val="es-ES_tradnl"/>
        </w:rPr>
        <w:t>, se t</w:t>
      </w:r>
      <w:r w:rsidR="00EF6BDC" w:rsidRPr="001954E9">
        <w:rPr>
          <w:rFonts w:ascii="Bookman Old Style" w:hAnsi="Bookman Old Style" w:cs="Arial"/>
          <w:lang w:val="es-ES_tradnl"/>
        </w:rPr>
        <w:t>iene</w:t>
      </w:r>
      <w:r w:rsidRPr="001954E9">
        <w:rPr>
          <w:rFonts w:ascii="Bookman Old Style" w:hAnsi="Bookman Old Style" w:cs="Arial"/>
          <w:lang w:val="es-ES_tradnl"/>
        </w:rPr>
        <w:t xml:space="preserve"> en cuenta que el ejercicio de </w:t>
      </w:r>
      <w:r w:rsidR="006328A4" w:rsidRPr="001954E9">
        <w:rPr>
          <w:rFonts w:ascii="Bookman Old Style" w:hAnsi="Bookman Old Style" w:cs="Arial"/>
          <w:lang w:val="es-ES_tradnl"/>
        </w:rPr>
        <w:t>dicha facultad</w:t>
      </w:r>
      <w:r w:rsidRPr="001954E9">
        <w:rPr>
          <w:rFonts w:ascii="Bookman Old Style" w:hAnsi="Bookman Old Style" w:cs="Arial"/>
          <w:lang w:val="es-ES_tradnl"/>
        </w:rPr>
        <w:t xml:space="preserve">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w:t>
      </w:r>
      <w:r w:rsidR="006328A4" w:rsidRPr="001954E9">
        <w:rPr>
          <w:rFonts w:ascii="Bookman Old Style" w:hAnsi="Bookman Old Style" w:cs="Arial"/>
          <w:lang w:val="es-ES_tradnl"/>
        </w:rPr>
        <w:t>ansparente competencia, protegiendo los derechos de los usuarios, así como de</w:t>
      </w:r>
      <w:r w:rsidRPr="001954E9">
        <w:rPr>
          <w:rFonts w:ascii="Bookman Old Style" w:hAnsi="Bookman Old Style" w:cs="Arial"/>
          <w:lang w:val="es-ES_tradnl"/>
        </w:rPr>
        <w:t xml:space="preserve"> </w:t>
      </w:r>
      <w:r w:rsidRPr="001954E9">
        <w:rPr>
          <w:rFonts w:ascii="Bookman Old Style" w:hAnsi="Bookman Old Style" w:cs="Arial"/>
          <w:lang w:val="es-ES_tradnl"/>
        </w:rPr>
        <w:lastRenderedPageBreak/>
        <w:t>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5"/>
      </w:r>
      <w:r w:rsidRPr="001954E9">
        <w:rPr>
          <w:rFonts w:ascii="Bookman Old Style" w:hAnsi="Bookman Old Style" w:cs="Arial"/>
          <w:lang w:val="es-ES_tradnl"/>
        </w:rPr>
        <w:t xml:space="preserve"> previstos en dichas normas</w:t>
      </w:r>
      <w:r w:rsidR="006328A4" w:rsidRPr="001954E9">
        <w:rPr>
          <w:rFonts w:ascii="Bookman Old Style" w:hAnsi="Bookman Old Style" w:cs="Arial"/>
          <w:lang w:val="es-ES_tradnl"/>
        </w:rPr>
        <w:t>,</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rsidR="009C5BF2" w:rsidRPr="001954E9" w:rsidRDefault="009C5BF2"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1954E9">
        <w:rPr>
          <w:rFonts w:ascii="Bookman Old Style" w:eastAsia="Calibri" w:hAnsi="Bookman Old Style" w:cs="Arial"/>
          <w:vertAlign w:val="superscript"/>
          <w:lang w:val="es-ES_tradnl" w:eastAsia="en-US"/>
        </w:rPr>
        <w:footnoteReference w:id="6"/>
      </w:r>
      <w:r w:rsidRPr="001954E9">
        <w:rPr>
          <w:rFonts w:ascii="Bookman Old Style" w:eastAsia="Calibri" w:hAnsi="Bookman Old Style" w:cs="Arial"/>
          <w:lang w:val="es-ES_tradnl" w:eastAsia="en-US"/>
        </w:rPr>
        <w:t>, la corrección de las imperfecciones del mercado</w:t>
      </w:r>
      <w:r w:rsidRPr="001954E9">
        <w:rPr>
          <w:rFonts w:ascii="Bookman Old Style" w:eastAsia="Calibri" w:hAnsi="Bookman Old Style" w:cs="Arial"/>
          <w:vertAlign w:val="superscript"/>
          <w:lang w:val="es-ES_tradnl" w:eastAsia="en-US"/>
        </w:rPr>
        <w:footnoteReference w:id="7"/>
      </w:r>
      <w:r w:rsidRPr="001954E9">
        <w:rPr>
          <w:rFonts w:ascii="Bookman Old Style" w:eastAsia="Calibri" w:hAnsi="Bookman Old Style" w:cs="Arial"/>
          <w:lang w:val="es-ES_tradnl" w:eastAsia="en-US"/>
        </w:rPr>
        <w:t>, así como la satisfacción del interés general</w:t>
      </w:r>
      <w:r w:rsidRPr="001954E9">
        <w:rPr>
          <w:rFonts w:ascii="Bookman Old Style" w:eastAsia="Calibri" w:hAnsi="Bookman Old Style" w:cs="Arial"/>
          <w:vertAlign w:val="superscript"/>
          <w:lang w:val="es-ES_tradnl" w:eastAsia="en-US"/>
        </w:rPr>
        <w:footnoteReference w:id="8"/>
      </w:r>
      <w:r w:rsidRPr="001954E9">
        <w:rPr>
          <w:rFonts w:ascii="Bookman Old Style" w:eastAsia="Calibri" w:hAnsi="Bookman Old Style" w:cs="Arial"/>
          <w:lang w:val="es-ES_tradnl" w:eastAsia="en-US"/>
        </w:rPr>
        <w:t>. Así mismo, se debe considerar que los servicios públicos domiciliarios tienen una relación inescindible entre su prestación eficiente y la efectividad de los derechos fundamentales de las personas, de lo cual se entiende que su prestación ineficiente puede acarrear en la vulneración de un derecho fundamental, ya que</w:t>
      </w:r>
      <w:r w:rsidRPr="001954E9">
        <w:rPr>
          <w:rFonts w:ascii="Bookman Old Style" w:eastAsia="Calibri" w:hAnsi="Bookman Old Style" w:cs="Arial"/>
          <w:lang w:val="es-CO" w:eastAsia="en-US"/>
        </w:rPr>
        <w:t xml:space="preserve"> </w:t>
      </w:r>
      <w:r w:rsidRPr="001954E9">
        <w:rPr>
          <w:rFonts w:ascii="Bookman Old Style" w:eastAsia="Calibri" w:hAnsi="Bookman Old Style" w:cs="Arial"/>
          <w:lang w:val="es-ES_tradnl" w:eastAsia="en-US"/>
        </w:rPr>
        <w:t>su prestación eficiente asegura condiciones de vida digna de todos los habitantes del territorio nacional</w:t>
      </w:r>
      <w:r w:rsidRPr="001954E9">
        <w:rPr>
          <w:rStyle w:val="Refdenotaalpie"/>
          <w:rFonts w:ascii="Bookman Old Style" w:eastAsia="Calibri" w:hAnsi="Bookman Old Style" w:cs="Arial"/>
          <w:lang w:val="es-ES_tradnl" w:eastAsia="en-US"/>
        </w:rPr>
        <w:footnoteReference w:id="9"/>
      </w:r>
      <w:r w:rsidRPr="001954E9">
        <w:rPr>
          <w:rFonts w:ascii="Bookman Old Style" w:eastAsia="Calibri" w:hAnsi="Bookman Old Style" w:cs="Arial"/>
          <w:lang w:val="es-ES_tradnl" w:eastAsia="en-US"/>
        </w:rPr>
        <w:t xml:space="preserve">. </w:t>
      </w:r>
    </w:p>
    <w:p w:rsidR="009C5BF2" w:rsidRPr="001954E9" w:rsidRDefault="009C5BF2" w:rsidP="009C5BF2">
      <w:pPr>
        <w:ind w:left="0" w:right="-93"/>
        <w:jc w:val="both"/>
        <w:rPr>
          <w:rFonts w:ascii="Bookman Old Style" w:eastAsia="Calibri" w:hAnsi="Bookman Old Style" w:cs="Arial"/>
          <w:lang w:val="es-ES_tradnl" w:eastAsia="en-US"/>
        </w:rPr>
      </w:pPr>
    </w:p>
    <w:p w:rsidR="002F30E3"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 xml:space="preserve">Así mismo, el ejercicio de una atribución regulatoria implica un análisis de las disposiciones legales que las contienen, las cuales se encuentran principalmente en las leyes 142 y 143 de 1994. </w:t>
      </w:r>
    </w:p>
    <w:p w:rsidR="002F30E3" w:rsidRDefault="002F30E3" w:rsidP="009C5BF2">
      <w:pPr>
        <w:ind w:left="0" w:right="-93"/>
        <w:jc w:val="both"/>
        <w:rPr>
          <w:rFonts w:ascii="Bookman Old Style" w:hAnsi="Bookman Old Style" w:cs="Arial"/>
          <w:lang w:val="es-ES_tradnl"/>
        </w:rPr>
      </w:pPr>
    </w:p>
    <w:p w:rsidR="002F30E3"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Es por esto que, la aplicación de las disposiciones donde se encuentren normas relacionadas con el ejercicio de estas facultades regulatorias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w:t>
      </w:r>
      <w:r w:rsidR="006328A4" w:rsidRPr="001954E9">
        <w:rPr>
          <w:rFonts w:ascii="Bookman Old Style" w:hAnsi="Bookman Old Style" w:cs="Arial"/>
          <w:lang w:val="es-ES_tradnl"/>
        </w:rPr>
        <w:t>s</w:t>
      </w:r>
      <w:r w:rsidRPr="001954E9">
        <w:rPr>
          <w:rFonts w:ascii="Bookman Old Style" w:hAnsi="Bookman Old Style" w:cs="Arial"/>
          <w:lang w:val="es-ES_tradnl"/>
        </w:rPr>
        <w:t xml:space="preserve"> 209) y legales (Ley 1437 de 2011 artículo 3) que guían las actuaciones administrativas de esta Comisión</w:t>
      </w:r>
      <w:r w:rsidRPr="001954E9">
        <w:rPr>
          <w:rFonts w:ascii="Bookman Old Style" w:hAnsi="Bookman Old Style" w:cs="Arial"/>
          <w:vertAlign w:val="superscript"/>
          <w:lang w:val="es-ES_tradnl"/>
        </w:rPr>
        <w:footnoteReference w:id="10"/>
      </w:r>
      <w:r w:rsidRPr="001954E9">
        <w:rPr>
          <w:rFonts w:ascii="Bookman Old Style" w:hAnsi="Bookman Old Style" w:cs="Arial"/>
          <w:lang w:val="es-ES_tradnl"/>
        </w:rPr>
        <w:t xml:space="preserve">. </w:t>
      </w:r>
    </w:p>
    <w:p w:rsidR="002F30E3" w:rsidRDefault="002F30E3"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Esto teniendo en cuenta que el artículo 13 de la Ley 142 de 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rsidR="009C5BF2" w:rsidRPr="001954E9" w:rsidRDefault="009C5BF2"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w:t>
      </w:r>
      <w:r w:rsidR="006328A4" w:rsidRPr="001954E9">
        <w:rPr>
          <w:rFonts w:ascii="Bookman Old Style" w:hAnsi="Bookman Old Style" w:cs="Arial"/>
          <w:lang w:val="es-ES_tradnl"/>
        </w:rPr>
        <w:t xml:space="preserve">administrativas </w:t>
      </w:r>
      <w:r w:rsidRPr="001954E9">
        <w:rPr>
          <w:rFonts w:ascii="Bookman Old Style" w:hAnsi="Bookman Old Style" w:cs="Arial"/>
          <w:lang w:val="es-ES_tradnl"/>
        </w:rPr>
        <w:t xml:space="preserve">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12"/>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 </w:t>
      </w:r>
      <w:r w:rsidR="00175814">
        <w:rPr>
          <w:rFonts w:ascii="Bookman Old Style" w:eastAsia="Calibri" w:hAnsi="Bookman Old Style" w:cs="Arial"/>
          <w:lang w:val="es-ES_tradnl" w:eastAsia="en-US"/>
        </w:rPr>
        <w:t xml:space="preserve">de </w:t>
      </w:r>
      <w:r w:rsidRPr="001954E9">
        <w:rPr>
          <w:rFonts w:ascii="Bookman Old Style" w:eastAsia="Calibri" w:hAnsi="Bookman Old Style" w:cs="Arial"/>
          <w:lang w:val="es-ES_tradnl" w:eastAsia="en-US"/>
        </w:rPr>
        <w:t>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13"/>
      </w:r>
      <w:r w:rsidRPr="001954E9">
        <w:rPr>
          <w:rFonts w:ascii="Bookman Old Style" w:eastAsia="Calibri" w:hAnsi="Bookman Old Style" w:cs="Arial"/>
          <w:i/>
          <w:lang w:val="es-ES_tradnl" w:eastAsia="en-US"/>
        </w:rPr>
        <w:t>.</w:t>
      </w:r>
    </w:p>
    <w:p w:rsidR="009C5BF2" w:rsidRPr="001954E9" w:rsidRDefault="009C5BF2" w:rsidP="009C5BF2">
      <w:pPr>
        <w:ind w:left="0" w:right="-142"/>
        <w:jc w:val="both"/>
        <w:rPr>
          <w:rFonts w:ascii="Bookman Old Style" w:eastAsia="Calibri" w:hAnsi="Bookman Old Style"/>
          <w:lang w:val="es-ES_tradnl" w:eastAsia="en-US"/>
        </w:rPr>
      </w:pPr>
    </w:p>
    <w:p w:rsidR="009C5BF2" w:rsidRPr="001954E9" w:rsidRDefault="009C5BF2" w:rsidP="00EA2219">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14"/>
      </w:r>
      <w:r w:rsidR="006328A4" w:rsidRPr="001954E9">
        <w:rPr>
          <w:rFonts w:ascii="Bookman Old Style" w:eastAsia="Calibri" w:hAnsi="Bookman Old Style" w:cs="Arial"/>
          <w:lang w:val="es-ES_tradnl" w:eastAsia="en-US"/>
        </w:rPr>
        <w:t>.</w:t>
      </w:r>
    </w:p>
    <w:p w:rsidR="009C5BF2" w:rsidRPr="001954E9" w:rsidRDefault="009C5BF2" w:rsidP="009C5BF2">
      <w:pPr>
        <w:ind w:left="0" w:right="-93"/>
        <w:jc w:val="both"/>
        <w:rPr>
          <w:rFonts w:ascii="Bookman Old Style" w:hAnsi="Bookman Old Style" w:cs="Arial"/>
          <w:lang w:val="es-ES_tradnl"/>
        </w:rPr>
      </w:pPr>
    </w:p>
    <w:p w:rsidR="002F30E3"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w:t>
      </w:r>
      <w:r w:rsidR="006328A4" w:rsidRPr="001954E9">
        <w:rPr>
          <w:rFonts w:ascii="Bookman Old Style" w:hAnsi="Bookman Old Style" w:cs="Arial"/>
          <w:lang w:val="es-ES_tradnl"/>
        </w:rPr>
        <w:t>,</w:t>
      </w:r>
      <w:r w:rsidRPr="001954E9">
        <w:rPr>
          <w:rFonts w:ascii="Bookman Old Style" w:hAnsi="Bookman Old Style" w:cs="Arial"/>
          <w:lang w:val="es-ES_tradnl"/>
        </w:rPr>
        <w:t xml:space="preserve"> ha sido expuesto por parte de la jurisprudencia</w:t>
      </w:r>
      <w:r w:rsidR="00BE76E0" w:rsidRPr="001954E9">
        <w:rPr>
          <w:rFonts w:ascii="Bookman Old Style" w:hAnsi="Bookman Old Style" w:cs="Arial"/>
          <w:lang w:val="es-ES_tradnl"/>
        </w:rPr>
        <w:t xml:space="preserve"> constitucional</w:t>
      </w:r>
      <w:r w:rsidRPr="001954E9">
        <w:rPr>
          <w:rFonts w:ascii="Bookman Old Style" w:hAnsi="Bookman Old Style" w:cs="Arial"/>
          <w:lang w:val="es-ES_tradnl"/>
        </w:rPr>
        <w:t>, en el caso del análisis de constitucionalidad del artículo 74 de la Ley 142 de 1994</w:t>
      </w:r>
      <w:r w:rsidR="006328A4" w:rsidRPr="001954E9">
        <w:rPr>
          <w:rFonts w:ascii="Bookman Old Style" w:hAnsi="Bookman Old Style" w:cs="Arial"/>
          <w:lang w:val="es-ES_tradnl"/>
        </w:rPr>
        <w:t xml:space="preserve"> (normas y tratamientos diferenciales de los agentes según su posición en el mercado)</w:t>
      </w:r>
      <w:r w:rsidRPr="001954E9">
        <w:rPr>
          <w:rFonts w:ascii="Bookman Old Style" w:hAnsi="Bookman Old Style" w:cs="Arial"/>
          <w:lang w:val="es-ES_tradnl"/>
        </w:rPr>
        <w:t>, donde se ha precisado que dichas funciones se deben ejercer dentro del marco fijado en la Constitución, la Ley y el reglamento, lo cual no excluye la posibilidad de dictar actos administrativos para asegurar una prestación eficiente de los servicios</w:t>
      </w:r>
      <w:r w:rsidR="00BE76E0" w:rsidRPr="001954E9">
        <w:rPr>
          <w:rFonts w:ascii="Bookman Old Style" w:hAnsi="Bookman Old Style" w:cs="Arial"/>
          <w:lang w:val="es-ES_tradnl"/>
        </w:rPr>
        <w:t xml:space="preserve">. </w:t>
      </w:r>
    </w:p>
    <w:p w:rsidR="002F30E3" w:rsidRDefault="002F30E3"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En relación con esta consideración la jurisprudencia reciente en materia constitucional ha consagrado lo siguiente:</w:t>
      </w:r>
    </w:p>
    <w:p w:rsidR="009C5BF2" w:rsidRPr="001954E9" w:rsidRDefault="009C5BF2" w:rsidP="009C5BF2">
      <w:pPr>
        <w:ind w:left="284" w:right="-91"/>
        <w:jc w:val="both"/>
        <w:rPr>
          <w:rFonts w:ascii="Bookman Old Style" w:hAnsi="Bookman Old Style" w:cs="Arial"/>
          <w:iCs/>
          <w:lang w:val="es-CO" w:eastAsia="es-CO"/>
        </w:rPr>
      </w:pPr>
    </w:p>
    <w:p w:rsidR="009C5BF2" w:rsidRPr="006200C5" w:rsidRDefault="009C5BF2" w:rsidP="00EA2219">
      <w:pPr>
        <w:ind w:left="284" w:right="284"/>
        <w:jc w:val="both"/>
        <w:rPr>
          <w:rFonts w:ascii="Bookman Old Style" w:hAnsi="Bookman Old Style" w:cs="Arial"/>
          <w:i/>
          <w:iCs/>
          <w:sz w:val="22"/>
          <w:szCs w:val="22"/>
          <w:lang w:val="es-CO" w:eastAsia="es-CO"/>
        </w:rPr>
      </w:pPr>
      <w:r w:rsidRPr="006200C5">
        <w:rPr>
          <w:rFonts w:ascii="Bookman Old Style" w:hAnsi="Bookman Old Style" w:cs="Arial"/>
          <w:i/>
          <w:iCs/>
          <w:sz w:val="22"/>
          <w:szCs w:val="22"/>
          <w:lang w:val="es-CO" w:eastAsia="es-CO"/>
        </w:rPr>
        <w:t xml:space="preserve">“Por último, el artículo 73 de la Ley 142 de 1994 consagra un catálogo amplio y detallado de las (26) funciones y facultades generales atribuidas a las Comisiones de Regulación para el cumplimiento de las tareas asignadas, con el objeto de (i) </w:t>
      </w:r>
      <w:r w:rsidRPr="006200C5">
        <w:rPr>
          <w:rFonts w:ascii="Bookman Old Style" w:hAnsi="Bookman Old Style" w:cs="Arial"/>
          <w:i/>
          <w:iCs/>
          <w:sz w:val="22"/>
          <w:szCs w:val="22"/>
          <w:lang w:val="es-CO" w:eastAsia="es-CO"/>
        </w:rPr>
        <w:lastRenderedPageBreak/>
        <w:t>regular los monopolios cuando la competencia no sea posible, (ii) promover la competencia entre los prestadores de servicios públicos, (iii) garantizar que las operaciones sean económicamente eficientes, (iv) evitar abuso de la posición dominante y (v) asegurar servicios de calidad</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xml:space="preserve">Los fines y parámetros a los que aluden estas normas, antes que genéricos e indeterminados, comprenden una enunciación detallada y concreta dirigida al cumplimiento de las metas de la regulación en servicios públicos. Metas que, según ha reconocido la jurisprudencia constitucional, no son exclusivamente </w:t>
      </w:r>
      <w:r w:rsidR="00436CBA" w:rsidRPr="001954E9">
        <w:rPr>
          <w:rFonts w:ascii="Bookman Old Style" w:hAnsi="Bookman Old Style" w:cs="Arial"/>
          <w:iCs/>
          <w:sz w:val="22"/>
          <w:szCs w:val="22"/>
          <w:lang w:val="es-CO" w:eastAsia="es-CO"/>
        </w:rPr>
        <w:t>económicas,</w:t>
      </w:r>
      <w:r w:rsidRPr="001954E9">
        <w:rPr>
          <w:rFonts w:ascii="Bookman Old Style" w:hAnsi="Bookman Old Style" w:cs="Arial"/>
          <w:iCs/>
          <w:sz w:val="22"/>
          <w:szCs w:val="22"/>
          <w:lang w:val="es-CO" w:eastAsia="es-CO"/>
        </w:rPr>
        <w:t xml:space="preserve"> sino que también buscan asegurar ‘la compatibilidad de un mercado eficiente con los principios del Estado social de derecho, dentro de una democracia participativa en la cual los derechos de todos los usuarios sean efectivamente protegidos y garantizados’.</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Como puede notarse, la regulación emanada del Congreso de la República sí contiene “criterios inteligibles” que establecen de manera clara el marco de intervención del Estado y específicamente de las autoridades administrativas</w:t>
      </w:r>
      <w:r w:rsidRPr="001954E9">
        <w:rPr>
          <w:rFonts w:ascii="Bookman Old Style" w:hAnsi="Bookman Old Style" w:cs="Arial"/>
          <w:iCs/>
          <w:sz w:val="22"/>
          <w:szCs w:val="22"/>
          <w:vertAlign w:val="superscript"/>
          <w:lang w:val="es-CO" w:eastAsia="es-CO"/>
        </w:rPr>
        <w:footnoteReference w:id="15"/>
      </w:r>
      <w:r w:rsidRPr="001954E9">
        <w:rPr>
          <w:rFonts w:ascii="Bookman Old Style" w:hAnsi="Bookman Old Style" w:cs="Arial"/>
          <w:iCs/>
          <w:sz w:val="22"/>
          <w:szCs w:val="22"/>
          <w:lang w:val="es-CO" w:eastAsia="es-CO"/>
        </w:rPr>
        <w:t>.</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xml:space="preserve">(i) </w:t>
      </w:r>
      <w:r w:rsidRPr="001954E9">
        <w:rPr>
          <w:rFonts w:ascii="Bookman Old Style" w:hAnsi="Bookman Old Style" w:cs="Arial"/>
          <w:iCs/>
          <w:sz w:val="22"/>
          <w:szCs w:val="22"/>
          <w:u w:val="single"/>
          <w:lang w:val="es-CO" w:eastAsia="es-CO"/>
        </w:rPr>
        <w:t>En primer lugar, las normas referidas identifican los fines que han de guiar a las Comisiones de Regulación y que, contrario a lo propuesto por los accionantes, no están circunscritos únicamente a la corrección de fallas en el mercado, sino que comprenden también una adecuada y eficiente prestación de los servicios a todos los habitantes del territorio nacional, propósito inherente a la función social del Estado (arts. 2, 74.1 y 74.2 de la Ley 142 de 1994).</w:t>
      </w:r>
      <w:r w:rsidRPr="001954E9">
        <w:rPr>
          <w:rFonts w:ascii="Bookman Old Style" w:hAnsi="Bookman Old Style" w:cs="Arial"/>
          <w:iCs/>
          <w:sz w:val="22"/>
          <w:szCs w:val="22"/>
          <w:lang w:val="es-CO" w:eastAsia="es-CO"/>
        </w:rPr>
        <w:t xml:space="preserve"> </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(ii) En segundo lugar, el Legislador ha definido también las prestaciones o derechos que busca proteger con las reglas de comportamiento diferencial, los cuales se proyectan tanto para proteger a las empresas participantes en el mercado como a los usuarios del sector, a saber: estimular la libertad de competencia, evitar abuso de posición dominante y asegurar a los usuarios la prestación de servicios públicos de calidad (arts. 11 y 73 Ley 142 de 1994).</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(iii) En tercer lugar, las medidas previstas –y a la vez sus límites- no son otras que las que se derivan de las competencias generales y especiales atribuidas a las Comisiones de Regulación (arts. 3, 73 y 74); lo que hace la ley es simplemente autorizar que se fijen requisitos o exigencias de acuerdo con la posición de las empresas en el mercado (régimen tarifario, condiciones de prestación de servicio, metas de eficiencia, cobertura, calidad y evaluación, entre otras), ninguna de las cuales puede ser distinta de las competencias previamente otorgadas.</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xml:space="preserve">(iv) </w:t>
      </w:r>
      <w:r w:rsidRPr="001954E9">
        <w:rPr>
          <w:rFonts w:ascii="Bookman Old Style" w:hAnsi="Bookman Old Style" w:cs="Arial"/>
          <w:iCs/>
          <w:sz w:val="22"/>
          <w:szCs w:val="22"/>
          <w:u w:val="single"/>
          <w:lang w:val="es-CO" w:eastAsia="es-CO"/>
        </w:rPr>
        <w:t>Por último, la Ley 142 de 1994 aclara que ‘todas las decisiones de las autoridades en materia de servicios públicos deben fundarse en los motivos que determina esta Ley’, y añade que los motivos invocados ‘deben ser comprobables’ (art. 3).</w:t>
      </w:r>
      <w:r w:rsidRPr="001954E9">
        <w:rPr>
          <w:rFonts w:ascii="Bookman Old Style" w:hAnsi="Bookman Old Style" w:cs="Arial"/>
          <w:iCs/>
          <w:sz w:val="22"/>
          <w:szCs w:val="22"/>
          <w:lang w:val="es-CO" w:eastAsia="es-CO"/>
        </w:rPr>
        <w:t xml:space="preserve"> En esa medida, además de los límites competenciales anotados, existen restricciones de orden fáctico que impiden a las autoridades obrar de manera arbitraria -como se sostiene en la demanda-, al tiempo que brindan la posibilidad de recurrir las decisiones o de ser necesario acudir a instancias judiciales para controlar eventuales excesos”.</w:t>
      </w:r>
      <w:r w:rsidRPr="001954E9">
        <w:rPr>
          <w:rFonts w:ascii="Bookman Old Style" w:hAnsi="Bookman Old Style" w:cs="Arial"/>
          <w:iCs/>
          <w:sz w:val="22"/>
          <w:szCs w:val="22"/>
          <w:vertAlign w:val="superscript"/>
          <w:lang w:val="es-CO" w:eastAsia="es-CO"/>
        </w:rPr>
        <w:footnoteReference w:id="16"/>
      </w:r>
      <w:r w:rsidRPr="001954E9">
        <w:rPr>
          <w:rFonts w:ascii="Bookman Old Style" w:hAnsi="Bookman Old Style" w:cs="Arial"/>
          <w:iCs/>
          <w:sz w:val="22"/>
          <w:szCs w:val="22"/>
          <w:lang w:val="es-CO" w:eastAsia="es-CO"/>
        </w:rPr>
        <w:t xml:space="preserve"> (Subrayado fuera de texto)</w:t>
      </w:r>
    </w:p>
    <w:p w:rsidR="009C5BF2" w:rsidRPr="001954E9" w:rsidRDefault="009C5BF2" w:rsidP="009C5BF2">
      <w:pPr>
        <w:ind w:left="0" w:right="-93"/>
        <w:jc w:val="both"/>
        <w:rPr>
          <w:rFonts w:ascii="Bookman Old Style" w:hAnsi="Bookman Old Style" w:cs="Arial"/>
          <w:lang w:val="es-CO"/>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lastRenderedPageBreak/>
        <w:t>Finalmente, se debe tener en cuenta que la Ley 142 de 1994, en el numeral 18 del artículo 14, establece que la regulación es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17"/>
      </w:r>
      <w:r w:rsidRPr="001954E9">
        <w:rPr>
          <w:rFonts w:ascii="Bookman Old Style" w:hAnsi="Bookman Old Style" w:cs="Arial"/>
          <w:lang w:val="es-ES_tradnl"/>
        </w:rPr>
        <w:t>.</w:t>
      </w:r>
    </w:p>
    <w:p w:rsidR="009C5BF2" w:rsidRPr="001954E9" w:rsidRDefault="009C5BF2" w:rsidP="009C5BF2">
      <w:pPr>
        <w:ind w:left="0"/>
        <w:jc w:val="both"/>
        <w:rPr>
          <w:rFonts w:ascii="Bookman Old Style" w:hAnsi="Bookman Old Style" w:cs="Arial"/>
          <w:vertAlign w:val="superscript"/>
          <w:lang w:val="es-ES_tradnl"/>
        </w:rPr>
      </w:pPr>
    </w:p>
    <w:p w:rsidR="00BE76E0" w:rsidRDefault="002F30E3" w:rsidP="00EA2219">
      <w:pPr>
        <w:ind w:left="0"/>
        <w:jc w:val="both"/>
        <w:rPr>
          <w:rFonts w:ascii="Bookman Old Style" w:hAnsi="Bookman Old Style" w:cs="Arial"/>
          <w:lang w:val="es-ES_tradnl"/>
        </w:rPr>
      </w:pPr>
      <w:r w:rsidRPr="009C1303">
        <w:rPr>
          <w:rFonts w:ascii="Bookman Old Style" w:hAnsi="Bookman Old Style" w:cs="Arial"/>
          <w:lang w:val="es-ES_tradnl"/>
        </w:rPr>
        <w:t xml:space="preserve">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 </w:t>
      </w:r>
    </w:p>
    <w:p w:rsidR="00175814" w:rsidRPr="001954E9" w:rsidRDefault="00175814" w:rsidP="00EA2219">
      <w:pPr>
        <w:ind w:left="0"/>
        <w:jc w:val="both"/>
        <w:rPr>
          <w:rFonts w:ascii="Bookman Old Style" w:hAnsi="Bookman Old Style" w:cs="Arial"/>
          <w:lang w:val="es-ES_tradnl"/>
        </w:rPr>
      </w:pPr>
    </w:p>
    <w:p w:rsidR="00A716F6" w:rsidRPr="001954E9" w:rsidRDefault="00A716F6" w:rsidP="00A716F6">
      <w:pPr>
        <w:numPr>
          <w:ilvl w:val="0"/>
          <w:numId w:val="2"/>
        </w:numPr>
        <w:ind w:left="567" w:hanging="567"/>
        <w:jc w:val="both"/>
        <w:rPr>
          <w:rFonts w:ascii="Bookman Old Style" w:hAnsi="Bookman Old Style" w:cs="Arial"/>
          <w:b/>
          <w:lang w:val="es-ES_tradnl"/>
        </w:rPr>
      </w:pPr>
      <w:r w:rsidRPr="001954E9">
        <w:rPr>
          <w:rFonts w:ascii="Bookman Old Style" w:hAnsi="Bookman Old Style" w:cs="Arial"/>
          <w:b/>
          <w:lang w:val="es-ES_tradnl"/>
        </w:rPr>
        <w:t xml:space="preserve">Principios constitucionales </w:t>
      </w:r>
      <w:r w:rsidR="00505258" w:rsidRPr="001954E9">
        <w:rPr>
          <w:rFonts w:ascii="Bookman Old Style" w:hAnsi="Bookman Old Style" w:cs="Arial"/>
          <w:b/>
          <w:lang w:val="es-ES_tradnl"/>
        </w:rPr>
        <w:t>que rigen la prestación de los servicios públicos</w:t>
      </w:r>
    </w:p>
    <w:p w:rsidR="00A50F04" w:rsidRPr="001954E9" w:rsidRDefault="00A50F04" w:rsidP="00EA2219">
      <w:pPr>
        <w:ind w:left="0"/>
        <w:jc w:val="both"/>
        <w:rPr>
          <w:rFonts w:ascii="Bookman Old Style" w:hAnsi="Bookman Old Style" w:cs="Arial"/>
          <w:lang w:val="es-ES_tradnl"/>
        </w:rPr>
      </w:pPr>
    </w:p>
    <w:p w:rsidR="00505258" w:rsidRPr="001954E9" w:rsidRDefault="00505258" w:rsidP="00EA2219">
      <w:pPr>
        <w:ind w:left="0"/>
        <w:jc w:val="both"/>
        <w:rPr>
          <w:rFonts w:ascii="Bookman Old Style" w:hAnsi="Bookman Old Style" w:cs="Arial"/>
          <w:lang w:val="es-ES_tradnl"/>
        </w:rPr>
      </w:pPr>
      <w:r w:rsidRPr="001954E9">
        <w:rPr>
          <w:rFonts w:ascii="Bookman Old Style" w:hAnsi="Bookman Old Style" w:cs="Arial"/>
          <w:lang w:val="es-ES_tradnl"/>
        </w:rPr>
        <w:t>El constituyente tuvo a bien elevar a rango constitucional los principios rectores que rigen la prestación de los servicios públicos domiciliarios dis</w:t>
      </w:r>
      <w:r w:rsidR="006200C5">
        <w:rPr>
          <w:rFonts w:ascii="Bookman Old Style" w:hAnsi="Bookman Old Style" w:cs="Arial"/>
          <w:lang w:val="es-ES_tradnl"/>
        </w:rPr>
        <w:t>poniendo entre otros aspectos:</w:t>
      </w:r>
    </w:p>
    <w:p w:rsidR="00A716F6" w:rsidRPr="001954E9" w:rsidRDefault="00A716F6" w:rsidP="00EA2219">
      <w:pPr>
        <w:ind w:left="0"/>
        <w:jc w:val="both"/>
        <w:rPr>
          <w:rFonts w:ascii="Bookman Old Style" w:hAnsi="Bookman Old Style" w:cs="Arial"/>
          <w:lang w:val="es-ES_tradnl"/>
        </w:rPr>
      </w:pPr>
    </w:p>
    <w:p w:rsidR="00A716F6" w:rsidRPr="006200C5" w:rsidRDefault="00A716F6" w:rsidP="00A50F04">
      <w:pPr>
        <w:ind w:left="284" w:right="284"/>
        <w:jc w:val="both"/>
        <w:rPr>
          <w:rFonts w:ascii="Bookman Old Style" w:hAnsi="Bookman Old Style" w:cs="Arial"/>
          <w:i/>
          <w:sz w:val="22"/>
          <w:szCs w:val="22"/>
        </w:rPr>
      </w:pPr>
      <w:r w:rsidRPr="006200C5">
        <w:rPr>
          <w:rFonts w:ascii="Bookman Old Style" w:hAnsi="Bookman Old Style" w:cs="Arial"/>
          <w:i/>
          <w:sz w:val="22"/>
          <w:szCs w:val="22"/>
        </w:rPr>
        <w:t>“</w:t>
      </w:r>
      <w:r w:rsidR="00A50F04" w:rsidRPr="006200C5">
        <w:rPr>
          <w:rFonts w:ascii="Bookman Old Style" w:hAnsi="Bookman Old Style" w:cs="Arial"/>
          <w:i/>
          <w:sz w:val="22"/>
          <w:szCs w:val="22"/>
        </w:rPr>
        <w:t xml:space="preserve">ARTICULO 365. </w:t>
      </w:r>
      <w:r w:rsidR="00A50F04" w:rsidRPr="006200C5">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00A50F04" w:rsidRPr="006200C5">
        <w:rPr>
          <w:rFonts w:ascii="Bookman Old Style" w:hAnsi="Bookman Old Style" w:cs="Arial"/>
          <w:i/>
          <w:sz w:val="22"/>
          <w:szCs w:val="22"/>
        </w:rPr>
        <w:t xml:space="preserve">. </w:t>
      </w:r>
    </w:p>
    <w:p w:rsidR="00A716F6" w:rsidRPr="006200C5" w:rsidRDefault="00A716F6" w:rsidP="00A50F04">
      <w:pPr>
        <w:ind w:left="284" w:right="284"/>
        <w:jc w:val="both"/>
        <w:rPr>
          <w:rFonts w:ascii="Bookman Old Style" w:hAnsi="Bookman Old Style" w:cs="Arial"/>
          <w:i/>
          <w:sz w:val="22"/>
          <w:szCs w:val="22"/>
        </w:rPr>
      </w:pPr>
    </w:p>
    <w:p w:rsidR="00A50F04" w:rsidRPr="006200C5" w:rsidRDefault="00A50F04" w:rsidP="00A50F04">
      <w:pPr>
        <w:ind w:left="284" w:right="284"/>
        <w:jc w:val="both"/>
        <w:rPr>
          <w:rFonts w:ascii="Bookman Old Style" w:hAnsi="Bookman Old Style" w:cs="Arial"/>
          <w:i/>
          <w:sz w:val="22"/>
          <w:szCs w:val="22"/>
        </w:rPr>
      </w:pPr>
      <w:r w:rsidRPr="006200C5">
        <w:rPr>
          <w:rFonts w:ascii="Bookman Old Style" w:hAnsi="Bookman Old Style" w:cs="Arial"/>
          <w:i/>
          <w:sz w:val="22"/>
          <w:szCs w:val="22"/>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A50F04" w:rsidRPr="006200C5" w:rsidRDefault="00A50F04" w:rsidP="00A50F04">
      <w:pPr>
        <w:ind w:left="284" w:right="284"/>
        <w:jc w:val="both"/>
        <w:rPr>
          <w:rFonts w:ascii="Bookman Old Style" w:hAnsi="Bookman Old Style" w:cs="Arial"/>
          <w:i/>
          <w:sz w:val="22"/>
          <w:szCs w:val="22"/>
        </w:rPr>
      </w:pPr>
    </w:p>
    <w:p w:rsidR="00A50F04" w:rsidRPr="006200C5" w:rsidRDefault="00A50F04" w:rsidP="00A50F04">
      <w:pPr>
        <w:ind w:left="284" w:right="284"/>
        <w:jc w:val="both"/>
        <w:rPr>
          <w:rFonts w:ascii="Bookman Old Style" w:hAnsi="Bookman Old Style" w:cs="Arial"/>
          <w:i/>
          <w:sz w:val="22"/>
          <w:szCs w:val="22"/>
        </w:rPr>
      </w:pPr>
      <w:r w:rsidRPr="006200C5">
        <w:rPr>
          <w:rFonts w:ascii="Bookman Old Style" w:hAnsi="Bookman Old Style" w:cs="Arial"/>
          <w:i/>
          <w:sz w:val="22"/>
          <w:szCs w:val="22"/>
        </w:rPr>
        <w:t xml:space="preserve">ARTICULO 366. </w:t>
      </w:r>
      <w:r w:rsidRPr="006200C5">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6200C5">
        <w:rPr>
          <w:rFonts w:ascii="Bookman Old Style" w:hAnsi="Bookman Old Style" w:cs="Arial"/>
          <w:i/>
          <w:sz w:val="22"/>
          <w:szCs w:val="22"/>
        </w:rPr>
        <w:t xml:space="preserve">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w:t>
      </w:r>
    </w:p>
    <w:p w:rsidR="00A50F04" w:rsidRPr="006200C5" w:rsidRDefault="00A50F04" w:rsidP="00A50F04">
      <w:pPr>
        <w:ind w:left="284" w:right="284"/>
        <w:jc w:val="both"/>
        <w:rPr>
          <w:rFonts w:ascii="Bookman Old Style" w:hAnsi="Bookman Old Style" w:cs="Arial"/>
          <w:i/>
          <w:sz w:val="22"/>
          <w:szCs w:val="22"/>
        </w:rPr>
      </w:pPr>
    </w:p>
    <w:p w:rsidR="00A50F04" w:rsidRPr="006200C5" w:rsidRDefault="00A50F04" w:rsidP="00A50F04">
      <w:pPr>
        <w:ind w:left="284" w:right="284"/>
        <w:jc w:val="both"/>
        <w:rPr>
          <w:rFonts w:ascii="Bookman Old Style" w:hAnsi="Bookman Old Style" w:cs="Arial"/>
          <w:i/>
          <w:sz w:val="22"/>
          <w:szCs w:val="22"/>
        </w:rPr>
      </w:pPr>
      <w:r w:rsidRPr="006200C5">
        <w:rPr>
          <w:rFonts w:ascii="Bookman Old Style" w:hAnsi="Bookman Old Style" w:cs="Arial"/>
          <w:i/>
          <w:sz w:val="22"/>
          <w:szCs w:val="22"/>
        </w:rPr>
        <w:lastRenderedPageBreak/>
        <w:t xml:space="preserve">ARTICULO 367. </w:t>
      </w:r>
      <w:r w:rsidRPr="006200C5">
        <w:rPr>
          <w:rFonts w:ascii="Bookman Old Style" w:hAnsi="Bookman Old Style" w:cs="Arial"/>
          <w:i/>
          <w:sz w:val="22"/>
          <w:szCs w:val="22"/>
          <w:u w:val="single"/>
        </w:rPr>
        <w:t>La ley fijará las competencias y responsabilidades relativas a la prestación de los servicios públicos domiciliarios,</w:t>
      </w:r>
      <w:r w:rsidRPr="006200C5">
        <w:rPr>
          <w:rFonts w:ascii="Bookman Old Style" w:hAnsi="Bookman Old Style" w:cs="Arial"/>
          <w:i/>
          <w:sz w:val="22"/>
          <w:szCs w:val="22"/>
        </w:rPr>
        <w:t xml:space="preserve"> su cobertura, calidad y </w:t>
      </w:r>
      <w:r w:rsidRPr="006200C5">
        <w:rPr>
          <w:rFonts w:ascii="Bookman Old Style" w:hAnsi="Bookman Old Style" w:cs="Arial"/>
          <w:i/>
          <w:sz w:val="22"/>
          <w:szCs w:val="22"/>
          <w:u w:val="single"/>
        </w:rPr>
        <w:t>financiación, y el régimen tarifario que tendrá en cuenta además de los criterios de costos</w:t>
      </w:r>
      <w:r w:rsidRPr="006200C5">
        <w:rPr>
          <w:rFonts w:ascii="Bookman Old Style" w:hAnsi="Bookman Old Style" w:cs="Arial"/>
          <w:i/>
          <w:sz w:val="22"/>
          <w:szCs w:val="22"/>
        </w:rPr>
        <w:t>,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funciones de apoyo y coordinación.</w:t>
      </w:r>
      <w:r w:rsidR="00A716F6" w:rsidRPr="006200C5">
        <w:rPr>
          <w:rFonts w:ascii="Bookman Old Style" w:hAnsi="Bookman Old Style" w:cs="Arial"/>
          <w:i/>
          <w:sz w:val="22"/>
          <w:szCs w:val="22"/>
        </w:rPr>
        <w:t>”</w:t>
      </w:r>
    </w:p>
    <w:p w:rsidR="00505258" w:rsidRPr="006200C5" w:rsidRDefault="00505258" w:rsidP="00A50F04">
      <w:pPr>
        <w:ind w:left="284" w:right="284"/>
        <w:jc w:val="both"/>
        <w:rPr>
          <w:rFonts w:ascii="Bookman Old Style" w:hAnsi="Bookman Old Style" w:cs="Arial"/>
          <w:i/>
          <w:sz w:val="22"/>
          <w:szCs w:val="22"/>
        </w:rPr>
      </w:pPr>
    </w:p>
    <w:p w:rsidR="00505258" w:rsidRPr="006200C5" w:rsidRDefault="00505258" w:rsidP="00A50F04">
      <w:pPr>
        <w:ind w:left="284" w:right="284"/>
        <w:jc w:val="both"/>
        <w:rPr>
          <w:rFonts w:ascii="Bookman Old Style" w:hAnsi="Bookman Old Style" w:cs="Arial"/>
          <w:i/>
          <w:sz w:val="22"/>
          <w:szCs w:val="22"/>
          <w:lang w:val="es-ES_tradnl"/>
        </w:rPr>
      </w:pPr>
      <w:r w:rsidRPr="006200C5">
        <w:rPr>
          <w:rFonts w:ascii="Bookman Old Style" w:hAnsi="Bookman Old Style" w:cs="Arial"/>
          <w:i/>
          <w:sz w:val="22"/>
          <w:szCs w:val="22"/>
        </w:rPr>
        <w:t>(Subrayas ajenas al texto original de la norma citada)</w:t>
      </w:r>
    </w:p>
    <w:p w:rsidR="00AD1A5B" w:rsidRPr="001954E9" w:rsidRDefault="00AD1A5B" w:rsidP="00EA2219">
      <w:pPr>
        <w:ind w:left="0"/>
        <w:jc w:val="both"/>
        <w:rPr>
          <w:rFonts w:ascii="Bookman Old Style" w:hAnsi="Bookman Old Style" w:cs="Arial"/>
          <w:lang w:val="es-ES_tradnl"/>
        </w:rPr>
      </w:pPr>
    </w:p>
    <w:p w:rsidR="005F04C9" w:rsidRPr="001954E9" w:rsidRDefault="009F609F" w:rsidP="00EA2219">
      <w:pPr>
        <w:ind w:left="0"/>
        <w:jc w:val="both"/>
        <w:rPr>
          <w:rFonts w:ascii="Bookman Old Style" w:hAnsi="Bookman Old Style" w:cs="Arial"/>
          <w:lang w:val="es-ES_tradnl"/>
        </w:rPr>
      </w:pPr>
      <w:r w:rsidRPr="001954E9">
        <w:rPr>
          <w:rFonts w:ascii="Bookman Old Style" w:hAnsi="Bookman Old Style" w:cs="Arial"/>
          <w:lang w:val="es-ES_tradnl"/>
        </w:rPr>
        <w:t>L</w:t>
      </w:r>
      <w:r w:rsidR="00565F71" w:rsidRPr="001954E9">
        <w:rPr>
          <w:rFonts w:ascii="Bookman Old Style" w:hAnsi="Bookman Old Style" w:cs="Arial"/>
          <w:lang w:val="es-ES_tradnl"/>
        </w:rPr>
        <w:t>a prestación de los servicios públicos domiciliarios está íntimamente ligada al cumplimiento de los fines sociales del Estado Social de Derecho</w:t>
      </w:r>
      <w:r w:rsidR="00B756E7" w:rsidRPr="001954E9">
        <w:rPr>
          <w:rFonts w:ascii="Bookman Old Style" w:hAnsi="Bookman Old Style" w:cs="Arial"/>
          <w:lang w:val="es-ES_tradnl"/>
        </w:rPr>
        <w:t xml:space="preserve"> en tanto estos son catalogados como servicios esenciales</w:t>
      </w:r>
      <w:r w:rsidR="00F52B69" w:rsidRPr="001954E9">
        <w:rPr>
          <w:rFonts w:ascii="Bookman Old Style" w:hAnsi="Bookman Old Style" w:cs="Arial"/>
          <w:lang w:val="es-ES_tradnl"/>
        </w:rPr>
        <w:t>,</w:t>
      </w:r>
      <w:r w:rsidR="00B756E7" w:rsidRPr="001954E9">
        <w:rPr>
          <w:rFonts w:ascii="Bookman Old Style" w:hAnsi="Bookman Old Style" w:cs="Arial"/>
          <w:lang w:val="es-ES_tradnl"/>
        </w:rPr>
        <w:t xml:space="preserve"> </w:t>
      </w:r>
      <w:r w:rsidR="00364E6F" w:rsidRPr="001954E9">
        <w:rPr>
          <w:rFonts w:ascii="Bookman Old Style" w:hAnsi="Bookman Old Style" w:cs="Arial"/>
          <w:lang w:val="es-ES_tradnl"/>
        </w:rPr>
        <w:t>en este orden é</w:t>
      </w:r>
      <w:r w:rsidR="00B756E7" w:rsidRPr="001954E9">
        <w:rPr>
          <w:rFonts w:ascii="Bookman Old Style" w:hAnsi="Bookman Old Style" w:cs="Arial"/>
          <w:lang w:val="es-ES_tradnl"/>
        </w:rPr>
        <w:t>ste puede y debe intervenir de una manera efectiva para la consecuci</w:t>
      </w:r>
      <w:r w:rsidR="009E0C30" w:rsidRPr="001954E9">
        <w:rPr>
          <w:rFonts w:ascii="Bookman Old Style" w:hAnsi="Bookman Old Style" w:cs="Arial"/>
          <w:lang w:val="es-ES_tradnl"/>
        </w:rPr>
        <w:t>ón de sus</w:t>
      </w:r>
      <w:r w:rsidR="00364E6F" w:rsidRPr="001954E9">
        <w:rPr>
          <w:rFonts w:ascii="Bookman Old Style" w:hAnsi="Bookman Old Style" w:cs="Arial"/>
          <w:lang w:val="es-ES_tradnl"/>
        </w:rPr>
        <w:t xml:space="preserve"> fines,</w:t>
      </w:r>
      <w:r w:rsidR="00F52B69" w:rsidRPr="001954E9">
        <w:rPr>
          <w:rFonts w:ascii="Bookman Old Style" w:hAnsi="Bookman Old Style" w:cs="Arial"/>
          <w:lang w:val="es-ES_tradnl"/>
        </w:rPr>
        <w:t xml:space="preserve"> así como para asegurar la prestación </w:t>
      </w:r>
      <w:r w:rsidR="00CE66CF" w:rsidRPr="001954E9">
        <w:rPr>
          <w:rFonts w:ascii="Bookman Old Style" w:hAnsi="Bookman Old Style" w:cs="Arial"/>
          <w:lang w:val="es-ES_tradnl"/>
        </w:rPr>
        <w:t>real y práctica</w:t>
      </w:r>
      <w:r w:rsidR="00F52B69" w:rsidRPr="001954E9">
        <w:rPr>
          <w:rFonts w:ascii="Bookman Old Style" w:hAnsi="Bookman Old Style" w:cs="Arial"/>
          <w:lang w:val="es-ES_tradnl"/>
        </w:rPr>
        <w:t xml:space="preserve"> de los mismos, evitando dilaciones que entorpezcan</w:t>
      </w:r>
      <w:r w:rsidRPr="001954E9">
        <w:rPr>
          <w:rFonts w:ascii="Bookman Old Style" w:hAnsi="Bookman Old Style" w:cs="Arial"/>
          <w:lang w:val="es-ES_tradnl"/>
        </w:rPr>
        <w:t xml:space="preserve"> su disfrute</w:t>
      </w:r>
      <w:r w:rsidR="009E0C30" w:rsidRPr="001954E9">
        <w:rPr>
          <w:rFonts w:ascii="Bookman Old Style" w:hAnsi="Bookman Old Style" w:cs="Arial"/>
          <w:lang w:val="es-ES_tradnl"/>
        </w:rPr>
        <w:t>.</w:t>
      </w:r>
    </w:p>
    <w:p w:rsidR="00575330" w:rsidRPr="001954E9" w:rsidRDefault="00575330" w:rsidP="00EA2219">
      <w:pPr>
        <w:ind w:left="0"/>
        <w:jc w:val="both"/>
        <w:rPr>
          <w:rFonts w:ascii="Bookman Old Style" w:hAnsi="Bookman Old Style" w:cs="Arial"/>
          <w:lang w:val="es-ES_tradnl"/>
        </w:rPr>
      </w:pPr>
    </w:p>
    <w:p w:rsidR="00575330" w:rsidRPr="00446B59" w:rsidRDefault="00A06156" w:rsidP="00575330">
      <w:pPr>
        <w:ind w:left="284" w:right="284"/>
        <w:jc w:val="both"/>
        <w:rPr>
          <w:rFonts w:ascii="Bookman Old Style" w:hAnsi="Bookman Old Style" w:cs="Arial"/>
          <w:i/>
          <w:sz w:val="22"/>
          <w:szCs w:val="22"/>
          <w:lang w:val="es-CO"/>
        </w:rPr>
      </w:pPr>
      <w:r w:rsidRPr="00446B59">
        <w:rPr>
          <w:rFonts w:ascii="Bookman Old Style" w:hAnsi="Bookman Old Style" w:cs="Arial"/>
          <w:i/>
          <w:sz w:val="22"/>
          <w:szCs w:val="22"/>
          <w:lang w:val="es-CO"/>
        </w:rPr>
        <w:t>“…</w:t>
      </w:r>
      <w:r w:rsidR="00575330" w:rsidRPr="00446B59">
        <w:rPr>
          <w:rFonts w:ascii="Bookman Old Style" w:hAnsi="Bookman Old Style" w:cs="Arial"/>
          <w:i/>
          <w:sz w:val="22"/>
          <w:szCs w:val="22"/>
          <w:lang w:val="es-CO"/>
        </w:rPr>
        <w:t xml:space="preserve"> lo cierto es que el Estado mantiene las funciones de regulación, control y vigilancia sobre los servicios, de forma que se asegure el cumplimiento de las finalidades sociales del Estado social de derecho (artículo 365 de </w:t>
      </w:r>
      <w:smartTag w:uri="urn:schemas-microsoft-com:office:smarttags" w:element="PersonName">
        <w:smartTagPr>
          <w:attr w:name="ProductID" w:val="la C.P"/>
        </w:smartTagPr>
        <w:r w:rsidR="00575330" w:rsidRPr="00446B59">
          <w:rPr>
            <w:rFonts w:ascii="Bookman Old Style" w:hAnsi="Bookman Old Style" w:cs="Arial"/>
            <w:i/>
            <w:sz w:val="22"/>
            <w:szCs w:val="22"/>
            <w:lang w:val="es-CO"/>
          </w:rPr>
          <w:t>la C.P</w:t>
        </w:r>
      </w:smartTag>
      <w:r w:rsidR="00575330" w:rsidRPr="00446B59">
        <w:rPr>
          <w:rFonts w:ascii="Bookman Old Style" w:hAnsi="Bookman Old Style" w:cs="Arial"/>
          <w:i/>
          <w:sz w:val="22"/>
          <w:szCs w:val="22"/>
          <w:lang w:val="es-CO"/>
        </w:rPr>
        <w:t xml:space="preserve">.). Esto porque es objetivo fundamental de la actividad estatal la solución de las necesidades básicas insatisfechas de la población (art. 366 de </w:t>
      </w:r>
      <w:smartTag w:uri="urn:schemas-microsoft-com:office:smarttags" w:element="PersonName">
        <w:smartTagPr>
          <w:attr w:name="ProductID" w:val="la C.P"/>
        </w:smartTagPr>
        <w:r w:rsidR="00575330" w:rsidRPr="00446B59">
          <w:rPr>
            <w:rFonts w:ascii="Bookman Old Style" w:hAnsi="Bookman Old Style" w:cs="Arial"/>
            <w:i/>
            <w:sz w:val="22"/>
            <w:szCs w:val="22"/>
            <w:lang w:val="es-CO"/>
          </w:rPr>
          <w:t>la C.P</w:t>
        </w:r>
      </w:smartTag>
      <w:r w:rsidR="00575330" w:rsidRPr="00446B59">
        <w:rPr>
          <w:rFonts w:ascii="Bookman Old Style" w:hAnsi="Bookman Old Style" w:cs="Arial"/>
          <w:i/>
          <w:sz w:val="22"/>
          <w:szCs w:val="22"/>
          <w:lang w:val="es-CO"/>
        </w:rPr>
        <w:t xml:space="preserve">.). Tan importante es el mencionado objetivo constitucional que el Constituyente ha previsto incluso la posibilidad de establecer, por razones de soberanía o de interés social, por iniciativa del Gobierno y mediante ley, un monopolio estatal en materia de servicios públicos previa la plena indemnización a las personas que en virtud de dicha ley, queden privadas del ejercicio de una actividad lícita (art. 365 inc. 2 de </w:t>
      </w:r>
      <w:smartTag w:uri="urn:schemas-microsoft-com:office:smarttags" w:element="PersonName">
        <w:smartTagPr>
          <w:attr w:name="ProductID" w:val="la C.P"/>
        </w:smartTagPr>
        <w:r w:rsidR="00575330" w:rsidRPr="00446B59">
          <w:rPr>
            <w:rFonts w:ascii="Bookman Old Style" w:hAnsi="Bookman Old Style" w:cs="Arial"/>
            <w:i/>
            <w:sz w:val="22"/>
            <w:szCs w:val="22"/>
            <w:lang w:val="es-CO"/>
          </w:rPr>
          <w:t>la C.P</w:t>
        </w:r>
      </w:smartTag>
      <w:r w:rsidR="00575330" w:rsidRPr="00446B59">
        <w:rPr>
          <w:rFonts w:ascii="Bookman Old Style" w:hAnsi="Bookman Old Style" w:cs="Arial"/>
          <w:i/>
          <w:sz w:val="22"/>
          <w:szCs w:val="22"/>
          <w:lang w:val="es-CO"/>
        </w:rPr>
        <w:t>.).</w:t>
      </w:r>
    </w:p>
    <w:p w:rsidR="00575330" w:rsidRPr="00446B59" w:rsidRDefault="00575330" w:rsidP="00575330">
      <w:pPr>
        <w:ind w:left="284" w:right="284"/>
        <w:jc w:val="both"/>
        <w:rPr>
          <w:rFonts w:ascii="Bookman Old Style" w:hAnsi="Bookman Old Style" w:cs="Arial"/>
          <w:i/>
          <w:sz w:val="22"/>
          <w:szCs w:val="22"/>
          <w:lang w:val="es-CO"/>
        </w:rPr>
      </w:pPr>
      <w:r w:rsidRPr="00446B59">
        <w:rPr>
          <w:rFonts w:ascii="Bookman Old Style" w:hAnsi="Bookman Old Style" w:cs="Arial"/>
          <w:i/>
          <w:sz w:val="22"/>
          <w:szCs w:val="22"/>
          <w:lang w:val="es-CO"/>
        </w:rPr>
        <w:t> </w:t>
      </w:r>
    </w:p>
    <w:p w:rsidR="00575330" w:rsidRPr="00446B59" w:rsidRDefault="00575330" w:rsidP="00575330">
      <w:pPr>
        <w:ind w:left="284" w:right="284"/>
        <w:jc w:val="both"/>
        <w:rPr>
          <w:rFonts w:ascii="Bookman Old Style" w:hAnsi="Bookman Old Style" w:cs="Arial"/>
          <w:i/>
          <w:sz w:val="22"/>
          <w:szCs w:val="22"/>
          <w:lang w:val="es-CO"/>
        </w:rPr>
      </w:pPr>
      <w:r w:rsidRPr="00446B59">
        <w:rPr>
          <w:rFonts w:ascii="Bookman Old Style" w:hAnsi="Bookman Old Style" w:cs="Arial"/>
          <w:i/>
          <w:sz w:val="22"/>
          <w:szCs w:val="22"/>
          <w:lang w:val="es-CO"/>
        </w:rPr>
        <w:t xml:space="preserve">Así pues, </w:t>
      </w:r>
      <w:smartTag w:uri="urn:schemas-microsoft-com:office:smarttags" w:element="PersonName">
        <w:smartTagPr>
          <w:attr w:name="ProductID" w:val="la Corte"/>
        </w:smartTagPr>
        <w:r w:rsidRPr="00446B59">
          <w:rPr>
            <w:rFonts w:ascii="Bookman Old Style" w:hAnsi="Bookman Old Style" w:cs="Arial"/>
            <w:i/>
            <w:sz w:val="22"/>
            <w:szCs w:val="22"/>
            <w:lang w:val="es-CO"/>
          </w:rPr>
          <w:t>la Corte</w:t>
        </w:r>
      </w:smartTag>
      <w:r w:rsidRPr="00446B59">
        <w:rPr>
          <w:rFonts w:ascii="Bookman Old Style" w:hAnsi="Bookman Old Style" w:cs="Arial"/>
          <w:i/>
          <w:sz w:val="22"/>
          <w:szCs w:val="22"/>
          <w:lang w:val="es-CO"/>
        </w:rPr>
        <w:t xml:space="preserve"> ha puesto de presente que corresponde al legislador establecer el régimen de los servicios públicos de acuerdo con el marco axiológico descrito. En efecto, "[e]n uso de la facultad que </w:t>
      </w:r>
      <w:smartTag w:uri="urn:schemas-microsoft-com:office:smarttags" w:element="PersonName">
        <w:smartTagPr>
          <w:attr w:name="ProductID" w:val="la Carta Política"/>
        </w:smartTagPr>
        <w:r w:rsidRPr="00446B59">
          <w:rPr>
            <w:rFonts w:ascii="Bookman Old Style" w:hAnsi="Bookman Old Style" w:cs="Arial"/>
            <w:i/>
            <w:sz w:val="22"/>
            <w:szCs w:val="22"/>
            <w:u w:val="single"/>
            <w:lang w:val="es-CO"/>
          </w:rPr>
          <w:t>la Carta Política</w:t>
        </w:r>
      </w:smartTag>
      <w:r w:rsidRPr="00446B59">
        <w:rPr>
          <w:rFonts w:ascii="Bookman Old Style" w:hAnsi="Bookman Old Style" w:cs="Arial"/>
          <w:i/>
          <w:sz w:val="22"/>
          <w:szCs w:val="22"/>
          <w:u w:val="single"/>
          <w:lang w:val="es-CO"/>
        </w:rPr>
        <w:t xml:space="preserve"> le confirió al Congreso de </w:t>
      </w:r>
      <w:smartTag w:uri="urn:schemas-microsoft-com:office:smarttags" w:element="PersonName">
        <w:smartTagPr>
          <w:attr w:name="ProductID" w:val="la República"/>
        </w:smartTagPr>
        <w:r w:rsidRPr="00446B59">
          <w:rPr>
            <w:rFonts w:ascii="Bookman Old Style" w:hAnsi="Bookman Old Style" w:cs="Arial"/>
            <w:i/>
            <w:sz w:val="22"/>
            <w:szCs w:val="22"/>
            <w:u w:val="single"/>
            <w:lang w:val="es-CO"/>
          </w:rPr>
          <w:t>la República</w:t>
        </w:r>
      </w:smartTag>
      <w:r w:rsidRPr="00446B59">
        <w:rPr>
          <w:rFonts w:ascii="Bookman Old Style" w:hAnsi="Bookman Old Style" w:cs="Arial"/>
          <w:i/>
          <w:sz w:val="22"/>
          <w:szCs w:val="22"/>
          <w:u w:val="single"/>
          <w:lang w:val="es-CO"/>
        </w:rPr>
        <w:t xml:space="preserve"> para reglamentar la prestación de los servicios públicos domiciliarios se expidió </w:t>
      </w:r>
      <w:smartTag w:uri="urn:schemas-microsoft-com:office:smarttags" w:element="PersonName">
        <w:smartTagPr>
          <w:attr w:name="ProductID" w:val="la Ley"/>
        </w:smartTagPr>
        <w:r w:rsidRPr="00446B59">
          <w:rPr>
            <w:rFonts w:ascii="Bookman Old Style" w:hAnsi="Bookman Old Style" w:cs="Arial"/>
            <w:i/>
            <w:sz w:val="22"/>
            <w:szCs w:val="22"/>
            <w:u w:val="single"/>
            <w:lang w:val="es-CO"/>
          </w:rPr>
          <w:t>la Ley</w:t>
        </w:r>
      </w:smartTag>
      <w:r w:rsidRPr="00446B59">
        <w:rPr>
          <w:rFonts w:ascii="Bookman Old Style" w:hAnsi="Bookman Old Style" w:cs="Arial"/>
          <w:i/>
          <w:sz w:val="22"/>
          <w:szCs w:val="22"/>
          <w:u w:val="single"/>
          <w:lang w:val="es-CO"/>
        </w:rPr>
        <w:t xml:space="preserve"> 142 del 11 de julio de 1994, que con base en  lo dispuesto en los artículos 334, 336 y </w:t>
      </w:r>
      <w:smartTag w:uri="urn:schemas-microsoft-com:office:smarttags" w:element="metricconverter">
        <w:smartTagPr>
          <w:attr w:name="ProductID" w:val="365 a"/>
        </w:smartTagPr>
        <w:r w:rsidRPr="00446B59">
          <w:rPr>
            <w:rFonts w:ascii="Bookman Old Style" w:hAnsi="Bookman Old Style" w:cs="Arial"/>
            <w:i/>
            <w:sz w:val="22"/>
            <w:szCs w:val="22"/>
            <w:u w:val="single"/>
            <w:lang w:val="es-CO"/>
          </w:rPr>
          <w:t>365 a</w:t>
        </w:r>
      </w:smartTag>
      <w:r w:rsidRPr="00446B59">
        <w:rPr>
          <w:rFonts w:ascii="Bookman Old Style" w:hAnsi="Bookman Old Style" w:cs="Arial"/>
          <w:i/>
          <w:sz w:val="22"/>
          <w:szCs w:val="22"/>
          <w:u w:val="single"/>
          <w:lang w:val="es-CO"/>
        </w:rPr>
        <w:t xml:space="preserve"> 370 Superiores, desarrolló los fines sociales de la intervención del Estado en la prestación de estos servicios para alcanzar los siguientes objetivos:</w:t>
      </w:r>
      <w:r w:rsidRPr="00446B59">
        <w:rPr>
          <w:rFonts w:ascii="Bookman Old Style" w:hAnsi="Bookman Old Style" w:cs="Arial"/>
          <w:i/>
          <w:sz w:val="22"/>
          <w:szCs w:val="22"/>
          <w:lang w:val="es-CO"/>
        </w:rPr>
        <w:t xml:space="preserve"> garantizar la calidad del bien objeto del servicio público y su disposición final para asegurar el mejoramiento de la calidad de vida de los usuarios; </w:t>
      </w:r>
      <w:r w:rsidRPr="00446B59">
        <w:rPr>
          <w:rFonts w:ascii="Bookman Old Style" w:hAnsi="Bookman Old Style" w:cs="Arial"/>
          <w:i/>
          <w:sz w:val="22"/>
          <w:szCs w:val="22"/>
          <w:u w:val="single"/>
          <w:lang w:val="es-CO"/>
        </w:rPr>
        <w:t>ampliación permanente de la cobertura mediante sistemas que compensen la insuficiencia de la capacidad de pago de los usuarios; atención prioritaria de las necesidades básicas insatisfechas en materia de agua potable y saneamiento básico; prestación continua e ininterrumpida, sin excepción alguna,</w:t>
      </w:r>
      <w:r w:rsidRPr="00446B59">
        <w:rPr>
          <w:rFonts w:ascii="Bookman Old Style" w:hAnsi="Bookman Old Style" w:cs="Arial"/>
          <w:i/>
          <w:sz w:val="22"/>
          <w:szCs w:val="22"/>
          <w:lang w:val="es-CO"/>
        </w:rPr>
        <w:t xml:space="preserve"> salvo cuando existan razones de fuerza mayor o caso fortuito o de orden técnico o económico que así lo exijan; prestación eficiente; libertad de competencia y no utilización abusiva de la posición dominante; obtención de economías de escala comprobables; mecanismos que garanticen a los usuarios el acceso a los servicios y su participación en la gestión y fiscalización de su prestación; establecer un régimen tarifario </w:t>
      </w:r>
      <w:r w:rsidRPr="00446B59">
        <w:rPr>
          <w:rFonts w:ascii="Bookman Old Style" w:hAnsi="Bookman Old Style" w:cs="Arial"/>
          <w:i/>
          <w:sz w:val="22"/>
          <w:szCs w:val="22"/>
          <w:lang w:val="es-CO"/>
        </w:rPr>
        <w:lastRenderedPageBreak/>
        <w:t>proporcional para los sectores de bajos ingresos de acuerdo con los preceptos de equidad y solidaridad"</w:t>
      </w:r>
      <w:r w:rsidRPr="00446B59">
        <w:rPr>
          <w:rFonts w:ascii="Bookman Old Style" w:hAnsi="Bookman Old Style" w:cs="Arial"/>
          <w:i/>
          <w:sz w:val="22"/>
          <w:szCs w:val="22"/>
          <w:vertAlign w:val="superscript"/>
          <w:lang w:val="es-CO"/>
        </w:rPr>
        <w:footnoteReference w:id="18"/>
      </w:r>
      <w:r w:rsidRPr="00446B59">
        <w:rPr>
          <w:rFonts w:ascii="Bookman Old Style" w:hAnsi="Bookman Old Style" w:cs="Arial"/>
          <w:i/>
          <w:sz w:val="22"/>
          <w:szCs w:val="22"/>
          <w:vertAlign w:val="superscript"/>
          <w:lang w:val="es-CO"/>
        </w:rPr>
        <w:t>[148</w:t>
      </w:r>
      <w:r w:rsidR="001947CE" w:rsidRPr="00446B59">
        <w:rPr>
          <w:rStyle w:val="Refdenotaalpie"/>
          <w:rFonts w:ascii="Bookman Old Style" w:hAnsi="Bookman Old Style" w:cs="Arial"/>
          <w:i/>
          <w:sz w:val="22"/>
          <w:szCs w:val="22"/>
          <w:lang w:val="es-CO"/>
        </w:rPr>
        <w:footnoteReference w:id="19"/>
      </w:r>
      <w:r w:rsidRPr="00446B59">
        <w:rPr>
          <w:rFonts w:ascii="Bookman Old Style" w:hAnsi="Bookman Old Style" w:cs="Arial"/>
          <w:i/>
          <w:sz w:val="22"/>
          <w:szCs w:val="22"/>
          <w:vertAlign w:val="superscript"/>
          <w:lang w:val="es-CO"/>
        </w:rPr>
        <w:t>]</w:t>
      </w:r>
      <w:r w:rsidRPr="00446B59">
        <w:rPr>
          <w:rFonts w:ascii="Bookman Old Style" w:hAnsi="Bookman Old Style" w:cs="Arial"/>
          <w:i/>
          <w:sz w:val="22"/>
          <w:szCs w:val="22"/>
          <w:lang w:val="es-CO"/>
        </w:rPr>
        <w:t>.</w:t>
      </w:r>
    </w:p>
    <w:p w:rsidR="00575330" w:rsidRPr="00446B59" w:rsidRDefault="00575330" w:rsidP="00575330">
      <w:pPr>
        <w:ind w:left="284" w:right="284"/>
        <w:jc w:val="both"/>
        <w:rPr>
          <w:rFonts w:ascii="Bookman Old Style" w:hAnsi="Bookman Old Style" w:cs="Arial"/>
          <w:i/>
          <w:sz w:val="22"/>
          <w:szCs w:val="22"/>
          <w:lang w:val="es-CO"/>
        </w:rPr>
      </w:pPr>
      <w:r w:rsidRPr="00446B59">
        <w:rPr>
          <w:rFonts w:ascii="Bookman Old Style" w:hAnsi="Bookman Old Style" w:cs="Arial"/>
          <w:i/>
          <w:sz w:val="22"/>
          <w:szCs w:val="22"/>
          <w:lang w:val="es-CO"/>
        </w:rPr>
        <w:t> </w:t>
      </w:r>
    </w:p>
    <w:p w:rsidR="00DE018C" w:rsidRPr="00446B59" w:rsidRDefault="00DE018C" w:rsidP="00DE018C">
      <w:pPr>
        <w:ind w:left="284" w:right="284"/>
        <w:jc w:val="both"/>
        <w:rPr>
          <w:rFonts w:ascii="Bookman Old Style" w:hAnsi="Bookman Old Style" w:cs="Arial"/>
          <w:i/>
          <w:sz w:val="22"/>
          <w:szCs w:val="22"/>
          <w:lang w:val="es-ES_tradnl"/>
        </w:rPr>
      </w:pPr>
      <w:r w:rsidRPr="00446B59">
        <w:rPr>
          <w:rFonts w:ascii="Bookman Old Style" w:hAnsi="Bookman Old Style" w:cs="Arial"/>
          <w:i/>
          <w:sz w:val="22"/>
          <w:szCs w:val="22"/>
        </w:rPr>
        <w:t>(Subrayas ajen</w:t>
      </w:r>
      <w:r w:rsidR="00387A57" w:rsidRPr="00446B59">
        <w:rPr>
          <w:rFonts w:ascii="Bookman Old Style" w:hAnsi="Bookman Old Style" w:cs="Arial"/>
          <w:i/>
          <w:sz w:val="22"/>
          <w:szCs w:val="22"/>
        </w:rPr>
        <w:t>as al texto original de la providencia</w:t>
      </w:r>
      <w:r w:rsidRPr="00446B59">
        <w:rPr>
          <w:rFonts w:ascii="Bookman Old Style" w:hAnsi="Bookman Old Style" w:cs="Arial"/>
          <w:i/>
          <w:sz w:val="22"/>
          <w:szCs w:val="22"/>
        </w:rPr>
        <w:t xml:space="preserve"> citada)</w:t>
      </w:r>
    </w:p>
    <w:p w:rsidR="00DE018C" w:rsidRPr="004333D1" w:rsidRDefault="00DE018C" w:rsidP="00575330">
      <w:pPr>
        <w:ind w:left="284" w:right="284"/>
        <w:jc w:val="both"/>
        <w:rPr>
          <w:rFonts w:ascii="Bookman Old Style" w:hAnsi="Bookman Old Style" w:cs="Arial"/>
          <w:i/>
          <w:sz w:val="20"/>
          <w:lang w:val="es-ES_tradnl"/>
        </w:rPr>
      </w:pPr>
    </w:p>
    <w:p w:rsidR="009F609F" w:rsidRPr="001954E9" w:rsidRDefault="00F52B69" w:rsidP="00EA2219">
      <w:pPr>
        <w:ind w:left="0"/>
        <w:jc w:val="both"/>
        <w:rPr>
          <w:rFonts w:ascii="Bookman Old Style" w:hAnsi="Bookman Old Style" w:cs="Arial"/>
          <w:lang w:val="es-ES_tradnl"/>
        </w:rPr>
      </w:pPr>
      <w:r w:rsidRPr="001954E9">
        <w:rPr>
          <w:rFonts w:ascii="Bookman Old Style" w:hAnsi="Bookman Old Style" w:cs="Arial"/>
          <w:lang w:val="es-ES_tradnl"/>
        </w:rPr>
        <w:t>Ahora bien</w:t>
      </w:r>
      <w:r w:rsidR="009F609F" w:rsidRPr="001954E9">
        <w:rPr>
          <w:rFonts w:ascii="Bookman Old Style" w:hAnsi="Bookman Old Style" w:cs="Arial"/>
          <w:lang w:val="es-ES_tradnl"/>
        </w:rPr>
        <w:t>, es preciso diferenciar los tipos de mercados con el fin de establecer el alcance la intervención del regulador en la asignación de cargos de conformidad con la metodología dispuesta por la Resolución CREG 202 de 2013.</w:t>
      </w:r>
    </w:p>
    <w:p w:rsidR="009F609F" w:rsidRPr="004333D1" w:rsidRDefault="009F609F" w:rsidP="00EA2219">
      <w:pPr>
        <w:ind w:left="0"/>
        <w:jc w:val="both"/>
        <w:rPr>
          <w:rFonts w:ascii="Bookman Old Style" w:hAnsi="Bookman Old Style" w:cs="Arial"/>
          <w:sz w:val="20"/>
          <w:lang w:val="es-ES_tradnl"/>
        </w:rPr>
      </w:pPr>
    </w:p>
    <w:p w:rsidR="009F609F" w:rsidRPr="00446B59" w:rsidRDefault="009F609F" w:rsidP="009F609F">
      <w:pPr>
        <w:ind w:left="284" w:right="284"/>
        <w:jc w:val="both"/>
        <w:rPr>
          <w:rFonts w:ascii="Bookman Old Style" w:hAnsi="Bookman Old Style" w:cs="Arial"/>
          <w:b/>
          <w:i/>
          <w:sz w:val="22"/>
          <w:szCs w:val="22"/>
          <w:lang w:val="es-ES_tradnl"/>
        </w:rPr>
      </w:pPr>
      <w:r w:rsidRPr="00446B59">
        <w:rPr>
          <w:rFonts w:ascii="Bookman Old Style" w:hAnsi="Bookman Old Style" w:cs="Arial"/>
          <w:b/>
          <w:i/>
          <w:sz w:val="22"/>
          <w:szCs w:val="22"/>
          <w:lang w:val="es-ES_tradnl"/>
        </w:rPr>
        <w:t xml:space="preserve">“MERCADO RELEVANTE EXISTENTE DE DISTRIBUCIÓN: </w:t>
      </w:r>
      <w:r w:rsidRPr="00446B59">
        <w:rPr>
          <w:rFonts w:ascii="Bookman Old Style" w:hAnsi="Bookman Old Style"/>
          <w:i/>
          <w:sz w:val="22"/>
          <w:szCs w:val="22"/>
          <w:lang w:val="es-ES_tradnl"/>
        </w:rPr>
        <w:t>Corresponde al municipio o al grupo de municipios, para el cual la CREG estableció cargos por uso del Sistema de Distribución con base en la metodología de la Resolución CREG 011 de 2003. En esta Resolución se hará referencia indistintamente a Mercado Relevante Existente de Distribución o a Mercado Existente de Distribución.</w:t>
      </w:r>
    </w:p>
    <w:p w:rsidR="009F609F" w:rsidRPr="00446B59" w:rsidRDefault="009F609F" w:rsidP="009F609F">
      <w:pPr>
        <w:ind w:left="284" w:right="284"/>
        <w:jc w:val="both"/>
        <w:rPr>
          <w:rFonts w:ascii="Bookman Old Style" w:hAnsi="Bookman Old Style"/>
          <w:i/>
          <w:sz w:val="22"/>
          <w:szCs w:val="22"/>
          <w:lang w:val="es-ES_tradnl"/>
        </w:rPr>
      </w:pPr>
    </w:p>
    <w:p w:rsidR="009F609F" w:rsidRPr="00446B59" w:rsidRDefault="009F609F" w:rsidP="009F609F">
      <w:pPr>
        <w:ind w:left="284" w:right="284"/>
        <w:jc w:val="both"/>
        <w:rPr>
          <w:rFonts w:ascii="Bookman Old Style" w:hAnsi="Bookman Old Style"/>
          <w:i/>
          <w:sz w:val="22"/>
          <w:szCs w:val="22"/>
          <w:lang w:val="es-ES_tradnl"/>
        </w:rPr>
      </w:pPr>
      <w:r w:rsidRPr="00446B59">
        <w:rPr>
          <w:rFonts w:ascii="Bookman Old Style" w:hAnsi="Bookman Old Style"/>
          <w:b/>
          <w:i/>
          <w:sz w:val="22"/>
          <w:szCs w:val="22"/>
          <w:lang w:val="es-ES_tradnl"/>
        </w:rPr>
        <w:t xml:space="preserve">MERCADO RELEVANTE DE DISTRIBUCIÓN PARA EL SIGUIENTE PERÍODO TARIFARIO: </w:t>
      </w:r>
      <w:r w:rsidRPr="00446B59">
        <w:rPr>
          <w:rFonts w:ascii="Bookman Old Style" w:hAnsi="Bookman Old Style"/>
          <w:i/>
          <w:sz w:val="22"/>
          <w:szCs w:val="22"/>
          <w:lang w:val="es-ES_tradnl"/>
        </w:rPr>
        <w:t xml:space="preserve">Corresponde al municipio o al grupo de municipios, para el cual la CREG establece cargos por uso del Sistema de Distribución al cual están conectados un conjunto de usuarios. Los mercados relevantes de distribución para el siguiente período tarifario deben conformarse cumpliendo las reglas establecidas en el </w:t>
      </w:r>
      <w:r w:rsidR="002872ED" w:rsidRPr="00446B59">
        <w:rPr>
          <w:rFonts w:ascii="Bookman Old Style" w:hAnsi="Bookman Old Style"/>
          <w:i/>
          <w:sz w:val="22"/>
          <w:szCs w:val="22"/>
          <w:lang w:val="es-ES_tradnl"/>
        </w:rPr>
        <w:t xml:space="preserve">Artículo 5 </w:t>
      </w:r>
      <w:r w:rsidRPr="00446B59">
        <w:rPr>
          <w:rFonts w:ascii="Bookman Old Style" w:hAnsi="Bookman Old Style"/>
          <w:i/>
          <w:sz w:val="22"/>
          <w:szCs w:val="22"/>
          <w:lang w:val="es-ES_tradnl"/>
        </w:rPr>
        <w:t>de la presente resolución.”</w:t>
      </w:r>
    </w:p>
    <w:p w:rsidR="009F609F" w:rsidRPr="004333D1" w:rsidRDefault="009F609F" w:rsidP="00EA2219">
      <w:pPr>
        <w:ind w:left="0"/>
        <w:jc w:val="both"/>
        <w:rPr>
          <w:rFonts w:ascii="Bookman Old Style" w:hAnsi="Bookman Old Style" w:cs="Arial"/>
          <w:sz w:val="20"/>
          <w:lang w:val="es-ES_tradnl"/>
        </w:rPr>
      </w:pPr>
    </w:p>
    <w:p w:rsidR="00F52B69" w:rsidRPr="001954E9" w:rsidRDefault="001947CE" w:rsidP="00EA2219">
      <w:pPr>
        <w:ind w:left="0"/>
        <w:jc w:val="both"/>
        <w:rPr>
          <w:rFonts w:ascii="Bookman Old Style" w:hAnsi="Bookman Old Style" w:cs="Arial"/>
          <w:lang w:val="es-ES_tradnl"/>
        </w:rPr>
      </w:pPr>
      <w:r w:rsidRPr="001954E9">
        <w:rPr>
          <w:rFonts w:ascii="Bookman Old Style" w:hAnsi="Bookman Old Style" w:cs="Arial"/>
          <w:lang w:val="es-ES_tradnl"/>
        </w:rPr>
        <w:t>E</w:t>
      </w:r>
      <w:r w:rsidR="00F52B69" w:rsidRPr="001954E9">
        <w:rPr>
          <w:rFonts w:ascii="Bookman Old Style" w:hAnsi="Bookman Old Style" w:cs="Arial"/>
          <w:lang w:val="es-ES_tradnl"/>
        </w:rPr>
        <w:t xml:space="preserve">n los casos en los que el servicio se viene </w:t>
      </w:r>
      <w:r w:rsidR="00143228" w:rsidRPr="001954E9">
        <w:rPr>
          <w:rFonts w:ascii="Bookman Old Style" w:hAnsi="Bookman Old Style" w:cs="Arial"/>
          <w:lang w:val="es-ES_tradnl"/>
        </w:rPr>
        <w:t xml:space="preserve">prestando de manera regular </w:t>
      </w:r>
      <w:r w:rsidR="00F52B69" w:rsidRPr="001954E9">
        <w:rPr>
          <w:rFonts w:ascii="Bookman Old Style" w:hAnsi="Bookman Old Style" w:cs="Arial"/>
          <w:lang w:val="es-ES_tradnl"/>
        </w:rPr>
        <w:t xml:space="preserve">en mercados de distribución existentes y con base en una tarifa regularmente expedida, la prestación debe seguirse </w:t>
      </w:r>
      <w:r w:rsidR="00BB25A2">
        <w:rPr>
          <w:rFonts w:ascii="Bookman Old Style" w:hAnsi="Bookman Old Style" w:cs="Arial"/>
          <w:lang w:val="es-ES_tradnl"/>
        </w:rPr>
        <w:t>suministrando</w:t>
      </w:r>
      <w:r w:rsidR="00F52B69" w:rsidRPr="001954E9">
        <w:rPr>
          <w:rFonts w:ascii="Bookman Old Style" w:hAnsi="Bookman Old Style" w:cs="Arial"/>
          <w:lang w:val="es-ES_tradnl"/>
        </w:rPr>
        <w:t xml:space="preserve"> con la tarifa vigente, aún si el regulador no ha expedido una nueva metodología,</w:t>
      </w:r>
      <w:r w:rsidR="002A345B" w:rsidRPr="001954E9">
        <w:rPr>
          <w:rFonts w:ascii="Bookman Old Style" w:hAnsi="Bookman Old Style" w:cs="Arial"/>
          <w:lang w:val="es-ES_tradnl"/>
        </w:rPr>
        <w:t xml:space="preserve"> o la misma se encue</w:t>
      </w:r>
      <w:r w:rsidR="00387A57" w:rsidRPr="001954E9">
        <w:rPr>
          <w:rFonts w:ascii="Bookman Old Style" w:hAnsi="Bookman Old Style" w:cs="Arial"/>
          <w:lang w:val="es-ES_tradnl"/>
        </w:rPr>
        <w:t>ntra en revisión y/o parcialmente revocada por razones de interés común,</w:t>
      </w:r>
      <w:r w:rsidR="00F52B69" w:rsidRPr="001954E9">
        <w:rPr>
          <w:rFonts w:ascii="Bookman Old Style" w:hAnsi="Bookman Old Style" w:cs="Arial"/>
          <w:lang w:val="es-ES_tradnl"/>
        </w:rPr>
        <w:t xml:space="preserve"> en cuyo caso </w:t>
      </w:r>
      <w:r w:rsidR="00387A57" w:rsidRPr="001954E9">
        <w:rPr>
          <w:rFonts w:ascii="Bookman Old Style" w:hAnsi="Bookman Old Style" w:cs="Arial"/>
          <w:lang w:val="es-ES_tradnl"/>
        </w:rPr>
        <w:t>el usuario no resulta</w:t>
      </w:r>
      <w:r w:rsidR="00F52B69" w:rsidRPr="001954E9">
        <w:rPr>
          <w:rFonts w:ascii="Bookman Old Style" w:hAnsi="Bookman Old Style" w:cs="Arial"/>
          <w:lang w:val="es-ES_tradnl"/>
        </w:rPr>
        <w:t xml:space="preserve"> afecta</w:t>
      </w:r>
      <w:r w:rsidR="00387A57" w:rsidRPr="001954E9">
        <w:rPr>
          <w:rFonts w:ascii="Bookman Old Style" w:hAnsi="Bookman Old Style" w:cs="Arial"/>
          <w:lang w:val="es-ES_tradnl"/>
        </w:rPr>
        <w:t>do</w:t>
      </w:r>
      <w:r w:rsidR="00F52B69" w:rsidRPr="001954E9">
        <w:rPr>
          <w:rFonts w:ascii="Bookman Old Style" w:hAnsi="Bookman Old Style" w:cs="Arial"/>
          <w:lang w:val="es-ES_tradnl"/>
        </w:rPr>
        <w:t>, hasta tanto se fijen las nuevos metodologías, tal como lo dispone el Artículo 126 de la Ley 142 de 1994</w:t>
      </w:r>
      <w:r w:rsidR="00387A57" w:rsidRPr="001954E9">
        <w:rPr>
          <w:rFonts w:ascii="Bookman Old Style" w:hAnsi="Bookman Old Style" w:cs="Arial"/>
          <w:lang w:val="es-ES_tradnl"/>
        </w:rPr>
        <w:t>:</w:t>
      </w:r>
    </w:p>
    <w:p w:rsidR="00387A57" w:rsidRPr="001954E9" w:rsidRDefault="00387A57" w:rsidP="00EA2219">
      <w:pPr>
        <w:ind w:left="0"/>
        <w:jc w:val="both"/>
        <w:rPr>
          <w:rFonts w:ascii="Bookman Old Style" w:hAnsi="Bookman Old Style" w:cs="Arial"/>
          <w:lang w:val="es-ES_tradnl"/>
        </w:rPr>
      </w:pPr>
    </w:p>
    <w:p w:rsidR="00387A57" w:rsidRPr="00446B59" w:rsidRDefault="00387A57" w:rsidP="00446B59">
      <w:pPr>
        <w:ind w:left="284" w:right="284"/>
        <w:jc w:val="both"/>
        <w:rPr>
          <w:rFonts w:ascii="Bookman Old Style" w:hAnsi="Bookman Old Style" w:cs="Arial"/>
          <w:i/>
          <w:sz w:val="22"/>
          <w:szCs w:val="22"/>
          <w:lang w:val="es-CO"/>
        </w:rPr>
      </w:pPr>
      <w:r w:rsidRPr="00446B59">
        <w:rPr>
          <w:rFonts w:ascii="Bookman Old Style" w:hAnsi="Bookman Old Style" w:cs="Arial"/>
          <w:b/>
          <w:bCs/>
          <w:i/>
          <w:sz w:val="22"/>
          <w:szCs w:val="22"/>
          <w:lang w:val="es-CO"/>
        </w:rPr>
        <w:t>Artículo 126</w:t>
      </w:r>
      <w:r w:rsidRPr="00446B59">
        <w:rPr>
          <w:rFonts w:ascii="Bookman Old Style" w:hAnsi="Bookman Old Style" w:cs="Arial"/>
          <w:i/>
          <w:sz w:val="22"/>
          <w:szCs w:val="22"/>
          <w:lang w:val="es-CO"/>
        </w:rPr>
        <w:t>.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387A57" w:rsidRPr="00446B59" w:rsidRDefault="00387A57" w:rsidP="00446B59">
      <w:pPr>
        <w:ind w:left="284" w:right="284"/>
        <w:jc w:val="both"/>
        <w:rPr>
          <w:rFonts w:ascii="Bookman Old Style" w:hAnsi="Bookman Old Style" w:cs="Arial"/>
          <w:i/>
          <w:sz w:val="22"/>
          <w:szCs w:val="22"/>
          <w:lang w:val="es-CO"/>
        </w:rPr>
      </w:pPr>
    </w:p>
    <w:p w:rsidR="00387A57" w:rsidRPr="00446B59" w:rsidRDefault="00387A57" w:rsidP="00446B59">
      <w:pPr>
        <w:ind w:left="284" w:right="284"/>
        <w:jc w:val="both"/>
        <w:rPr>
          <w:rFonts w:ascii="Bookman Old Style" w:hAnsi="Bookman Old Style" w:cs="Arial"/>
          <w:i/>
          <w:sz w:val="22"/>
          <w:szCs w:val="22"/>
          <w:u w:val="single"/>
          <w:lang w:val="es-CO"/>
        </w:rPr>
      </w:pPr>
      <w:r w:rsidRPr="00446B59">
        <w:rPr>
          <w:rFonts w:ascii="Bookman Old Style" w:hAnsi="Bookman Old Style" w:cs="Arial"/>
          <w:i/>
          <w:sz w:val="22"/>
          <w:szCs w:val="22"/>
          <w:u w:val="single"/>
          <w:lang w:val="es-CO"/>
        </w:rPr>
        <w:t>Vencido el período de vigencia de las fórmulas tarifarias, continuarán rigiendo mientras la comisión no fije las nuevas.</w:t>
      </w:r>
    </w:p>
    <w:p w:rsidR="00387A57" w:rsidRPr="00446B59" w:rsidRDefault="00387A57" w:rsidP="00446B59">
      <w:pPr>
        <w:ind w:left="284"/>
        <w:jc w:val="both"/>
        <w:rPr>
          <w:rFonts w:ascii="Bookman Old Style" w:hAnsi="Bookman Old Style" w:cs="Arial"/>
          <w:sz w:val="22"/>
          <w:szCs w:val="22"/>
          <w:u w:val="single"/>
          <w:lang w:val="es-CO"/>
        </w:rPr>
      </w:pPr>
    </w:p>
    <w:p w:rsidR="00387A57" w:rsidRPr="00446B59" w:rsidRDefault="00387A57" w:rsidP="00446B59">
      <w:pPr>
        <w:ind w:left="284" w:right="284"/>
        <w:jc w:val="both"/>
        <w:rPr>
          <w:rFonts w:ascii="Bookman Old Style" w:hAnsi="Bookman Old Style" w:cs="Arial"/>
          <w:i/>
          <w:sz w:val="22"/>
          <w:szCs w:val="22"/>
          <w:lang w:val="es-ES_tradnl"/>
        </w:rPr>
      </w:pPr>
      <w:r w:rsidRPr="00446B59">
        <w:rPr>
          <w:rFonts w:ascii="Bookman Old Style" w:hAnsi="Bookman Old Style" w:cs="Arial"/>
          <w:i/>
          <w:sz w:val="22"/>
          <w:szCs w:val="22"/>
        </w:rPr>
        <w:t>(Subrayas ajenas al texto original de la norma citada)</w:t>
      </w:r>
    </w:p>
    <w:p w:rsidR="00387A57" w:rsidRPr="004333D1" w:rsidRDefault="00387A57" w:rsidP="00EA2219">
      <w:pPr>
        <w:ind w:left="0"/>
        <w:jc w:val="both"/>
        <w:rPr>
          <w:rFonts w:ascii="Bookman Old Style" w:hAnsi="Bookman Old Style" w:cs="Arial"/>
          <w:sz w:val="22"/>
          <w:lang w:val="es-ES_tradnl"/>
        </w:rPr>
      </w:pPr>
    </w:p>
    <w:p w:rsidR="002F30E3" w:rsidRPr="001954E9" w:rsidRDefault="002F30E3" w:rsidP="002F30E3">
      <w:pPr>
        <w:widowControl w:val="0"/>
        <w:adjustRightInd w:val="0"/>
        <w:ind w:left="0"/>
        <w:jc w:val="both"/>
        <w:rPr>
          <w:rFonts w:ascii="Bookman Old Style" w:hAnsi="Bookman Old Style" w:cs="Arial"/>
          <w:lang w:val="es-ES_tradnl"/>
        </w:rPr>
      </w:pPr>
      <w:r w:rsidRPr="001954E9">
        <w:rPr>
          <w:rFonts w:ascii="Bookman Old Style" w:hAnsi="Bookman Old Style" w:cs="Arial"/>
          <w:lang w:val="es-ES_tradnl"/>
        </w:rPr>
        <w:t>En este marco como ya se mencionó</w:t>
      </w:r>
      <w:r>
        <w:rPr>
          <w:rFonts w:ascii="Bookman Old Style" w:hAnsi="Bookman Old Style" w:cs="Arial"/>
          <w:lang w:val="es-ES_tradnl"/>
        </w:rPr>
        <w:t xml:space="preserve"> en los antecedentes de esta resolución</w:t>
      </w:r>
      <w:r w:rsidRPr="001954E9">
        <w:rPr>
          <w:rFonts w:ascii="Bookman Old Style" w:hAnsi="Bookman Old Style" w:cs="Arial"/>
          <w:lang w:val="es-ES_tradnl"/>
        </w:rPr>
        <w:t>,</w:t>
      </w:r>
      <w:r w:rsidRPr="001954E9">
        <w:rPr>
          <w:rFonts w:ascii="Bookman Old Style" w:hAnsi="Bookman Old Style" w:cs="Arial"/>
        </w:rPr>
        <w:t xml:space="preserve"> mediante la Resolución CREG </w:t>
      </w:r>
      <w:r w:rsidR="00A13C50">
        <w:rPr>
          <w:rFonts w:ascii="Bookman Old Style" w:hAnsi="Bookman Old Style" w:cs="Arial"/>
        </w:rPr>
        <w:t>093</w:t>
      </w:r>
      <w:r w:rsidRPr="001954E9">
        <w:rPr>
          <w:rFonts w:ascii="Bookman Old Style" w:hAnsi="Bookman Old Style" w:cs="Arial"/>
        </w:rPr>
        <w:t xml:space="preserve"> de</w:t>
      </w:r>
      <w:r w:rsidR="00A13C50">
        <w:rPr>
          <w:rFonts w:ascii="Bookman Old Style" w:hAnsi="Bookman Old Style" w:cs="Arial"/>
        </w:rPr>
        <w:t>l</w:t>
      </w:r>
      <w:r w:rsidRPr="001954E9">
        <w:rPr>
          <w:rFonts w:ascii="Bookman Old Style" w:hAnsi="Bookman Old Style" w:cs="Arial"/>
        </w:rPr>
        <w:t xml:space="preserve"> </w:t>
      </w:r>
      <w:r w:rsidR="00A13C50">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rsidR="005F04C9" w:rsidRPr="001954E9" w:rsidRDefault="005F04C9" w:rsidP="005F04C9">
      <w:pPr>
        <w:widowControl w:val="0"/>
        <w:adjustRightInd w:val="0"/>
        <w:ind w:left="0"/>
        <w:jc w:val="both"/>
        <w:rPr>
          <w:rFonts w:ascii="Bookman Old Style" w:hAnsi="Bookman Old Style" w:cs="Arial"/>
          <w:lang w:val="es-ES_tradnl"/>
        </w:rPr>
      </w:pPr>
    </w:p>
    <w:p w:rsidR="006E2A04" w:rsidRPr="00D96CF4" w:rsidRDefault="006E2A04" w:rsidP="006E2A04">
      <w:pPr>
        <w:widowControl w:val="0"/>
        <w:adjustRightInd w:val="0"/>
        <w:ind w:left="0"/>
        <w:jc w:val="both"/>
        <w:rPr>
          <w:rFonts w:ascii="Bookman Old Style" w:hAnsi="Bookman Old Style" w:cs="Arial"/>
          <w:lang w:val="es-CO"/>
        </w:rPr>
      </w:pPr>
      <w:r>
        <w:rPr>
          <w:rFonts w:ascii="Bookman Old Style" w:hAnsi="Bookman Old Style" w:cs="Arial"/>
        </w:rPr>
        <w:t>En el</w:t>
      </w:r>
      <w:r w:rsidRPr="00D96CF4">
        <w:rPr>
          <w:rFonts w:ascii="Bookman Old Style" w:hAnsi="Bookman Old Style" w:cs="Arial"/>
        </w:rPr>
        <w:t xml:space="preserve"> artículo 11 de la Resolución CREG 093 de 2016, mediante el cual se ordenó archivar las actuaciones administrativas iniciadas con fundamento en la solicitud de las empresas distribuidoras, se debe tener en cuenta que al estar</w:t>
      </w:r>
      <w:r w:rsidRPr="00D96CF4">
        <w:rPr>
          <w:rFonts w:ascii="Bookman Old Style" w:hAnsi="Bookman Old Style" w:cs="Arial"/>
          <w:lang w:val="es-ES_tradnl"/>
        </w:rPr>
        <w:t xml:space="preserve"> en curso la respectiva actuación administrativa de evaluación de las solicitudes de cargos de distribución, sin que se hubieran resuelto de fondo las mismas, y habiendo desaparecido del ordenamiento jurídico</w:t>
      </w:r>
      <w:r w:rsidRPr="00D96CF4">
        <w:rPr>
          <w:rFonts w:ascii="Bookman Old Style" w:hAnsi="Bookman Old Style" w:cs="Arial"/>
          <w:lang w:val="es-CO"/>
        </w:rPr>
        <w:t xml:space="preserve"> apartes fundamentales de la metodología definida en la Resolución CREG 202 de 2013, relacionados con (i) gastos de Administración, Operación y Mantenimiento (AOM), (ii) Otros Activos, (iii) mercados financiados con recursos públicos, y (iv) demanda, no es viable ni procedente evaluar parcialmente las solicitudes de mercados existentes. </w:t>
      </w:r>
    </w:p>
    <w:p w:rsidR="006E2A04" w:rsidRPr="00D96CF4" w:rsidRDefault="006E2A04" w:rsidP="006E2A04">
      <w:pPr>
        <w:widowControl w:val="0"/>
        <w:adjustRightInd w:val="0"/>
        <w:ind w:left="0"/>
        <w:jc w:val="both"/>
        <w:rPr>
          <w:rFonts w:ascii="Bookman Old Style" w:hAnsi="Bookman Old Style" w:cs="Arial"/>
          <w:lang w:val="es-CO"/>
        </w:rPr>
      </w:pPr>
    </w:p>
    <w:p w:rsidR="006E2A04" w:rsidRPr="00D96CF4" w:rsidRDefault="006E2A04" w:rsidP="006E2A04">
      <w:pPr>
        <w:widowControl w:val="0"/>
        <w:adjustRightInd w:val="0"/>
        <w:ind w:left="0"/>
        <w:jc w:val="both"/>
        <w:rPr>
          <w:rFonts w:ascii="Bookman Old Style" w:hAnsi="Bookman Old Style" w:cs="Arial"/>
          <w:lang w:val="es-CO"/>
        </w:rPr>
      </w:pPr>
      <w:r w:rsidRPr="00D96CF4">
        <w:rPr>
          <w:rFonts w:ascii="Bookman Old Style" w:hAnsi="Bookman Old Style" w:cs="Arial"/>
          <w:lang w:val="es-CO"/>
        </w:rPr>
        <w:t>En consecuencia, dado que los anteriores aspectos de la metodología tarifaria fueron revocados, ello impedía la aplicación de la metodología en cuestión por cuanto sin estos puntos específicos no se puede alcanzar el cálculo de una tarifa. Como resultado, se ordenó archivar las actuaciones administrativas iniciadas para las solicitudes tarifarias de los mercados relevantes de distribución de gas combustible por red de tuberías existentes, que cumplieron periodo tarifario y que realizaron el proceso de reporte de información correspondiente, o que no hubieren cumplido pero que decidieron acogerse a lo establecido en el numeral 6.5. de la Resolución CREG 202 de 2013</w:t>
      </w:r>
      <w:r>
        <w:rPr>
          <w:rFonts w:ascii="Bookman Old Style" w:hAnsi="Bookman Old Style" w:cs="Arial"/>
          <w:lang w:val="es-CO"/>
        </w:rPr>
        <w:t xml:space="preserve">, </w:t>
      </w:r>
      <w:r>
        <w:rPr>
          <w:rFonts w:ascii="Bookman Old Style" w:hAnsi="Bookman Old Style" w:cs="Arial"/>
        </w:rPr>
        <w:t>sin perjuicio de que se pudiera</w:t>
      </w:r>
      <w:r w:rsidRPr="001954E9">
        <w:rPr>
          <w:rFonts w:ascii="Bookman Old Style" w:hAnsi="Bookman Old Style" w:cs="Arial"/>
        </w:rPr>
        <w:t xml:space="preserve"> hacer una nueva solicitud tarifaria una vez se expidan la</w:t>
      </w:r>
      <w:r w:rsidR="00436CBA">
        <w:rPr>
          <w:rFonts w:ascii="Bookman Old Style" w:hAnsi="Bookman Old Style" w:cs="Arial"/>
        </w:rPr>
        <w:t>s</w:t>
      </w:r>
      <w:r w:rsidRPr="001954E9">
        <w:rPr>
          <w:rFonts w:ascii="Bookman Old Style" w:hAnsi="Bookman Old Style" w:cs="Arial"/>
        </w:rPr>
        <w:t xml:space="preserve"> nuevas normas que complementen la metodología para la remuneración de la actividad de distribución de gas combustible por redes de tubería.</w:t>
      </w:r>
    </w:p>
    <w:p w:rsidR="006E2A04" w:rsidRDefault="006E2A04" w:rsidP="006E2A04">
      <w:pPr>
        <w:ind w:left="0"/>
        <w:jc w:val="both"/>
        <w:rPr>
          <w:rFonts w:ascii="Bookman Old Style" w:hAnsi="Bookman Old Style" w:cs="Arial"/>
          <w:lang w:val="es-ES_tradnl"/>
        </w:rPr>
      </w:pPr>
    </w:p>
    <w:p w:rsidR="006E2A04" w:rsidRDefault="006E2A04" w:rsidP="006E2A04">
      <w:pPr>
        <w:ind w:left="0"/>
        <w:jc w:val="both"/>
        <w:rPr>
          <w:rFonts w:ascii="Bookman Old Style" w:hAnsi="Bookman Old Style" w:cs="Arial"/>
          <w:lang w:val="es-ES_tradnl"/>
        </w:rPr>
      </w:pPr>
      <w:r>
        <w:rPr>
          <w:rFonts w:ascii="Bookman Old Style" w:hAnsi="Bookman Old Style" w:cs="Arial"/>
          <w:lang w:val="es-ES_tradnl"/>
        </w:rPr>
        <w:t xml:space="preserve">Caso diametralmente opuesto se observa respecto de la prestación del servicio de distribución de gas combustible por red de tuberías en los mercados nuevos, entendidos en la Resolución CREG 202 de 2013 en los siguientes términos: </w:t>
      </w:r>
    </w:p>
    <w:p w:rsidR="006E2A04" w:rsidRDefault="006E2A04" w:rsidP="006E2A04">
      <w:pPr>
        <w:ind w:left="0"/>
        <w:jc w:val="both"/>
        <w:rPr>
          <w:rFonts w:ascii="Bookman Old Style" w:hAnsi="Bookman Old Style" w:cs="Arial"/>
          <w:lang w:val="es-ES_tradnl"/>
        </w:rPr>
      </w:pPr>
    </w:p>
    <w:p w:rsidR="006E2A04" w:rsidRPr="00446B59" w:rsidRDefault="006E2A04" w:rsidP="006E2A04">
      <w:pPr>
        <w:ind w:left="284" w:right="284"/>
        <w:jc w:val="both"/>
        <w:rPr>
          <w:rFonts w:ascii="Bookman Old Style" w:hAnsi="Bookman Old Style"/>
          <w:i/>
          <w:sz w:val="22"/>
          <w:szCs w:val="22"/>
          <w:lang w:val="es-ES_tradnl"/>
        </w:rPr>
      </w:pPr>
      <w:r w:rsidRPr="00446B59">
        <w:rPr>
          <w:rFonts w:ascii="Bookman Old Style" w:hAnsi="Bookman Old Style"/>
          <w:b/>
          <w:i/>
          <w:sz w:val="22"/>
          <w:szCs w:val="22"/>
          <w:lang w:val="es-ES_tradnl"/>
        </w:rPr>
        <w:t xml:space="preserve">“NUEVO MERCADO RELEVANTE DE DISTRIBUCIÓN PARA EL SIGUIENTE PERÍODO TARIFARIO: </w:t>
      </w:r>
      <w:r w:rsidRPr="00446B59">
        <w:rPr>
          <w:rFonts w:ascii="Bookman Old Style" w:hAnsi="Bookman Old Style"/>
          <w:i/>
          <w:sz w:val="22"/>
          <w:szCs w:val="22"/>
          <w:lang w:val="es-ES_tradnl"/>
        </w:rPr>
        <w:t>Corresponde al mercado relevante de distribución conformado según el literal iv) del numeral 5.2 del Artículo 5 de</w:t>
      </w:r>
      <w:r w:rsidR="00436CBA" w:rsidRPr="00446B59">
        <w:rPr>
          <w:rFonts w:ascii="Bookman Old Style" w:hAnsi="Bookman Old Style"/>
          <w:i/>
          <w:sz w:val="22"/>
          <w:szCs w:val="22"/>
          <w:lang w:val="es-ES_tradnl"/>
        </w:rPr>
        <w:t xml:space="preserve"> la</w:t>
      </w:r>
      <w:r w:rsidR="009D3C89">
        <w:rPr>
          <w:rFonts w:ascii="Bookman Old Style" w:hAnsi="Bookman Old Style"/>
          <w:i/>
          <w:sz w:val="22"/>
          <w:szCs w:val="22"/>
          <w:lang w:val="es-ES_tradnl"/>
        </w:rPr>
        <w:t xml:space="preserve"> </w:t>
      </w:r>
      <w:r w:rsidRPr="00446B59">
        <w:rPr>
          <w:rFonts w:ascii="Bookman Old Style" w:hAnsi="Bookman Old Style"/>
          <w:i/>
          <w:sz w:val="22"/>
          <w:szCs w:val="22"/>
          <w:lang w:val="es-ES_tradnl"/>
        </w:rPr>
        <w:t>presente resolución.”</w:t>
      </w:r>
    </w:p>
    <w:p w:rsidR="006E2A04" w:rsidRPr="00446B59" w:rsidRDefault="006E2A04" w:rsidP="006E2A04">
      <w:pPr>
        <w:ind w:left="284" w:right="284"/>
        <w:jc w:val="both"/>
        <w:rPr>
          <w:rFonts w:ascii="Bookman Old Style" w:hAnsi="Bookman Old Style"/>
          <w:i/>
          <w:sz w:val="22"/>
          <w:szCs w:val="22"/>
          <w:lang w:val="es-ES_tradnl"/>
        </w:rPr>
      </w:pPr>
    </w:p>
    <w:p w:rsidR="006E2A04" w:rsidRPr="00446B59" w:rsidRDefault="006E2A04" w:rsidP="006E2A04">
      <w:pPr>
        <w:ind w:left="284" w:right="284"/>
        <w:jc w:val="both"/>
        <w:rPr>
          <w:rFonts w:ascii="Bookman Old Style" w:hAnsi="Bookman Old Style"/>
          <w:i/>
          <w:sz w:val="22"/>
          <w:szCs w:val="22"/>
          <w:lang w:val="es-ES_tradnl"/>
        </w:rPr>
      </w:pPr>
      <w:r w:rsidRPr="00446B59">
        <w:rPr>
          <w:rFonts w:ascii="Bookman Old Style" w:hAnsi="Bookman Old Style"/>
          <w:i/>
          <w:sz w:val="22"/>
          <w:szCs w:val="22"/>
          <w:lang w:val="es-ES_tradnl"/>
        </w:rPr>
        <w:t>(…)</w:t>
      </w:r>
    </w:p>
    <w:p w:rsidR="006E2A04" w:rsidRPr="00446B59" w:rsidRDefault="006E2A04" w:rsidP="006E2A04">
      <w:pPr>
        <w:ind w:left="284" w:right="284"/>
        <w:jc w:val="both"/>
        <w:rPr>
          <w:rFonts w:ascii="Bookman Old Style" w:hAnsi="Bookman Old Style"/>
          <w:i/>
          <w:sz w:val="22"/>
          <w:szCs w:val="22"/>
          <w:lang w:val="es-ES_tradnl"/>
        </w:rPr>
      </w:pPr>
    </w:p>
    <w:p w:rsidR="006E2A04" w:rsidRPr="00446B59" w:rsidRDefault="006E2A04" w:rsidP="009D3C89">
      <w:pPr>
        <w:overflowPunct w:val="0"/>
        <w:autoSpaceDE w:val="0"/>
        <w:autoSpaceDN w:val="0"/>
        <w:adjustRightInd w:val="0"/>
        <w:ind w:left="1134" w:right="284" w:hanging="851"/>
        <w:jc w:val="both"/>
        <w:textAlignment w:val="baseline"/>
        <w:outlineLvl w:val="1"/>
        <w:rPr>
          <w:rFonts w:ascii="Bookman Old Style" w:hAnsi="Bookman Old Style"/>
          <w:b/>
          <w:bCs/>
          <w:i/>
          <w:sz w:val="22"/>
          <w:szCs w:val="22"/>
        </w:rPr>
      </w:pPr>
      <w:r w:rsidRPr="00446B59">
        <w:rPr>
          <w:rFonts w:ascii="Bookman Old Style" w:hAnsi="Bookman Old Style"/>
          <w:b/>
          <w:bCs/>
          <w:sz w:val="22"/>
          <w:szCs w:val="22"/>
        </w:rPr>
        <w:t xml:space="preserve">5.2. </w:t>
      </w:r>
      <w:r w:rsidRPr="00446B59">
        <w:rPr>
          <w:rFonts w:ascii="Bookman Old Style" w:hAnsi="Bookman Old Style"/>
          <w:b/>
          <w:bCs/>
          <w:i/>
          <w:sz w:val="22"/>
          <w:szCs w:val="22"/>
        </w:rPr>
        <w:t>CRITERIOS PARA LA CONFORMA</w:t>
      </w:r>
      <w:r w:rsidR="00446B59">
        <w:rPr>
          <w:rFonts w:ascii="Bookman Old Style" w:hAnsi="Bookman Old Style"/>
          <w:b/>
          <w:bCs/>
          <w:i/>
          <w:sz w:val="22"/>
          <w:szCs w:val="22"/>
        </w:rPr>
        <w:t xml:space="preserve">CIÓN DE LOS MERCADOS RELEVANTES </w:t>
      </w:r>
      <w:r w:rsidRPr="00446B59">
        <w:rPr>
          <w:rFonts w:ascii="Bookman Old Style" w:hAnsi="Bookman Old Style"/>
          <w:b/>
          <w:bCs/>
          <w:i/>
          <w:sz w:val="22"/>
          <w:szCs w:val="22"/>
        </w:rPr>
        <w:t>DE DISTRIBUCIÓN PARA EL SIGUIENTE PERÍODO TARIFARIO.</w:t>
      </w:r>
    </w:p>
    <w:p w:rsidR="006E2A04" w:rsidRPr="00446B59" w:rsidRDefault="006E2A04" w:rsidP="006E2A04">
      <w:pPr>
        <w:ind w:left="284" w:right="284"/>
        <w:jc w:val="both"/>
        <w:rPr>
          <w:rFonts w:ascii="Bookman Old Style" w:hAnsi="Bookman Old Style"/>
          <w:i/>
          <w:sz w:val="22"/>
          <w:szCs w:val="22"/>
          <w:lang w:val="es-ES_tradnl"/>
        </w:rPr>
      </w:pPr>
    </w:p>
    <w:p w:rsidR="006E2A04" w:rsidRPr="00446B59" w:rsidRDefault="006E2A04" w:rsidP="006E2A04">
      <w:pPr>
        <w:tabs>
          <w:tab w:val="left" w:pos="284"/>
          <w:tab w:val="left" w:pos="1134"/>
        </w:tabs>
        <w:ind w:left="284" w:right="284"/>
        <w:jc w:val="both"/>
        <w:rPr>
          <w:rFonts w:ascii="Bookman Old Style" w:hAnsi="Bookman Old Style"/>
          <w:i/>
          <w:sz w:val="22"/>
          <w:szCs w:val="22"/>
        </w:rPr>
      </w:pPr>
      <w:r w:rsidRPr="00446B59">
        <w:rPr>
          <w:rFonts w:ascii="Bookman Old Style" w:hAnsi="Bookman Old Style"/>
          <w:i/>
          <w:sz w:val="22"/>
          <w:szCs w:val="22"/>
        </w:rPr>
        <w:t xml:space="preserve">A partir de la entrada en vigencia de la presente resolución, los Distribuidores podrán acogerse a los siguientes criterios para la conformación de los Mercados Relevantes de Distribución para el Siguiente Período Tarifario y proceder a solicitar a la CREG la aprobación de los cargos correspondientes:  </w:t>
      </w:r>
    </w:p>
    <w:p w:rsidR="006E2A04" w:rsidRPr="00446B59" w:rsidRDefault="006E2A04" w:rsidP="006E2A04">
      <w:pPr>
        <w:ind w:left="284" w:right="284"/>
        <w:jc w:val="both"/>
        <w:rPr>
          <w:rFonts w:ascii="Bookman Old Style" w:hAnsi="Bookman Old Style"/>
          <w:i/>
          <w:sz w:val="22"/>
          <w:szCs w:val="22"/>
        </w:rPr>
      </w:pPr>
    </w:p>
    <w:p w:rsidR="006E2A04" w:rsidRPr="00446B59" w:rsidRDefault="006E2A04" w:rsidP="006E2A04">
      <w:pPr>
        <w:ind w:left="284" w:right="284"/>
        <w:jc w:val="both"/>
        <w:rPr>
          <w:rFonts w:ascii="Bookman Old Style" w:hAnsi="Bookman Old Style"/>
          <w:i/>
          <w:sz w:val="22"/>
          <w:szCs w:val="22"/>
          <w:lang w:val="es-ES_tradnl"/>
        </w:rPr>
      </w:pPr>
      <w:r w:rsidRPr="00446B59">
        <w:rPr>
          <w:rFonts w:ascii="Bookman Old Style" w:hAnsi="Bookman Old Style"/>
          <w:i/>
          <w:sz w:val="22"/>
          <w:szCs w:val="22"/>
          <w:lang w:val="es-ES_tradnl"/>
        </w:rPr>
        <w:t>(…)</w:t>
      </w:r>
    </w:p>
    <w:p w:rsidR="006E2A04" w:rsidRPr="00446B59" w:rsidRDefault="006E2A04" w:rsidP="006E2A04">
      <w:pPr>
        <w:ind w:left="284" w:right="284"/>
        <w:jc w:val="both"/>
        <w:rPr>
          <w:rFonts w:ascii="Bookman Old Style" w:hAnsi="Bookman Old Style"/>
          <w:i/>
          <w:sz w:val="22"/>
          <w:szCs w:val="22"/>
        </w:rPr>
      </w:pPr>
    </w:p>
    <w:p w:rsidR="006E2A04" w:rsidRPr="00446B59" w:rsidRDefault="006E2A04" w:rsidP="006E2A04">
      <w:pPr>
        <w:tabs>
          <w:tab w:val="left" w:pos="284"/>
        </w:tabs>
        <w:ind w:left="284" w:right="284"/>
        <w:jc w:val="both"/>
        <w:rPr>
          <w:rFonts w:ascii="Bookman Old Style" w:hAnsi="Bookman Old Style"/>
          <w:i/>
          <w:sz w:val="22"/>
          <w:szCs w:val="22"/>
        </w:rPr>
      </w:pPr>
      <w:r w:rsidRPr="00446B59">
        <w:rPr>
          <w:rFonts w:ascii="Bookman Old Style" w:hAnsi="Bookman Old Style"/>
          <w:b/>
          <w:i/>
          <w:sz w:val="22"/>
          <w:szCs w:val="22"/>
          <w:lang w:val="es-ES_tradnl"/>
        </w:rPr>
        <w:t>iv.  Creación de Nuevos Mercados de Distribución:</w:t>
      </w:r>
      <w:r w:rsidRPr="00446B59">
        <w:rPr>
          <w:rFonts w:ascii="Bookman Old Style" w:hAnsi="Bookman Old Style"/>
          <w:i/>
          <w:sz w:val="22"/>
          <w:szCs w:val="22"/>
          <w:lang w:val="es-ES_tradnl"/>
        </w:rPr>
        <w:t xml:space="preserve"> Constituir Nuevos Mercados Relevantes de Distribución para el Siguiente Período Tarifario por Municipios Nuevos, bien sea que la infraestructura esté o no ejecutada. </w:t>
      </w:r>
    </w:p>
    <w:p w:rsidR="006E2A04" w:rsidRPr="00446B59" w:rsidRDefault="006E2A04" w:rsidP="006E2A04">
      <w:pPr>
        <w:ind w:left="284" w:right="284"/>
        <w:jc w:val="both"/>
        <w:rPr>
          <w:rFonts w:ascii="Bookman Old Style" w:hAnsi="Bookman Old Style"/>
          <w:i/>
          <w:sz w:val="22"/>
          <w:szCs w:val="22"/>
          <w:lang w:val="es-ES_tradnl"/>
        </w:rPr>
      </w:pPr>
    </w:p>
    <w:p w:rsidR="006E2A04" w:rsidRPr="001954E9" w:rsidRDefault="006E2A04" w:rsidP="006E2A04">
      <w:pPr>
        <w:ind w:left="0"/>
        <w:jc w:val="both"/>
        <w:rPr>
          <w:rFonts w:ascii="Bookman Old Style" w:hAnsi="Bookman Old Style" w:cs="Arial"/>
          <w:lang w:val="es-ES_tradnl"/>
        </w:rPr>
      </w:pPr>
      <w:r>
        <w:rPr>
          <w:rFonts w:ascii="Bookman Old Style" w:hAnsi="Bookman Old Style" w:cs="Arial"/>
          <w:lang w:val="es-ES_tradnl"/>
        </w:rPr>
        <w:lastRenderedPageBreak/>
        <w:t>En este orden, un mercado nuevo de distribución de gas combustible es aquel conformado por un municipio, grupo de municipios o centro poblado donde no se ha iniciado la prestación del servicio, e</w:t>
      </w:r>
      <w:r w:rsidRPr="001954E9">
        <w:rPr>
          <w:rFonts w:ascii="Bookman Old Style" w:hAnsi="Bookman Old Style" w:cs="Arial"/>
          <w:lang w:val="es-ES_tradnl"/>
        </w:rPr>
        <w:t>n</w:t>
      </w:r>
      <w:r>
        <w:rPr>
          <w:rFonts w:ascii="Bookman Old Style" w:hAnsi="Bookman Old Style" w:cs="Arial"/>
          <w:lang w:val="es-ES_tradnl"/>
        </w:rPr>
        <w:t xml:space="preserve"> este tipo de mercados, del cual hace parte la presente solicitud, </w:t>
      </w:r>
      <w:r w:rsidRPr="001954E9">
        <w:rPr>
          <w:rFonts w:ascii="Bookman Old Style" w:hAnsi="Bookman Old Style" w:cs="Arial"/>
          <w:lang w:val="es-ES_tradnl"/>
        </w:rPr>
        <w:t>las tarifas necesarias para dar inicio al servicio no se han proferido nunca</w:t>
      </w:r>
      <w:r>
        <w:rPr>
          <w:rFonts w:ascii="Bookman Old Style" w:hAnsi="Bookman Old Style" w:cs="Arial"/>
          <w:lang w:val="es-ES_tradnl"/>
        </w:rPr>
        <w:t>.</w:t>
      </w:r>
      <w:r w:rsidRPr="001954E9">
        <w:rPr>
          <w:rFonts w:ascii="Bookman Old Style" w:hAnsi="Bookman Old Style" w:cs="Arial"/>
          <w:lang w:val="es-ES_tradnl"/>
        </w:rPr>
        <w:t xml:space="preserve"> </w:t>
      </w:r>
      <w:r>
        <w:rPr>
          <w:rFonts w:ascii="Bookman Old Style" w:hAnsi="Bookman Old Style" w:cs="Arial"/>
          <w:lang w:val="es-ES_tradnl"/>
        </w:rPr>
        <w:t>E</w:t>
      </w:r>
      <w:r w:rsidRPr="001954E9">
        <w:rPr>
          <w:rFonts w:ascii="Bookman Old Style" w:hAnsi="Bookman Old Style" w:cs="Arial"/>
          <w:lang w:val="es-ES_tradnl"/>
        </w:rPr>
        <w:t>n estos casos</w:t>
      </w:r>
      <w:r>
        <w:rPr>
          <w:rFonts w:ascii="Bookman Old Style" w:hAnsi="Bookman Old Style" w:cs="Arial"/>
          <w:lang w:val="es-ES_tradnl"/>
        </w:rPr>
        <w:t>,</w:t>
      </w:r>
      <w:r w:rsidRPr="001954E9">
        <w:rPr>
          <w:rFonts w:ascii="Bookman Old Style" w:hAnsi="Bookman Old Style" w:cs="Arial"/>
          <w:lang w:val="es-ES_tradnl"/>
        </w:rPr>
        <w:t xml:space="preserve"> las empresas solicitantes de estos nuevos mercados carecen legalmente de la posibilidad de desarrollar cualquier actividad en tanto no cuentan con la herramienta regulatoria que les permita liquidar y facturar tarifa alguna a sus usuarios.</w:t>
      </w:r>
    </w:p>
    <w:p w:rsidR="006E2A04" w:rsidRDefault="006E2A04" w:rsidP="0085467A">
      <w:pPr>
        <w:widowControl w:val="0"/>
        <w:adjustRightInd w:val="0"/>
        <w:ind w:left="0"/>
        <w:jc w:val="both"/>
        <w:rPr>
          <w:rFonts w:ascii="Bookman Old Style" w:hAnsi="Bookman Old Style" w:cs="Arial"/>
          <w:lang w:val="es-ES_tradnl"/>
        </w:rPr>
      </w:pPr>
    </w:p>
    <w:p w:rsidR="006E2A04" w:rsidRPr="001954E9" w:rsidRDefault="006E2A04" w:rsidP="006E2A04">
      <w:pPr>
        <w:widowControl w:val="0"/>
        <w:adjustRightInd w:val="0"/>
        <w:ind w:left="0" w:right="20"/>
        <w:jc w:val="both"/>
        <w:rPr>
          <w:rFonts w:ascii="Bookman Old Style" w:hAnsi="Bookman Old Style" w:cs="Arial"/>
        </w:rPr>
      </w:pPr>
      <w:r w:rsidRPr="001954E9">
        <w:rPr>
          <w:rFonts w:ascii="Bookman Old Style" w:hAnsi="Bookman Old Style" w:cs="Arial"/>
        </w:rPr>
        <w:t xml:space="preserve">No obstante </w:t>
      </w:r>
      <w:r w:rsidRPr="00487BB3">
        <w:rPr>
          <w:rFonts w:ascii="Bookman Old Style" w:hAnsi="Bookman Old Style" w:cs="Arial"/>
        </w:rPr>
        <w:t>lo anterior, en defensa de los preceptos constitucionales superiores, y con la finalidad última de garantizar la prestación del servicio, en los mercados relevantes correspondientes a las solicitudes tarifarias de los nuevos mercados de distribución de gas combustible por redes de tubería que no cuentan con cargos aprobados con la anterior metodología tarifaria, la CREG debe fijar cargos</w:t>
      </w:r>
      <w:r w:rsidRPr="001954E9">
        <w:rPr>
          <w:rFonts w:ascii="Bookman Old Style" w:hAnsi="Bookman Old Style" w:cs="Arial"/>
        </w:rPr>
        <w:t xml:space="preserve"> de distribución transitorios aplicando criterios con este mismo carácter transitorio para las disposiciones revocadas mediante la Resolución CREG </w:t>
      </w:r>
      <w:r>
        <w:rPr>
          <w:rFonts w:ascii="Bookman Old Style" w:hAnsi="Bookman Old Style" w:cs="Arial"/>
        </w:rPr>
        <w:t>093</w:t>
      </w:r>
      <w:r w:rsidRPr="001954E9">
        <w:rPr>
          <w:rFonts w:ascii="Bookman Old Style" w:hAnsi="Bookman Old Style" w:cs="Arial"/>
        </w:rPr>
        <w:t xml:space="preserve"> de </w:t>
      </w:r>
      <w:r>
        <w:rPr>
          <w:rFonts w:ascii="Bookman Old Style" w:hAnsi="Bookman Old Style" w:cs="Arial"/>
        </w:rPr>
        <w:t>11</w:t>
      </w:r>
      <w:r w:rsidRPr="001954E9">
        <w:rPr>
          <w:rFonts w:ascii="Bookman Old Style" w:hAnsi="Bookman Old Style" w:cs="Arial"/>
        </w:rPr>
        <w:t xml:space="preserve"> de julio de 2016, esto conforme a las competencias definidas en la Ley 142 de 1994 y con los preceptos constitucionales superiores, como ya se ha visto, con el fin de dar trámite a las mismas, y debido a que las disposiciones revocadas afectan el cálculo de las tarifas de estos mercados.</w:t>
      </w:r>
    </w:p>
    <w:p w:rsidR="00E404D6" w:rsidRPr="001954E9" w:rsidRDefault="00E404D6" w:rsidP="006B381F">
      <w:pPr>
        <w:widowControl w:val="0"/>
        <w:adjustRightInd w:val="0"/>
        <w:ind w:left="0" w:right="20"/>
        <w:jc w:val="both"/>
        <w:rPr>
          <w:rFonts w:ascii="Bookman Old Style" w:hAnsi="Bookman Old Style" w:cs="Arial"/>
        </w:rPr>
      </w:pPr>
    </w:p>
    <w:p w:rsidR="005F04C9" w:rsidRPr="001954E9" w:rsidRDefault="00E404D6" w:rsidP="006B381F">
      <w:pPr>
        <w:widowControl w:val="0"/>
        <w:adjustRightInd w:val="0"/>
        <w:ind w:left="0" w:right="20"/>
        <w:jc w:val="both"/>
        <w:rPr>
          <w:rFonts w:ascii="Bookman Old Style" w:hAnsi="Bookman Old Style" w:cs="Arial"/>
        </w:rPr>
      </w:pPr>
      <w:r w:rsidRPr="001954E9">
        <w:rPr>
          <w:rFonts w:ascii="Bookman Old Style" w:hAnsi="Bookman Old Style" w:cs="Arial"/>
        </w:rPr>
        <w:t>De esta manera</w:t>
      </w:r>
      <w:r w:rsidR="00886913" w:rsidRPr="001954E9">
        <w:rPr>
          <w:rFonts w:ascii="Bookman Old Style" w:hAnsi="Bookman Old Style" w:cs="Arial"/>
        </w:rPr>
        <w:t xml:space="preserve">, y con el fin de garantizar la prestación efectiva del servicio público de distribución de gas combustible, es procedente observar y dar cumplimiento a los principios constitucionales rectores del régimen de los servicios públicos domiciliarios en los eventos descritos </w:t>
      </w:r>
      <w:r w:rsidR="001E2BE7" w:rsidRPr="001954E9">
        <w:rPr>
          <w:rFonts w:ascii="Bookman Old Style" w:hAnsi="Bookman Old Style" w:cs="Arial"/>
        </w:rPr>
        <w:t>de nuevos mercados relevantes de distribución.</w:t>
      </w:r>
    </w:p>
    <w:p w:rsidR="005F04C9" w:rsidRPr="001954E9" w:rsidRDefault="005F04C9" w:rsidP="00EA2219">
      <w:pPr>
        <w:ind w:left="0"/>
        <w:jc w:val="both"/>
        <w:rPr>
          <w:rFonts w:ascii="Bookman Old Style" w:hAnsi="Bookman Old Style" w:cs="Arial"/>
        </w:rPr>
      </w:pPr>
    </w:p>
    <w:p w:rsidR="00C87369" w:rsidRPr="001954E9" w:rsidRDefault="00C87369" w:rsidP="00F36B65">
      <w:pPr>
        <w:numPr>
          <w:ilvl w:val="0"/>
          <w:numId w:val="2"/>
        </w:numPr>
        <w:ind w:left="567" w:hanging="567"/>
        <w:jc w:val="both"/>
        <w:rPr>
          <w:rFonts w:ascii="Bookman Old Style" w:hAnsi="Bookman Old Style" w:cs="Arial"/>
          <w:b/>
          <w:lang w:val="es-ES_tradnl"/>
        </w:rPr>
      </w:pPr>
      <w:r w:rsidRPr="001954E9">
        <w:rPr>
          <w:rFonts w:ascii="Bookman Old Style" w:hAnsi="Bookman Old Style" w:cs="Arial"/>
          <w:b/>
          <w:lang w:val="es-ES_tradnl"/>
        </w:rPr>
        <w:t>Aplicación del régimen tarifario y los criterios tarifarios por parte de la CREG dentro de sus actuaciones administrativas</w:t>
      </w:r>
    </w:p>
    <w:p w:rsidR="00C87369" w:rsidRPr="001954E9" w:rsidRDefault="00C87369" w:rsidP="00EA2219">
      <w:pPr>
        <w:ind w:left="0"/>
        <w:jc w:val="both"/>
        <w:rPr>
          <w:rFonts w:ascii="Bookman Old Style" w:hAnsi="Bookman Old Style" w:cs="Arial"/>
          <w:lang w:val="es-ES_tradnl"/>
        </w:rPr>
      </w:pPr>
    </w:p>
    <w:p w:rsidR="009C5BF2" w:rsidRPr="001954E9" w:rsidRDefault="00BE76E0" w:rsidP="00EA2219">
      <w:pPr>
        <w:ind w:left="0"/>
        <w:jc w:val="both"/>
        <w:rPr>
          <w:rFonts w:ascii="Bookman Old Style" w:hAnsi="Bookman Old Style" w:cs="Arial"/>
          <w:lang w:val="es-ES_tradnl"/>
        </w:rPr>
      </w:pPr>
      <w:r w:rsidRPr="001954E9">
        <w:rPr>
          <w:rFonts w:ascii="Bookman Old Style" w:hAnsi="Bookman Old Style" w:cs="Arial"/>
          <w:lang w:val="es-ES_tradnl"/>
        </w:rPr>
        <w:t>Ahora bien, en relación con la a</w:t>
      </w:r>
      <w:r w:rsidR="009C5BF2"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eastAsia="Calibri" w:hAnsi="Bookman Old Style" w:cs="Arial"/>
          <w:lang w:val="es-ES_tradnl" w:eastAsia="en-US"/>
        </w:rPr>
        <w:t>,</w:t>
      </w:r>
      <w:r w:rsidRPr="001954E9">
        <w:rPr>
          <w:rFonts w:ascii="Bookman Old Style" w:hAnsi="Bookman Old Style" w:cs="Arial"/>
          <w:lang w:val="es-ES_tradnl"/>
        </w:rPr>
        <w:t xml:space="preserve"> se debe tener en cuenta que</w:t>
      </w:r>
      <w:r w:rsidR="009C5BF2" w:rsidRPr="001954E9">
        <w:rPr>
          <w:rFonts w:ascii="Bookman Old Style" w:eastAsia="Calibri" w:hAnsi="Bookman Old Style" w:cs="Arial"/>
          <w:lang w:val="es-CO" w:eastAsia="en-US"/>
        </w:rPr>
        <w:t xml:space="preserve"> del contenido de la Ley 142 de 1994</w:t>
      </w:r>
      <w:r w:rsidRPr="001954E9">
        <w:rPr>
          <w:rFonts w:ascii="Bookman Old Style" w:eastAsia="Calibri" w:hAnsi="Bookman Old Style" w:cs="Arial"/>
          <w:lang w:val="es-CO" w:eastAsia="en-US"/>
        </w:rPr>
        <w:t xml:space="preserve"> se han</w:t>
      </w:r>
      <w:r w:rsidR="009C5BF2" w:rsidRPr="001954E9">
        <w:rPr>
          <w:rFonts w:ascii="Bookman Old Style" w:eastAsia="Calibri" w:hAnsi="Bookman Old Style" w:cs="Arial"/>
          <w:lang w:val="es-CO" w:eastAsia="en-US"/>
        </w:rPr>
        <w:t xml:space="preserve"> consagrado una serie de disposiciones relacionadas con lo que se denomina el “régimen tarifario”, para lo cual en su artículo 86 ha consagrado lo siguiente:</w:t>
      </w:r>
    </w:p>
    <w:p w:rsidR="009C5BF2" w:rsidRPr="00446B59" w:rsidRDefault="009C5BF2" w:rsidP="00446B59">
      <w:pPr>
        <w:ind w:left="284" w:right="284"/>
        <w:jc w:val="both"/>
        <w:rPr>
          <w:rFonts w:ascii="Bookman Old Style" w:hAnsi="Bookman Old Style" w:cs="Arial"/>
          <w:i/>
          <w:color w:val="000000"/>
          <w:lang w:val="es-CO"/>
        </w:rPr>
      </w:pPr>
    </w:p>
    <w:p w:rsidR="009C5BF2" w:rsidRPr="00446B59" w:rsidRDefault="009C5BF2" w:rsidP="00446B59">
      <w:pPr>
        <w:ind w:left="284" w:right="284"/>
        <w:jc w:val="both"/>
        <w:rPr>
          <w:rFonts w:ascii="Bookman Old Style" w:hAnsi="Bookman Old Style" w:cs="Arial"/>
          <w:i/>
          <w:color w:val="000000"/>
          <w:sz w:val="22"/>
          <w:szCs w:val="22"/>
          <w:lang w:val="es-CO"/>
        </w:rPr>
      </w:pPr>
      <w:r w:rsidRPr="00446B59">
        <w:rPr>
          <w:rFonts w:ascii="Bookman Old Style" w:hAnsi="Bookman Old Style" w:cs="Arial"/>
          <w:i/>
          <w:color w:val="000000"/>
          <w:sz w:val="22"/>
          <w:szCs w:val="22"/>
          <w:lang w:val="es-CO"/>
        </w:rPr>
        <w:t>“</w:t>
      </w:r>
      <w:r w:rsidRPr="00446B59">
        <w:rPr>
          <w:rFonts w:ascii="Bookman Old Style" w:hAnsi="Bookman Old Style" w:cs="Arial"/>
          <w:b/>
          <w:i/>
          <w:color w:val="000000"/>
          <w:sz w:val="22"/>
          <w:szCs w:val="22"/>
          <w:lang w:val="es-CO"/>
        </w:rPr>
        <w:t>Artículo 86. El régimen tarifario.</w:t>
      </w:r>
      <w:r w:rsidRPr="00446B59">
        <w:rPr>
          <w:rFonts w:ascii="Bookman Old Style" w:hAnsi="Bookman Old Style" w:cs="Arial"/>
          <w:i/>
          <w:color w:val="000000"/>
          <w:sz w:val="22"/>
          <w:szCs w:val="22"/>
          <w:lang w:val="es-CO"/>
        </w:rPr>
        <w:t xml:space="preserve"> </w:t>
      </w:r>
      <w:r w:rsidRPr="00446B59">
        <w:rPr>
          <w:rFonts w:ascii="Bookman Old Style" w:hAnsi="Bookman Old Style" w:cs="Arial"/>
          <w:i/>
          <w:color w:val="000000"/>
          <w:sz w:val="22"/>
          <w:szCs w:val="22"/>
          <w:u w:val="single"/>
          <w:lang w:val="es-CO"/>
        </w:rPr>
        <w:t>El régimen tarifario</w:t>
      </w:r>
      <w:r w:rsidRPr="00446B59">
        <w:rPr>
          <w:rFonts w:ascii="Bookman Old Style" w:hAnsi="Bookman Old Style" w:cs="Arial"/>
          <w:i/>
          <w:color w:val="000000"/>
          <w:sz w:val="22"/>
          <w:szCs w:val="22"/>
          <w:lang w:val="es-CO"/>
        </w:rPr>
        <w:t xml:space="preserve"> en los servicios públicos a los que esta Ley </w:t>
      </w:r>
      <w:r w:rsidRPr="00446B59">
        <w:rPr>
          <w:rFonts w:ascii="Bookman Old Style" w:hAnsi="Bookman Old Style" w:cs="Arial"/>
          <w:i/>
          <w:color w:val="000000"/>
          <w:sz w:val="22"/>
          <w:szCs w:val="22"/>
          <w:u w:val="single"/>
          <w:lang w:val="es-CO"/>
        </w:rPr>
        <w:t>se refiere</w:t>
      </w:r>
      <w:r w:rsidRPr="00446B59">
        <w:rPr>
          <w:rFonts w:ascii="Bookman Old Style" w:hAnsi="Bookman Old Style" w:cs="Arial"/>
          <w:i/>
          <w:color w:val="000000"/>
          <w:sz w:val="22"/>
          <w:szCs w:val="22"/>
          <w:lang w:val="es-CO"/>
        </w:rPr>
        <w:t>, está compuesto por reglas relativas a:</w:t>
      </w:r>
    </w:p>
    <w:p w:rsidR="009C5BF2" w:rsidRPr="00446B59" w:rsidRDefault="009C5BF2" w:rsidP="00446B59">
      <w:pPr>
        <w:ind w:left="284" w:right="284"/>
        <w:jc w:val="both"/>
        <w:rPr>
          <w:rFonts w:ascii="Bookman Old Style" w:hAnsi="Bookman Old Style" w:cs="Arial"/>
          <w:i/>
          <w:color w:val="000000"/>
          <w:sz w:val="22"/>
          <w:szCs w:val="22"/>
          <w:lang w:val="es-CO"/>
        </w:rPr>
      </w:pPr>
    </w:p>
    <w:p w:rsidR="009C5BF2" w:rsidRPr="00446B59" w:rsidRDefault="009C5BF2" w:rsidP="00446B59">
      <w:pPr>
        <w:ind w:left="284" w:right="284"/>
        <w:jc w:val="both"/>
        <w:rPr>
          <w:rFonts w:ascii="Bookman Old Style" w:hAnsi="Bookman Old Style" w:cs="Arial"/>
          <w:i/>
          <w:color w:val="000000"/>
          <w:sz w:val="22"/>
          <w:szCs w:val="22"/>
          <w:lang w:val="es-CO"/>
        </w:rPr>
      </w:pPr>
      <w:r w:rsidRPr="00446B59">
        <w:rPr>
          <w:rFonts w:ascii="Bookman Old Style" w:hAnsi="Bookman Old Style" w:cs="Arial"/>
          <w:i/>
          <w:color w:val="000000"/>
          <w:sz w:val="22"/>
          <w:szCs w:val="22"/>
          <w:lang w:val="es-CO"/>
        </w:rPr>
        <w:t>(…)</w:t>
      </w:r>
    </w:p>
    <w:p w:rsidR="009C5BF2" w:rsidRPr="00446B59" w:rsidRDefault="009C5BF2" w:rsidP="00446B59">
      <w:pPr>
        <w:ind w:left="284" w:right="284"/>
        <w:jc w:val="both"/>
        <w:rPr>
          <w:rFonts w:ascii="Bookman Old Style" w:hAnsi="Bookman Old Style" w:cs="Arial"/>
          <w:i/>
          <w:color w:val="000000"/>
          <w:sz w:val="22"/>
          <w:szCs w:val="22"/>
          <w:lang w:val="es-CO"/>
        </w:rPr>
      </w:pPr>
    </w:p>
    <w:p w:rsidR="009C5BF2" w:rsidRPr="00446B59" w:rsidRDefault="009C5BF2" w:rsidP="00446B59">
      <w:pPr>
        <w:ind w:left="284" w:right="284"/>
        <w:jc w:val="both"/>
        <w:rPr>
          <w:rFonts w:ascii="Bookman Old Style" w:hAnsi="Bookman Old Style" w:cs="Arial"/>
          <w:i/>
          <w:color w:val="000000"/>
          <w:sz w:val="22"/>
          <w:szCs w:val="22"/>
          <w:lang w:val="es-CO"/>
        </w:rPr>
      </w:pPr>
      <w:r w:rsidRPr="00446B59">
        <w:rPr>
          <w:rFonts w:ascii="Bookman Old Style" w:hAnsi="Bookman Old Style" w:cs="Arial"/>
          <w:i/>
          <w:color w:val="000000"/>
          <w:sz w:val="22"/>
          <w:szCs w:val="22"/>
          <w:lang w:val="es-CO"/>
        </w:rPr>
        <w:t xml:space="preserve">86.4. </w:t>
      </w:r>
      <w:r w:rsidRPr="00446B59">
        <w:rPr>
          <w:rFonts w:ascii="Bookman Old Style" w:hAnsi="Bookman Old Style" w:cs="Arial"/>
          <w:i/>
          <w:color w:val="000000"/>
          <w:sz w:val="22"/>
          <w:szCs w:val="22"/>
          <w:u w:val="single"/>
          <w:lang w:val="es-CO"/>
        </w:rPr>
        <w:t>Las reglas relativas a procedimientos, metodologías, formulas, estructuras</w:t>
      </w:r>
      <w:r w:rsidRPr="00446B59">
        <w:rPr>
          <w:rFonts w:ascii="Bookman Old Style" w:hAnsi="Bookman Old Style" w:cs="Arial"/>
          <w:i/>
          <w:color w:val="000000"/>
          <w:sz w:val="22"/>
          <w:szCs w:val="22"/>
          <w:lang w:val="es-CO"/>
        </w:rPr>
        <w:t xml:space="preserve">, estratos, facturación, </w:t>
      </w:r>
      <w:r w:rsidRPr="00446B59">
        <w:rPr>
          <w:rFonts w:ascii="Bookman Old Style" w:hAnsi="Bookman Old Style" w:cs="Arial"/>
          <w:i/>
          <w:color w:val="000000"/>
          <w:sz w:val="22"/>
          <w:szCs w:val="22"/>
          <w:u w:val="single"/>
          <w:lang w:val="es-CO"/>
        </w:rPr>
        <w:t>opciones, valores</w:t>
      </w:r>
      <w:r w:rsidRPr="00446B59">
        <w:rPr>
          <w:rFonts w:ascii="Bookman Old Style" w:hAnsi="Bookman Old Style" w:cs="Arial"/>
          <w:i/>
          <w:color w:val="000000"/>
          <w:sz w:val="22"/>
          <w:szCs w:val="22"/>
          <w:lang w:val="es-CO"/>
        </w:rPr>
        <w:t xml:space="preserve"> </w:t>
      </w:r>
      <w:r w:rsidRPr="00446B59">
        <w:rPr>
          <w:rFonts w:ascii="Bookman Old Style" w:hAnsi="Bookman Old Style" w:cs="Arial"/>
          <w:b/>
          <w:i/>
          <w:color w:val="000000"/>
          <w:sz w:val="22"/>
          <w:szCs w:val="22"/>
          <w:u w:val="single"/>
          <w:lang w:val="es-CO"/>
        </w:rPr>
        <w:t>y, en general, todos los aspectos que determinan el cobro de las tarifas</w:t>
      </w:r>
      <w:r w:rsidRPr="00446B59">
        <w:rPr>
          <w:rFonts w:ascii="Bookman Old Style" w:hAnsi="Bookman Old Style" w:cs="Arial"/>
          <w:i/>
          <w:color w:val="000000"/>
          <w:sz w:val="22"/>
          <w:szCs w:val="22"/>
          <w:lang w:val="es-CO"/>
        </w:rPr>
        <w:t>”.</w:t>
      </w:r>
    </w:p>
    <w:p w:rsidR="009C5BF2" w:rsidRPr="001954E9" w:rsidRDefault="009C5BF2" w:rsidP="009C5BF2">
      <w:pPr>
        <w:ind w:left="0" w:right="-93"/>
        <w:jc w:val="both"/>
        <w:rPr>
          <w:rFonts w:ascii="Bookman Old Style" w:hAnsi="Bookman Old Style" w:cs="Arial"/>
          <w:color w:val="000000"/>
          <w:lang w:val="es-CO"/>
        </w:rPr>
      </w:pPr>
    </w:p>
    <w:p w:rsidR="006E1C54" w:rsidRPr="001954E9" w:rsidRDefault="006E1C54"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rsidR="006E1C54" w:rsidRPr="001954E9" w:rsidRDefault="006E1C54" w:rsidP="009C5BF2">
      <w:pPr>
        <w:ind w:left="0" w:right="-93"/>
        <w:jc w:val="both"/>
        <w:rPr>
          <w:rFonts w:ascii="Bookman Old Style" w:hAnsi="Bookman Old Style" w:cs="Arial"/>
          <w:color w:val="000000"/>
          <w:lang w:val="es-CO"/>
        </w:rPr>
      </w:pPr>
    </w:p>
    <w:p w:rsidR="006E1C54" w:rsidRPr="00446B59" w:rsidRDefault="006E1C54" w:rsidP="00EA2219">
      <w:pPr>
        <w:ind w:left="284" w:right="284"/>
        <w:jc w:val="both"/>
        <w:rPr>
          <w:rFonts w:ascii="Bookman Old Style" w:hAnsi="Bookman Old Style" w:cs="Arial"/>
          <w:i/>
          <w:color w:val="000000"/>
          <w:sz w:val="22"/>
          <w:szCs w:val="22"/>
          <w:lang w:val="es-CO"/>
        </w:rPr>
      </w:pPr>
      <w:r w:rsidRPr="00446B59">
        <w:rPr>
          <w:rFonts w:ascii="Bookman Old Style" w:hAnsi="Bookman Old Style" w:cs="Arial"/>
          <w:i/>
          <w:color w:val="000000"/>
          <w:sz w:val="22"/>
          <w:szCs w:val="22"/>
          <w:lang w:val="es-CO"/>
        </w:rPr>
        <w:t>“</w:t>
      </w:r>
      <w:r w:rsidRPr="00446B59">
        <w:rPr>
          <w:rFonts w:ascii="Bookman Old Style" w:hAnsi="Bookman Old Style" w:cs="Arial"/>
          <w:b/>
          <w:i/>
          <w:color w:val="000000"/>
          <w:sz w:val="22"/>
          <w:szCs w:val="22"/>
          <w:lang w:val="es-CO"/>
        </w:rPr>
        <w:t>Artículo 87. Criterios para definir el régimen tarifario.</w:t>
      </w:r>
      <w:r w:rsidRPr="00446B59">
        <w:rPr>
          <w:rFonts w:ascii="Bookman Old Style" w:hAnsi="Bookman Old Style" w:cs="Arial"/>
          <w:i/>
          <w:color w:val="000000"/>
          <w:sz w:val="22"/>
          <w:szCs w:val="22"/>
          <w:lang w:val="es-CO"/>
        </w:rPr>
        <w:t xml:space="preserve"> </w:t>
      </w:r>
      <w:r w:rsidRPr="00446B59">
        <w:rPr>
          <w:rFonts w:ascii="Bookman Old Style" w:hAnsi="Bookman Old Style" w:cs="Arial"/>
          <w:b/>
          <w:i/>
          <w:color w:val="000000"/>
          <w:sz w:val="22"/>
          <w:szCs w:val="22"/>
          <w:u w:val="single"/>
          <w:lang w:val="es-CO"/>
        </w:rPr>
        <w:t>El régimen tarifario estará orientado por los criterios</w:t>
      </w:r>
      <w:r w:rsidRPr="00446B59">
        <w:rPr>
          <w:rFonts w:ascii="Bookman Old Style" w:hAnsi="Bookman Old Style" w:cs="Arial"/>
          <w:i/>
          <w:color w:val="000000"/>
          <w:sz w:val="22"/>
          <w:szCs w:val="22"/>
          <w:u w:val="single"/>
          <w:lang w:val="es-CO"/>
        </w:rPr>
        <w:t xml:space="preserve"> de eficiencia económica, neutralidad, </w:t>
      </w:r>
      <w:r w:rsidRPr="00446B59">
        <w:rPr>
          <w:rFonts w:ascii="Bookman Old Style" w:hAnsi="Bookman Old Style" w:cs="Arial"/>
          <w:i/>
          <w:color w:val="000000"/>
          <w:sz w:val="22"/>
          <w:szCs w:val="22"/>
          <w:u w:val="single"/>
          <w:lang w:val="es-CO"/>
        </w:rPr>
        <w:lastRenderedPageBreak/>
        <w:t>solidaridad, redistribución, suficiencia financiera, simplicidad y transparencia</w:t>
      </w:r>
      <w:r w:rsidRPr="00446B59">
        <w:rPr>
          <w:rFonts w:ascii="Bookman Old Style" w:hAnsi="Bookman Old Style" w:cs="Arial"/>
          <w:i/>
          <w:color w:val="000000"/>
          <w:sz w:val="22"/>
          <w:szCs w:val="22"/>
          <w:lang w:val="es-CO"/>
        </w:rPr>
        <w:t xml:space="preserve"> (…)” (</w:t>
      </w:r>
      <w:r w:rsidR="00160B5E" w:rsidRPr="00446B59">
        <w:rPr>
          <w:rFonts w:ascii="Bookman Old Style" w:hAnsi="Bookman Old Style" w:cs="Arial"/>
          <w:i/>
          <w:color w:val="000000"/>
          <w:sz w:val="22"/>
          <w:szCs w:val="22"/>
          <w:lang w:val="es-CO"/>
        </w:rPr>
        <w:t>Resaltado</w:t>
      </w:r>
      <w:r w:rsidRPr="00446B59">
        <w:rPr>
          <w:rFonts w:ascii="Bookman Old Style" w:hAnsi="Bookman Old Style" w:cs="Arial"/>
          <w:i/>
          <w:color w:val="000000"/>
          <w:sz w:val="22"/>
          <w:szCs w:val="22"/>
          <w:lang w:val="es-CO"/>
        </w:rPr>
        <w:t xml:space="preserve"> fuera de texto)</w:t>
      </w:r>
    </w:p>
    <w:p w:rsidR="006E1C54" w:rsidRPr="001954E9" w:rsidRDefault="006E1C54"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La misma Ley 142 de 1994 en su artículo 87 ha precisado que el régimen tarifario</w:t>
      </w:r>
      <w:r w:rsidRPr="001954E9">
        <w:rPr>
          <w:rFonts w:ascii="Bookman Old Style" w:eastAsia="Calibri" w:hAnsi="Bookman Old Style"/>
          <w:lang w:val="es-CO" w:eastAsia="en-US"/>
        </w:rPr>
        <w:t xml:space="preserve"> </w:t>
      </w:r>
      <w:r w:rsidRPr="001954E9">
        <w:rPr>
          <w:rFonts w:ascii="Bookman Old Style" w:hAnsi="Bookman Old Style" w:cs="Arial"/>
          <w:color w:val="000000"/>
          <w:lang w:val="es-CO"/>
        </w:rPr>
        <w:t xml:space="preserve">estará orientado por los criterios de eficiencia económica, neutralidad, solidaridad, redistribución, suficiencia financiera, simplicidad y transparencia. </w:t>
      </w:r>
      <w:r w:rsidR="007F4922" w:rsidRPr="001954E9">
        <w:rPr>
          <w:rFonts w:ascii="Bookman Old Style" w:hAnsi="Bookman Old Style" w:cs="Arial"/>
          <w:color w:val="000000"/>
          <w:lang w:val="es-CO"/>
        </w:rPr>
        <w:t>Esto, sin perjuicio igualmente de la aplicación de los principios a los que se ha hecho referencia, de acuerdo con los objetivos perseguidos por la regulación de acuerdo con la metodología que establece la forma que se debe remunerar una actividad que hace parte de los servicios públicos de energía eléctrica y gas combustible.</w:t>
      </w:r>
    </w:p>
    <w:p w:rsidR="009C5BF2" w:rsidRPr="001954E9" w:rsidRDefault="009C5BF2"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estas normas se desprende entonces que le corresponde a las comisiones de regulación dar cumplimiento </w:t>
      </w:r>
      <w:r w:rsidR="007F4922" w:rsidRPr="001954E9">
        <w:rPr>
          <w:rFonts w:ascii="Bookman Old Style" w:hAnsi="Bookman Old Style" w:cs="Arial"/>
          <w:color w:val="000000"/>
          <w:lang w:val="es-CO"/>
        </w:rPr>
        <w:t>a</w:t>
      </w:r>
      <w:r w:rsidRPr="001954E9">
        <w:rPr>
          <w:rFonts w:ascii="Bookman Old Style" w:hAnsi="Bookman Old Style" w:cs="Arial"/>
          <w:color w:val="000000"/>
          <w:lang w:val="es-CO"/>
        </w:rPr>
        <w:t xml:space="preserve"> los criterios tarifarios en aquellos aspectos definidos específicamente por el legislador </w:t>
      </w:r>
      <w:r w:rsidR="007F4922" w:rsidRPr="001954E9">
        <w:rPr>
          <w:rFonts w:ascii="Bookman Old Style" w:hAnsi="Bookman Old Style" w:cs="Arial"/>
          <w:color w:val="000000"/>
          <w:lang w:val="es-CO"/>
        </w:rPr>
        <w:t xml:space="preserve">y </w:t>
      </w:r>
      <w:r w:rsidRPr="001954E9">
        <w:rPr>
          <w:rFonts w:ascii="Bookman Old Style" w:hAnsi="Bookman Old Style" w:cs="Arial"/>
          <w:color w:val="000000"/>
          <w:lang w:val="es-CO"/>
        </w:rPr>
        <w:t>que hacen parte del régimen ta</w:t>
      </w:r>
      <w:r w:rsidR="007F4922" w:rsidRPr="001954E9">
        <w:rPr>
          <w:rFonts w:ascii="Bookman Old Style" w:hAnsi="Bookman Old Style" w:cs="Arial"/>
          <w:color w:val="000000"/>
          <w:lang w:val="es-CO"/>
        </w:rPr>
        <w:t>rifario, como es el caso de los:</w:t>
      </w:r>
      <w:r w:rsidRPr="001954E9">
        <w:rPr>
          <w:rFonts w:ascii="Bookman Old Style" w:hAnsi="Bookman Old Style" w:cs="Arial"/>
          <w:color w:val="000000"/>
          <w:lang w:val="es-CO"/>
        </w:rPr>
        <w:t xml:space="preserve"> i) procedimientos, ii) metodologías, iii) formulas, iv) estructuras, v) estratos, vi) facturació</w:t>
      </w:r>
      <w:r w:rsidR="00160B5E" w:rsidRPr="001954E9">
        <w:rPr>
          <w:rFonts w:ascii="Bookman Old Style" w:hAnsi="Bookman Old Style" w:cs="Arial"/>
          <w:color w:val="000000"/>
          <w:lang w:val="es-CO"/>
        </w:rPr>
        <w:t>n, vii) opciones, viii) valores;</w:t>
      </w:r>
      <w:r w:rsidRPr="001954E9">
        <w:rPr>
          <w:rFonts w:ascii="Bookman Old Style" w:hAnsi="Bookman Old Style" w:cs="Arial"/>
          <w:color w:val="000000"/>
          <w:lang w:val="es-CO"/>
        </w:rPr>
        <w:t xml:space="preserve"> así como en aquellos eventos que de manera general se ajusten a un </w:t>
      </w:r>
      <w:r w:rsidR="005027FE" w:rsidRPr="001954E9">
        <w:rPr>
          <w:rFonts w:ascii="Bookman Old Style" w:hAnsi="Bookman Old Style" w:cs="Arial"/>
          <w:color w:val="000000"/>
          <w:lang w:val="es-CO"/>
        </w:rPr>
        <w:t>“</w:t>
      </w:r>
      <w:r w:rsidR="007F4922" w:rsidRPr="001954E9">
        <w:rPr>
          <w:rFonts w:ascii="Bookman Old Style" w:hAnsi="Bookman Old Style" w:cs="Arial"/>
          <w:color w:val="000000"/>
          <w:lang w:val="es-CO"/>
        </w:rPr>
        <w:t>aspecto que determine</w:t>
      </w:r>
      <w:r w:rsidRPr="001954E9">
        <w:rPr>
          <w:rFonts w:ascii="Bookman Old Style" w:hAnsi="Bookman Old Style" w:cs="Arial"/>
          <w:color w:val="000000"/>
          <w:lang w:val="es-CO"/>
        </w:rPr>
        <w:t xml:space="preserve"> el cobro de las tarifas</w:t>
      </w:r>
      <w:r w:rsidR="005027FE" w:rsidRPr="001954E9">
        <w:rPr>
          <w:rFonts w:ascii="Bookman Old Style" w:hAnsi="Bookman Old Style" w:cs="Arial"/>
          <w:color w:val="000000"/>
          <w:lang w:val="es-CO"/>
        </w:rPr>
        <w:t>”</w:t>
      </w:r>
      <w:r w:rsidRPr="001954E9">
        <w:rPr>
          <w:rFonts w:ascii="Bookman Old Style" w:hAnsi="Bookman Old Style" w:cs="Arial"/>
          <w:color w:val="000000"/>
          <w:lang w:val="es-CO"/>
        </w:rPr>
        <w:t xml:space="preserve">, atendiendo el marco de sus competencias. </w:t>
      </w:r>
    </w:p>
    <w:p w:rsidR="00160B5E" w:rsidRPr="001954E9" w:rsidRDefault="00160B5E"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Es por esto que </w:t>
      </w:r>
      <w:r w:rsidR="00160B5E" w:rsidRPr="001954E9">
        <w:rPr>
          <w:rFonts w:ascii="Bookman Old Style" w:hAnsi="Bookman Old Style" w:cs="Arial"/>
          <w:color w:val="000000"/>
          <w:lang w:val="es-CO"/>
        </w:rPr>
        <w:t xml:space="preserve">de acuerdo con la Ley 142 de 1994, </w:t>
      </w:r>
      <w:r w:rsidRPr="001954E9">
        <w:rPr>
          <w:rFonts w:ascii="Bookman Old Style" w:hAnsi="Bookman Old Style" w:cs="Arial"/>
          <w:color w:val="000000"/>
          <w:lang w:val="es-CO"/>
        </w:rPr>
        <w:t>el cumplimiento de dichos criterios no se limita ni se circunscribe de manera específica para el caso de las comisiones de regulación a la definición de las metodologías</w:t>
      </w:r>
      <w:r w:rsidR="00EF605C" w:rsidRPr="001954E9">
        <w:rPr>
          <w:rFonts w:ascii="Bookman Old Style" w:hAnsi="Bookman Old Style" w:cs="Arial"/>
          <w:color w:val="000000"/>
          <w:lang w:val="es-CO"/>
        </w:rPr>
        <w:t xml:space="preserve"> y de las fórmulas que de estas hacen parte</w:t>
      </w:r>
      <w:r w:rsidRPr="001954E9">
        <w:rPr>
          <w:rFonts w:ascii="Bookman Old Style" w:hAnsi="Bookman Old Style" w:cs="Arial"/>
          <w:color w:val="000000"/>
          <w:lang w:val="es-CO"/>
        </w:rPr>
        <w:t xml:space="preserve">, ya que el mismo legislador le otorgó a las entidades que hacen parte del régimen de los servicios públicos domiciliarios incluidas las comisiones de regulación, la obligación de dar cumplimiento a los criterios tarifarios a todos los aspectos que determinan el cobro de las tarifas. </w:t>
      </w:r>
    </w:p>
    <w:p w:rsidR="009C5BF2" w:rsidRPr="001954E9" w:rsidRDefault="009C5BF2" w:rsidP="009C5BF2">
      <w:pPr>
        <w:ind w:left="0" w:right="-93"/>
        <w:jc w:val="both"/>
        <w:rPr>
          <w:rFonts w:ascii="Bookman Old Style" w:hAnsi="Bookman Old Style" w:cs="Arial"/>
          <w:color w:val="000000"/>
          <w:lang w:val="es-CO"/>
        </w:rPr>
      </w:pPr>
    </w:p>
    <w:p w:rsidR="007F492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w:t>
      </w:r>
      <w:r w:rsidR="007F4922" w:rsidRPr="001954E9">
        <w:rPr>
          <w:rFonts w:ascii="Bookman Old Style" w:hAnsi="Bookman Old Style" w:cs="Arial"/>
          <w:color w:val="000000"/>
          <w:lang w:val="es-CO"/>
        </w:rPr>
        <w:t>en</w:t>
      </w:r>
      <w:r w:rsidRPr="001954E9">
        <w:rPr>
          <w:rFonts w:ascii="Bookman Old Style" w:hAnsi="Bookman Old Style" w:cs="Arial"/>
          <w:color w:val="000000"/>
          <w:lang w:val="es-CO"/>
        </w:rPr>
        <w:t xml:space="preserve">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175814">
        <w:rPr>
          <w:rFonts w:ascii="Bookman Old Style" w:hAnsi="Bookman Old Style" w:cs="Arial"/>
          <w:color w:val="000000"/>
          <w:lang w:val="es-CO"/>
        </w:rPr>
        <w:t>prestación eficiente del servicio.</w:t>
      </w:r>
      <w:r w:rsidRPr="001954E9">
        <w:rPr>
          <w:rFonts w:ascii="Bookman Old Style" w:hAnsi="Bookman Old Style" w:cs="Arial"/>
          <w:color w:val="000000"/>
          <w:lang w:val="es-CO"/>
        </w:rPr>
        <w:t xml:space="preserve"> </w:t>
      </w:r>
    </w:p>
    <w:p w:rsidR="00FA0D0D" w:rsidRPr="001954E9" w:rsidRDefault="00FA0D0D" w:rsidP="00FA0D0D">
      <w:pPr>
        <w:keepNext/>
        <w:spacing w:before="240" w:after="60"/>
        <w:ind w:left="0"/>
        <w:jc w:val="both"/>
        <w:outlineLvl w:val="0"/>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n el mismo</w:t>
      </w:r>
      <w:r w:rsidR="00A50F04" w:rsidRPr="001954E9">
        <w:rPr>
          <w:rFonts w:ascii="Bookman Old Style" w:hAnsi="Bookman Old Style" w:cs="Arial"/>
        </w:rPr>
        <w:t xml:space="preserve"> sentido lo incluyó</w:t>
      </w:r>
      <w:r w:rsidR="00560B56" w:rsidRPr="001954E9">
        <w:rPr>
          <w:rFonts w:ascii="Bookman Old Style" w:hAnsi="Bookman Old Style" w:cs="Arial"/>
        </w:rPr>
        <w:t xml:space="preserve"> la Resolución CREG 202</w:t>
      </w:r>
      <w:r w:rsidRPr="001954E9">
        <w:rPr>
          <w:rFonts w:ascii="Bookman Old Style" w:hAnsi="Bookman Old Style" w:cs="Arial"/>
        </w:rPr>
        <w:t xml:space="preserve"> de 2013, al señalar</w:t>
      </w:r>
      <w:r w:rsidR="00A50F04" w:rsidRPr="001954E9">
        <w:rPr>
          <w:rFonts w:ascii="Bookman Old Style" w:hAnsi="Bookman Old Style" w:cs="Arial"/>
        </w:rPr>
        <w:t xml:space="preserve">  que</w:t>
      </w:r>
      <w:r w:rsidRPr="001954E9">
        <w:rPr>
          <w:rFonts w:ascii="Bookman Old Style" w:hAnsi="Bookman Old Style" w:cs="Arial"/>
        </w:rPr>
        <w:t xml:space="preserve"> la metodología para el cálculo de los cargos de distribución se hará</w:t>
      </w:r>
      <w:r w:rsidR="007A439E">
        <w:rPr>
          <w:rFonts w:ascii="Bookman Old Style" w:hAnsi="Bookman Old Style" w:cs="Arial"/>
        </w:rPr>
        <w:t xml:space="preserve">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Mercado Relevante de Distribución.</w:t>
      </w:r>
      <w:r w:rsidRPr="001954E9">
        <w:rPr>
          <w:rStyle w:val="Refdenotaalpie"/>
          <w:rFonts w:ascii="Bookman Old Style" w:hAnsi="Bookman Old Style"/>
          <w:bCs/>
        </w:rPr>
        <w:footnoteReference w:id="20"/>
      </w:r>
    </w:p>
    <w:p w:rsidR="00FA0D0D" w:rsidRPr="004333D1" w:rsidRDefault="00FA0D0D" w:rsidP="009C5BF2">
      <w:pPr>
        <w:ind w:left="0" w:right="-93"/>
        <w:jc w:val="both"/>
        <w:rPr>
          <w:rFonts w:ascii="Bookman Old Style" w:hAnsi="Bookman Old Style" w:cs="Arial"/>
          <w:color w:val="000000"/>
          <w:sz w:val="18"/>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la misma forma, la Ley 142 de 1994 ha dispuesto que todas las decisiones de las autoridades en materia de servicios públicos, incluida esta Comisión, deben fundarse en los motivos que determina la Ley, los cuales deben ser comprobables, </w:t>
      </w:r>
      <w:r w:rsidRPr="001954E9">
        <w:rPr>
          <w:rFonts w:ascii="Bookman Old Style" w:hAnsi="Bookman Old Style" w:cs="Arial"/>
          <w:color w:val="000000"/>
          <w:lang w:val="es-CO"/>
        </w:rPr>
        <w:lastRenderedPageBreak/>
        <w:t>por lo que dicho fundamento está relacionado con la aplicación de los criterios tarifarios dentro de</w:t>
      </w:r>
      <w:r w:rsidR="007F4922" w:rsidRPr="001954E9">
        <w:rPr>
          <w:rFonts w:ascii="Bookman Old Style" w:hAnsi="Bookman Old Style" w:cs="Arial"/>
          <w:color w:val="000000"/>
          <w:lang w:val="es-CO"/>
        </w:rPr>
        <w:t xml:space="preserve"> un aspecto específico, ya sea en</w:t>
      </w:r>
      <w:r w:rsidRPr="001954E9">
        <w:rPr>
          <w:rFonts w:ascii="Bookman Old Style" w:hAnsi="Bookman Old Style" w:cs="Arial"/>
          <w:color w:val="000000"/>
          <w:lang w:val="es-CO"/>
        </w:rPr>
        <w:t xml:space="preserve"> un acto de carácter general o com</w:t>
      </w:r>
      <w:r w:rsidR="007F4922" w:rsidRPr="001954E9">
        <w:rPr>
          <w:rFonts w:ascii="Bookman Old Style" w:hAnsi="Bookman Old Style" w:cs="Arial"/>
          <w:color w:val="000000"/>
          <w:lang w:val="es-CO"/>
        </w:rPr>
        <w:t>o parte de una decisión que deba</w:t>
      </w:r>
      <w:r w:rsidRPr="001954E9">
        <w:rPr>
          <w:rFonts w:ascii="Bookman Old Style" w:hAnsi="Bookman Old Style" w:cs="Arial"/>
          <w:color w:val="000000"/>
          <w:lang w:val="es-CO"/>
        </w:rPr>
        <w:t xml:space="preserve"> ser adoptada dentro de una actuación administrativa.</w:t>
      </w:r>
    </w:p>
    <w:p w:rsidR="009C5BF2" w:rsidRPr="001954E9" w:rsidRDefault="009C5BF2"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determinan el cobro de las tarifas. </w:t>
      </w:r>
    </w:p>
    <w:p w:rsidR="009C5BF2" w:rsidRPr="001954E9" w:rsidRDefault="009C5BF2" w:rsidP="009C5BF2">
      <w:pPr>
        <w:ind w:left="0" w:right="-93"/>
        <w:jc w:val="both"/>
        <w:rPr>
          <w:rFonts w:ascii="Bookman Old Style" w:hAnsi="Bookman Old Style" w:cs="Arial"/>
          <w:color w:val="000000"/>
          <w:lang w:val="es-CO"/>
        </w:rPr>
      </w:pPr>
    </w:p>
    <w:p w:rsidR="00876D3E"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w:t>
      </w:r>
      <w:r w:rsidR="009B3836" w:rsidRPr="001954E9">
        <w:rPr>
          <w:rFonts w:ascii="Bookman Old Style" w:hAnsi="Bookman Old Style" w:cs="Arial"/>
          <w:color w:val="000000"/>
          <w:lang w:val="es-CO"/>
        </w:rPr>
        <w:t>esta</w:t>
      </w:r>
      <w:r w:rsidRPr="001954E9">
        <w:rPr>
          <w:rFonts w:ascii="Bookman Old Style" w:hAnsi="Bookman Old Style" w:cs="Arial"/>
          <w:color w:val="000000"/>
          <w:lang w:val="es-CO"/>
        </w:rPr>
        <w:t xml:space="preserve"> Comisión en relación con la forma en que se deben interpretar y aplicar aquellas disposiciones que atribuyen facultades regulatorias a esta Comisión</w:t>
      </w:r>
      <w:r w:rsidR="00B04CFB" w:rsidRPr="001954E9">
        <w:rPr>
          <w:rFonts w:ascii="Bookman Old Style" w:hAnsi="Bookman Old Style" w:cs="Arial"/>
          <w:color w:val="000000"/>
          <w:lang w:val="es-CO"/>
        </w:rPr>
        <w:t xml:space="preserve"> en el marco de la Ley 142 de 1994</w:t>
      </w:r>
      <w:r w:rsidR="007F4922" w:rsidRPr="001954E9">
        <w:rPr>
          <w:rFonts w:ascii="Bookman Old Style" w:hAnsi="Bookman Old Style" w:cs="Arial"/>
          <w:color w:val="000000"/>
          <w:lang w:val="es-CO"/>
        </w:rPr>
        <w:t>, incluyendo aquellas en materia tarifaria</w:t>
      </w:r>
      <w:r w:rsidRPr="001954E9">
        <w:rPr>
          <w:rFonts w:ascii="Bookman Old Style" w:hAnsi="Bookman Old Style" w:cs="Arial"/>
          <w:color w:val="000000"/>
          <w:lang w:val="es-CO"/>
        </w:rPr>
        <w:t xml:space="preserve">;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w:t>
      </w:r>
      <w:r w:rsidR="00876D3E" w:rsidRPr="001954E9">
        <w:rPr>
          <w:rFonts w:ascii="Bookman Old Style" w:hAnsi="Bookman Old Style" w:cs="Arial"/>
          <w:lang w:val="es-ES_tradnl"/>
        </w:rPr>
        <w:t xml:space="preserve"> los principios legales</w:t>
      </w:r>
      <w:r w:rsidRPr="001954E9">
        <w:rPr>
          <w:rFonts w:ascii="Bookman Old Style" w:hAnsi="Bookman Old Style" w:cs="Arial"/>
          <w:lang w:val="es-ES_tradnl"/>
        </w:rPr>
        <w:t xml:space="preserve">, así como los principios constitucionales que guían las actuaciones administrativas de esta Comisión. </w:t>
      </w:r>
    </w:p>
    <w:p w:rsidR="00876D3E" w:rsidRPr="001954E9" w:rsidRDefault="00876D3E"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aquellos casos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21"/>
      </w:r>
      <w:r w:rsidRPr="001954E9">
        <w:rPr>
          <w:rFonts w:ascii="Bookman Old Style" w:hAnsi="Bookman Old Style" w:cs="Arial"/>
          <w:lang w:val="es-ES_tradnl"/>
        </w:rPr>
        <w:t>, así como en materia de resolución de conflictos a que hace referencia el numeral 10 del artículo 73 de la Ley 142 de 1994</w:t>
      </w:r>
      <w:r w:rsidR="006E1C54" w:rsidRPr="001954E9">
        <w:rPr>
          <w:rStyle w:val="Refdenotaalpie"/>
          <w:rFonts w:ascii="Bookman Old Style" w:hAnsi="Bookman Old Style" w:cs="Arial"/>
          <w:lang w:val="es-ES_tradnl"/>
        </w:rPr>
        <w:footnoteReference w:id="22"/>
      </w:r>
      <w:r w:rsidRPr="001954E9">
        <w:rPr>
          <w:rFonts w:ascii="Bookman Old Style" w:hAnsi="Bookman Old Style" w:cs="Arial"/>
          <w:lang w:val="es-ES_tradnl"/>
        </w:rPr>
        <w:t xml:space="preserve">. </w:t>
      </w:r>
    </w:p>
    <w:p w:rsidR="009C5BF2" w:rsidRPr="001954E9" w:rsidRDefault="009C5BF2" w:rsidP="009C5BF2">
      <w:pPr>
        <w:ind w:left="0"/>
        <w:jc w:val="both"/>
        <w:rPr>
          <w:rFonts w:ascii="Bookman Old Style" w:hAnsi="Bookman Old Style" w:cs="Arial"/>
          <w:lang w:val="es-ES_tradnl"/>
        </w:rPr>
      </w:pPr>
    </w:p>
    <w:p w:rsidR="009C5BF2" w:rsidRPr="001954E9" w:rsidRDefault="009C5BF2" w:rsidP="009C5BF2">
      <w:pPr>
        <w:ind w:left="0"/>
        <w:jc w:val="both"/>
        <w:rPr>
          <w:rFonts w:ascii="Bookman Old Style" w:hAnsi="Bookman Old Style" w:cs="Arial"/>
          <w:lang w:val="es-ES_tradnl"/>
        </w:rPr>
      </w:pPr>
      <w:r w:rsidRPr="001954E9">
        <w:rPr>
          <w:rFonts w:ascii="Bookman Old Style" w:hAnsi="Bookman Old Style" w:cs="Arial"/>
          <w:lang w:val="es-ES_tradnl"/>
        </w:rPr>
        <w:t>Teniendo en cuenta la obligatoriedad de lleva</w:t>
      </w:r>
      <w:r w:rsidR="006E1C54" w:rsidRPr="001954E9">
        <w:rPr>
          <w:rFonts w:ascii="Bookman Old Style" w:hAnsi="Bookman Old Style" w:cs="Arial"/>
          <w:lang w:val="es-ES_tradnl"/>
        </w:rPr>
        <w:t>r</w:t>
      </w:r>
      <w:r w:rsidRPr="001954E9">
        <w:rPr>
          <w:rFonts w:ascii="Bookman Old Style" w:hAnsi="Bookman Old Style" w:cs="Arial"/>
          <w:lang w:val="es-ES_tradnl"/>
        </w:rPr>
        <w:t xml:space="preserve"> a cabo la aplicación de los criterios tarifarios a </w:t>
      </w:r>
      <w:r w:rsidRPr="001954E9">
        <w:rPr>
          <w:rFonts w:ascii="Bookman Old Style" w:hAnsi="Bookman Old Style" w:cs="Arial"/>
          <w:color w:val="000000"/>
          <w:lang w:val="es-ES_tradnl"/>
        </w:rPr>
        <w:t>todos los aspectos que determinan el cobro de las tarifas, respeto del</w:t>
      </w:r>
      <w:r w:rsidRPr="001954E9">
        <w:rPr>
          <w:rFonts w:ascii="Bookman Old Style" w:hAnsi="Bookman Old Style" w:cs="Arial"/>
          <w:color w:val="000000"/>
          <w:lang w:val="es-CO"/>
        </w:rPr>
        <w:t xml:space="preserve"> criterio de eficiencia el artículo 87.1 de la Ley 142 de 1994 lo ha definido de la siguiente forma:</w:t>
      </w:r>
    </w:p>
    <w:p w:rsidR="009C5BF2" w:rsidRPr="001954E9" w:rsidRDefault="009C5BF2" w:rsidP="009C5BF2">
      <w:pPr>
        <w:ind w:left="0" w:right="-93"/>
        <w:jc w:val="both"/>
        <w:rPr>
          <w:rFonts w:ascii="Bookman Old Style" w:hAnsi="Bookman Old Style" w:cs="Arial"/>
          <w:i/>
          <w:color w:val="000000"/>
          <w:lang w:val="es-CO"/>
        </w:rPr>
      </w:pPr>
    </w:p>
    <w:p w:rsidR="009C5BF2" w:rsidRPr="00446B59" w:rsidRDefault="009C5B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w:t>
      </w:r>
      <w:r w:rsidRPr="00446B59">
        <w:rPr>
          <w:rFonts w:ascii="Bookman Old Style" w:hAnsi="Bookman Old Style" w:cs="Arial"/>
          <w:b/>
          <w:i/>
          <w:color w:val="000000"/>
          <w:sz w:val="22"/>
          <w:szCs w:val="22"/>
        </w:rPr>
        <w:t>Artículo 87. Criterios para definir el régimen tarifario.</w:t>
      </w:r>
      <w:r w:rsidRPr="00446B59">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 </w:t>
      </w:r>
    </w:p>
    <w:p w:rsidR="009C5BF2" w:rsidRPr="00446B59" w:rsidRDefault="009C5BF2" w:rsidP="00EA2219">
      <w:pPr>
        <w:ind w:left="284" w:right="284"/>
        <w:jc w:val="both"/>
        <w:rPr>
          <w:rFonts w:ascii="Bookman Old Style" w:hAnsi="Bookman Old Style" w:cs="Arial"/>
          <w:i/>
          <w:color w:val="000000"/>
          <w:sz w:val="22"/>
          <w:szCs w:val="22"/>
        </w:rPr>
      </w:pPr>
    </w:p>
    <w:p w:rsidR="009C5BF2" w:rsidRPr="00446B59" w:rsidRDefault="009C5B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 xml:space="preserve">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w:t>
      </w:r>
      <w:r w:rsidRPr="00446B59">
        <w:rPr>
          <w:rFonts w:ascii="Bookman Old Style" w:hAnsi="Bookman Old Style" w:cs="Arial"/>
          <w:i/>
          <w:color w:val="000000"/>
          <w:sz w:val="22"/>
          <w:szCs w:val="22"/>
        </w:rPr>
        <w:lastRenderedPageBreak/>
        <w:t>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 (…)”</w:t>
      </w:r>
    </w:p>
    <w:p w:rsidR="009C5BF2" w:rsidRPr="001954E9" w:rsidRDefault="009C5BF2" w:rsidP="009C5BF2">
      <w:pPr>
        <w:ind w:left="0" w:right="-93"/>
        <w:jc w:val="both"/>
        <w:rPr>
          <w:rFonts w:ascii="Bookman Old Style" w:eastAsia="Calibri" w:hAnsi="Bookman Old Style" w:cs="Arial"/>
          <w:lang w:val="es-CO" w:eastAsia="en-US"/>
        </w:rPr>
      </w:pPr>
    </w:p>
    <w:p w:rsidR="00076DF2" w:rsidRPr="001954E9" w:rsidRDefault="00076DF2" w:rsidP="00076DF2">
      <w:pPr>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económicos de prestar el servicio. </w:t>
      </w:r>
    </w:p>
    <w:p w:rsidR="00076DF2" w:rsidRPr="001954E9" w:rsidRDefault="00076DF2" w:rsidP="009C5BF2">
      <w:pPr>
        <w:ind w:left="0" w:right="-93"/>
        <w:jc w:val="both"/>
        <w:rPr>
          <w:rFonts w:ascii="Bookman Old Style" w:hAnsi="Bookman Old Style" w:cs="Arial"/>
          <w:color w:val="000000"/>
        </w:rPr>
      </w:pPr>
    </w:p>
    <w:p w:rsidR="009C5BF2" w:rsidRPr="001954E9" w:rsidRDefault="009C5BF2" w:rsidP="009C5BF2">
      <w:pPr>
        <w:ind w:left="0" w:right="-93"/>
        <w:jc w:val="both"/>
        <w:rPr>
          <w:rFonts w:ascii="Bookman Old Style" w:hAnsi="Bookman Old Style" w:cs="Arial"/>
          <w:color w:val="000000"/>
        </w:rPr>
      </w:pPr>
      <w:r w:rsidRPr="001954E9">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00BA73E3" w:rsidRPr="001954E9">
        <w:rPr>
          <w:rFonts w:ascii="Bookman Old Style" w:hAnsi="Bookman Old Style"/>
          <w:bCs/>
        </w:rPr>
        <w:t xml:space="preserve"> Es por esto que, la definición de las formulas y los cargos o tarifas deben reflejar estos elementos previstos por la Ley 142 de 1994.</w:t>
      </w:r>
    </w:p>
    <w:p w:rsidR="009C5BF2" w:rsidRPr="001954E9" w:rsidRDefault="009C5BF2" w:rsidP="009C5BF2">
      <w:pPr>
        <w:ind w:left="0" w:right="-93"/>
        <w:jc w:val="both"/>
        <w:rPr>
          <w:rFonts w:ascii="Bookman Old Style" w:hAnsi="Bookman Old Style" w:cs="Arial"/>
          <w:color w:val="000000"/>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w:t>
      </w:r>
      <w:r w:rsidR="00BA73E3" w:rsidRPr="001954E9">
        <w:rPr>
          <w:rFonts w:ascii="Bookman Old Style" w:eastAsia="Calibri" w:hAnsi="Bookman Old Style" w:cs="Arial"/>
          <w:lang w:val="es-ES_tradnl" w:eastAsia="en-US"/>
        </w:rPr>
        <w:t xml:space="preserve"> finalidad constitucional</w:t>
      </w:r>
      <w:r w:rsidRPr="001954E9">
        <w:rPr>
          <w:rFonts w:ascii="Bookman Old Style" w:eastAsia="Calibri" w:hAnsi="Bookman Old Style" w:cs="Arial"/>
          <w:lang w:val="es-ES_tradnl" w:eastAsia="en-US"/>
        </w:rPr>
        <w:t xml:space="preserve"> </w:t>
      </w:r>
      <w:r w:rsidR="00BA73E3" w:rsidRPr="001954E9">
        <w:rPr>
          <w:rFonts w:ascii="Bookman Old Style" w:eastAsia="Calibri" w:hAnsi="Bookman Old Style" w:cs="Arial"/>
          <w:lang w:val="es-ES_tradnl" w:eastAsia="en-US"/>
        </w:rPr>
        <w:t xml:space="preserve">de prestación eficiente </w:t>
      </w:r>
      <w:r w:rsidRPr="001954E9">
        <w:rPr>
          <w:rFonts w:ascii="Bookman Old Style" w:eastAsia="Calibri" w:hAnsi="Bookman Old Style" w:cs="Arial"/>
          <w:lang w:val="es-ES_tradnl" w:eastAsia="en-US"/>
        </w:rPr>
        <w:t>en materia de servicios públicos domiciliarios</w:t>
      </w:r>
      <w:r w:rsidR="00203B82" w:rsidRPr="001954E9">
        <w:rPr>
          <w:rStyle w:val="Refdenotaalpie"/>
          <w:rFonts w:ascii="Bookman Old Style" w:eastAsia="Calibri" w:hAnsi="Bookman Old Style" w:cs="Arial"/>
          <w:lang w:val="es-ES_tradnl" w:eastAsia="en-US"/>
        </w:rPr>
        <w:footnoteReference w:id="23"/>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24"/>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w:t>
      </w:r>
      <w:r w:rsidR="004460A6" w:rsidRPr="001954E9">
        <w:rPr>
          <w:rFonts w:ascii="Bookman Old Style" w:eastAsia="Calibri" w:hAnsi="Bookman Old Style" w:cs="Arial"/>
          <w:lang w:val="es-ES_tradnl" w:eastAsia="en-US"/>
        </w:rPr>
        <w:t>u prestación debe ser eficiente,</w:t>
      </w:r>
      <w:r w:rsidRPr="001954E9">
        <w:rPr>
          <w:rFonts w:ascii="Bookman Old Style" w:eastAsia="Calibri" w:hAnsi="Bookman Old Style" w:cs="Arial"/>
          <w:lang w:val="es-ES_tradnl" w:eastAsia="en-US"/>
        </w:rPr>
        <w:t xml:space="preserve"> donde el Estado mantendrá siempre su r</w:t>
      </w:r>
      <w:r w:rsidR="004460A6" w:rsidRPr="001954E9">
        <w:rPr>
          <w:rFonts w:ascii="Bookman Old Style" w:eastAsia="Calibri" w:hAnsi="Bookman Old Style" w:cs="Arial"/>
          <w:lang w:val="es-ES_tradnl" w:eastAsia="en-US"/>
        </w:rPr>
        <w:t>egulación, control y vigilancia,</w:t>
      </w:r>
      <w:r w:rsidRPr="001954E9">
        <w:rPr>
          <w:rFonts w:ascii="Bookman Old Style" w:eastAsia="Calibri" w:hAnsi="Bookman Old Style" w:cs="Arial"/>
          <w:lang w:val="es-ES_tradnl" w:eastAsia="en-US"/>
        </w:rPr>
        <w:t xml:space="preserve"> por lo que su régimen tarifario consultará, además de los criterios de costos, los de solidaridad y redistribución de ingresos. </w:t>
      </w:r>
      <w:r w:rsidR="004460A6" w:rsidRPr="001954E9">
        <w:rPr>
          <w:rFonts w:ascii="Bookman Old Style" w:eastAsia="Calibri" w:hAnsi="Bookman Old Style" w:cs="Arial"/>
          <w:lang w:val="es-ES_tradnl" w:eastAsia="en-US"/>
        </w:rPr>
        <w:t>De acuerdo con lo anterior</w:t>
      </w:r>
      <w:r w:rsidRPr="001954E9">
        <w:rPr>
          <w:rFonts w:ascii="Bookman Old Style" w:eastAsia="Calibri" w:hAnsi="Bookman Old Style" w:cs="Arial"/>
          <w:lang w:val="es-ES_tradnl" w:eastAsia="en-US"/>
        </w:rPr>
        <w:t>, es deber del Estado asegurar su prestación eficiente.</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es decir, su remuneración debe permitir recuperar los costos </w:t>
      </w:r>
      <w:r w:rsidR="00B04CFB"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incurran</w:t>
      </w:r>
      <w:r w:rsidR="004460A6" w:rsidRPr="001954E9">
        <w:rPr>
          <w:rFonts w:ascii="Bookman Old Style" w:eastAsia="Calibri" w:hAnsi="Bookman Old Style" w:cs="Arial"/>
          <w:lang w:val="es-ES_tradnl" w:eastAsia="en-US"/>
        </w:rPr>
        <w:t>, así como tener en cuenta</w:t>
      </w:r>
      <w:r w:rsidRPr="001954E9">
        <w:rPr>
          <w:rFonts w:ascii="Bookman Old Style" w:eastAsia="Calibri" w:hAnsi="Bookman Old Style" w:cs="Arial"/>
          <w:lang w:val="es-ES_tradnl" w:eastAsia="en-US"/>
        </w:rPr>
        <w:t xml:space="preserve"> </w:t>
      </w:r>
      <w:r w:rsidR="004460A6" w:rsidRPr="001954E9">
        <w:rPr>
          <w:rFonts w:ascii="Bookman Old Style" w:eastAsia="Calibri" w:hAnsi="Bookman Old Style" w:cs="Arial"/>
          <w:lang w:val="es-ES_tradnl" w:eastAsia="en-US"/>
        </w:rPr>
        <w:t>los aumentos de productividad esperados, los cuales, deben distribuirse entre la empresa y los usuarios, entre otros, a fin de que</w:t>
      </w:r>
      <w:r w:rsidRPr="001954E9">
        <w:rPr>
          <w:rFonts w:ascii="Bookman Old Style" w:eastAsia="Calibri" w:hAnsi="Bookman Old Style" w:cs="Arial"/>
          <w:lang w:val="es-ES_tradnl" w:eastAsia="en-US"/>
        </w:rPr>
        <w:t xml:space="preserve"> los recursos que se obtengan puedan ser invertidos en el mismo sector con el </w:t>
      </w:r>
      <w:r w:rsidR="004460A6" w:rsidRPr="001954E9">
        <w:rPr>
          <w:rFonts w:ascii="Bookman Old Style" w:eastAsia="Calibri" w:hAnsi="Bookman Old Style" w:cs="Arial"/>
          <w:lang w:val="es-ES_tradnl" w:eastAsia="en-US"/>
        </w:rPr>
        <w:t>objetivo</w:t>
      </w:r>
      <w:r w:rsidRPr="001954E9">
        <w:rPr>
          <w:rFonts w:ascii="Bookman Old Style" w:eastAsia="Calibri" w:hAnsi="Bookman Old Style" w:cs="Arial"/>
          <w:lang w:val="es-ES_tradnl" w:eastAsia="en-US"/>
        </w:rPr>
        <w:t xml:space="preserve"> de tener unos mínimos beneficios que se traduzcan en mayor competitividad y mejores </w:t>
      </w:r>
      <w:r w:rsidR="004460A6" w:rsidRPr="001954E9">
        <w:rPr>
          <w:rFonts w:ascii="Bookman Old Style" w:eastAsia="Calibri" w:hAnsi="Bookman Old Style" w:cs="Arial"/>
          <w:lang w:val="es-ES_tradnl" w:eastAsia="en-US"/>
        </w:rPr>
        <w:t>condiciones</w:t>
      </w:r>
      <w:r w:rsidRPr="001954E9">
        <w:rPr>
          <w:rFonts w:ascii="Bookman Old Style" w:eastAsia="Calibri" w:hAnsi="Bookman Old Style" w:cs="Arial"/>
          <w:lang w:val="es-ES_tradnl" w:eastAsia="en-US"/>
        </w:rPr>
        <w:t xml:space="preserve"> para los usuarios. </w:t>
      </w:r>
    </w:p>
    <w:p w:rsidR="004460A6" w:rsidRPr="001954E9" w:rsidRDefault="004460A6" w:rsidP="009C5BF2">
      <w:pPr>
        <w:ind w:left="0" w:right="-93"/>
        <w:jc w:val="both"/>
        <w:rPr>
          <w:rFonts w:ascii="Bookman Old Style" w:eastAsia="Calibri" w:hAnsi="Bookman Old Style" w:cs="Arial"/>
          <w:lang w:val="es-ES_tradnl" w:eastAsia="en-US"/>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los principios de eficiencia económica y suficiencia financiera. Por tanto, deben reflejar los costos y gastos propios de la operación. Es por esto que la tarifa que se paga por la prestación de un servicio público domiciliario está vinculada no sólo con el nivel de consumo del usuario, sino con los costos </w:t>
      </w:r>
      <w:r w:rsidR="00076DF2"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incurre la empresa respectiva para poder brindar el bien o servicio en condiciones de competitividad y está determinada por el beneficio que finalmente recibe el usuario.</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De acuerdo con esto, se debe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Por lo tanto</w:t>
      </w:r>
      <w:r w:rsidR="00951123" w:rsidRPr="001954E9">
        <w:rPr>
          <w:rFonts w:ascii="Bookman Old Style" w:hAnsi="Bookman Old Style" w:cs="Arial"/>
          <w:color w:val="000000"/>
        </w:rPr>
        <w:t>, no todo activo, ni todo costo</w:t>
      </w:r>
      <w:r w:rsidRPr="001954E9">
        <w:rPr>
          <w:rFonts w:ascii="Bookman Old Style" w:hAnsi="Bookman Old Style" w:cs="Arial"/>
          <w:color w:val="000000"/>
        </w:rPr>
        <w:t xml:space="preserve"> o gasto destinado a la prestación del servicio debe ser remunerado sino sólo aquel que se encuentre en condiciones de eficiencia de acuerdo con lo previsto en cada metodología</w:t>
      </w:r>
      <w:r w:rsidR="00076DF2" w:rsidRPr="001954E9">
        <w:rPr>
          <w:rFonts w:ascii="Bookman Old Style" w:hAnsi="Bookman Old Style" w:cs="Arial"/>
          <w:color w:val="000000"/>
        </w:rPr>
        <w:t>, así como parte de la aplicación del régimen tarifario</w:t>
      </w:r>
      <w:r w:rsidRPr="001954E9">
        <w:rPr>
          <w:rFonts w:ascii="Bookman Old Style" w:hAnsi="Bookman Old Style" w:cs="Arial"/>
          <w:color w:val="000000"/>
        </w:rPr>
        <w:t>.</w:t>
      </w:r>
    </w:p>
    <w:p w:rsidR="004460A6" w:rsidRPr="001954E9" w:rsidRDefault="004460A6" w:rsidP="009C5BF2">
      <w:pPr>
        <w:ind w:left="0"/>
        <w:jc w:val="both"/>
        <w:rPr>
          <w:rFonts w:ascii="Bookman Old Style" w:hAnsi="Bookman Old Style" w:cs="Arial"/>
          <w:color w:val="000000"/>
        </w:rPr>
      </w:pPr>
    </w:p>
    <w:p w:rsidR="004460A6" w:rsidRPr="001954E9" w:rsidRDefault="004460A6" w:rsidP="009C5BF2">
      <w:pPr>
        <w:ind w:left="0"/>
        <w:jc w:val="both"/>
        <w:rPr>
          <w:rFonts w:ascii="Bookman Old Style" w:hAnsi="Bookman Old Style" w:cs="Arial"/>
          <w:color w:val="000000"/>
        </w:rPr>
      </w:pPr>
      <w:r w:rsidRPr="001954E9">
        <w:rPr>
          <w:rFonts w:ascii="Bookman Old Style" w:hAnsi="Bookman Old Style" w:cs="Arial"/>
          <w:color w:val="000000"/>
        </w:rPr>
        <w:t>En este orden de ideas, nótese como la idea central del proceso tarifario no es reconocer un costo “real”</w:t>
      </w:r>
      <w:r w:rsidR="002044C4" w:rsidRPr="001954E9">
        <w:rPr>
          <w:rFonts w:ascii="Bookman Old Style" w:hAnsi="Bookman Old Style" w:cs="Arial"/>
          <w:color w:val="000000"/>
        </w:rPr>
        <w:t xml:space="preserve"> o registrado contablemente</w:t>
      </w:r>
      <w:r w:rsidRPr="001954E9">
        <w:rPr>
          <w:rFonts w:ascii="Bookman Old Style" w:hAnsi="Bookman Old Style" w:cs="Arial"/>
          <w:color w:val="000000"/>
        </w:rPr>
        <w:t xml:space="preserve"> sino uno eficiente para todas las partes.</w:t>
      </w:r>
      <w:r w:rsidR="00076DF2" w:rsidRPr="001954E9">
        <w:rPr>
          <w:rFonts w:ascii="Bookman Old Style" w:hAnsi="Bookman Old Style" w:cs="Arial"/>
          <w:color w:val="000000"/>
        </w:rPr>
        <w:t xml:space="preserve"> </w:t>
      </w:r>
      <w:r w:rsidRPr="001954E9">
        <w:rPr>
          <w:rFonts w:ascii="Bookman Old Style" w:hAnsi="Bookman Old Style" w:cs="Arial"/>
          <w:color w:val="000000"/>
        </w:rPr>
        <w:t>En relación con lo anterior, esta Comisión se ha pronunciado en el siguiente sentido:</w:t>
      </w:r>
    </w:p>
    <w:p w:rsidR="007D6341" w:rsidRPr="001954E9" w:rsidRDefault="007D6341" w:rsidP="009C5BF2">
      <w:pPr>
        <w:ind w:left="0"/>
        <w:jc w:val="both"/>
        <w:rPr>
          <w:rFonts w:ascii="Bookman Old Style" w:hAnsi="Bookman Old Style" w:cs="Arial"/>
          <w:color w:val="000000"/>
        </w:rPr>
      </w:pPr>
    </w:p>
    <w:p w:rsidR="009C5BF2" w:rsidRPr="00446B59" w:rsidRDefault="004460A6" w:rsidP="00EA2219">
      <w:pPr>
        <w:spacing w:before="120" w:after="120"/>
        <w:ind w:left="284" w:right="284"/>
        <w:jc w:val="both"/>
        <w:rPr>
          <w:rFonts w:ascii="Bookman Old Style" w:hAnsi="Bookman Old Style" w:cs="Arial"/>
          <w:i/>
          <w:color w:val="000000"/>
          <w:sz w:val="22"/>
          <w:szCs w:val="22"/>
        </w:rPr>
      </w:pPr>
      <w:r w:rsidRPr="00446B59">
        <w:rPr>
          <w:rFonts w:ascii="Bookman Old Style" w:hAnsi="Bookman Old Style"/>
          <w:i/>
          <w:iCs/>
          <w:sz w:val="22"/>
          <w:szCs w:val="22"/>
        </w:rPr>
        <w:t>“Como primera medida es importante resaltar que la metodología para valorar la inversión que la CREG ha adoptado a través de la Resolución CREG 11 de 2003, no</w:t>
      </w:r>
      <w:r w:rsidR="00076DF2" w:rsidRPr="00446B59">
        <w:rPr>
          <w:rFonts w:ascii="Bookman Old Style" w:hAnsi="Bookman Old Style"/>
          <w:i/>
          <w:iCs/>
          <w:sz w:val="22"/>
          <w:szCs w:val="22"/>
        </w:rPr>
        <w:t xml:space="preserve"> pretende reconocer los costos ‘</w:t>
      </w:r>
      <w:r w:rsidRPr="00446B59">
        <w:rPr>
          <w:rFonts w:ascii="Bookman Old Style" w:hAnsi="Bookman Old Style"/>
          <w:i/>
          <w:iCs/>
          <w:sz w:val="22"/>
          <w:szCs w:val="22"/>
        </w:rPr>
        <w:t>reales</w:t>
      </w:r>
      <w:r w:rsidR="00076DF2" w:rsidRPr="00446B59">
        <w:rPr>
          <w:rFonts w:ascii="Bookman Old Style" w:hAnsi="Bookman Old Style"/>
          <w:i/>
          <w:iCs/>
          <w:sz w:val="22"/>
          <w:szCs w:val="22"/>
        </w:rPr>
        <w:t>’</w:t>
      </w:r>
      <w:r w:rsidRPr="00446B59">
        <w:rPr>
          <w:rFonts w:ascii="Bookman Old Style" w:hAnsi="Bookman Old Style"/>
          <w:i/>
          <w:iCs/>
          <w:sz w:val="22"/>
          <w:szCs w:val="22"/>
        </w:rPr>
        <w:t xml:space="preserve"> que la empresa ha hundido en inversión y lo que aspira en AO&amp;M. 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 Sin embargo la ley le ordena a la CREG fijar las tarifas con criterios de eficiencia, pues el propósito de estas Resoluciones, en términos generales, es conjugar los derechos de todos los sectores con interés en los procesos tarifarios, esto es, la empresa y los usuarios. </w:t>
      </w:r>
      <w:r w:rsidRPr="00446B59">
        <w:rPr>
          <w:rFonts w:ascii="Bookman Old Style" w:hAnsi="Bookman Old Style"/>
          <w:b/>
          <w:i/>
          <w:iCs/>
          <w:sz w:val="22"/>
          <w:szCs w:val="22"/>
          <w:u w:val="single"/>
        </w:rPr>
        <w:t>Así las cosas, por un lado se encuentra la aspiración legítima de la empresa para que se le reconozcan sus inversiones y los 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w:t>
      </w:r>
      <w:r w:rsidRPr="00446B59">
        <w:rPr>
          <w:rStyle w:val="Refdenotaalpie"/>
          <w:rFonts w:ascii="Bookman Old Style" w:hAnsi="Bookman Old Style"/>
          <w:b/>
          <w:i/>
          <w:iCs/>
          <w:sz w:val="22"/>
          <w:szCs w:val="22"/>
          <w:u w:val="single"/>
        </w:rPr>
        <w:footnoteReference w:id="25"/>
      </w:r>
      <w:r w:rsidRPr="00446B59">
        <w:rPr>
          <w:rFonts w:ascii="Bookman Old Style" w:hAnsi="Bookman Old Style" w:cs="Arial"/>
          <w:i/>
          <w:color w:val="000000"/>
          <w:sz w:val="22"/>
          <w:szCs w:val="22"/>
        </w:rPr>
        <w:t xml:space="preserve">” (Resaltado fuera de texto) </w:t>
      </w:r>
    </w:p>
    <w:p w:rsidR="00BF6E67" w:rsidRPr="001954E9" w:rsidRDefault="00BF6E67" w:rsidP="00BF6E67">
      <w:pPr>
        <w:ind w:left="0" w:right="-93"/>
        <w:jc w:val="both"/>
        <w:rPr>
          <w:rFonts w:ascii="Bookman Old Style" w:eastAsia="Calibri" w:hAnsi="Bookman Old Style" w:cs="Arial"/>
          <w:lang w:val="es-ES_tradnl" w:eastAsia="en-US"/>
        </w:rPr>
      </w:pPr>
    </w:p>
    <w:p w:rsidR="009C5BF2" w:rsidRPr="001954E9" w:rsidRDefault="00BF6E67" w:rsidP="00BF6E67">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lastRenderedPageBreak/>
        <w:t>Así mismo</w:t>
      </w:r>
      <w:r w:rsidR="00DD39A2" w:rsidRPr="001954E9">
        <w:rPr>
          <w:rFonts w:ascii="Bookman Old Style" w:eastAsia="Calibri" w:hAnsi="Bookman Old Style" w:cs="Arial"/>
          <w:lang w:val="es-ES_tradnl" w:eastAsia="en-US"/>
        </w:rPr>
        <w:t>,</w:t>
      </w:r>
      <w:r w:rsidR="009C5BF2" w:rsidRPr="001954E9">
        <w:rPr>
          <w:rFonts w:ascii="Bookman Old Style" w:eastAsia="Calibri" w:hAnsi="Bookman Old Style" w:cs="Arial"/>
          <w:lang w:val="es-ES_tradnl" w:eastAsia="en-US"/>
        </w:rPr>
        <w:t xml:space="preserve"> y </w:t>
      </w:r>
      <w:r w:rsidRPr="001954E9">
        <w:rPr>
          <w:rFonts w:ascii="Bookman Old Style" w:eastAsia="Calibri" w:hAnsi="Bookman Old Style" w:cs="Arial"/>
          <w:lang w:val="es-ES_tradnl" w:eastAsia="en-US"/>
        </w:rPr>
        <w:t xml:space="preserve">frente a </w:t>
      </w:r>
      <w:r w:rsidR="009C5BF2" w:rsidRPr="001954E9">
        <w:rPr>
          <w:rFonts w:ascii="Bookman Old Style" w:eastAsia="Calibri" w:hAnsi="Bookman Old Style" w:cs="Arial"/>
          <w:lang w:val="es-ES_tradnl" w:eastAsia="en-US"/>
        </w:rPr>
        <w:t>la aplicación del criterio de eficiencia, la H. Corte Constitucional ha precisado lo siguiente en el marco de la Ley 142 de 1994 en materia de servicios públicos domiciliarios:</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r w:rsidRPr="00446B59">
        <w:rPr>
          <w:rFonts w:ascii="Bookman Old Style" w:eastAsia="Calibri" w:hAnsi="Bookman Old Style" w:cs="Arial"/>
          <w:i/>
          <w:sz w:val="22"/>
          <w:szCs w:val="22"/>
          <w:lang w:val="es-ES_tradnl" w:eastAsia="en-US"/>
        </w:rPr>
        <w:t xml:space="preserve">“la eficiencia económica consiste en que: (i) </w:t>
      </w:r>
      <w:r w:rsidRPr="00446B59">
        <w:rPr>
          <w:rFonts w:ascii="Bookman Old Style" w:eastAsia="Calibri" w:hAnsi="Bookman Old Style" w:cs="Arial"/>
          <w:b/>
          <w:i/>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446B59">
        <w:rPr>
          <w:rFonts w:ascii="Bookman Old Style" w:eastAsia="Calibri" w:hAnsi="Bookman Old Style" w:cs="Arial"/>
          <w:i/>
          <w:sz w:val="22"/>
          <w:szCs w:val="22"/>
          <w:lang w:val="es-ES_tradnl" w:eastAsia="en-US"/>
        </w:rPr>
        <w:t xml:space="preserve"> (iii) </w:t>
      </w:r>
      <w:r w:rsidRPr="00446B59">
        <w:rPr>
          <w:rFonts w:ascii="Bookman Old Style" w:eastAsia="Calibri" w:hAnsi="Bookman Old Style" w:cs="Arial"/>
          <w:b/>
          <w:i/>
          <w:sz w:val="22"/>
          <w:szCs w:val="22"/>
          <w:lang w:val="es-ES_tradnl" w:eastAsia="en-US"/>
        </w:rPr>
        <w:t>los aumentos de productividad esperados se distribuyan entre la empresa y los usuarios tal como ocurriría en un mercado competitivo</w:t>
      </w:r>
      <w:r w:rsidRPr="00446B59">
        <w:rPr>
          <w:rFonts w:ascii="Bookman Old Style" w:eastAsia="Calibri" w:hAnsi="Bookman Old Style" w:cs="Arial"/>
          <w:b/>
          <w:i/>
          <w:sz w:val="22"/>
          <w:szCs w:val="22"/>
          <w:u w:val="single"/>
          <w:lang w:val="es-ES_tradnl" w:eastAsia="en-US"/>
        </w:rPr>
        <w:t>;</w:t>
      </w:r>
      <w:r w:rsidRPr="00446B59">
        <w:rPr>
          <w:rFonts w:ascii="Bookman Old Style" w:eastAsia="Calibri" w:hAnsi="Bookman Old Style" w:cs="Arial"/>
          <w:i/>
          <w:sz w:val="22"/>
          <w:szCs w:val="22"/>
          <w:lang w:val="es-ES_tradnl" w:eastAsia="en-US"/>
        </w:rPr>
        <w:t xml:space="preserve"> (</w:t>
      </w:r>
      <w:r w:rsidRPr="00446B59">
        <w:rPr>
          <w:rFonts w:ascii="Bookman Old Style" w:eastAsia="Calibri" w:hAnsi="Bookman Old Style" w:cs="Arial"/>
          <w:b/>
          <w:i/>
          <w:sz w:val="22"/>
          <w:szCs w:val="22"/>
          <w:u w:val="single"/>
          <w:lang w:val="es-ES_tradnl" w:eastAsia="en-US"/>
        </w:rPr>
        <w:t>iv) las fórmulas tarifarias no trasladen a los usuarios los costos de una gestión ineficiente;</w:t>
      </w:r>
      <w:r w:rsidRPr="00446B59">
        <w:rPr>
          <w:rFonts w:ascii="Bookman Old Style" w:eastAsia="Calibri" w:hAnsi="Bookman Old Style" w:cs="Arial"/>
          <w:i/>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446B59">
        <w:rPr>
          <w:rFonts w:ascii="Bookman Old Style" w:eastAsia="Calibri" w:hAnsi="Bookman Old Style" w:cs="Arial"/>
          <w:b/>
          <w:i/>
          <w:sz w:val="22"/>
          <w:szCs w:val="22"/>
          <w:lang w:val="es-ES_tradnl" w:eastAsia="en-US"/>
        </w:rPr>
        <w:t>la estructura de los costos económicos de prestar el servicio</w:t>
      </w:r>
      <w:r w:rsidRPr="00446B59">
        <w:rPr>
          <w:rFonts w:ascii="Bookman Old Style" w:eastAsia="Calibri" w:hAnsi="Bookman Old Style" w:cs="Arial"/>
          <w:i/>
          <w:sz w:val="22"/>
          <w:szCs w:val="22"/>
          <w:lang w:val="es-ES_tradnl" w:eastAsia="en-US"/>
        </w:rPr>
        <w:t xml:space="preserve">, </w:t>
      </w:r>
      <w:r w:rsidRPr="00446B59">
        <w:rPr>
          <w:rFonts w:ascii="Bookman Old Style" w:eastAsia="Calibri" w:hAnsi="Bookman Old Style" w:cs="Arial"/>
          <w:b/>
          <w:i/>
          <w:sz w:val="22"/>
          <w:szCs w:val="22"/>
          <w:lang w:val="es-ES_tradnl" w:eastAsia="en-US"/>
        </w:rPr>
        <w:t>como la demanda por éste’ versa sobre el ámbito de aplicación de los anteriores elementos</w:t>
      </w:r>
      <w:r w:rsidRPr="00446B59">
        <w:rPr>
          <w:rFonts w:ascii="Bookman Old Style" w:eastAsia="Calibri" w:hAnsi="Bookman Old Style" w:cs="Arial"/>
          <w:i/>
          <w:sz w:val="22"/>
          <w:szCs w:val="22"/>
          <w:lang w:val="es-ES_tradnl" w:eastAsia="en-US"/>
        </w:rPr>
        <w:t>”. (Resaltado fuera de texto)</w:t>
      </w:r>
    </w:p>
    <w:p w:rsidR="009C5BF2" w:rsidRPr="001954E9" w:rsidRDefault="009C5BF2" w:rsidP="009C5BF2">
      <w:pPr>
        <w:ind w:left="0" w:right="-93"/>
        <w:jc w:val="both"/>
        <w:rPr>
          <w:rFonts w:ascii="Bookman Old Style" w:hAnsi="Bookman Old Style" w:cs="Arial"/>
          <w:bCs/>
          <w:lang w:val="es-ES_tradnl"/>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Ahora, en cuanto al contenido de este criterio y la constitucionalidad del mismo en el marco de las tarifas que rigen los servicios públicos domiciliarios de energía eléctrica y gas combustible, ligado con el alcance constitucional que éste tiene en materia de dichos servicios, conforme a los elementos que lo componen en virtud de la referencia anterior, la H. Corte Constitucional ha precisado lo siguiente:</w:t>
      </w:r>
    </w:p>
    <w:p w:rsidR="009C5BF2" w:rsidRPr="001954E9" w:rsidRDefault="009C5BF2" w:rsidP="009C5BF2">
      <w:pPr>
        <w:ind w:left="0" w:right="-93"/>
        <w:jc w:val="both"/>
        <w:rPr>
          <w:rFonts w:ascii="Bookman Old Style" w:eastAsia="Calibri" w:hAnsi="Bookman Old Style" w:cs="Arial"/>
          <w:i/>
          <w:lang w:val="es-ES_tradnl" w:eastAsia="en-US"/>
        </w:rPr>
      </w:pPr>
    </w:p>
    <w:p w:rsidR="009C5BF2" w:rsidRPr="00446B59" w:rsidRDefault="009C5BF2" w:rsidP="00EA2219">
      <w:pPr>
        <w:ind w:left="284" w:right="284"/>
        <w:jc w:val="both"/>
        <w:rPr>
          <w:rFonts w:ascii="Bookman Old Style" w:eastAsia="Calibri" w:hAnsi="Bookman Old Style" w:cs="Arial"/>
          <w:b/>
          <w:i/>
          <w:sz w:val="22"/>
          <w:szCs w:val="22"/>
          <w:u w:val="single"/>
          <w:lang w:val="es-ES_tradnl" w:eastAsia="en-US"/>
        </w:rPr>
      </w:pPr>
      <w:r w:rsidRPr="00446B59">
        <w:rPr>
          <w:rFonts w:ascii="Bookman Old Style" w:eastAsia="Calibri" w:hAnsi="Bookman Old Style" w:cs="Arial"/>
          <w:i/>
          <w:sz w:val="22"/>
          <w:szCs w:val="22"/>
          <w:lang w:val="es-ES_tradnl" w:eastAsia="en-US"/>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446B59">
        <w:rPr>
          <w:rFonts w:ascii="Bookman Old Style" w:eastAsia="Calibri" w:hAnsi="Bookman Old Style" w:cs="Arial"/>
          <w:b/>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r w:rsidRPr="00446B59">
        <w:rPr>
          <w:rFonts w:ascii="Bookman Old Style" w:eastAsia="Calibri" w:hAnsi="Bookman Old Style" w:cs="Arial"/>
          <w:i/>
          <w:sz w:val="22"/>
          <w:szCs w:val="22"/>
          <w:lang w:val="es-ES_tradnl" w:eastAsia="en-US"/>
        </w:rPr>
        <w:t>4.5.2.2.5. Como ya se indicó, las prácticas restrictivas de la competencia son comportamientos por medio de los cuales, quien las realiza, se vale de las ventajas de las que pueda disponer para afectar las condiciones de equilibrio del mercado, lo cual impide que éste asigne de manera eficiente los bienes y servicios que se producen en una economía. La prohibición de que las empresas se apropien de las utilidades provenientes de tales prácticas, busca proteger dichas condiciones para garantizar la eficiencia del mercado en beneficio de los usuarios.</w:t>
      </w: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r w:rsidRPr="00446B59">
        <w:rPr>
          <w:rFonts w:ascii="Bookman Old Style" w:eastAsia="Calibri" w:hAnsi="Bookman Old Style" w:cs="Arial"/>
          <w:i/>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446B59">
        <w:rPr>
          <w:rFonts w:ascii="Bookman Old Style" w:eastAsia="Calibri" w:hAnsi="Bookman Old Style" w:cs="Arial"/>
          <w:b/>
          <w:i/>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446B59">
        <w:rPr>
          <w:rFonts w:ascii="Bookman Old Style" w:eastAsia="Calibri" w:hAnsi="Bookman Old Style" w:cs="Arial"/>
          <w:i/>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446B59">
        <w:rPr>
          <w:rFonts w:ascii="Bookman Old Style" w:eastAsia="Calibri" w:hAnsi="Bookman Old Style" w:cs="Arial"/>
          <w:b/>
          <w:i/>
          <w:sz w:val="22"/>
          <w:szCs w:val="22"/>
          <w:u w:val="single"/>
          <w:lang w:val="es-ES_tradnl" w:eastAsia="en-US"/>
        </w:rPr>
        <w:t xml:space="preserve">y cómo se logra que la autoridad de </w:t>
      </w:r>
      <w:r w:rsidRPr="00446B59">
        <w:rPr>
          <w:rFonts w:ascii="Bookman Old Style" w:eastAsia="Calibri" w:hAnsi="Bookman Old Style" w:cs="Arial"/>
          <w:b/>
          <w:i/>
          <w:sz w:val="22"/>
          <w:szCs w:val="22"/>
          <w:u w:val="single"/>
          <w:lang w:val="es-ES_tradnl" w:eastAsia="en-US"/>
        </w:rPr>
        <w:lastRenderedPageBreak/>
        <w:t xml:space="preserve">regulación propenda por ella, siempre que no adopte decisiones manifiestamente irrazonables o contrarias a mandatos o prohibiciones contenidos en la Carta. </w:t>
      </w:r>
      <w:r w:rsidRPr="00446B59">
        <w:rPr>
          <w:rFonts w:ascii="Bookman Old Style" w:eastAsia="Calibri" w:hAnsi="Bookman Old Style" w:cs="Arial"/>
          <w:i/>
          <w:sz w:val="22"/>
          <w:szCs w:val="22"/>
          <w:lang w:val="es-ES_tradnl" w:eastAsia="en-US"/>
        </w:rPr>
        <w:t>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r w:rsidRPr="00446B59">
        <w:rPr>
          <w:rFonts w:ascii="Bookman Old Style" w:eastAsia="Calibri" w:hAnsi="Bookman Old Style" w:cs="Arial"/>
          <w:i/>
          <w:sz w:val="22"/>
          <w:szCs w:val="22"/>
          <w:vertAlign w:val="superscript"/>
          <w:lang w:val="es-ES_tradnl" w:eastAsia="en-US"/>
        </w:rPr>
        <w:footnoteReference w:id="26"/>
      </w:r>
      <w:r w:rsidRPr="00446B59">
        <w:rPr>
          <w:rFonts w:ascii="Bookman Old Style" w:eastAsia="Calibri" w:hAnsi="Bookman Old Style" w:cs="Arial"/>
          <w:i/>
          <w:sz w:val="22"/>
          <w:szCs w:val="22"/>
          <w:lang w:val="es-ES_tradnl" w:eastAsia="en-US"/>
        </w:rPr>
        <w:t>. (Resaltado fuera de texto)</w:t>
      </w:r>
    </w:p>
    <w:p w:rsidR="009C5BF2" w:rsidRPr="001954E9" w:rsidRDefault="009C5BF2" w:rsidP="009C5BF2">
      <w:pPr>
        <w:ind w:left="0" w:right="-93"/>
        <w:jc w:val="both"/>
        <w:rPr>
          <w:rFonts w:ascii="Bookman Old Style" w:hAnsi="Bookman Old Style" w:cs="Arial"/>
          <w:color w:val="000000"/>
          <w:lang w:val="es-ES_tradnl"/>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 xml:space="preserve">En esta misma línea la Corte ha precisado lo siguiente en relación con </w:t>
      </w:r>
      <w:r w:rsidRPr="001954E9">
        <w:rPr>
          <w:rFonts w:ascii="Bookman Old Style" w:eastAsia="Calibri" w:hAnsi="Bookman Old Style" w:cs="Arial"/>
          <w:lang w:val="es-ES_tradnl" w:eastAsia="en-US"/>
        </w:rPr>
        <w:t>el régimen tarifario:</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446B59" w:rsidRDefault="009C5BF2" w:rsidP="00EA2219">
      <w:pPr>
        <w:ind w:left="284" w:right="284"/>
        <w:jc w:val="both"/>
        <w:rPr>
          <w:rFonts w:ascii="Bookman Old Style" w:eastAsia="Calibri" w:hAnsi="Bookman Old Style" w:cs="Arial"/>
          <w:b/>
          <w:i/>
          <w:sz w:val="22"/>
          <w:szCs w:val="22"/>
          <w:u w:val="single"/>
          <w:lang w:val="es-ES_tradnl" w:eastAsia="en-US"/>
        </w:rPr>
      </w:pPr>
      <w:r w:rsidRPr="00446B59">
        <w:rPr>
          <w:rFonts w:ascii="Bookman Old Style" w:eastAsia="Calibri" w:hAnsi="Bookman Old Style" w:cs="Arial"/>
          <w:i/>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446B59">
        <w:rPr>
          <w:rFonts w:ascii="Bookman Old Style" w:eastAsia="Calibri" w:hAnsi="Bookman Old Style" w:cs="Arial"/>
          <w:b/>
          <w:i/>
          <w:sz w:val="22"/>
          <w:szCs w:val="22"/>
          <w:lang w:val="es-ES_tradnl" w:eastAsia="en-US"/>
        </w:rPr>
        <w:t xml:space="preserve">según el artículo 73 de la Ley </w:t>
      </w:r>
      <w:r w:rsidR="00B04CFB" w:rsidRPr="00446B59">
        <w:rPr>
          <w:rFonts w:ascii="Bookman Old Style" w:eastAsia="Calibri" w:hAnsi="Bookman Old Style" w:cs="Arial"/>
          <w:b/>
          <w:i/>
          <w:sz w:val="22"/>
          <w:szCs w:val="22"/>
          <w:lang w:val="es-ES_tradnl" w:eastAsia="en-US"/>
        </w:rPr>
        <w:t>142 de 1994, las comisiones de r</w:t>
      </w:r>
      <w:r w:rsidRPr="00446B59">
        <w:rPr>
          <w:rFonts w:ascii="Bookman Old Style" w:eastAsia="Calibri" w:hAnsi="Bookman Old Style" w:cs="Arial"/>
          <w:b/>
          <w:i/>
          <w:sz w:val="22"/>
          <w:szCs w:val="22"/>
          <w:lang w:val="es-ES_tradnl" w:eastAsia="en-US"/>
        </w:rPr>
        <w:t xml:space="preserve">egulación tienen como finalidad promover la libre competencia y regular los monopolios, en orden a una prestación eficiente de los servicios públicos. </w:t>
      </w:r>
      <w:r w:rsidRPr="00446B59">
        <w:rPr>
          <w:rFonts w:ascii="Bookman Old Style" w:eastAsia="Calibri" w:hAnsi="Bookman Old Style" w:cs="Arial"/>
          <w:b/>
          <w:i/>
          <w:sz w:val="22"/>
          <w:szCs w:val="22"/>
          <w:u w:val="single"/>
          <w:lang w:val="es-ES_tradnl" w:eastAsia="en-US"/>
        </w:rPr>
        <w:t>En cumplimiento de esos objetivos, tales órganos deben asegurar la calidad de los servicios, evitar conductas arbitrarias de los prestadores del servicio y defender los derechos de los usuarios.</w:t>
      </w: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p>
    <w:p w:rsidR="009C5BF2" w:rsidRPr="00446B59" w:rsidRDefault="009C5BF2" w:rsidP="00EA2219">
      <w:pPr>
        <w:ind w:left="284" w:right="284"/>
        <w:jc w:val="both"/>
        <w:rPr>
          <w:rFonts w:ascii="Bookman Old Style" w:eastAsia="Calibri" w:hAnsi="Bookman Old Style" w:cs="Arial"/>
          <w:i/>
          <w:sz w:val="22"/>
          <w:szCs w:val="22"/>
          <w:lang w:val="es-ES_tradnl" w:eastAsia="en-US"/>
        </w:rPr>
      </w:pPr>
      <w:r w:rsidRPr="00446B59">
        <w:rPr>
          <w:rFonts w:ascii="Bookman Old Style" w:eastAsia="Calibri" w:hAnsi="Bookman Old Style" w:cs="Arial"/>
          <w:i/>
          <w:sz w:val="22"/>
          <w:szCs w:val="22"/>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446B59">
        <w:rPr>
          <w:rFonts w:ascii="Bookman Old Style" w:eastAsia="Calibri" w:hAnsi="Bookman Old Style" w:cs="Arial"/>
          <w:b/>
          <w:i/>
          <w:sz w:val="22"/>
          <w:szCs w:val="22"/>
          <w:u w:val="single"/>
          <w:lang w:val="es-ES_tradnl" w:eastAsia="en-US"/>
        </w:rPr>
        <w:t>Precisamente la Ley 142 de 1994</w:t>
      </w:r>
      <w:r w:rsidR="00B04CFB" w:rsidRPr="00446B59">
        <w:rPr>
          <w:rFonts w:ascii="Bookman Old Style" w:eastAsia="Calibri" w:hAnsi="Bookman Old Style" w:cs="Arial"/>
          <w:b/>
          <w:i/>
          <w:sz w:val="22"/>
          <w:szCs w:val="22"/>
          <w:u w:val="single"/>
          <w:lang w:val="es-ES_tradnl" w:eastAsia="en-US"/>
        </w:rPr>
        <w:t xml:space="preserve"> dispone que las comisiones de r</w:t>
      </w:r>
      <w:r w:rsidRPr="00446B59">
        <w:rPr>
          <w:rFonts w:ascii="Bookman Old Style" w:eastAsia="Calibri" w:hAnsi="Bookman Old Style" w:cs="Arial"/>
          <w:b/>
          <w:i/>
          <w:sz w:val="22"/>
          <w:szCs w:val="22"/>
          <w:u w:val="single"/>
          <w:lang w:val="es-ES_tradnl" w:eastAsia="en-US"/>
        </w:rPr>
        <w:t xml:space="preserve">egulación son las llamadas a establecer las tarifas, de acuerdo con las previsiones que allí se consagran y respetando los principios que en la materia consagró la Constitución”. </w:t>
      </w:r>
      <w:r w:rsidRPr="00446B59">
        <w:rPr>
          <w:rFonts w:ascii="Bookman Old Style" w:eastAsia="Calibri" w:hAnsi="Bookman Old Style" w:cs="Arial"/>
          <w:i/>
          <w:sz w:val="22"/>
          <w:szCs w:val="22"/>
          <w:lang w:val="es-ES_tradnl" w:eastAsia="en-US"/>
        </w:rPr>
        <w:t>(Resaltado fuera de texto)</w:t>
      </w:r>
      <w:r w:rsidRPr="00446B59">
        <w:rPr>
          <w:rFonts w:ascii="Bookman Old Style" w:eastAsia="Calibri" w:hAnsi="Bookman Old Style" w:cs="Arial"/>
          <w:i/>
          <w:sz w:val="22"/>
          <w:szCs w:val="22"/>
          <w:vertAlign w:val="superscript"/>
          <w:lang w:val="es-ES_tradnl" w:eastAsia="en-US"/>
        </w:rPr>
        <w:footnoteReference w:id="27"/>
      </w:r>
    </w:p>
    <w:p w:rsidR="009C5BF2" w:rsidRPr="00446B59" w:rsidRDefault="009C5BF2" w:rsidP="009C5BF2">
      <w:pPr>
        <w:ind w:left="0"/>
        <w:jc w:val="both"/>
        <w:rPr>
          <w:rFonts w:ascii="Bookman Old Style" w:hAnsi="Bookman Old Style" w:cs="Arial"/>
          <w:i/>
          <w:color w:val="000000"/>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De acuerdo con lo expuesto, el criterio de eficiencia económica</w:t>
      </w:r>
      <w:r w:rsidR="00951123" w:rsidRPr="001954E9">
        <w:rPr>
          <w:rFonts w:ascii="Bookman Old Style" w:hAnsi="Bookman Old Style" w:cs="Arial"/>
          <w:color w:val="000000"/>
        </w:rPr>
        <w:t>, incluido este como parte del régimen tarifario y su aplicación en los aspectos que determinan el cobro de las tarifas,</w:t>
      </w:r>
      <w:r w:rsidRPr="001954E9">
        <w:rPr>
          <w:rFonts w:ascii="Bookman Old Style" w:hAnsi="Bookman Old Style" w:cs="Arial"/>
          <w:color w:val="000000"/>
        </w:rPr>
        <w:t xml:space="preserve"> tiene un amparo y respaldo constitucional y este ha sido analizado a fin de establecer su alcance dentro de las normas que hacen parte de la prestación de los servicios públicos de energía eléctrica y gas combustible.</w:t>
      </w:r>
      <w:r w:rsidR="00BF6E67" w:rsidRPr="001954E9">
        <w:rPr>
          <w:rFonts w:ascii="Bookman Old Style" w:hAnsi="Bookman Old Style" w:cs="Arial"/>
          <w:color w:val="000000"/>
        </w:rPr>
        <w:t xml:space="preserve"> Así mismo, este ha sido objeto de aplicación por parte de esta Comisión dentro de las actuaciones tarifarias al momento de establecer las tarifas o los cargos como parte del régimen tarifario a que hace referencia la Ley 142 de 1994.</w:t>
      </w:r>
    </w:p>
    <w:p w:rsidR="00076DF2" w:rsidRPr="001954E9" w:rsidRDefault="00076DF2" w:rsidP="009C5BF2">
      <w:pPr>
        <w:ind w:left="0"/>
        <w:jc w:val="both"/>
        <w:rPr>
          <w:rFonts w:ascii="Bookman Old Style" w:hAnsi="Bookman Old Style" w:cs="Arial"/>
          <w:color w:val="000000"/>
        </w:rPr>
      </w:pPr>
    </w:p>
    <w:p w:rsidR="00076DF2" w:rsidRPr="001954E9" w:rsidRDefault="00076DF2" w:rsidP="00076DF2">
      <w:pPr>
        <w:ind w:left="0"/>
        <w:jc w:val="both"/>
        <w:rPr>
          <w:rFonts w:ascii="Bookman Old Style" w:hAnsi="Bookman Old Style" w:cs="Arial"/>
          <w:color w:val="000000"/>
        </w:rPr>
      </w:pPr>
      <w:r w:rsidRPr="001954E9">
        <w:rPr>
          <w:rFonts w:ascii="Bookman Old Style" w:hAnsi="Bookman Old Style" w:cs="Arial"/>
          <w:color w:val="000000"/>
        </w:rPr>
        <w:t xml:space="preserve">Frente a esto último, la jurisprudencia administrativa ha declarado la legalidad de aquellas decisiones regulatorias expedidas por parte de esta Comisión, en las </w:t>
      </w:r>
      <w:r w:rsidRPr="001954E9">
        <w:rPr>
          <w:rFonts w:ascii="Bookman Old Style" w:hAnsi="Bookman Old Style" w:cs="Arial"/>
          <w:color w:val="000000"/>
        </w:rPr>
        <w:lastRenderedPageBreak/>
        <w:t>cuales se ha llevado a cabo la aplicación del criterio de eficiencia en este sentido. En relación con lo anterior, la Sección Primera del H. Consejo de Estado en sentencia del tres (3) de diciembre de dos mil quince, con ponencia de la Consejera María Elizabeth García González, expediente número 2013-00757-01 expuso lo siguiente:</w:t>
      </w:r>
    </w:p>
    <w:p w:rsidR="009C5BF2" w:rsidRPr="00446B59" w:rsidRDefault="009C5B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“De otra parte, para la Sala también carece de fundamento el argumento de la recurrente, según el  cual la actuación de la CREG fue arbitraria, ilegal e inconstitucional, pues a su juicio, dicha entidad, mediante un test de razonabilidad y proporcionalidad pretendió evadir el cumplimiento de la ley, en cuanto ésta establece que para que una empresa se considere eficiente, las tarifas económicamente eficientes se definirán tomando en cuenta la suficiencia financiera, criterio que consagra la garantía para las empresas de la recuperación de los costos y gastos, incluyendo los de expansión, con el fin de dar desarrollo al principio de universalidad y con ello garantizar los derechos de todas las personas a gozar de servicios públicos domiciliarios.</w:t>
      </w:r>
    </w:p>
    <w:p w:rsidR="00076DF2" w:rsidRPr="00446B59" w:rsidRDefault="00076D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 xml:space="preserve">Al respecto, conviene señalar que la actuación de la CREG no evadió el cumplimiento de la ley, ni fue arbitraria, ilegal e inconstitucional, ni sobrepuso la prohibición de la reformatio in pejus al principio de la eficiencia económica, pues a través de la Resolución núm. 121 de 2012 acusada, dicha entidad sujetó la valoración de las tarifas solamente a los costos eficientes de los loops y demás inversiones realizada por la sociedad actora, teniendo en cuenta que de acuerdo con la Corte Constitucional, dentro de las tarifas no se han de trasladar costos a los usuarios por una gestión ineficiente, en armonía con el citado principio de eficiencia. </w:t>
      </w:r>
    </w:p>
    <w:p w:rsidR="00076DF2" w:rsidRPr="00446B59" w:rsidRDefault="00076D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i/>
          <w:color w:val="000000"/>
          <w:sz w:val="22"/>
          <w:szCs w:val="22"/>
          <w:u w:val="single"/>
        </w:rPr>
      </w:pPr>
      <w:r w:rsidRPr="00446B59">
        <w:rPr>
          <w:rFonts w:ascii="Bookman Old Style" w:hAnsi="Bookman Old Style" w:cs="Arial"/>
          <w:i/>
          <w:color w:val="000000"/>
          <w:sz w:val="22"/>
          <w:szCs w:val="22"/>
          <w:u w:val="single"/>
        </w:rPr>
        <w:t xml:space="preserve">Por tal razón, reconocer para los loops otros valores diferentes a los fijados mediante la mencionada Resolución, </w:t>
      </w:r>
      <w:r w:rsidRPr="00446B59">
        <w:rPr>
          <w:rFonts w:ascii="Bookman Old Style" w:hAnsi="Bookman Old Style" w:cs="Arial"/>
          <w:b/>
          <w:i/>
          <w:color w:val="000000"/>
          <w:sz w:val="22"/>
          <w:szCs w:val="22"/>
          <w:u w:val="single"/>
        </w:rPr>
        <w:t>implicaría reconocer valores por fuera de los que se entienden como eficientes y, por ende, constituye un desconocimiento del criterio de eficiencia económica,</w:t>
      </w:r>
      <w:r w:rsidRPr="00446B59">
        <w:rPr>
          <w:rFonts w:ascii="Bookman Old Style" w:hAnsi="Bookman Old Style" w:cs="Arial"/>
          <w:i/>
          <w:color w:val="000000"/>
          <w:sz w:val="22"/>
          <w:szCs w:val="22"/>
          <w:u w:val="single"/>
        </w:rPr>
        <w:t xml:space="preserve"> ya que según este criterio las condiciones bajo las cuales debe establecerse el costo de la prestación del servicio debe reflejar ausencia de ineficiencias en las tarifas, vale decir, únicamente los costos y gastos propios de la operación. </w:t>
      </w:r>
    </w:p>
    <w:p w:rsidR="00076DF2" w:rsidRPr="00446B59" w:rsidRDefault="00076D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Sobre este asunto, es preciso traer a colación la sentencia C- 150 de 25 de febrero de 2003 (Magistrado ponente doctor Manuel José Cepeda Espinosa), en la que la Corte Constitucional señaló:</w:t>
      </w:r>
    </w:p>
    <w:p w:rsidR="00076DF2" w:rsidRPr="00446B59" w:rsidRDefault="00076D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w:t>
      </w:r>
    </w:p>
    <w:p w:rsidR="00076DF2" w:rsidRPr="00446B59" w:rsidRDefault="00076D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b/>
          <w:i/>
          <w:color w:val="000000"/>
          <w:sz w:val="22"/>
          <w:szCs w:val="22"/>
          <w:u w:val="single"/>
        </w:rPr>
      </w:pPr>
      <w:r w:rsidRPr="00446B59">
        <w:rPr>
          <w:rFonts w:ascii="Bookman Old Style" w:hAnsi="Bookman Old Style" w:cs="Arial"/>
          <w:i/>
          <w:color w:val="000000"/>
          <w:sz w:val="22"/>
          <w:szCs w:val="22"/>
        </w:rPr>
        <w:t xml:space="preserve">Además, bajo el entendido de que el criterio de suficiencia financiera busca que la fórmula tarifaria contenga todas las erogaciones necesarias para prestar el servicio, incluido los costos, gastos, remuneración del patrimonio, para la Sala no cabe duda de que en la valoración de los cargos regulados para remunerar el transporte de la actora se respetó este criterio, toda vez que a través del artículo 11 de la Resolución núm. 121 de 2012 se aprobaron los cargos regulados para remunerar los Gastos de Administración, Operación y Mantenimiento (AOM), </w:t>
      </w:r>
      <w:r w:rsidRPr="00446B59">
        <w:rPr>
          <w:rFonts w:ascii="Bookman Old Style" w:hAnsi="Bookman Old Style" w:cs="Arial"/>
          <w:b/>
          <w:i/>
          <w:color w:val="000000"/>
          <w:sz w:val="22"/>
          <w:szCs w:val="22"/>
          <w:u w:val="single"/>
        </w:rPr>
        <w:t>además de los costos eficientes.</w:t>
      </w:r>
    </w:p>
    <w:p w:rsidR="00076DF2" w:rsidRPr="00446B59" w:rsidRDefault="00076DF2" w:rsidP="00EA2219">
      <w:pPr>
        <w:ind w:left="284" w:right="284"/>
        <w:jc w:val="both"/>
        <w:rPr>
          <w:rFonts w:ascii="Bookman Old Style" w:hAnsi="Bookman Old Style" w:cs="Arial"/>
          <w:i/>
          <w:color w:val="000000"/>
          <w:sz w:val="22"/>
          <w:szCs w:val="22"/>
        </w:rPr>
      </w:pPr>
    </w:p>
    <w:p w:rsidR="00076DF2" w:rsidRPr="00446B59" w:rsidRDefault="00076DF2" w:rsidP="00EA2219">
      <w:pPr>
        <w:ind w:left="284" w:right="284"/>
        <w:jc w:val="both"/>
        <w:rPr>
          <w:rFonts w:ascii="Bookman Old Style" w:hAnsi="Bookman Old Style" w:cs="Arial"/>
          <w:i/>
          <w:color w:val="000000"/>
          <w:sz w:val="22"/>
          <w:szCs w:val="22"/>
        </w:rPr>
      </w:pPr>
      <w:r w:rsidRPr="00446B59">
        <w:rPr>
          <w:rFonts w:ascii="Bookman Old Style" w:hAnsi="Bookman Old Style" w:cs="Arial"/>
          <w:i/>
          <w:color w:val="000000"/>
          <w:sz w:val="22"/>
          <w:szCs w:val="22"/>
        </w:rPr>
        <w:t xml:space="preserve">Así las cosas, para la Sala, en el presente caso, no se evidencian las violaciones aducidas por la actora, </w:t>
      </w:r>
      <w:r w:rsidRPr="00446B59">
        <w:rPr>
          <w:rFonts w:ascii="Bookman Old Style" w:hAnsi="Bookman Old Style" w:cs="Arial"/>
          <w:b/>
          <w:i/>
          <w:color w:val="000000"/>
          <w:sz w:val="22"/>
          <w:szCs w:val="22"/>
          <w:u w:val="single"/>
        </w:rPr>
        <w:t xml:space="preserve">razón por la cual debe mantenerse incólume la presunción de legalidad que ampara a los actos acusados y confirmarse la </w:t>
      </w:r>
      <w:r w:rsidRPr="00446B59">
        <w:rPr>
          <w:rFonts w:ascii="Bookman Old Style" w:hAnsi="Bookman Old Style" w:cs="Arial"/>
          <w:b/>
          <w:i/>
          <w:color w:val="000000"/>
          <w:sz w:val="22"/>
          <w:szCs w:val="22"/>
          <w:u w:val="single"/>
        </w:rPr>
        <w:lastRenderedPageBreak/>
        <w:t>sentencia apelada, como en efecto se dispondrá en la parte resolutiva de esta providencia</w:t>
      </w:r>
      <w:r w:rsidRPr="00446B59">
        <w:rPr>
          <w:rFonts w:ascii="Bookman Old Style" w:hAnsi="Bookman Old Style" w:cs="Arial"/>
          <w:i/>
          <w:color w:val="000000"/>
          <w:sz w:val="22"/>
          <w:szCs w:val="22"/>
        </w:rPr>
        <w:t>.”</w:t>
      </w:r>
      <w:r w:rsidR="00951123" w:rsidRPr="00446B59">
        <w:rPr>
          <w:rFonts w:ascii="Bookman Old Style" w:hAnsi="Bookman Old Style" w:cs="Arial"/>
          <w:i/>
          <w:color w:val="000000"/>
          <w:sz w:val="22"/>
          <w:szCs w:val="22"/>
        </w:rPr>
        <w:t xml:space="preserve"> (Resaltado fuera de texto)</w:t>
      </w:r>
    </w:p>
    <w:p w:rsidR="00076DF2" w:rsidRPr="001954E9" w:rsidRDefault="00076DF2" w:rsidP="009C5BF2">
      <w:pPr>
        <w:ind w:left="0"/>
        <w:jc w:val="both"/>
        <w:rPr>
          <w:rFonts w:ascii="Bookman Old Style" w:hAnsi="Bookman Old Style" w:cs="Arial"/>
          <w:color w:val="000000"/>
        </w:rPr>
      </w:pPr>
    </w:p>
    <w:p w:rsidR="002F30E3" w:rsidRDefault="00635BCB" w:rsidP="009C5BF2">
      <w:pPr>
        <w:ind w:left="0"/>
        <w:jc w:val="both"/>
        <w:rPr>
          <w:rFonts w:ascii="Bookman Old Style" w:hAnsi="Bookman Old Style" w:cs="Arial"/>
          <w:color w:val="000000"/>
        </w:rPr>
      </w:pPr>
      <w:r w:rsidRPr="001954E9">
        <w:rPr>
          <w:rFonts w:ascii="Bookman Old Style" w:hAnsi="Bookman Old Style" w:cs="Arial"/>
          <w:color w:val="000000"/>
        </w:rPr>
        <w:t>De acuerdo con lo expuesto</w:t>
      </w:r>
      <w:r w:rsidR="009C5BF2" w:rsidRPr="001954E9">
        <w:rPr>
          <w:rFonts w:ascii="Bookman Old Style" w:hAnsi="Bookman Old Style" w:cs="Arial"/>
          <w:color w:val="000000"/>
        </w:rPr>
        <w:t xml:space="preserve">, el criterio de eficiencia económica dentro de la remuneración de cada actividad dentro de los servicios públicos de energía eléctrica y gas combustible, no puede llevar a entender que la Comisión debe remunerar cualquier tipo de activos o de costos o gastos solicitados por la empresa, de la misma forma que la remuneración que se realice se haga a cualquier costo o en los términos solicitados por la empresa, incluyendo aquellos que no sean eficientes. </w:t>
      </w:r>
    </w:p>
    <w:p w:rsidR="002F30E3" w:rsidRDefault="002F30E3" w:rsidP="009C5BF2">
      <w:pPr>
        <w:ind w:left="0"/>
        <w:jc w:val="both"/>
        <w:rPr>
          <w:rFonts w:ascii="Bookman Old Style" w:hAnsi="Bookman Old Style" w:cs="Arial"/>
          <w:color w:val="000000"/>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 xml:space="preserve">Esto, bajo </w:t>
      </w:r>
      <w:r w:rsidR="00E116AC" w:rsidRPr="001954E9">
        <w:rPr>
          <w:rFonts w:ascii="Bookman Old Style" w:hAnsi="Bookman Old Style" w:cs="Arial"/>
          <w:color w:val="000000"/>
        </w:rPr>
        <w:t>justificaciones</w:t>
      </w:r>
      <w:r w:rsidRPr="001954E9">
        <w:rPr>
          <w:rFonts w:ascii="Bookman Old Style" w:hAnsi="Bookman Old Style" w:cs="Arial"/>
          <w:color w:val="000000"/>
        </w:rPr>
        <w:t xml:space="preserve"> </w:t>
      </w:r>
      <w:r w:rsidR="00E116AC" w:rsidRPr="001954E9">
        <w:rPr>
          <w:rFonts w:ascii="Bookman Old Style" w:hAnsi="Bookman Old Style" w:cs="Arial"/>
          <w:color w:val="000000"/>
        </w:rPr>
        <w:t xml:space="preserve">relativas a que dicho reconocimiento permitiría </w:t>
      </w:r>
      <w:r w:rsidRPr="001954E9">
        <w:rPr>
          <w:rFonts w:ascii="Bookman Old Style" w:hAnsi="Bookman Old Style" w:cs="Arial"/>
          <w:color w:val="000000"/>
        </w:rPr>
        <w:t>llevar a cabo la prestación continúa e ininterrumpida del servicio</w:t>
      </w:r>
      <w:r w:rsidR="009B3836" w:rsidRPr="001954E9">
        <w:rPr>
          <w:rFonts w:ascii="Bookman Old Style" w:hAnsi="Bookman Old Style" w:cs="Arial"/>
          <w:color w:val="000000"/>
        </w:rPr>
        <w:t xml:space="preserve"> o utilización eficiente de los mismos</w:t>
      </w:r>
      <w:r w:rsidRPr="001954E9">
        <w:rPr>
          <w:rFonts w:ascii="Bookman Old Style" w:hAnsi="Bookman Old Style" w:cs="Arial"/>
          <w:color w:val="000000"/>
        </w:rPr>
        <w:t xml:space="preserve">, conllevando el reconocimiento de inversiones por fuera de valores eficientes, así como trasladar a los usuarios los costos de los activos, el mantenimiento de los mismos y demás gastos en que incurran las empresas que sean considerados ineficientes, </w:t>
      </w:r>
      <w:r w:rsidR="00E116AC" w:rsidRPr="001954E9">
        <w:rPr>
          <w:rFonts w:ascii="Bookman Old Style" w:hAnsi="Bookman Old Style" w:cs="Arial"/>
          <w:color w:val="000000"/>
        </w:rPr>
        <w:t xml:space="preserve">lo anterior, </w:t>
      </w:r>
      <w:r w:rsidRPr="001954E9">
        <w:rPr>
          <w:rFonts w:ascii="Bookman Old Style" w:hAnsi="Bookman Old Style" w:cs="Arial"/>
          <w:color w:val="000000"/>
        </w:rPr>
        <w:t>bajo la justificación de garantizar la prestación del servicio.</w:t>
      </w:r>
    </w:p>
    <w:p w:rsidR="009C5BF2" w:rsidRPr="001954E9" w:rsidRDefault="009C5BF2" w:rsidP="009C5BF2">
      <w:pPr>
        <w:ind w:left="0"/>
        <w:jc w:val="both"/>
        <w:rPr>
          <w:rFonts w:ascii="Bookman Old Style" w:hAnsi="Bookman Old Style" w:cs="Arial"/>
          <w:color w:val="000000"/>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Esto llevaría a entender que la labor regulatoria de la Comisión como mecanismo de intervención del Estado en la economía se limitaría a realizar un reconocimiento formal de las inversiones y de los costos y gastos solicitados por las empresas, lo que en la práctica se traduciría en que a pesar de existir una Ley que establece la intervención de dicha actividad, la cual incluye los instrumentos y los fines a los cuales se sujeta dicha intervención,</w:t>
      </w:r>
      <w:r w:rsidR="002F30E3">
        <w:rPr>
          <w:rFonts w:ascii="Bookman Old Style" w:hAnsi="Bookman Old Style" w:cs="Arial"/>
          <w:color w:val="000000"/>
        </w:rPr>
        <w:t xml:space="preserve"> esta </w:t>
      </w:r>
      <w:r w:rsidRPr="001954E9">
        <w:rPr>
          <w:rFonts w:ascii="Bookman Old Style" w:hAnsi="Bookman Old Style" w:cs="Arial"/>
          <w:color w:val="000000"/>
        </w:rPr>
        <w:t xml:space="preserve">actividad sería una actividad desregulada y libre al actuar de los agentes. </w:t>
      </w:r>
    </w:p>
    <w:p w:rsidR="009C5BF2" w:rsidRPr="001954E9" w:rsidRDefault="009C5BF2" w:rsidP="009C5BF2">
      <w:pPr>
        <w:ind w:left="0"/>
        <w:jc w:val="both"/>
        <w:rPr>
          <w:rFonts w:ascii="Bookman Old Style" w:hAnsi="Bookman Old Style" w:cs="Arial"/>
          <w:color w:val="000000"/>
        </w:rPr>
      </w:pPr>
    </w:p>
    <w:p w:rsidR="00635BCB" w:rsidRPr="001954E9" w:rsidRDefault="009C5BF2" w:rsidP="00635BCB">
      <w:pPr>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28"/>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w:t>
      </w:r>
      <w:r w:rsidR="00BF6E67" w:rsidRPr="001954E9">
        <w:rPr>
          <w:rFonts w:ascii="Bookman Old Style" w:hAnsi="Bookman Old Style" w:cs="Arial"/>
          <w:color w:val="000000"/>
        </w:rPr>
        <w:t>es socialmente apreciadas; iv) que l</w:t>
      </w:r>
      <w:r w:rsidRPr="001954E9">
        <w:rPr>
          <w:rFonts w:ascii="Bookman Old Style" w:hAnsi="Bookman Old Style" w:cs="Arial"/>
          <w:color w:val="000000"/>
        </w:rPr>
        <w:t xml:space="preserve">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00635BCB" w:rsidRPr="001954E9">
        <w:rPr>
          <w:rFonts w:ascii="Bookman Old Style" w:eastAsia="Calibri" w:hAnsi="Bookman Old Style" w:cs="Arial"/>
          <w:lang w:val="es-CO" w:eastAsia="en-US"/>
        </w:rPr>
        <w:t>que dicho activo o gasto pueda estar destinado para la prestación del servicio, estaría actuando en contra de la Ley y la regulación.</w:t>
      </w:r>
    </w:p>
    <w:p w:rsidR="00635BCB" w:rsidRPr="001954E9" w:rsidRDefault="00635BCB" w:rsidP="00635BCB">
      <w:pPr>
        <w:ind w:left="0" w:right="-93"/>
        <w:jc w:val="both"/>
        <w:rPr>
          <w:rFonts w:ascii="Bookman Old Style" w:hAnsi="Bookman Old Style" w:cs="Arial"/>
          <w:color w:val="000000"/>
          <w:lang w:val="es-CO"/>
        </w:rPr>
      </w:pPr>
    </w:p>
    <w:p w:rsidR="00635BCB" w:rsidRPr="001954E9" w:rsidRDefault="00635BCB" w:rsidP="00635BCB">
      <w:pPr>
        <w:ind w:left="0" w:right="-93"/>
        <w:jc w:val="both"/>
        <w:rPr>
          <w:rFonts w:ascii="Bookman Old Style" w:hAnsi="Bookman Old Style" w:cs="Arial"/>
          <w:color w:val="000000"/>
        </w:rPr>
      </w:pPr>
      <w:r w:rsidRPr="001954E9">
        <w:rPr>
          <w:rFonts w:ascii="Bookman Old Style" w:hAnsi="Bookman Old Style" w:cs="Arial"/>
          <w:color w:val="000000"/>
        </w:rPr>
        <w:t xml:space="preserve">En este sentido, la no inclusión de activos, costos o gastos destinados para la prestación continúa e ininterrumpida del servicio sin atender o verificar la aplicación de los principios a los que se sujetan los servicios públicos, así como los criterios tarifarios para cada metodología que remuneran las actividades que de éstos hacen parte, no puede ser entendido como el parámetro al que se sujeta </w:t>
      </w:r>
      <w:r w:rsidRPr="001954E9">
        <w:rPr>
          <w:rFonts w:ascii="Bookman Old Style" w:hAnsi="Bookman Old Style" w:cs="Arial"/>
          <w:color w:val="000000"/>
        </w:rPr>
        <w:lastRenderedPageBreak/>
        <w:t>el regulador dentro de las decisiones y las actuaciones administrativas que desarrolla.</w:t>
      </w:r>
    </w:p>
    <w:p w:rsidR="00635BCB" w:rsidRPr="001954E9" w:rsidRDefault="00635BCB" w:rsidP="00635BCB">
      <w:pPr>
        <w:ind w:left="0" w:right="-93"/>
        <w:jc w:val="both"/>
        <w:rPr>
          <w:rFonts w:ascii="Bookman Old Style" w:hAnsi="Bookman Old Style" w:cs="Arial"/>
          <w:color w:val="000000"/>
        </w:rPr>
      </w:pPr>
    </w:p>
    <w:p w:rsidR="00635BCB" w:rsidRPr="001954E9" w:rsidRDefault="00635BCB" w:rsidP="00635BCB">
      <w:pPr>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 xml:space="preserve">Es por esto que las decisiones que adopten atendiendo este análisis 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29"/>
      </w:r>
      <w:r w:rsidRPr="001954E9">
        <w:rPr>
          <w:rFonts w:ascii="Bookman Old Style" w:eastAsia="Calibri" w:hAnsi="Bookman Old Style" w:cs="Arial"/>
          <w:lang w:val="es-ES_tradnl" w:eastAsia="en-US"/>
        </w:rPr>
        <w:t>.</w:t>
      </w:r>
    </w:p>
    <w:p w:rsidR="00635BCB" w:rsidRPr="001954E9" w:rsidRDefault="00635BCB" w:rsidP="00635BCB">
      <w:pPr>
        <w:ind w:left="0" w:right="-93"/>
        <w:jc w:val="both"/>
        <w:rPr>
          <w:rFonts w:ascii="Bookman Old Style" w:hAnsi="Bookman Old Style" w:cs="Arial"/>
          <w:color w:val="000000"/>
        </w:rPr>
      </w:pPr>
    </w:p>
    <w:p w:rsidR="002F30E3" w:rsidRDefault="00635BCB" w:rsidP="00635BCB">
      <w:pPr>
        <w:ind w:left="0" w:right="-93"/>
        <w:jc w:val="both"/>
        <w:rPr>
          <w:rFonts w:ascii="Bookman Old Style" w:hAnsi="Bookman Old Style" w:cs="Arial"/>
          <w:color w:val="000000"/>
        </w:rPr>
      </w:pPr>
      <w:r w:rsidRPr="001954E9">
        <w:rPr>
          <w:rFonts w:ascii="Bookman Old Style" w:hAnsi="Bookman Old Style" w:cs="Arial"/>
          <w:color w:val="000000"/>
        </w:rPr>
        <w:t>Se concluye entonces que, le corresponde a esta Comisión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más aún cuando esta Comisión tiene la obligación legal, en cualquier momento y dentro del trámite de cualquier actuación administrativa de carácter general o particular que se adelante, de dar cumplimiento a los criterios tarifarios previstos en el artículo 87 de la Ley 142 de 1994 en todos los aspectos que determinan el cobro de las tarifas y que hagan parte del régimen tarifario.</w:t>
      </w:r>
    </w:p>
    <w:p w:rsidR="002F30E3" w:rsidRDefault="002F30E3" w:rsidP="00635BCB">
      <w:pPr>
        <w:ind w:left="0" w:right="-93"/>
        <w:jc w:val="both"/>
        <w:rPr>
          <w:rFonts w:ascii="Bookman Old Style" w:hAnsi="Bookman Old Style" w:cs="Arial"/>
          <w:color w:val="000000"/>
        </w:rPr>
      </w:pPr>
    </w:p>
    <w:p w:rsidR="00635BCB" w:rsidRPr="001954E9" w:rsidRDefault="00635BCB" w:rsidP="00635BCB">
      <w:pPr>
        <w:ind w:left="0" w:right="-93"/>
        <w:jc w:val="both"/>
        <w:rPr>
          <w:rFonts w:ascii="Bookman Old Style" w:hAnsi="Bookman Old Style" w:cs="Arial"/>
          <w:color w:val="000000"/>
        </w:rPr>
      </w:pPr>
      <w:r w:rsidRPr="001954E9">
        <w:rPr>
          <w:rFonts w:ascii="Bookman Old Style" w:hAnsi="Bookman Old Style" w:cs="Arial"/>
          <w:color w:val="000000"/>
        </w:rPr>
        <w:t>Por lo tanto, no todo activo, ni todo costo o gasto destinado a la prestación del servicio debe ser remunerado sino sólo aquel que se encuentre en condiciones de eficiencia de acuerdo con lo previsto en cada metodología, así como parte de la aplicación del régimen tarifario</w:t>
      </w:r>
      <w:r w:rsidRPr="001954E9">
        <w:rPr>
          <w:rStyle w:val="Refdenotaalpie"/>
          <w:rFonts w:ascii="Bookman Old Style" w:hAnsi="Bookman Old Style" w:cs="Arial"/>
          <w:color w:val="000000"/>
        </w:rPr>
        <w:footnoteReference w:id="30"/>
      </w:r>
      <w:r w:rsidRPr="001954E9">
        <w:rPr>
          <w:rFonts w:ascii="Bookman Old Style" w:hAnsi="Bookman Old Style" w:cs="Arial"/>
          <w:color w:val="000000"/>
        </w:rPr>
        <w:t xml:space="preserve">. </w:t>
      </w:r>
    </w:p>
    <w:p w:rsidR="009C5BF2" w:rsidRPr="001954E9" w:rsidRDefault="009C5BF2" w:rsidP="009C5BF2">
      <w:pPr>
        <w:ind w:left="0" w:right="-93"/>
        <w:jc w:val="both"/>
        <w:rPr>
          <w:rFonts w:ascii="Bookman Old Style" w:hAnsi="Bookman Old Style" w:cs="Arial"/>
          <w:color w:val="000000"/>
        </w:rPr>
      </w:pPr>
    </w:p>
    <w:p w:rsidR="00C87369" w:rsidRDefault="002F30E3" w:rsidP="009C5BF2">
      <w:pPr>
        <w:ind w:left="0" w:right="-93"/>
        <w:jc w:val="both"/>
        <w:rPr>
          <w:rFonts w:ascii="Bookman Old Style" w:hAnsi="Bookman Old Style" w:cs="Arial"/>
          <w:color w:val="000000"/>
        </w:rPr>
      </w:pPr>
      <w:r w:rsidRPr="001954E9">
        <w:rPr>
          <w:rFonts w:ascii="Bookman Old Style" w:hAnsi="Bookman Old Style" w:cs="Arial"/>
          <w:color w:val="000000"/>
        </w:rPr>
        <w:t xml:space="preserve">La no inclusión de la totalidad de los activos o de costos o gastos que se deben remunerar en condiciones de eficiencia para prestar el servicio de acuerdo con lo previsto en las metodologías tarifarias, </w:t>
      </w:r>
      <w:r>
        <w:rPr>
          <w:rFonts w:ascii="Bookman Old Style" w:hAnsi="Bookman Old Style" w:cs="Arial"/>
          <w:color w:val="000000"/>
        </w:rPr>
        <w:t>deriva</w:t>
      </w:r>
      <w:r w:rsidRPr="001954E9">
        <w:rPr>
          <w:rFonts w:ascii="Bookman Old Style" w:hAnsi="Bookman Old Style" w:cs="Arial"/>
          <w:color w:val="000000"/>
        </w:rPr>
        <w:t xml:space="preserve"> en un actuar del regulador</w:t>
      </w:r>
      <w:r>
        <w:rPr>
          <w:rFonts w:ascii="Bookman Old Style" w:hAnsi="Bookman Old Style" w:cs="Arial"/>
          <w:color w:val="000000"/>
        </w:rPr>
        <w:t xml:space="preserve"> por</w:t>
      </w:r>
      <w:r w:rsidRPr="001954E9">
        <w:rPr>
          <w:rFonts w:ascii="Bookman Old Style" w:hAnsi="Bookman Old Style" w:cs="Arial"/>
          <w:color w:val="000000"/>
        </w:rPr>
        <w:t xml:space="preserve"> fuera de los mandatos establecidos en la ley y en la regulación, premisa que es totalmente diferente a justificar el reconocimiento de inversiones, así como de costos y gastos a cualquier costo, ya que esto implicaría el riesgo de trasladar la gestión ineficiente de los agentes en los cargos y en las tarifas.</w:t>
      </w:r>
    </w:p>
    <w:p w:rsidR="002F30E3" w:rsidRDefault="002F30E3" w:rsidP="00175814">
      <w:pPr>
        <w:ind w:left="0" w:right="-93" w:firstLine="708"/>
        <w:jc w:val="both"/>
        <w:rPr>
          <w:rFonts w:ascii="Bookman Old Style" w:eastAsia="Calibri" w:hAnsi="Bookman Old Style" w:cs="Arial"/>
          <w:lang w:val="es-CO" w:eastAsia="en-US"/>
        </w:rPr>
      </w:pPr>
    </w:p>
    <w:p w:rsidR="00831A1E" w:rsidRPr="001954E9" w:rsidRDefault="00831A1E" w:rsidP="001E2FAE">
      <w:pPr>
        <w:numPr>
          <w:ilvl w:val="0"/>
          <w:numId w:val="2"/>
        </w:numPr>
        <w:ind w:left="425" w:right="-91" w:hanging="425"/>
        <w:contextualSpacing/>
        <w:jc w:val="both"/>
        <w:rPr>
          <w:rFonts w:ascii="Bookman Old Style" w:eastAsia="Calibri" w:hAnsi="Bookman Old Style" w:cs="Arial"/>
          <w:b/>
          <w:lang w:val="es-CO" w:eastAsia="en-US"/>
        </w:rPr>
      </w:pPr>
      <w:r w:rsidRPr="001954E9">
        <w:rPr>
          <w:rFonts w:ascii="Bookman Old Style" w:eastAsia="Calibri" w:hAnsi="Bookman Old Style" w:cs="Arial"/>
          <w:b/>
          <w:lang w:val="es-CO" w:eastAsia="en-US"/>
        </w:rPr>
        <w:lastRenderedPageBreak/>
        <w:t xml:space="preserve">Análisis de la solicitud tarifaria </w:t>
      </w:r>
      <w:r w:rsidR="00847443" w:rsidRPr="001954E9">
        <w:rPr>
          <w:rFonts w:ascii="Bookman Old Style" w:eastAsia="Calibri" w:hAnsi="Bookman Old Style" w:cs="Arial"/>
          <w:b/>
          <w:lang w:val="es-CO" w:eastAsia="en-US"/>
        </w:rPr>
        <w:t xml:space="preserve">presentada por la </w:t>
      </w:r>
      <w:r w:rsidRPr="001954E9">
        <w:rPr>
          <w:rFonts w:ascii="Bookman Old Style" w:eastAsia="Calibri" w:hAnsi="Bookman Old Style" w:cs="Arial"/>
          <w:b/>
          <w:lang w:val="es-CO" w:eastAsia="en-US"/>
        </w:rPr>
        <w:t xml:space="preserve">empresa </w:t>
      </w:r>
      <w:r w:rsidR="001B0F48" w:rsidRPr="000F2F87">
        <w:rPr>
          <w:rFonts w:ascii="Bookman Old Style" w:eastAsia="Calibri" w:hAnsi="Bookman Old Style" w:cs="Arial"/>
          <w:b/>
          <w:lang w:val="es-CO" w:eastAsia="en-US"/>
        </w:rPr>
        <w:t>INGENIERIA Y SERVICIOS S.A. E.S.P.</w:t>
      </w:r>
      <w:r w:rsidR="00847443" w:rsidRPr="001954E9">
        <w:rPr>
          <w:rFonts w:ascii="Bookman Old Style" w:eastAsia="Calibri" w:hAnsi="Bookman Old Style" w:cs="Arial"/>
          <w:b/>
          <w:lang w:val="es-CO" w:eastAsia="en-US"/>
        </w:rPr>
        <w:t xml:space="preserve"> </w:t>
      </w:r>
      <w:r w:rsidRPr="001954E9">
        <w:rPr>
          <w:rFonts w:ascii="Bookman Old Style" w:eastAsia="Calibri" w:hAnsi="Bookman Old Style" w:cs="Arial"/>
          <w:b/>
          <w:lang w:val="es-CO" w:eastAsia="en-US"/>
        </w:rPr>
        <w:t>y definición de los cargos máximos para la actividad de distribución de gas combustible</w:t>
      </w:r>
    </w:p>
    <w:p w:rsidR="00831A1E" w:rsidRPr="001954E9" w:rsidRDefault="00831A1E" w:rsidP="00831A1E">
      <w:pPr>
        <w:ind w:left="0" w:right="-93"/>
        <w:jc w:val="both"/>
        <w:rPr>
          <w:rFonts w:ascii="Bookman Old Style" w:hAnsi="Bookman Old Style" w:cs="Arial"/>
          <w:bCs/>
          <w:lang w:val="es-ES_tradnl"/>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rsidR="00886F37" w:rsidRPr="001954E9" w:rsidRDefault="00886F37" w:rsidP="00D80817">
      <w:pPr>
        <w:ind w:left="0"/>
        <w:jc w:val="both"/>
        <w:rPr>
          <w:rFonts w:ascii="Bookman Old Style" w:hAnsi="Bookman Old Style" w:cs="Arial"/>
          <w:color w:val="000000"/>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Esta metodología es de precio máximo, el cual se establece a través de los cargos de distribución que son calculado</w:t>
      </w:r>
      <w:r w:rsidR="00541722" w:rsidRPr="001954E9">
        <w:rPr>
          <w:rFonts w:ascii="Bookman Old Style" w:hAnsi="Bookman Old Style" w:cs="Arial"/>
          <w:color w:val="000000"/>
        </w:rPr>
        <w:t>s</w:t>
      </w:r>
      <w:r w:rsidRPr="001954E9">
        <w:rPr>
          <w:rFonts w:ascii="Bookman Old Style" w:hAnsi="Bookman Old Style" w:cs="Arial"/>
          <w:color w:val="000000"/>
        </w:rPr>
        <w:t xml:space="preserve"> a partir de costos medios históricos para mercados existentes o costos de mediano plazo para mercados o poblaciones nuevas, con estos se remunera las inversiones existentes para la demanda real y el programa de inversiones diseñado para una demanda futura, según corresponda. </w:t>
      </w:r>
    </w:p>
    <w:p w:rsidR="00D80817" w:rsidRPr="001954E9" w:rsidRDefault="00D80817" w:rsidP="00D80817">
      <w:pPr>
        <w:ind w:left="0"/>
        <w:jc w:val="both"/>
        <w:rPr>
          <w:rFonts w:ascii="Bookman Old Style" w:hAnsi="Bookman Old Style" w:cs="Arial"/>
          <w:color w:val="000000"/>
        </w:rPr>
      </w:pPr>
    </w:p>
    <w:p w:rsidR="009B3836" w:rsidRPr="001954E9" w:rsidRDefault="004D0BC0" w:rsidP="009B3836">
      <w:pPr>
        <w:ind w:left="0"/>
        <w:jc w:val="both"/>
        <w:rPr>
          <w:rFonts w:ascii="Bookman Old Style" w:hAnsi="Bookman Old Style" w:cs="Arial"/>
          <w:color w:val="000000"/>
        </w:rPr>
      </w:pPr>
      <w:r w:rsidRPr="001954E9">
        <w:rPr>
          <w:rFonts w:ascii="Bookman Old Style" w:hAnsi="Bookman Old Style" w:cs="Arial"/>
          <w:color w:val="000000"/>
        </w:rPr>
        <w:t xml:space="preserve">Los </w:t>
      </w:r>
      <w:r w:rsidR="00D80817" w:rsidRPr="001954E9">
        <w:rPr>
          <w:rFonts w:ascii="Bookman Old Style" w:hAnsi="Bookman Old Style" w:cs="Arial"/>
          <w:color w:val="000000"/>
        </w:rPr>
        <w:t>cargo</w:t>
      </w:r>
      <w:r w:rsidRPr="001954E9">
        <w:rPr>
          <w:rFonts w:ascii="Bookman Old Style" w:hAnsi="Bookman Old Style" w:cs="Arial"/>
          <w:color w:val="000000"/>
        </w:rPr>
        <w:t>s</w:t>
      </w:r>
      <w:r w:rsidR="00D80817" w:rsidRPr="001954E9">
        <w:rPr>
          <w:rFonts w:ascii="Bookman Old Style" w:hAnsi="Bookman Old Style" w:cs="Arial"/>
          <w:color w:val="000000"/>
        </w:rPr>
        <w:t xml:space="preserve"> de distribución se obtiene</w:t>
      </w:r>
      <w:r w:rsidRPr="001954E9">
        <w:rPr>
          <w:rFonts w:ascii="Bookman Old Style" w:hAnsi="Bookman Old Style" w:cs="Arial"/>
          <w:color w:val="000000"/>
        </w:rPr>
        <w:t>n</w:t>
      </w:r>
      <w:r w:rsidR="00D80817" w:rsidRPr="001954E9">
        <w:rPr>
          <w:rFonts w:ascii="Bookman Old Style" w:hAnsi="Bookman Old Style" w:cs="Arial"/>
          <w:color w:val="000000"/>
        </w:rPr>
        <w:t xml:space="preserve"> básicamente como la relación entre el costo anual equivalente de las inversiones </w:t>
      </w:r>
      <w:r w:rsidR="005376A6" w:rsidRPr="001954E9">
        <w:rPr>
          <w:rFonts w:ascii="Bookman Old Style" w:hAnsi="Bookman Old Style" w:cs="Arial"/>
          <w:color w:val="000000"/>
        </w:rPr>
        <w:t xml:space="preserve">eficientes, incluyendo las inversiones </w:t>
      </w:r>
      <w:r w:rsidR="00D80817" w:rsidRPr="001954E9">
        <w:rPr>
          <w:rFonts w:ascii="Bookman Old Style" w:hAnsi="Bookman Old Style" w:cs="Arial"/>
          <w:color w:val="000000"/>
        </w:rPr>
        <w:t>existentes</w:t>
      </w:r>
      <w:r w:rsidRPr="001954E9">
        <w:rPr>
          <w:rFonts w:ascii="Bookman Old Style" w:hAnsi="Bookman Old Style" w:cs="Arial"/>
          <w:color w:val="000000"/>
        </w:rPr>
        <w:t xml:space="preserve"> </w:t>
      </w:r>
      <w:r w:rsidR="00D80817" w:rsidRPr="001954E9">
        <w:rPr>
          <w:rFonts w:ascii="Bookman Old Style" w:hAnsi="Bookman Old Style" w:cs="Arial"/>
          <w:color w:val="000000"/>
        </w:rPr>
        <w:t>o el valor presente descontado de las inversiones proyectadas más los gastos eficientes anuales de la administración, operación y mantenimiento (AOM)</w:t>
      </w:r>
      <w:r w:rsidRPr="001954E9">
        <w:rPr>
          <w:rFonts w:ascii="Bookman Old Style" w:hAnsi="Bookman Old Style" w:cs="Arial"/>
          <w:color w:val="000000"/>
        </w:rPr>
        <w:t xml:space="preserve"> o el valor presente descontado de los AOM proyectados </w:t>
      </w:r>
      <w:r w:rsidR="00D80817" w:rsidRPr="001954E9">
        <w:rPr>
          <w:rFonts w:ascii="Bookman Old Style" w:hAnsi="Bookman Old Style" w:cs="Arial"/>
          <w:color w:val="000000"/>
        </w:rPr>
        <w:t>y la demanda real obtenida en el año de corte o de la proyección de demanda.</w:t>
      </w:r>
      <w:r w:rsidRPr="001954E9">
        <w:rPr>
          <w:rFonts w:ascii="Bookman Old Style" w:hAnsi="Bookman Old Style" w:cs="Arial"/>
          <w:color w:val="000000"/>
        </w:rPr>
        <w:t xml:space="preserve"> </w:t>
      </w:r>
      <w:r w:rsidR="005376A6" w:rsidRPr="001954E9">
        <w:rPr>
          <w:rFonts w:ascii="Bookman Old Style" w:hAnsi="Bookman Old Style" w:cs="Arial"/>
          <w:color w:val="000000"/>
        </w:rPr>
        <w:t>Lo anterior,</w:t>
      </w:r>
      <w:r w:rsidRPr="001954E9">
        <w:rPr>
          <w:rFonts w:ascii="Bookman Old Style" w:hAnsi="Bookman Old Style" w:cs="Arial"/>
          <w:color w:val="000000"/>
        </w:rPr>
        <w:t xml:space="preserve"> utilizando una tasa de descuento o WACC</w:t>
      </w:r>
      <w:r w:rsidR="009B3836" w:rsidRPr="001954E9">
        <w:rPr>
          <w:rFonts w:ascii="Bookman Old Style" w:hAnsi="Bookman Old Style" w:cs="Arial"/>
          <w:color w:val="000000"/>
        </w:rPr>
        <w:t xml:space="preserve"> (por sus siglas en inglés).</w:t>
      </w:r>
    </w:p>
    <w:p w:rsidR="00D80817" w:rsidRPr="001954E9" w:rsidRDefault="00D80817" w:rsidP="00D80817">
      <w:pPr>
        <w:ind w:left="0"/>
        <w:jc w:val="both"/>
        <w:rPr>
          <w:rFonts w:ascii="Bookman Old Style" w:hAnsi="Bookman Old Style" w:cs="Arial"/>
          <w:color w:val="000000"/>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 xml:space="preserve">La metodología señalada reconoce </w:t>
      </w:r>
      <w:r w:rsidR="009C5B8E" w:rsidRPr="001954E9">
        <w:rPr>
          <w:rFonts w:ascii="Bookman Old Style" w:hAnsi="Bookman Old Style" w:cs="Arial"/>
          <w:color w:val="000000"/>
        </w:rPr>
        <w:t xml:space="preserve">las inversiones eficientes, de las cuales hacen parte, </w:t>
      </w:r>
      <w:r w:rsidRPr="001954E9">
        <w:rPr>
          <w:rFonts w:ascii="Bookman Old Style" w:hAnsi="Bookman Old Style" w:cs="Arial"/>
          <w:color w:val="000000"/>
        </w:rPr>
        <w:t>la inversión base que corresponde a la inversión en activos existentes a una fecha de corte o el programa de inversiones que propone ejecutar el distribuidor en el periodo tarifario. La valoración de los activos se hace a través de los costos eficientes que se han determinado previamente para unidades constructivas y que se encuentran señaladas previamente en las Resoluciones CREG 011 de 2003 y 202 de 2013.</w:t>
      </w:r>
    </w:p>
    <w:p w:rsidR="00D80817" w:rsidRPr="001954E9" w:rsidRDefault="00D80817" w:rsidP="00D80817">
      <w:pPr>
        <w:ind w:left="0"/>
        <w:jc w:val="both"/>
        <w:rPr>
          <w:rFonts w:ascii="Bookman Old Style" w:hAnsi="Bookman Old Style" w:cs="Arial"/>
          <w:color w:val="000000"/>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 xml:space="preserve">Es de indicar que de acuerdo con la metodología se establece un cargo de distribución para usuarios residenciales y otro para usuarios de </w:t>
      </w:r>
      <w:r w:rsidR="004D0BC0" w:rsidRPr="001954E9">
        <w:rPr>
          <w:rFonts w:ascii="Bookman Old Style" w:hAnsi="Bookman Old Style" w:cs="Arial"/>
          <w:color w:val="000000"/>
        </w:rPr>
        <w:t xml:space="preserve">uso diferente al residencial, </w:t>
      </w:r>
      <w:r w:rsidRPr="001954E9">
        <w:rPr>
          <w:rFonts w:ascii="Bookman Old Style" w:hAnsi="Bookman Old Style" w:cs="Arial"/>
          <w:color w:val="000000"/>
        </w:rPr>
        <w:t>con este último las empresas podrán estructurar una canasta de tarifas por tipo de usuario y consumo.</w:t>
      </w:r>
    </w:p>
    <w:p w:rsidR="00D80817" w:rsidRPr="001954E9" w:rsidRDefault="00D80817" w:rsidP="00831A1E">
      <w:pPr>
        <w:ind w:left="0" w:right="-93"/>
        <w:jc w:val="both"/>
        <w:rPr>
          <w:rFonts w:ascii="Bookman Old Style" w:hAnsi="Bookman Old Style" w:cs="Arial"/>
          <w:bCs/>
          <w:lang w:val="es-ES_tradnl"/>
        </w:rPr>
      </w:pPr>
    </w:p>
    <w:p w:rsidR="00431A8E" w:rsidRPr="001954E9" w:rsidRDefault="00D80817" w:rsidP="00831A1E">
      <w:pPr>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y c</w:t>
      </w:r>
      <w:r w:rsidR="00431A8E" w:rsidRPr="001954E9">
        <w:rPr>
          <w:rFonts w:ascii="Bookman Old Style" w:hAnsi="Bookman Old Style" w:cs="Arial"/>
          <w:bCs/>
          <w:lang w:val="es-ES_tradnl"/>
        </w:rPr>
        <w:t xml:space="preserve">omo parte de la aplicación de la metodología de la Resolución CREG 202 de 2013, así como de los criterios tarifarios previstos en el artículo 87 de </w:t>
      </w:r>
      <w:r w:rsidR="005D4178" w:rsidRPr="001954E9">
        <w:rPr>
          <w:rFonts w:ascii="Bookman Old Style" w:hAnsi="Bookman Old Style" w:cs="Arial"/>
          <w:bCs/>
          <w:lang w:val="es-ES_tradnl"/>
        </w:rPr>
        <w:t xml:space="preserve">la Ley 142 de 1994 y </w:t>
      </w:r>
      <w:r w:rsidR="00431A8E" w:rsidRPr="001954E9">
        <w:rPr>
          <w:rFonts w:ascii="Bookman Old Style" w:hAnsi="Bookman Old Style" w:cs="Arial"/>
          <w:bCs/>
          <w:lang w:val="es-ES_tradnl"/>
        </w:rPr>
        <w:t xml:space="preserve">el esquema de incentivos para la actividad de </w:t>
      </w:r>
      <w:r w:rsidR="005D4178" w:rsidRPr="001954E9">
        <w:rPr>
          <w:rFonts w:ascii="Bookman Old Style" w:hAnsi="Bookman Old Style" w:cs="Arial"/>
          <w:bCs/>
          <w:lang w:val="es-ES_tradnl"/>
        </w:rPr>
        <w:t xml:space="preserve">distribución de gas combustible </w:t>
      </w:r>
      <w:r w:rsidR="00431A8E" w:rsidRPr="001954E9">
        <w:rPr>
          <w:rFonts w:ascii="Bookman Old Style" w:hAnsi="Bookman Old Style" w:cs="Arial"/>
          <w:bCs/>
          <w:lang w:val="es-ES_tradnl"/>
        </w:rPr>
        <w:t xml:space="preserve">le corresponde a la CREG establecer: i) </w:t>
      </w:r>
      <w:r w:rsidRPr="001954E9">
        <w:rPr>
          <w:rFonts w:ascii="Bookman Old Style" w:hAnsi="Bookman Old Style" w:cs="Arial"/>
          <w:bCs/>
          <w:lang w:val="es-ES_tradnl"/>
        </w:rPr>
        <w:t>M</w:t>
      </w:r>
      <w:r w:rsidR="005D4178" w:rsidRPr="001954E9">
        <w:rPr>
          <w:rFonts w:ascii="Bookman Old Style" w:hAnsi="Bookman Old Style" w:cs="Arial"/>
          <w:bCs/>
          <w:lang w:val="es-ES_tradnl"/>
        </w:rPr>
        <w:t xml:space="preserve">ercado relevante </w:t>
      </w:r>
      <w:r w:rsidRPr="001954E9">
        <w:rPr>
          <w:rFonts w:ascii="Bookman Old Style" w:hAnsi="Bookman Old Style" w:cs="Arial"/>
          <w:bCs/>
          <w:lang w:val="es-ES_tradnl"/>
        </w:rPr>
        <w:t xml:space="preserve">de distribución para el siguiente periodo tarifario y para </w:t>
      </w:r>
      <w:r w:rsidR="00434360">
        <w:rPr>
          <w:rFonts w:ascii="Bookman Old Style" w:hAnsi="Bookman Old Style" w:cs="Arial"/>
          <w:bCs/>
          <w:lang w:val="es-ES_tradnl"/>
        </w:rPr>
        <w:t>e</w:t>
      </w:r>
      <w:r w:rsidR="005D4178" w:rsidRPr="001954E9">
        <w:rPr>
          <w:rFonts w:ascii="Bookman Old Style" w:hAnsi="Bookman Old Style" w:cs="Arial"/>
          <w:bCs/>
          <w:lang w:val="es-ES_tradnl"/>
        </w:rPr>
        <w:t xml:space="preserve">l cual se le </w:t>
      </w:r>
      <w:r w:rsidRPr="001954E9">
        <w:rPr>
          <w:rFonts w:ascii="Bookman Old Style" w:hAnsi="Bookman Old Style" w:cs="Arial"/>
          <w:bCs/>
          <w:lang w:val="es-ES_tradnl"/>
        </w:rPr>
        <w:t>definirán</w:t>
      </w:r>
      <w:r w:rsidR="005D4178" w:rsidRPr="001954E9">
        <w:rPr>
          <w:rFonts w:ascii="Bookman Old Style" w:hAnsi="Bookman Old Style" w:cs="Arial"/>
          <w:bCs/>
          <w:lang w:val="es-ES_tradnl"/>
        </w:rPr>
        <w:t xml:space="preserve"> cargo</w:t>
      </w:r>
      <w:r w:rsidRPr="001954E9">
        <w:rPr>
          <w:rFonts w:ascii="Bookman Old Style" w:hAnsi="Bookman Old Style" w:cs="Arial"/>
          <w:bCs/>
          <w:lang w:val="es-ES_tradnl"/>
        </w:rPr>
        <w:t>s</w:t>
      </w:r>
      <w:r w:rsidR="005D4178" w:rsidRPr="001954E9">
        <w:rPr>
          <w:rFonts w:ascii="Bookman Old Style" w:hAnsi="Bookman Old Style" w:cs="Arial"/>
          <w:bCs/>
          <w:lang w:val="es-ES_tradnl"/>
        </w:rPr>
        <w:t xml:space="preserve"> de distribución; ii) las demandas de volumen</w:t>
      </w:r>
      <w:r w:rsidRPr="001954E9">
        <w:rPr>
          <w:rFonts w:ascii="Bookman Old Style" w:hAnsi="Bookman Old Style" w:cs="Arial"/>
          <w:bCs/>
          <w:lang w:val="es-ES_tradnl"/>
        </w:rPr>
        <w:t xml:space="preserve"> en metros cúbicos de cada mercado</w:t>
      </w:r>
      <w:r w:rsidR="005D4178" w:rsidRPr="001954E9">
        <w:rPr>
          <w:rFonts w:ascii="Bookman Old Style" w:hAnsi="Bookman Old Style" w:cs="Arial"/>
          <w:bCs/>
          <w:lang w:val="es-ES_tradnl"/>
        </w:rPr>
        <w:t xml:space="preserve">; iii) </w:t>
      </w:r>
      <w:r w:rsidR="00431A8E" w:rsidRPr="001954E9">
        <w:rPr>
          <w:rFonts w:ascii="Bookman Old Style" w:hAnsi="Bookman Old Style" w:cs="Arial"/>
          <w:bCs/>
          <w:lang w:val="es-ES_tradnl"/>
        </w:rPr>
        <w:t>el valor</w:t>
      </w:r>
      <w:r w:rsidR="005D4178" w:rsidRPr="001954E9">
        <w:rPr>
          <w:rFonts w:ascii="Bookman Old Style" w:hAnsi="Bookman Old Style" w:cs="Arial"/>
          <w:bCs/>
          <w:lang w:val="es-ES_tradnl"/>
        </w:rPr>
        <w:t xml:space="preserve"> eficiente de las inversiones a reconocer, incluyendo la inversión base y el programa de nuevas inversiones, donde se</w:t>
      </w:r>
      <w:r w:rsidR="00434360">
        <w:rPr>
          <w:rFonts w:ascii="Bookman Old Style" w:hAnsi="Bookman Old Style" w:cs="Arial"/>
          <w:bCs/>
          <w:lang w:val="es-ES_tradnl"/>
        </w:rPr>
        <w:t>a</w:t>
      </w:r>
      <w:r w:rsidR="005D4178" w:rsidRPr="001954E9">
        <w:rPr>
          <w:rFonts w:ascii="Bookman Old Style" w:hAnsi="Bookman Old Style" w:cs="Arial"/>
          <w:bCs/>
          <w:lang w:val="es-ES_tradnl"/>
        </w:rPr>
        <w:t xml:space="preserve"> aplicable, así como;</w:t>
      </w:r>
      <w:r w:rsidR="00431A8E" w:rsidRPr="001954E9">
        <w:rPr>
          <w:rFonts w:ascii="Bookman Old Style" w:hAnsi="Bookman Old Style" w:cs="Arial"/>
          <w:bCs/>
          <w:lang w:val="es-ES_tradnl"/>
        </w:rPr>
        <w:t xml:space="preserve"> </w:t>
      </w:r>
      <w:r w:rsidR="005D4178" w:rsidRPr="001954E9">
        <w:rPr>
          <w:rFonts w:ascii="Bookman Old Style" w:hAnsi="Bookman Old Style" w:cs="Arial"/>
          <w:bCs/>
          <w:lang w:val="es-ES_tradnl"/>
        </w:rPr>
        <w:t>i</w:t>
      </w:r>
      <w:r w:rsidR="00431A8E" w:rsidRPr="001954E9">
        <w:rPr>
          <w:rFonts w:ascii="Bookman Old Style" w:hAnsi="Bookman Old Style" w:cs="Arial"/>
          <w:bCs/>
          <w:lang w:val="es-ES_tradnl"/>
        </w:rPr>
        <w:t xml:space="preserve">ii) los valores eficientes de los gastos de AOM. </w:t>
      </w:r>
    </w:p>
    <w:p w:rsidR="00A16BA2" w:rsidRPr="001954E9" w:rsidRDefault="00A16BA2" w:rsidP="00831A1E">
      <w:pPr>
        <w:ind w:left="0" w:right="-93"/>
        <w:jc w:val="both"/>
        <w:rPr>
          <w:rFonts w:ascii="Bookman Old Style" w:hAnsi="Bookman Old Style" w:cs="Arial"/>
          <w:bCs/>
          <w:lang w:val="es-ES_tradnl"/>
        </w:rPr>
      </w:pPr>
    </w:p>
    <w:p w:rsidR="00A16BA2" w:rsidRPr="001954E9" w:rsidRDefault="00A16BA2" w:rsidP="00A16BA2">
      <w:pPr>
        <w:ind w:left="0" w:right="-93"/>
        <w:jc w:val="both"/>
        <w:rPr>
          <w:rFonts w:ascii="Bookman Old Style" w:hAnsi="Bookman Old Style" w:cs="Arial"/>
          <w:bCs/>
          <w:lang w:val="es-ES_tradnl"/>
        </w:rPr>
      </w:pPr>
      <w:r w:rsidRPr="001954E9">
        <w:rPr>
          <w:rFonts w:ascii="Bookman Old Style" w:hAnsi="Bookman Old Style" w:cs="Arial"/>
          <w:bCs/>
          <w:lang w:val="es-ES_tradnl"/>
        </w:rPr>
        <w:lastRenderedPageBreak/>
        <w:t xml:space="preserve">Se debe tener en cuenta que dentro de la remuneración de esta actividad el regulador fija una tarifa máxima para cada mercado </w:t>
      </w:r>
      <w:r w:rsidR="00217844" w:rsidRPr="001954E9">
        <w:rPr>
          <w:rFonts w:ascii="Bookman Old Style" w:hAnsi="Bookman Old Style" w:cs="Arial"/>
          <w:bCs/>
          <w:lang w:val="es-ES_tradnl"/>
        </w:rPr>
        <w:t xml:space="preserve">relevante </w:t>
      </w:r>
      <w:r w:rsidRPr="001954E9">
        <w:rPr>
          <w:rFonts w:ascii="Bookman Old Style" w:hAnsi="Bookman Old Style" w:cs="Arial"/>
          <w:bCs/>
          <w:lang w:val="es-ES_tradnl"/>
        </w:rPr>
        <w:t xml:space="preserve">de distribución, definiendo el valor </w:t>
      </w:r>
      <w:r w:rsidR="00217844" w:rsidRPr="001954E9">
        <w:rPr>
          <w:rFonts w:ascii="Bookman Old Style" w:hAnsi="Bookman Old Style" w:cs="Arial"/>
          <w:bCs/>
          <w:lang w:val="es-ES_tradnl"/>
        </w:rPr>
        <w:t xml:space="preserve">eficiente </w:t>
      </w:r>
      <w:r w:rsidRPr="001954E9">
        <w:rPr>
          <w:rFonts w:ascii="Bookman Old Style" w:hAnsi="Bookman Old Style" w:cs="Arial"/>
          <w:bCs/>
          <w:lang w:val="es-ES_tradnl"/>
        </w:rPr>
        <w:t>de las inversiones</w:t>
      </w:r>
      <w:r w:rsidR="00217844" w:rsidRPr="001954E9">
        <w:rPr>
          <w:rFonts w:ascii="Bookman Old Style" w:hAnsi="Bookman Old Style" w:cs="Arial"/>
          <w:bCs/>
          <w:lang w:val="es-ES_tradnl"/>
        </w:rPr>
        <w:t xml:space="preserve"> y de los gastos de AOM para una demanda real o futura</w:t>
      </w:r>
      <w:r w:rsidRPr="001954E9">
        <w:rPr>
          <w:rFonts w:ascii="Bookman Old Style" w:hAnsi="Bookman Old Style" w:cs="Arial"/>
          <w:bCs/>
          <w:lang w:val="es-ES_tradnl"/>
        </w:rPr>
        <w:t xml:space="preserve"> </w:t>
      </w:r>
      <w:r w:rsidR="00217844" w:rsidRPr="001954E9">
        <w:rPr>
          <w:rFonts w:ascii="Bookman Old Style" w:hAnsi="Bookman Old Style" w:cs="Arial"/>
          <w:bCs/>
          <w:lang w:val="es-ES_tradnl"/>
        </w:rPr>
        <w:t xml:space="preserve">esto </w:t>
      </w:r>
      <w:r w:rsidRPr="001954E9">
        <w:rPr>
          <w:rFonts w:ascii="Bookman Old Style" w:hAnsi="Bookman Old Style" w:cs="Arial"/>
          <w:bCs/>
          <w:lang w:val="es-ES_tradnl"/>
        </w:rPr>
        <w:t xml:space="preserve">por un periodo tarifario y el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 </w:t>
      </w:r>
    </w:p>
    <w:p w:rsidR="00A16BA2" w:rsidRPr="001954E9" w:rsidRDefault="00A16BA2" w:rsidP="00A16BA2">
      <w:pPr>
        <w:ind w:left="0" w:right="-93"/>
        <w:jc w:val="both"/>
        <w:rPr>
          <w:rFonts w:ascii="Bookman Old Style" w:hAnsi="Bookman Old Style" w:cs="Arial"/>
          <w:bCs/>
          <w:lang w:val="es-ES_tradnl"/>
        </w:rPr>
      </w:pPr>
    </w:p>
    <w:p w:rsidR="00A16BA2" w:rsidRPr="001954E9" w:rsidRDefault="00A16BA2" w:rsidP="00A16BA2">
      <w:pPr>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se procede a hacer un análisis de la solicitud tarifaria de la empresa de acuerdo con los elementos que hacen parte de la metodología tarifaria d</w:t>
      </w:r>
      <w:r w:rsidR="006200C5">
        <w:rPr>
          <w:rFonts w:ascii="Bookman Old Style" w:hAnsi="Bookman Old Style" w:cs="Arial"/>
          <w:bCs/>
          <w:lang w:val="es-ES_tradnl"/>
        </w:rPr>
        <w:t>e</w:t>
      </w:r>
      <w:r w:rsidRPr="001954E9">
        <w:rPr>
          <w:rFonts w:ascii="Bookman Old Style" w:hAnsi="Bookman Old Style" w:cs="Arial"/>
          <w:bCs/>
          <w:lang w:val="es-ES_tradnl"/>
        </w:rPr>
        <w:t xml:space="preserve"> la Resolución CREG 202 de 2013 a efectos de establecer el cargo </w:t>
      </w:r>
      <w:r w:rsidR="009C5B8E" w:rsidRPr="001954E9">
        <w:rPr>
          <w:rFonts w:ascii="Bookman Old Style" w:hAnsi="Bookman Old Style" w:cs="Arial"/>
          <w:bCs/>
          <w:lang w:val="es-ES_tradnl"/>
        </w:rPr>
        <w:t xml:space="preserve">para el mercado relevante al cual se ha </w:t>
      </w:r>
      <w:r w:rsidRPr="001954E9">
        <w:rPr>
          <w:rFonts w:ascii="Bookman Old Style" w:hAnsi="Bookman Old Style" w:cs="Arial"/>
          <w:bCs/>
          <w:lang w:val="es-ES_tradnl"/>
        </w:rPr>
        <w:t>solicitado</w:t>
      </w:r>
      <w:r w:rsidR="009C5B8E" w:rsidRPr="001954E9">
        <w:rPr>
          <w:rFonts w:ascii="Bookman Old Style" w:hAnsi="Bookman Old Style" w:cs="Arial"/>
          <w:bCs/>
          <w:lang w:val="es-ES_tradnl"/>
        </w:rPr>
        <w:t xml:space="preserve"> los cargos de distribución</w:t>
      </w:r>
      <w:r w:rsidRPr="001954E9">
        <w:rPr>
          <w:rFonts w:ascii="Bookman Old Style" w:hAnsi="Bookman Old Style" w:cs="Arial"/>
          <w:bCs/>
          <w:lang w:val="es-ES_tradnl"/>
        </w:rPr>
        <w:t>:</w:t>
      </w:r>
    </w:p>
    <w:p w:rsidR="00831A1E" w:rsidRPr="001954E9" w:rsidRDefault="00831A1E" w:rsidP="00F36B65">
      <w:pPr>
        <w:spacing w:after="200" w:line="276" w:lineRule="auto"/>
        <w:ind w:left="0" w:right="-93"/>
        <w:contextualSpacing/>
        <w:jc w:val="both"/>
        <w:rPr>
          <w:rFonts w:ascii="Bookman Old Style" w:eastAsia="Calibri" w:hAnsi="Bookman Old Style" w:cs="Arial"/>
          <w:b/>
          <w:lang w:val="es-CO" w:eastAsia="en-US"/>
        </w:rPr>
      </w:pPr>
    </w:p>
    <w:p w:rsidR="004D0BC0" w:rsidRPr="001954E9" w:rsidRDefault="00930B12" w:rsidP="00F36B65">
      <w:pPr>
        <w:spacing w:after="200" w:line="276" w:lineRule="auto"/>
        <w:ind w:left="0" w:right="-93"/>
        <w:contextualSpacing/>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4D0BC0" w:rsidRPr="001954E9">
        <w:rPr>
          <w:rFonts w:ascii="Bookman Old Style" w:eastAsia="Calibri" w:hAnsi="Bookman Old Style" w:cs="Arial"/>
          <w:b/>
          <w:lang w:val="es-CO" w:eastAsia="en-US"/>
        </w:rPr>
        <w:t xml:space="preserve">.1. </w:t>
      </w:r>
      <w:r w:rsidR="00AF577E" w:rsidRPr="001954E9">
        <w:rPr>
          <w:rFonts w:ascii="Bookman Old Style" w:eastAsia="Calibri" w:hAnsi="Bookman Old Style" w:cs="Arial"/>
          <w:b/>
          <w:lang w:val="es-CO" w:eastAsia="en-US"/>
        </w:rPr>
        <w:t xml:space="preserve">Nuevo </w:t>
      </w:r>
      <w:r w:rsidR="004D0BC0" w:rsidRPr="001954E9">
        <w:rPr>
          <w:rFonts w:ascii="Bookman Old Style" w:eastAsia="Calibri" w:hAnsi="Bookman Old Style" w:cs="Arial"/>
          <w:b/>
          <w:lang w:val="es-CO" w:eastAsia="en-US"/>
        </w:rPr>
        <w:t xml:space="preserve">Mercado relevante de distribución para el siguiente periodo </w:t>
      </w:r>
      <w:r w:rsidR="00956824" w:rsidRPr="001954E9">
        <w:rPr>
          <w:rFonts w:ascii="Bookman Old Style" w:eastAsia="Calibri" w:hAnsi="Bookman Old Style" w:cs="Arial"/>
          <w:b/>
          <w:lang w:val="es-CO" w:eastAsia="en-US"/>
        </w:rPr>
        <w:t>tarifario</w:t>
      </w:r>
    </w:p>
    <w:p w:rsidR="00847443" w:rsidRPr="001954E9" w:rsidRDefault="00847443" w:rsidP="00F36B65">
      <w:pPr>
        <w:spacing w:after="200" w:line="276" w:lineRule="auto"/>
        <w:ind w:left="0" w:right="-93"/>
        <w:contextualSpacing/>
        <w:jc w:val="both"/>
        <w:rPr>
          <w:rFonts w:ascii="Bookman Old Style" w:eastAsia="Calibri" w:hAnsi="Bookman Old Style" w:cs="Arial"/>
          <w:b/>
          <w:lang w:val="es-CO" w:eastAsia="en-US"/>
        </w:rPr>
      </w:pPr>
    </w:p>
    <w:p w:rsidR="00956824" w:rsidRPr="001954E9" w:rsidRDefault="007C2022" w:rsidP="00956824">
      <w:pPr>
        <w:spacing w:after="200"/>
        <w:ind w:left="0"/>
        <w:jc w:val="both"/>
        <w:rPr>
          <w:rFonts w:ascii="Bookman Old Style" w:hAnsi="Bookman Old Style"/>
          <w:bCs/>
          <w:lang w:val="es-ES_tradnl"/>
        </w:rPr>
      </w:pPr>
      <w:r w:rsidRPr="001954E9">
        <w:rPr>
          <w:rFonts w:ascii="Bookman Old Style" w:eastAsia="Calibri" w:hAnsi="Bookman Old Style" w:cs="Arial"/>
          <w:lang w:val="es-CO" w:eastAsia="en-US"/>
        </w:rPr>
        <w:t xml:space="preserve">La Resolución CREG 202 de 2013 determina </w:t>
      </w:r>
      <w:r w:rsidR="00AF577E" w:rsidRPr="001954E9">
        <w:rPr>
          <w:rFonts w:ascii="Bookman Old Style" w:eastAsia="Calibri" w:hAnsi="Bookman Old Style" w:cs="Arial"/>
          <w:lang w:val="es-CO" w:eastAsia="en-US"/>
        </w:rPr>
        <w:t xml:space="preserve">como criterios para la conformación de </w:t>
      </w:r>
      <w:r w:rsidR="00956824" w:rsidRPr="001954E9">
        <w:rPr>
          <w:rFonts w:ascii="Bookman Old Style" w:eastAsia="Calibri" w:hAnsi="Bookman Old Style" w:cs="Arial"/>
          <w:lang w:val="es-CO" w:eastAsia="en-US"/>
        </w:rPr>
        <w:t xml:space="preserve">Mercado Relevante de Distribución para el </w:t>
      </w:r>
      <w:r w:rsidR="0073055C" w:rsidRPr="001954E9">
        <w:rPr>
          <w:rFonts w:ascii="Bookman Old Style" w:eastAsia="Calibri" w:hAnsi="Bookman Old Style" w:cs="Arial"/>
          <w:lang w:val="es-CO" w:eastAsia="en-US"/>
        </w:rPr>
        <w:t>siguiente período tarifario</w:t>
      </w:r>
      <w:r w:rsidR="00AF577E" w:rsidRPr="001954E9">
        <w:rPr>
          <w:rFonts w:ascii="Bookman Old Style" w:eastAsia="Calibri" w:hAnsi="Bookman Old Style" w:cs="Arial"/>
          <w:lang w:val="es-CO" w:eastAsia="en-US"/>
        </w:rPr>
        <w:t>, la creación de Mercados de Distribución</w:t>
      </w:r>
      <w:r w:rsidR="00956824" w:rsidRPr="001954E9">
        <w:rPr>
          <w:rFonts w:ascii="Bookman Old Style" w:eastAsia="Calibri" w:hAnsi="Bookman Old Style" w:cs="Arial"/>
          <w:lang w:val="es-CO" w:eastAsia="en-US"/>
        </w:rPr>
        <w:t xml:space="preserve">. </w:t>
      </w:r>
    </w:p>
    <w:p w:rsidR="00867644" w:rsidRPr="00DC45BB" w:rsidRDefault="00596E6F" w:rsidP="00DC45BB">
      <w:pPr>
        <w:ind w:left="0"/>
        <w:jc w:val="both"/>
        <w:rPr>
          <w:rFonts w:ascii="Bookman Old Style" w:hAnsi="Bookman Old Style"/>
          <w:lang w:val="es-ES_tradnl"/>
        </w:rPr>
      </w:pPr>
      <w:r w:rsidRPr="000B65DE">
        <w:rPr>
          <w:rFonts w:ascii="Bookman Old Style" w:hAnsi="Bookman Old Style"/>
          <w:lang w:val="es-ES_tradnl"/>
        </w:rPr>
        <w:t>E</w:t>
      </w:r>
      <w:r>
        <w:rPr>
          <w:rFonts w:ascii="Bookman Old Style" w:hAnsi="Bookman Old Style"/>
          <w:lang w:val="es-ES_tradnl"/>
        </w:rPr>
        <w:t>n este sentido e</w:t>
      </w:r>
      <w:r w:rsidRPr="000B65DE">
        <w:rPr>
          <w:rFonts w:ascii="Bookman Old Style" w:hAnsi="Bookman Old Style"/>
          <w:lang w:val="es-ES_tradnl"/>
        </w:rPr>
        <w:t xml:space="preserve">l Mercado Relevante de Distribución para el siguiente período tarifario </w:t>
      </w:r>
      <w:r>
        <w:rPr>
          <w:rFonts w:ascii="Bookman Old Style" w:hAnsi="Bookman Old Style"/>
          <w:lang w:val="es-ES_tradnl"/>
        </w:rPr>
        <w:t xml:space="preserve">solicitado por la empresa </w:t>
      </w:r>
      <w:r w:rsidR="001B0F48" w:rsidRPr="000F2F87">
        <w:rPr>
          <w:rFonts w:ascii="Bookman Old Style" w:hAnsi="Bookman Old Style"/>
          <w:lang w:val="es-ES_tradnl"/>
        </w:rPr>
        <w:t>INGENIERIA Y SERVICIOS S.A. E.S.P.</w:t>
      </w:r>
      <w:r w:rsidRPr="00DF6411">
        <w:rPr>
          <w:rFonts w:ascii="Bookman Old Style" w:hAnsi="Bookman Old Style"/>
          <w:lang w:val="es-ES_tradnl"/>
        </w:rPr>
        <w:t xml:space="preserve"> </w:t>
      </w:r>
      <w:r w:rsidRPr="0063038B">
        <w:rPr>
          <w:rFonts w:ascii="Bookman Old Style" w:hAnsi="Bookman Old Style"/>
          <w:lang w:val="es-ES_tradnl"/>
        </w:rPr>
        <w:t>corresponde a un mercado</w:t>
      </w:r>
      <w:r>
        <w:rPr>
          <w:rFonts w:ascii="Bookman Old Style" w:hAnsi="Bookman Old Style"/>
          <w:lang w:val="es-ES_tradnl"/>
        </w:rPr>
        <w:t xml:space="preserve"> de distribución</w:t>
      </w:r>
      <w:r w:rsidR="006D63C8">
        <w:rPr>
          <w:rFonts w:ascii="Bookman Old Style" w:hAnsi="Bookman Old Style"/>
          <w:lang w:val="es-ES_tradnl"/>
        </w:rPr>
        <w:t xml:space="preserve">, </w:t>
      </w:r>
      <w:r>
        <w:rPr>
          <w:rFonts w:ascii="Bookman Old Style" w:hAnsi="Bookman Old Style"/>
          <w:lang w:val="es-ES_tradnl"/>
        </w:rPr>
        <w:t xml:space="preserve">constituido por </w:t>
      </w:r>
      <w:r w:rsidR="006D63C8">
        <w:rPr>
          <w:rFonts w:ascii="Bookman Old Style" w:hAnsi="Bookman Old Style"/>
          <w:lang w:val="es-ES_tradnl"/>
        </w:rPr>
        <w:t>los</w:t>
      </w:r>
      <w:r>
        <w:rPr>
          <w:rFonts w:ascii="Bookman Old Style" w:hAnsi="Bookman Old Style"/>
          <w:lang w:val="es-ES_tradnl"/>
        </w:rPr>
        <w:t xml:space="preserve"> siguiente</w:t>
      </w:r>
      <w:r w:rsidR="006D63C8">
        <w:rPr>
          <w:rFonts w:ascii="Bookman Old Style" w:hAnsi="Bookman Old Style"/>
          <w:lang w:val="es-ES_tradnl"/>
        </w:rPr>
        <w:t>s</w:t>
      </w:r>
      <w:r>
        <w:rPr>
          <w:rFonts w:ascii="Bookman Old Style" w:hAnsi="Bookman Old Style"/>
          <w:lang w:val="es-ES_tradnl"/>
        </w:rPr>
        <w:t xml:space="preserve"> </w:t>
      </w:r>
      <w:r w:rsidR="008F22C2">
        <w:rPr>
          <w:rFonts w:ascii="Bookman Old Style" w:hAnsi="Bookman Old Style"/>
          <w:lang w:val="es-ES_tradnl"/>
        </w:rPr>
        <w:t>centros poblados</w:t>
      </w:r>
      <w:r w:rsidR="00DC45BB">
        <w:rPr>
          <w:rFonts w:ascii="Bookman Old Style" w:hAnsi="Bookman Old Style"/>
          <w:lang w:val="es-ES_tradnl"/>
        </w:rPr>
        <w:t>:</w:t>
      </w:r>
    </w:p>
    <w:p w:rsidR="00867644" w:rsidRDefault="00867644" w:rsidP="00F417E3">
      <w:pPr>
        <w:widowControl w:val="0"/>
        <w:adjustRightInd w:val="0"/>
        <w:ind w:left="0" w:right="20"/>
        <w:jc w:val="both"/>
        <w:rPr>
          <w:rFonts w:ascii="Bookman Old Style" w:hAnsi="Bookman Old Style" w:cs="Arial"/>
          <w:b/>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2235"/>
        <w:gridCol w:w="2126"/>
        <w:gridCol w:w="1905"/>
      </w:tblGrid>
      <w:tr w:rsidR="00DC45BB" w:rsidRPr="00C52112" w:rsidTr="00A77587">
        <w:trPr>
          <w:jc w:val="center"/>
        </w:trPr>
        <w:tc>
          <w:tcPr>
            <w:tcW w:w="2722" w:type="dxa"/>
            <w:shd w:val="clear" w:color="auto" w:fill="D9D9D9"/>
          </w:tcPr>
          <w:p w:rsidR="00DC45BB" w:rsidRPr="00E35625" w:rsidRDefault="00DC45BB" w:rsidP="00A77587">
            <w:pPr>
              <w:keepNext/>
              <w:ind w:left="-98"/>
              <w:jc w:val="center"/>
              <w:rPr>
                <w:rFonts w:ascii="Bookman Old Style" w:hAnsi="Bookman Old Style" w:cs="Arial"/>
                <w:b/>
                <w:sz w:val="22"/>
              </w:rPr>
            </w:pPr>
            <w:r>
              <w:rPr>
                <w:rFonts w:ascii="Bookman Old Style" w:hAnsi="Bookman Old Style" w:cs="Arial"/>
                <w:b/>
                <w:sz w:val="22"/>
              </w:rPr>
              <w:t>Nombre de los centros poblados</w:t>
            </w:r>
          </w:p>
        </w:tc>
        <w:tc>
          <w:tcPr>
            <w:tcW w:w="2235" w:type="dxa"/>
            <w:shd w:val="clear" w:color="auto" w:fill="D9D9D9"/>
            <w:vAlign w:val="center"/>
          </w:tcPr>
          <w:p w:rsidR="00DC45BB" w:rsidRPr="00E35625" w:rsidRDefault="00DC45BB" w:rsidP="00A77587">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126" w:type="dxa"/>
            <w:shd w:val="clear" w:color="auto" w:fill="D9D9D9"/>
            <w:vAlign w:val="center"/>
          </w:tcPr>
          <w:p w:rsidR="00DC45BB" w:rsidRPr="00E35625" w:rsidRDefault="00DC45BB" w:rsidP="00A77587">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1905" w:type="dxa"/>
            <w:shd w:val="clear" w:color="auto" w:fill="D9D9D9"/>
            <w:vAlign w:val="center"/>
          </w:tcPr>
          <w:p w:rsidR="00DC45BB" w:rsidRPr="00E35625" w:rsidRDefault="00DC45BB" w:rsidP="00A77587">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DC45BB" w:rsidRPr="00C52112" w:rsidTr="00A77587">
        <w:trPr>
          <w:jc w:val="center"/>
        </w:trPr>
        <w:tc>
          <w:tcPr>
            <w:tcW w:w="2722" w:type="dxa"/>
          </w:tcPr>
          <w:p w:rsidR="00DC45BB" w:rsidRPr="00E35625" w:rsidRDefault="00DC45BB" w:rsidP="00A77587">
            <w:pPr>
              <w:ind w:left="33" w:right="-1"/>
              <w:rPr>
                <w:rFonts w:ascii="Bookman Old Style" w:hAnsi="Bookman Old Style" w:cs="Arial"/>
                <w:sz w:val="22"/>
              </w:rPr>
            </w:pPr>
            <w:r>
              <w:rPr>
                <w:rFonts w:ascii="Bookman Old Style" w:hAnsi="Bookman Old Style" w:cs="Arial"/>
                <w:sz w:val="22"/>
              </w:rPr>
              <w:t>Taravita</w:t>
            </w:r>
          </w:p>
        </w:tc>
        <w:tc>
          <w:tcPr>
            <w:tcW w:w="2235" w:type="dxa"/>
            <w:shd w:val="clear" w:color="auto" w:fill="auto"/>
            <w:vAlign w:val="center"/>
          </w:tcPr>
          <w:p w:rsidR="00DC45BB" w:rsidRPr="00E35625" w:rsidRDefault="00DC45BB" w:rsidP="00A77587">
            <w:pPr>
              <w:ind w:left="-98" w:right="-1"/>
              <w:jc w:val="center"/>
              <w:rPr>
                <w:rFonts w:ascii="Bookman Old Style" w:hAnsi="Bookman Old Style" w:cs="Arial"/>
                <w:sz w:val="22"/>
              </w:rPr>
            </w:pPr>
            <w:r>
              <w:rPr>
                <w:rFonts w:ascii="Bookman Old Style" w:hAnsi="Bookman Old Style" w:cs="Arial"/>
                <w:sz w:val="22"/>
              </w:rPr>
              <w:t>25288</w:t>
            </w:r>
          </w:p>
        </w:tc>
        <w:tc>
          <w:tcPr>
            <w:tcW w:w="2126" w:type="dxa"/>
            <w:shd w:val="clear" w:color="auto" w:fill="auto"/>
            <w:vAlign w:val="center"/>
          </w:tcPr>
          <w:p w:rsidR="00DC45BB" w:rsidRPr="00E35625" w:rsidRDefault="00DC45BB" w:rsidP="00A77587">
            <w:pPr>
              <w:ind w:left="-98" w:right="-1"/>
              <w:jc w:val="center"/>
              <w:rPr>
                <w:rFonts w:ascii="Bookman Old Style" w:hAnsi="Bookman Old Style" w:cs="Arial"/>
                <w:sz w:val="22"/>
              </w:rPr>
            </w:pPr>
            <w:r>
              <w:rPr>
                <w:rFonts w:ascii="Bookman Old Style" w:hAnsi="Bookman Old Style" w:cs="Arial"/>
                <w:sz w:val="22"/>
              </w:rPr>
              <w:t>Fúquene</w:t>
            </w:r>
          </w:p>
        </w:tc>
        <w:tc>
          <w:tcPr>
            <w:tcW w:w="1905" w:type="dxa"/>
            <w:vMerge w:val="restart"/>
            <w:shd w:val="clear" w:color="auto" w:fill="auto"/>
            <w:vAlign w:val="center"/>
          </w:tcPr>
          <w:p w:rsidR="00DC45BB" w:rsidRPr="00E35625" w:rsidRDefault="00DC45BB" w:rsidP="00A77587">
            <w:pPr>
              <w:ind w:left="-98" w:right="-1"/>
              <w:jc w:val="center"/>
              <w:rPr>
                <w:rFonts w:ascii="Bookman Old Style" w:hAnsi="Bookman Old Style" w:cs="Arial"/>
                <w:sz w:val="22"/>
              </w:rPr>
            </w:pPr>
            <w:r>
              <w:rPr>
                <w:rFonts w:ascii="Bookman Old Style" w:hAnsi="Bookman Old Style" w:cs="Arial"/>
                <w:sz w:val="22"/>
              </w:rPr>
              <w:t>Cundinamarca</w:t>
            </w:r>
          </w:p>
        </w:tc>
      </w:tr>
      <w:tr w:rsidR="00DC45BB" w:rsidRPr="00C52112" w:rsidTr="00A77587">
        <w:trPr>
          <w:jc w:val="center"/>
        </w:trPr>
        <w:tc>
          <w:tcPr>
            <w:tcW w:w="2722" w:type="dxa"/>
          </w:tcPr>
          <w:p w:rsidR="00DC45BB" w:rsidRPr="00E35625" w:rsidRDefault="00DC45BB" w:rsidP="00A77587">
            <w:pPr>
              <w:ind w:left="33" w:right="-1"/>
              <w:rPr>
                <w:rFonts w:ascii="Bookman Old Style" w:hAnsi="Bookman Old Style" w:cs="Arial"/>
                <w:sz w:val="22"/>
              </w:rPr>
            </w:pPr>
            <w:r>
              <w:rPr>
                <w:rFonts w:ascii="Bookman Old Style" w:hAnsi="Bookman Old Style" w:cs="Arial"/>
                <w:sz w:val="22"/>
              </w:rPr>
              <w:t>Ticha</w:t>
            </w:r>
          </w:p>
        </w:tc>
        <w:tc>
          <w:tcPr>
            <w:tcW w:w="2235" w:type="dxa"/>
            <w:vMerge w:val="restart"/>
            <w:shd w:val="clear" w:color="auto" w:fill="auto"/>
            <w:vAlign w:val="center"/>
          </w:tcPr>
          <w:p w:rsidR="00DC45BB" w:rsidRPr="00E35625" w:rsidRDefault="00DC45BB" w:rsidP="00A77587">
            <w:pPr>
              <w:ind w:left="-98" w:right="-1"/>
              <w:jc w:val="center"/>
              <w:rPr>
                <w:rFonts w:ascii="Bookman Old Style" w:hAnsi="Bookman Old Style" w:cs="Arial"/>
                <w:sz w:val="22"/>
              </w:rPr>
            </w:pPr>
            <w:r>
              <w:rPr>
                <w:rFonts w:ascii="Bookman Old Style" w:hAnsi="Bookman Old Style" w:cs="Arial"/>
                <w:sz w:val="22"/>
              </w:rPr>
              <w:t>25317</w:t>
            </w:r>
          </w:p>
        </w:tc>
        <w:tc>
          <w:tcPr>
            <w:tcW w:w="2126" w:type="dxa"/>
            <w:vMerge w:val="restart"/>
            <w:shd w:val="clear" w:color="auto" w:fill="auto"/>
            <w:vAlign w:val="center"/>
          </w:tcPr>
          <w:p w:rsidR="00DC45BB" w:rsidRPr="00E35625" w:rsidRDefault="00DC45BB" w:rsidP="00A77587">
            <w:pPr>
              <w:ind w:left="-98" w:right="-1"/>
              <w:jc w:val="center"/>
              <w:rPr>
                <w:rFonts w:ascii="Bookman Old Style" w:hAnsi="Bookman Old Style" w:cs="Arial"/>
                <w:sz w:val="22"/>
              </w:rPr>
            </w:pPr>
            <w:r>
              <w:rPr>
                <w:rFonts w:ascii="Bookman Old Style" w:hAnsi="Bookman Old Style" w:cs="Arial"/>
                <w:sz w:val="22"/>
              </w:rPr>
              <w:t>Guachetá</w:t>
            </w:r>
          </w:p>
        </w:tc>
        <w:tc>
          <w:tcPr>
            <w:tcW w:w="1905" w:type="dxa"/>
            <w:vMerge/>
            <w:shd w:val="clear" w:color="auto" w:fill="auto"/>
          </w:tcPr>
          <w:p w:rsidR="00DC45BB" w:rsidRPr="00E35625" w:rsidRDefault="00DC45BB" w:rsidP="00A77587">
            <w:pPr>
              <w:ind w:left="-98" w:right="-1"/>
              <w:jc w:val="center"/>
              <w:rPr>
                <w:rFonts w:ascii="Bookman Old Style" w:hAnsi="Bookman Old Style" w:cs="Arial"/>
                <w:sz w:val="22"/>
              </w:rPr>
            </w:pPr>
          </w:p>
        </w:tc>
      </w:tr>
      <w:tr w:rsidR="00DC45BB" w:rsidRPr="00C52112" w:rsidTr="00A77587">
        <w:trPr>
          <w:jc w:val="center"/>
        </w:trPr>
        <w:tc>
          <w:tcPr>
            <w:tcW w:w="2722" w:type="dxa"/>
          </w:tcPr>
          <w:p w:rsidR="00DC45BB" w:rsidRDefault="00DC45BB" w:rsidP="00A77587">
            <w:pPr>
              <w:ind w:left="33" w:right="-1"/>
              <w:rPr>
                <w:rFonts w:ascii="Bookman Old Style" w:hAnsi="Bookman Old Style" w:cs="Arial"/>
                <w:sz w:val="22"/>
              </w:rPr>
            </w:pPr>
            <w:r>
              <w:rPr>
                <w:rFonts w:ascii="Bookman Old Style" w:hAnsi="Bookman Old Style" w:cs="Arial"/>
                <w:sz w:val="22"/>
              </w:rPr>
              <w:t>Nengua</w:t>
            </w:r>
          </w:p>
        </w:tc>
        <w:tc>
          <w:tcPr>
            <w:tcW w:w="2235" w:type="dxa"/>
            <w:vMerge/>
            <w:shd w:val="clear" w:color="auto" w:fill="auto"/>
          </w:tcPr>
          <w:p w:rsidR="00DC45BB" w:rsidRPr="00E35625" w:rsidRDefault="00DC45BB" w:rsidP="00A77587">
            <w:pPr>
              <w:ind w:left="-98" w:right="-1"/>
              <w:jc w:val="center"/>
              <w:rPr>
                <w:rFonts w:ascii="Bookman Old Style" w:hAnsi="Bookman Old Style" w:cs="Arial"/>
                <w:sz w:val="22"/>
              </w:rPr>
            </w:pPr>
          </w:p>
        </w:tc>
        <w:tc>
          <w:tcPr>
            <w:tcW w:w="2126" w:type="dxa"/>
            <w:vMerge/>
            <w:shd w:val="clear" w:color="auto" w:fill="auto"/>
          </w:tcPr>
          <w:p w:rsidR="00DC45BB" w:rsidRPr="00E35625" w:rsidRDefault="00DC45BB" w:rsidP="00A77587">
            <w:pPr>
              <w:ind w:left="-98" w:right="-1"/>
              <w:jc w:val="center"/>
              <w:rPr>
                <w:rFonts w:ascii="Bookman Old Style" w:hAnsi="Bookman Old Style" w:cs="Arial"/>
                <w:sz w:val="22"/>
              </w:rPr>
            </w:pPr>
          </w:p>
        </w:tc>
        <w:tc>
          <w:tcPr>
            <w:tcW w:w="1905" w:type="dxa"/>
            <w:vMerge/>
            <w:shd w:val="clear" w:color="auto" w:fill="auto"/>
          </w:tcPr>
          <w:p w:rsidR="00DC45BB" w:rsidRPr="00E35625" w:rsidRDefault="00DC45BB" w:rsidP="00A77587">
            <w:pPr>
              <w:ind w:left="-98" w:right="-1"/>
              <w:jc w:val="center"/>
              <w:rPr>
                <w:rFonts w:ascii="Bookman Old Style" w:hAnsi="Bookman Old Style" w:cs="Arial"/>
                <w:sz w:val="22"/>
              </w:rPr>
            </w:pPr>
          </w:p>
        </w:tc>
      </w:tr>
      <w:tr w:rsidR="00DC45BB" w:rsidRPr="00C52112" w:rsidTr="00A77587">
        <w:trPr>
          <w:jc w:val="center"/>
        </w:trPr>
        <w:tc>
          <w:tcPr>
            <w:tcW w:w="2722" w:type="dxa"/>
          </w:tcPr>
          <w:p w:rsidR="00DC45BB" w:rsidRDefault="00DC45BB" w:rsidP="00A77587">
            <w:pPr>
              <w:ind w:left="33" w:right="-1"/>
              <w:rPr>
                <w:rFonts w:ascii="Bookman Old Style" w:hAnsi="Bookman Old Style" w:cs="Arial"/>
                <w:sz w:val="22"/>
              </w:rPr>
            </w:pPr>
            <w:r>
              <w:rPr>
                <w:rFonts w:ascii="Bookman Old Style" w:hAnsi="Bookman Old Style" w:cs="Arial"/>
                <w:sz w:val="22"/>
              </w:rPr>
              <w:t>Miña</w:t>
            </w:r>
          </w:p>
        </w:tc>
        <w:tc>
          <w:tcPr>
            <w:tcW w:w="2235" w:type="dxa"/>
            <w:vMerge/>
            <w:shd w:val="clear" w:color="auto" w:fill="auto"/>
          </w:tcPr>
          <w:p w:rsidR="00DC45BB" w:rsidRPr="00E35625" w:rsidRDefault="00DC45BB" w:rsidP="00A77587">
            <w:pPr>
              <w:ind w:left="-98" w:right="-1"/>
              <w:jc w:val="center"/>
              <w:rPr>
                <w:rFonts w:ascii="Bookman Old Style" w:hAnsi="Bookman Old Style" w:cs="Arial"/>
                <w:sz w:val="22"/>
              </w:rPr>
            </w:pPr>
          </w:p>
        </w:tc>
        <w:tc>
          <w:tcPr>
            <w:tcW w:w="2126" w:type="dxa"/>
            <w:vMerge/>
            <w:shd w:val="clear" w:color="auto" w:fill="auto"/>
          </w:tcPr>
          <w:p w:rsidR="00DC45BB" w:rsidRPr="00E35625" w:rsidRDefault="00DC45BB" w:rsidP="00A77587">
            <w:pPr>
              <w:ind w:left="-98" w:right="-1"/>
              <w:jc w:val="center"/>
              <w:rPr>
                <w:rFonts w:ascii="Bookman Old Style" w:hAnsi="Bookman Old Style" w:cs="Arial"/>
                <w:sz w:val="22"/>
              </w:rPr>
            </w:pPr>
          </w:p>
        </w:tc>
        <w:tc>
          <w:tcPr>
            <w:tcW w:w="1905" w:type="dxa"/>
            <w:vMerge/>
            <w:shd w:val="clear" w:color="auto" w:fill="auto"/>
          </w:tcPr>
          <w:p w:rsidR="00DC45BB" w:rsidRPr="00E35625" w:rsidRDefault="00DC45BB" w:rsidP="00A77587">
            <w:pPr>
              <w:ind w:left="-98" w:right="-1"/>
              <w:jc w:val="center"/>
              <w:rPr>
                <w:rFonts w:ascii="Bookman Old Style" w:hAnsi="Bookman Old Style" w:cs="Arial"/>
                <w:sz w:val="22"/>
              </w:rPr>
            </w:pPr>
          </w:p>
        </w:tc>
      </w:tr>
    </w:tbl>
    <w:p w:rsidR="008F22C2" w:rsidRDefault="008F22C2" w:rsidP="00F417E3">
      <w:pPr>
        <w:widowControl w:val="0"/>
        <w:adjustRightInd w:val="0"/>
        <w:ind w:left="0" w:right="20"/>
        <w:jc w:val="both"/>
        <w:rPr>
          <w:rFonts w:ascii="Bookman Old Style" w:hAnsi="Bookman Old Style" w:cs="Arial"/>
          <w:b/>
          <w:sz w:val="22"/>
        </w:rPr>
      </w:pPr>
    </w:p>
    <w:p w:rsidR="00886F37" w:rsidRPr="001954E9" w:rsidRDefault="00930B12" w:rsidP="00886F37">
      <w:pPr>
        <w:ind w:left="0" w:right="-93"/>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.2.  Gastos de administración, operación y mantenimiento - AOM</w:t>
      </w:r>
    </w:p>
    <w:p w:rsidR="00886F37" w:rsidRPr="001954E9" w:rsidRDefault="00886F37" w:rsidP="00886F37">
      <w:pPr>
        <w:ind w:left="0" w:right="-93"/>
        <w:jc w:val="both"/>
        <w:rPr>
          <w:rFonts w:ascii="Bookman Old Style" w:eastAsia="Calibri" w:hAnsi="Bookman Old Style" w:cs="Arial"/>
          <w:lang w:val="es-CO" w:eastAsia="en-US"/>
        </w:rPr>
      </w:pPr>
    </w:p>
    <w:p w:rsidR="00886F37" w:rsidRPr="001954E9" w:rsidRDefault="00886F37" w:rsidP="00B565E2">
      <w:pPr>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Dentro de la metodología de la Resolución CREG 202 de 2013, a efectos de determinar el valor eficiente de los gastos de AOM, en el numeral 9.7 se estableció que</w:t>
      </w:r>
      <w:r w:rsidRPr="001954E9">
        <w:rPr>
          <w:rFonts w:ascii="Bookman Old Style" w:eastAsia="Calibri" w:hAnsi="Bookman Old Style"/>
          <w:lang w:val="es-CO" w:eastAsia="en-US"/>
        </w:rPr>
        <w:t xml:space="preserve"> “</w:t>
      </w:r>
      <w:r w:rsidRPr="001954E9">
        <w:rPr>
          <w:rFonts w:ascii="Bookman Old Style" w:eastAsia="Calibri" w:hAnsi="Bookman Old Style" w:cs="Arial"/>
          <w:lang w:val="es-CO" w:eastAsia="en-US"/>
        </w:rPr>
        <w:t xml:space="preserve">los gastos de administración, operación y mantenimiento (AOM) de cada mercado se determinarán con base en la metodología Frontera Estocástica que se describe en el </w:t>
      </w:r>
      <w:r w:rsidR="00E13617" w:rsidRPr="001954E9">
        <w:rPr>
          <w:rFonts w:ascii="Bookman Old Style" w:eastAsia="Calibri" w:hAnsi="Bookman Old Style" w:cs="Arial"/>
          <w:lang w:val="es-CO" w:eastAsia="en-US"/>
        </w:rPr>
        <w:t xml:space="preserve">Anexo </w:t>
      </w:r>
      <w:r w:rsidRPr="001954E9">
        <w:rPr>
          <w:rFonts w:ascii="Bookman Old Style" w:eastAsia="Calibri" w:hAnsi="Bookman Old Style" w:cs="Arial"/>
          <w:lang w:val="es-CO" w:eastAsia="en-US"/>
        </w:rPr>
        <w:t>10 de la presente resolución”</w:t>
      </w:r>
      <w:r w:rsidR="00E13617" w:rsidRPr="001954E9">
        <w:rPr>
          <w:rFonts w:ascii="Bookman Old Style" w:eastAsia="Calibri" w:hAnsi="Bookman Old Style" w:cs="Arial"/>
          <w:lang w:val="es-CO" w:eastAsia="en-US"/>
        </w:rPr>
        <w:t>. En dicho Anexo</w:t>
      </w:r>
      <w:r w:rsidRPr="001954E9">
        <w:rPr>
          <w:rFonts w:ascii="Bookman Old Style" w:eastAsia="Calibri" w:hAnsi="Bookman Old Style" w:cs="Arial"/>
          <w:lang w:val="es-CO" w:eastAsia="en-US"/>
        </w:rPr>
        <w:t xml:space="preserve"> se dispuso que “para establecer los gastos eficientes de Administración, Operación y Mantenimiento que se remunerarán en los </w:t>
      </w:r>
      <w:r w:rsidR="00E13617" w:rsidRPr="001954E9">
        <w:rPr>
          <w:rFonts w:ascii="Bookman Old Style" w:eastAsia="Calibri" w:hAnsi="Bookman Old Style" w:cs="Arial"/>
          <w:lang w:val="es-CO" w:eastAsia="en-US"/>
        </w:rPr>
        <w:t xml:space="preserve">cargos de distribución </w:t>
      </w:r>
      <w:r w:rsidRPr="001954E9">
        <w:rPr>
          <w:rFonts w:ascii="Bookman Old Style" w:eastAsia="Calibri" w:hAnsi="Bookman Old Style" w:cs="Arial"/>
          <w:lang w:val="es-CO" w:eastAsia="en-US"/>
        </w:rPr>
        <w:t xml:space="preserve">de gas combustible, se adoptará la metodología de </w:t>
      </w:r>
      <w:r w:rsidR="00E13617" w:rsidRPr="001954E9">
        <w:rPr>
          <w:rFonts w:ascii="Bookman Old Style" w:eastAsia="Calibri" w:hAnsi="Bookman Old Style" w:cs="Arial"/>
          <w:lang w:val="es-CO" w:eastAsia="en-US"/>
        </w:rPr>
        <w:t>frontera estocástica de costos</w:t>
      </w:r>
      <w:r w:rsidRPr="001954E9">
        <w:rPr>
          <w:rFonts w:ascii="Bookman Old Style" w:eastAsia="Calibri" w:hAnsi="Bookman Old Style" w:cs="Arial"/>
          <w:lang w:val="es-CO" w:eastAsia="en-US"/>
        </w:rPr>
        <w:t xml:space="preserve"> y se aplicará de acuerdo con la conformación de los </w:t>
      </w:r>
      <w:r w:rsidR="00E13617" w:rsidRPr="001954E9">
        <w:rPr>
          <w:rFonts w:ascii="Bookman Old Style" w:eastAsia="Calibri" w:hAnsi="Bookman Old Style" w:cs="Arial"/>
          <w:lang w:val="es-CO" w:eastAsia="en-US"/>
        </w:rPr>
        <w:t xml:space="preserve">mercado(s) relevante(s) </w:t>
      </w:r>
      <w:r w:rsidRPr="001954E9">
        <w:rPr>
          <w:rFonts w:ascii="Bookman Old Style" w:eastAsia="Calibri" w:hAnsi="Bookman Old Style" w:cs="Arial"/>
          <w:lang w:val="es-CO" w:eastAsia="en-US"/>
        </w:rPr>
        <w:t xml:space="preserve">de </w:t>
      </w:r>
      <w:r w:rsidR="00E13617" w:rsidRPr="001954E9">
        <w:rPr>
          <w:rFonts w:ascii="Bookman Old Style" w:eastAsia="Calibri" w:hAnsi="Bookman Old Style" w:cs="Arial"/>
          <w:lang w:val="es-CO" w:eastAsia="en-US"/>
        </w:rPr>
        <w:t xml:space="preserve">distribución </w:t>
      </w:r>
      <w:r w:rsidRPr="001954E9">
        <w:rPr>
          <w:rFonts w:ascii="Bookman Old Style" w:eastAsia="Calibri" w:hAnsi="Bookman Old Style" w:cs="Arial"/>
          <w:lang w:val="es-CO" w:eastAsia="en-US"/>
        </w:rPr>
        <w:t xml:space="preserve">para el </w:t>
      </w:r>
      <w:r w:rsidR="00E13617" w:rsidRPr="001954E9">
        <w:rPr>
          <w:rFonts w:ascii="Bookman Old Style" w:eastAsia="Calibri" w:hAnsi="Bookman Old Style" w:cs="Arial"/>
          <w:lang w:val="es-CO" w:eastAsia="en-US"/>
        </w:rPr>
        <w:t>siguiente periodo tarifario</w:t>
      </w:r>
      <w:r w:rsidRPr="001954E9">
        <w:rPr>
          <w:rFonts w:ascii="Bookman Old Style" w:eastAsia="Calibri" w:hAnsi="Bookman Old Style" w:cs="Arial"/>
          <w:lang w:val="es-CO" w:eastAsia="en-US"/>
        </w:rPr>
        <w:t>” para lo cual en los numerales 4. 5 y 6 de dicho anexo 10 esta Comisión dispuso que:</w:t>
      </w:r>
    </w:p>
    <w:p w:rsidR="00886F37" w:rsidRPr="001954E9" w:rsidRDefault="00886F37" w:rsidP="00886F37">
      <w:pPr>
        <w:ind w:left="0" w:right="-93"/>
        <w:jc w:val="both"/>
        <w:rPr>
          <w:rFonts w:ascii="Bookman Old Style" w:eastAsia="Calibri" w:hAnsi="Bookman Old Style" w:cs="Arial"/>
          <w:sz w:val="22"/>
          <w:szCs w:val="22"/>
          <w:lang w:val="es-CO" w:eastAsia="en-US"/>
        </w:rPr>
      </w:pPr>
    </w:p>
    <w:p w:rsidR="00886F37" w:rsidRPr="00CB2D0A" w:rsidRDefault="00886F37" w:rsidP="00886F37">
      <w:pPr>
        <w:ind w:left="284" w:right="284"/>
        <w:jc w:val="both"/>
        <w:rPr>
          <w:rFonts w:ascii="Bookman Old Style" w:eastAsia="Calibri" w:hAnsi="Bookman Old Style" w:cs="Arial"/>
          <w:i/>
          <w:sz w:val="22"/>
          <w:szCs w:val="22"/>
          <w:lang w:val="es-CO" w:eastAsia="en-US"/>
        </w:rPr>
      </w:pPr>
      <w:r w:rsidRPr="00CB2D0A">
        <w:rPr>
          <w:rFonts w:ascii="Bookman Old Style" w:eastAsia="Calibri" w:hAnsi="Bookman Old Style" w:cs="Arial"/>
          <w:i/>
          <w:sz w:val="22"/>
          <w:szCs w:val="22"/>
          <w:lang w:val="es-CO" w:eastAsia="en-US"/>
        </w:rPr>
        <w:lastRenderedPageBreak/>
        <w:t>“4.</w:t>
      </w:r>
      <w:r w:rsidRPr="00CB2D0A">
        <w:rPr>
          <w:rFonts w:ascii="Bookman Old Style" w:eastAsia="Calibri" w:hAnsi="Bookman Old Style" w:cs="Arial"/>
          <w:i/>
          <w:sz w:val="22"/>
          <w:szCs w:val="22"/>
          <w:lang w:val="es-CO" w:eastAsia="en-US"/>
        </w:rPr>
        <w:tab/>
        <w:t>La Comisión a través de circular publicará un documento para someter a comentario la función óptima que mejor estime el comportamiento de los gastos AOM de las actividades de distribución y comercialización para el siguiente periodo tarifario.</w:t>
      </w:r>
    </w:p>
    <w:p w:rsidR="00886F37" w:rsidRPr="00CB2D0A" w:rsidRDefault="00886F37" w:rsidP="00886F37">
      <w:pPr>
        <w:ind w:left="284" w:right="284"/>
        <w:jc w:val="both"/>
        <w:rPr>
          <w:rFonts w:ascii="Bookman Old Style" w:eastAsia="Calibri" w:hAnsi="Bookman Old Style" w:cs="Arial"/>
          <w:i/>
          <w:sz w:val="22"/>
          <w:szCs w:val="22"/>
          <w:lang w:val="es-CO" w:eastAsia="en-US"/>
        </w:rPr>
      </w:pPr>
    </w:p>
    <w:p w:rsidR="00886F37" w:rsidRPr="00CB2D0A" w:rsidRDefault="00886F37" w:rsidP="00886F37">
      <w:pPr>
        <w:ind w:left="284" w:right="284"/>
        <w:jc w:val="both"/>
        <w:rPr>
          <w:rFonts w:ascii="Bookman Old Style" w:eastAsia="Calibri" w:hAnsi="Bookman Old Style" w:cs="Arial"/>
          <w:i/>
          <w:sz w:val="22"/>
          <w:szCs w:val="22"/>
          <w:lang w:val="es-CO" w:eastAsia="en-US"/>
        </w:rPr>
      </w:pPr>
      <w:r w:rsidRPr="00CB2D0A">
        <w:rPr>
          <w:rFonts w:ascii="Bookman Old Style" w:eastAsia="Calibri" w:hAnsi="Bookman Old Style" w:cs="Arial"/>
          <w:i/>
          <w:sz w:val="22"/>
          <w:szCs w:val="22"/>
          <w:lang w:val="es-CO" w:eastAsia="en-US"/>
        </w:rPr>
        <w:t>5.</w:t>
      </w:r>
      <w:r w:rsidRPr="00CB2D0A">
        <w:rPr>
          <w:rFonts w:ascii="Bookman Old Style" w:eastAsia="Calibri" w:hAnsi="Bookman Old Style" w:cs="Arial"/>
          <w:i/>
          <w:sz w:val="22"/>
          <w:szCs w:val="22"/>
          <w:lang w:val="es-CO" w:eastAsia="en-US"/>
        </w:rPr>
        <w:tab/>
        <w:t>A través de circular se publicará el documento definitivo el cual contendrá la respuesta a cada uno de los comentarios recibidos y la función óptima que mejor estime el comportamiento de los gastos AOM de las actividades de distribución y comercialización para el siguiente periodo tarifario.</w:t>
      </w:r>
    </w:p>
    <w:p w:rsidR="00886F37" w:rsidRPr="00CB2D0A" w:rsidRDefault="00886F37" w:rsidP="00886F37">
      <w:pPr>
        <w:ind w:left="284" w:right="284"/>
        <w:jc w:val="both"/>
        <w:rPr>
          <w:rFonts w:ascii="Bookman Old Style" w:eastAsia="Calibri" w:hAnsi="Bookman Old Style" w:cs="Arial"/>
          <w:i/>
          <w:sz w:val="22"/>
          <w:szCs w:val="22"/>
          <w:lang w:val="es-CO" w:eastAsia="en-US"/>
        </w:rPr>
      </w:pPr>
    </w:p>
    <w:p w:rsidR="00886F37" w:rsidRPr="00CB2D0A" w:rsidRDefault="00886F37" w:rsidP="00886F37">
      <w:pPr>
        <w:ind w:left="284" w:right="284"/>
        <w:jc w:val="both"/>
        <w:rPr>
          <w:rFonts w:ascii="Bookman Old Style" w:eastAsia="Calibri" w:hAnsi="Bookman Old Style" w:cs="Arial"/>
          <w:i/>
          <w:sz w:val="22"/>
          <w:szCs w:val="22"/>
          <w:lang w:val="es-CO" w:eastAsia="en-US"/>
        </w:rPr>
      </w:pPr>
      <w:r w:rsidRPr="00CB2D0A">
        <w:rPr>
          <w:rFonts w:ascii="Bookman Old Style" w:eastAsia="Calibri" w:hAnsi="Bookman Old Style" w:cs="Arial"/>
          <w:i/>
          <w:sz w:val="22"/>
          <w:szCs w:val="22"/>
          <w:lang w:val="es-CO" w:eastAsia="en-US"/>
        </w:rPr>
        <w:t>6.</w:t>
      </w:r>
      <w:r w:rsidRPr="00CB2D0A">
        <w:rPr>
          <w:rFonts w:ascii="Bookman Old Style" w:eastAsia="Calibri" w:hAnsi="Bookman Old Style" w:cs="Arial"/>
          <w:i/>
          <w:sz w:val="22"/>
          <w:szCs w:val="22"/>
          <w:lang w:val="es-CO" w:eastAsia="en-US"/>
        </w:rPr>
        <w:tab/>
        <w:t>Conforme la función seleccionada se asignará a cada una de las empresas un AOM estimado.”</w:t>
      </w:r>
    </w:p>
    <w:p w:rsidR="00886F37" w:rsidRPr="001954E9" w:rsidRDefault="00886F37" w:rsidP="00886F37">
      <w:pPr>
        <w:ind w:left="0" w:right="-93"/>
        <w:jc w:val="both"/>
        <w:rPr>
          <w:rFonts w:ascii="Bookman Old Style" w:eastAsia="Calibri" w:hAnsi="Bookman Old Style" w:cs="Arial"/>
          <w:lang w:val="es-CO" w:eastAsia="en-US"/>
        </w:rPr>
      </w:pPr>
    </w:p>
    <w:p w:rsidR="00886F37" w:rsidRPr="001954E9" w:rsidRDefault="00886F37" w:rsidP="00886F37">
      <w:pPr>
        <w:ind w:left="0" w:right="-93"/>
        <w:jc w:val="both"/>
        <w:rPr>
          <w:rFonts w:ascii="Bookman Old Style" w:hAnsi="Bookman Old Style" w:cs="Arial"/>
          <w:bCs/>
        </w:rPr>
      </w:pPr>
      <w:r w:rsidRPr="001954E9">
        <w:rPr>
          <w:rFonts w:ascii="Bookman Old Style" w:hAnsi="Bookman Old Style" w:cs="Arial"/>
          <w:bCs/>
        </w:rPr>
        <w:t xml:space="preserve">Para estos efectos se expidió la Circular CREG 105 de 2015 en la cual se publicó el documento CREG No.095 de 2015, que contiene la definición de las funciones óptimas para determinar la remuneración de los gastos de AOM de las actividades de distribución y comercialización de gas combustible por redes de tubería y de otros activos para la actividad de distribución – conforme a lo definido en el anexo 9 y 10 de la </w:t>
      </w:r>
      <w:r w:rsidR="00E13617" w:rsidRPr="001954E9">
        <w:rPr>
          <w:rFonts w:ascii="Bookman Old Style" w:hAnsi="Bookman Old Style" w:cs="Arial"/>
          <w:bCs/>
        </w:rPr>
        <w:t>R</w:t>
      </w:r>
      <w:r w:rsidRPr="001954E9">
        <w:rPr>
          <w:rFonts w:ascii="Bookman Old Style" w:hAnsi="Bookman Old Style" w:cs="Arial"/>
          <w:bCs/>
        </w:rPr>
        <w:t>esolución CREG 202 de 2013. Cabe anotar que el concepto de eficiencia hace parte de los criterios tarifarios establecidos en el artículo 87 de la Ley 142 de 1994 y respecto de los cuales se sustenta el régimen tarifario.</w:t>
      </w:r>
    </w:p>
    <w:p w:rsidR="00886F37" w:rsidRPr="001954E9" w:rsidRDefault="00886F37" w:rsidP="00886F37">
      <w:pPr>
        <w:ind w:left="0" w:right="-93"/>
        <w:jc w:val="both"/>
        <w:rPr>
          <w:rFonts w:ascii="Bookman Old Style" w:hAnsi="Bookman Old Style" w:cs="Arial"/>
          <w:bCs/>
        </w:rPr>
      </w:pPr>
    </w:p>
    <w:p w:rsidR="00AF577E" w:rsidRPr="001954E9" w:rsidRDefault="00940FD7" w:rsidP="001954E9">
      <w:pPr>
        <w:ind w:left="0" w:right="-93"/>
        <w:jc w:val="both"/>
        <w:rPr>
          <w:rFonts w:ascii="Bookman Old Style" w:eastAsia="MS Mincho" w:hAnsi="Bookman Old Style" w:cs="Arial"/>
          <w:lang w:val="es-ES_tradnl" w:eastAsia="en-US"/>
        </w:rPr>
      </w:pPr>
      <w:r w:rsidRPr="001954E9">
        <w:rPr>
          <w:rFonts w:ascii="Bookman Old Style" w:hAnsi="Bookman Old Style" w:cs="Arial"/>
          <w:bCs/>
        </w:rPr>
        <w:t>Ahora bien</w:t>
      </w:r>
      <w:r w:rsidR="00E13617" w:rsidRPr="001954E9">
        <w:rPr>
          <w:rFonts w:ascii="Bookman Old Style" w:hAnsi="Bookman Old Style" w:cs="Arial"/>
          <w:bCs/>
        </w:rPr>
        <w:t xml:space="preserve">, </w:t>
      </w:r>
      <w:r w:rsidR="00AF577E" w:rsidRPr="001954E9">
        <w:rPr>
          <w:rFonts w:ascii="Bookman Old Style" w:hAnsi="Bookman Old Style" w:cs="Arial"/>
          <w:bCs/>
        </w:rPr>
        <w:t xml:space="preserve">mediante la Resolución CREG </w:t>
      </w:r>
      <w:r w:rsidR="00A13C50">
        <w:rPr>
          <w:rFonts w:ascii="Bookman Old Style" w:hAnsi="Bookman Old Style" w:cs="Arial"/>
          <w:bCs/>
        </w:rPr>
        <w:t>093 de 2016</w:t>
      </w:r>
      <w:r w:rsidR="00AF577E" w:rsidRPr="001954E9">
        <w:rPr>
          <w:rFonts w:ascii="Bookman Old Style" w:hAnsi="Bookman Old Style" w:cs="Arial"/>
          <w:bCs/>
        </w:rPr>
        <w:t xml:space="preserve"> se revocó el numeral 9.7 y el Anexo 10 en donde se define el procedimiento para el establecimiento de los gastos de AOM eficientes, esto teniendo en cuenta que </w:t>
      </w:r>
      <w:r w:rsidR="00596E6F" w:rsidRPr="001954E9">
        <w:rPr>
          <w:rFonts w:ascii="Bookman Old Style" w:eastAsia="MS Mincho" w:hAnsi="Bookman Old Style" w:cs="Arial"/>
          <w:lang w:val="es-ES_tradnl" w:eastAsia="en-US"/>
        </w:rPr>
        <w:t>mediante</w:t>
      </w:r>
      <w:r w:rsidR="00AF577E" w:rsidRPr="001954E9">
        <w:rPr>
          <w:rFonts w:ascii="Bookman Old Style" w:eastAsia="MS Mincho" w:hAnsi="Bookman Old Style" w:cs="Arial"/>
          <w:lang w:val="es-ES_tradnl" w:eastAsia="en-US"/>
        </w:rPr>
        <w:t xml:space="preserv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 y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rsidR="00AF577E" w:rsidRPr="001954E9" w:rsidRDefault="00AF577E" w:rsidP="00AF577E">
      <w:pPr>
        <w:ind w:left="0"/>
        <w:jc w:val="both"/>
        <w:rPr>
          <w:rFonts w:ascii="Bookman Old Style" w:eastAsia="MS Mincho" w:hAnsi="Bookman Old Style" w:cs="Arial"/>
          <w:lang w:val="es-ES_tradnl" w:eastAsia="en-US"/>
        </w:rPr>
      </w:pPr>
    </w:p>
    <w:p w:rsidR="00886F37" w:rsidRPr="001954E9" w:rsidRDefault="00886F37" w:rsidP="00886F37">
      <w:pPr>
        <w:ind w:left="0" w:right="-93"/>
        <w:jc w:val="both"/>
        <w:rPr>
          <w:rFonts w:ascii="Bookman Old Style" w:eastAsia="MS Mincho" w:hAnsi="Bookman Old Style" w:cs="Arial"/>
          <w:lang w:val="es-ES_tradnl" w:eastAsia="en-US"/>
        </w:rPr>
      </w:pPr>
      <w:r w:rsidRPr="001954E9">
        <w:rPr>
          <w:rFonts w:ascii="Bookman Old Style" w:hAnsi="Bookman Old Style" w:cs="Arial"/>
          <w:bCs/>
        </w:rPr>
        <w:t>En este sentido y de acuerdo con los expuesto,</w:t>
      </w:r>
      <w:r w:rsidR="00AF577E" w:rsidRPr="001954E9">
        <w:rPr>
          <w:rFonts w:ascii="Bookman Old Style" w:hAnsi="Bookman Old Style" w:cs="Arial"/>
          <w:bCs/>
        </w:rPr>
        <w:t xml:space="preserve"> para establecer los cargos en Nuevos Mercados de Distribución</w:t>
      </w:r>
      <w:r w:rsidRPr="001954E9">
        <w:rPr>
          <w:rFonts w:ascii="Bookman Old Style" w:hAnsi="Bookman Old Style" w:cs="Arial"/>
          <w:bCs/>
        </w:rPr>
        <w:t xml:space="preserve"> </w:t>
      </w:r>
      <w:r w:rsidR="00AF577E" w:rsidRPr="001954E9">
        <w:rPr>
          <w:rFonts w:ascii="Bookman Old Style" w:hAnsi="Bookman Old Style" w:cs="Arial"/>
          <w:bCs/>
        </w:rPr>
        <w:t xml:space="preserve">de </w:t>
      </w:r>
      <w:r w:rsidRPr="001954E9">
        <w:rPr>
          <w:rFonts w:ascii="Bookman Old Style" w:hAnsi="Bookman Old Style" w:cs="Arial"/>
          <w:bCs/>
        </w:rPr>
        <w:t xml:space="preserve">las solicitudes tarifarias </w:t>
      </w:r>
      <w:r w:rsidR="00AF577E" w:rsidRPr="001954E9">
        <w:rPr>
          <w:rFonts w:ascii="Bookman Old Style" w:hAnsi="Bookman Old Style" w:cs="Arial"/>
          <w:bCs/>
        </w:rPr>
        <w:t xml:space="preserve">presentadas </w:t>
      </w:r>
      <w:r w:rsidRPr="001954E9">
        <w:rPr>
          <w:rFonts w:ascii="Bookman Old Style" w:hAnsi="Bookman Old Style" w:cs="Arial"/>
          <w:bCs/>
        </w:rPr>
        <w:t xml:space="preserve">para el caso de la definición de los gastos de AOM, </w:t>
      </w:r>
      <w:r w:rsidR="00AF577E" w:rsidRPr="001954E9">
        <w:rPr>
          <w:rFonts w:ascii="Bookman Old Style" w:hAnsi="Bookman Old Style" w:cs="Arial"/>
          <w:bCs/>
        </w:rPr>
        <w:t xml:space="preserve">se </w:t>
      </w:r>
      <w:r w:rsidRPr="001954E9">
        <w:rPr>
          <w:rFonts w:ascii="Bookman Old Style" w:eastAsia="MS Mincho" w:hAnsi="Bookman Old Style" w:cs="Arial"/>
          <w:lang w:val="es-ES_tradnl" w:eastAsia="en-US"/>
        </w:rPr>
        <w:t>incorpora</w:t>
      </w:r>
      <w:r w:rsidR="00AF577E" w:rsidRPr="001954E9">
        <w:rPr>
          <w:rFonts w:ascii="Bookman Old Style" w:eastAsia="MS Mincho" w:hAnsi="Bookman Old Style" w:cs="Arial"/>
          <w:lang w:val="es-ES_tradnl" w:eastAsia="en-US"/>
        </w:rPr>
        <w:t xml:space="preserve">rá </w:t>
      </w:r>
      <w:r w:rsidRPr="001954E9">
        <w:rPr>
          <w:rFonts w:ascii="Bookman Old Style" w:eastAsia="MS Mincho" w:hAnsi="Bookman Old Style" w:cs="Arial"/>
          <w:lang w:val="es-ES_tradnl" w:eastAsia="en-US"/>
        </w:rPr>
        <w:t xml:space="preserve">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w:t>
      </w:r>
      <w:r w:rsidR="00AF577E" w:rsidRPr="001954E9">
        <w:rPr>
          <w:rFonts w:ascii="Bookman Old Style" w:eastAsia="MS Mincho" w:hAnsi="Bookman Old Style" w:cs="Arial"/>
          <w:lang w:val="es-ES_tradnl" w:eastAsia="en-US"/>
        </w:rPr>
        <w:t xml:space="preserve">que se </w:t>
      </w:r>
      <w:r w:rsidRPr="001954E9">
        <w:rPr>
          <w:rFonts w:ascii="Bookman Old Style" w:eastAsia="MS Mincho" w:hAnsi="Bookman Old Style" w:cs="Arial"/>
          <w:lang w:val="es-ES_tradnl" w:eastAsia="en-US"/>
        </w:rPr>
        <w:t>puedan incorporar como parte de la aplicación del régimen tarifario, por lo que le corresponde a esta Entidad dar aplicación a los criterios tarifarios en todos los aspectos que determinan el cobro de las tarifas.</w:t>
      </w:r>
    </w:p>
    <w:p w:rsidR="00886F37" w:rsidRPr="001954E9" w:rsidRDefault="00886F37" w:rsidP="00886F37">
      <w:pPr>
        <w:ind w:left="0" w:right="-93"/>
        <w:jc w:val="both"/>
        <w:rPr>
          <w:rFonts w:ascii="Bookman Old Style" w:eastAsia="MS Mincho" w:hAnsi="Bookman Old Style" w:cs="Arial"/>
          <w:lang w:val="es-ES_tradnl" w:eastAsia="en-US"/>
        </w:rPr>
      </w:pPr>
    </w:p>
    <w:p w:rsidR="00886F37" w:rsidRPr="001954E9" w:rsidRDefault="00886F37" w:rsidP="00886F37">
      <w:pPr>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w:t>
      </w:r>
      <w:r w:rsidR="00AF577E" w:rsidRPr="001954E9">
        <w:rPr>
          <w:rFonts w:ascii="Bookman Old Style" w:eastAsia="MS Mincho" w:hAnsi="Bookman Old Style" w:cs="Arial"/>
          <w:lang w:val="es-ES_tradnl" w:eastAsia="en-US"/>
        </w:rPr>
        <w:t xml:space="preserve">86 </w:t>
      </w:r>
      <w:r w:rsidRPr="001954E9">
        <w:rPr>
          <w:rFonts w:ascii="Bookman Old Style" w:eastAsia="MS Mincho" w:hAnsi="Bookman Old Style" w:cs="Arial"/>
          <w:lang w:val="es-ES_tradnl" w:eastAsia="en-US"/>
        </w:rPr>
        <w:t>de la Ley 142 de 1994, así como de acuerdo con las finalidades que cumple el ejercicio de la función regulatoria en materia tarifaria con la que cuenta esta Comisión, que frente a los gastos de AOM</w:t>
      </w:r>
      <w:r w:rsidR="00AF577E" w:rsidRPr="001954E9">
        <w:rPr>
          <w:rFonts w:ascii="Bookman Old Style" w:eastAsia="MS Mincho" w:hAnsi="Bookman Old Style" w:cs="Arial"/>
          <w:lang w:val="es-ES_tradnl" w:eastAsia="en-US"/>
        </w:rPr>
        <w:t xml:space="preserve"> y de forma transitoria para definir esta variable</w:t>
      </w:r>
      <w:r w:rsidRPr="001954E9">
        <w:rPr>
          <w:rFonts w:ascii="Bookman Old Style" w:eastAsia="MS Mincho" w:hAnsi="Bookman Old Style" w:cs="Arial"/>
          <w:lang w:val="es-ES_tradnl" w:eastAsia="en-US"/>
        </w:rPr>
        <w:t xml:space="preserve">, se lleve a cabo un ejercicio, en aplicación del criterio de eficiencia, que incluya tomar como referencia los mercados existentes y realizar una comparación de los AOM </w:t>
      </w:r>
      <w:r w:rsidR="00AF577E" w:rsidRPr="001954E9">
        <w:rPr>
          <w:rFonts w:ascii="Bookman Old Style" w:eastAsia="MS Mincho" w:hAnsi="Bookman Old Style" w:cs="Arial"/>
          <w:lang w:val="es-ES_tradnl" w:eastAsia="en-US"/>
        </w:rPr>
        <w:t xml:space="preserve">reportados por las empresas </w:t>
      </w:r>
      <w:r w:rsidRPr="001954E9">
        <w:rPr>
          <w:rFonts w:ascii="Bookman Old Style" w:eastAsia="MS Mincho" w:hAnsi="Bookman Old Style" w:cs="Arial"/>
          <w:lang w:val="es-ES_tradnl" w:eastAsia="en-US"/>
        </w:rPr>
        <w:t xml:space="preserve"> </w:t>
      </w:r>
      <w:r w:rsidR="00AF577E" w:rsidRPr="001954E9">
        <w:rPr>
          <w:rFonts w:ascii="Bookman Old Style" w:eastAsia="MS Mincho" w:hAnsi="Bookman Old Style" w:cs="Arial"/>
          <w:lang w:val="es-ES_tradnl" w:eastAsia="en-US"/>
        </w:rPr>
        <w:t>y depurados por la Comisión de los Nuevos Mercados con estos.</w:t>
      </w:r>
    </w:p>
    <w:p w:rsidR="00886F37" w:rsidRPr="001954E9" w:rsidRDefault="00886F37" w:rsidP="00886F37">
      <w:pPr>
        <w:ind w:left="0" w:right="-93"/>
        <w:jc w:val="both"/>
        <w:rPr>
          <w:rFonts w:ascii="Bookman Old Style" w:eastAsia="MS Mincho" w:hAnsi="Bookman Old Style" w:cs="Arial"/>
          <w:lang w:val="es-ES_tradnl" w:eastAsia="en-US"/>
        </w:rPr>
      </w:pPr>
    </w:p>
    <w:p w:rsidR="00AF577E" w:rsidRPr="001954E9" w:rsidRDefault="00AF577E" w:rsidP="00AF577E">
      <w:pPr>
        <w:pStyle w:val="Prrafodelista"/>
        <w:ind w:left="0"/>
        <w:jc w:val="both"/>
        <w:rPr>
          <w:rFonts w:ascii="Bookman Old Style" w:hAnsi="Bookman Old Style"/>
          <w:sz w:val="24"/>
          <w:szCs w:val="24"/>
          <w:lang w:eastAsia="es-CO"/>
        </w:rPr>
      </w:pPr>
      <w:r w:rsidRPr="001954E9">
        <w:rPr>
          <w:rFonts w:ascii="Bookman Old Style" w:hAnsi="Bookman Old Style"/>
          <w:sz w:val="24"/>
          <w:szCs w:val="24"/>
          <w:lang w:val="es-ES_tradnl" w:eastAsia="es-CO"/>
        </w:rPr>
        <w:t xml:space="preserve">Por lo </w:t>
      </w:r>
      <w:r w:rsidR="00436CBA" w:rsidRPr="001954E9">
        <w:rPr>
          <w:rFonts w:ascii="Bookman Old Style" w:hAnsi="Bookman Old Style"/>
          <w:sz w:val="24"/>
          <w:szCs w:val="24"/>
          <w:lang w:val="es-ES_tradnl" w:eastAsia="es-CO"/>
        </w:rPr>
        <w:t>tanto,</w:t>
      </w:r>
      <w:r w:rsidRPr="001954E9">
        <w:rPr>
          <w:rFonts w:ascii="Bookman Old Style" w:hAnsi="Bookman Old Style"/>
          <w:sz w:val="24"/>
          <w:szCs w:val="24"/>
          <w:lang w:val="es-ES_tradnl" w:eastAsia="es-CO"/>
        </w:rPr>
        <w:t xml:space="preserve"> p</w:t>
      </w:r>
      <w:r w:rsidRPr="001954E9">
        <w:rPr>
          <w:rFonts w:ascii="Bookman Old Style" w:hAnsi="Bookman Old Style"/>
          <w:sz w:val="24"/>
          <w:szCs w:val="24"/>
          <w:lang w:eastAsia="es-CO"/>
        </w:rPr>
        <w:t xml:space="preserve">ara los Mercados Relevantes de Distribución para el Siguiente Período Tarifario conformados por municipios nuevos, el distribuidor </w:t>
      </w:r>
      <w:r w:rsidR="00581897">
        <w:rPr>
          <w:rFonts w:ascii="Bookman Old Style" w:hAnsi="Bookman Old Style"/>
          <w:sz w:val="24"/>
          <w:szCs w:val="24"/>
          <w:lang w:eastAsia="es-CO"/>
        </w:rPr>
        <w:t>presentó en su solicitud tarifaria</w:t>
      </w:r>
      <w:r w:rsidRPr="001954E9">
        <w:rPr>
          <w:rFonts w:ascii="Bookman Old Style" w:hAnsi="Bookman Old Style"/>
          <w:sz w:val="24"/>
          <w:szCs w:val="24"/>
          <w:lang w:eastAsia="es-CO"/>
        </w:rPr>
        <w:t xml:space="preserve"> la proyección de gastos de AOM durante el horizonte de proyección de veinte (20) años y concordante con los costos que se remuneran dentro de la actividad de distribución.</w:t>
      </w:r>
    </w:p>
    <w:p w:rsidR="00AF577E" w:rsidRPr="001954E9" w:rsidRDefault="00AF577E" w:rsidP="00AF577E">
      <w:pPr>
        <w:pStyle w:val="Prrafodelista"/>
        <w:ind w:left="284"/>
        <w:jc w:val="both"/>
        <w:rPr>
          <w:rFonts w:ascii="Bookman Old Style" w:hAnsi="Bookman Old Style"/>
          <w:sz w:val="24"/>
          <w:szCs w:val="24"/>
          <w:lang w:eastAsia="es-CO"/>
        </w:rPr>
      </w:pPr>
    </w:p>
    <w:p w:rsidR="00AF577E" w:rsidRPr="001954E9" w:rsidRDefault="00AF577E" w:rsidP="00AF577E">
      <w:pPr>
        <w:pStyle w:val="Prrafodelista"/>
        <w:ind w:left="0"/>
        <w:jc w:val="both"/>
        <w:rPr>
          <w:rFonts w:ascii="Bookman Old Style" w:hAnsi="Bookman Old Style"/>
          <w:sz w:val="24"/>
          <w:szCs w:val="24"/>
          <w:lang w:val="es-ES_tradnl" w:eastAsia="es-CO"/>
        </w:rPr>
      </w:pPr>
      <w:r w:rsidRPr="001954E9">
        <w:rPr>
          <w:rFonts w:ascii="Bookman Old Style" w:hAnsi="Bookman Old Style"/>
          <w:sz w:val="24"/>
          <w:szCs w:val="24"/>
          <w:lang w:val="es-ES_tradnl" w:eastAsia="es-CO"/>
        </w:rPr>
        <w:t xml:space="preserve">En esta proyección de gastos de AOM de distribución, el incremento anual de AOM en cada uno de los años desde el 2 hasta el 20 deberá ser menor o igual al incremento anual de demanda. </w:t>
      </w:r>
    </w:p>
    <w:p w:rsidR="00AF577E" w:rsidRPr="001954E9" w:rsidRDefault="00AF577E" w:rsidP="00AF577E">
      <w:pPr>
        <w:pStyle w:val="Prrafodelista"/>
        <w:ind w:left="284"/>
        <w:jc w:val="both"/>
        <w:rPr>
          <w:rFonts w:ascii="Bookman Old Style" w:hAnsi="Bookman Old Style"/>
          <w:sz w:val="24"/>
          <w:szCs w:val="24"/>
          <w:lang w:val="es-ES_tradnl" w:eastAsia="es-CO"/>
        </w:rPr>
      </w:pPr>
    </w:p>
    <w:p w:rsidR="002E7264" w:rsidRPr="001954E9" w:rsidRDefault="002E7264" w:rsidP="002E7264">
      <w:pPr>
        <w:pStyle w:val="Prrafodelista"/>
        <w:ind w:left="0"/>
        <w:jc w:val="both"/>
        <w:rPr>
          <w:rFonts w:ascii="Bookman Old Style" w:hAnsi="Bookman Old Style"/>
          <w:sz w:val="24"/>
          <w:szCs w:val="24"/>
          <w:lang w:val="es-ES_tradnl" w:eastAsia="es-CO"/>
        </w:rPr>
      </w:pPr>
      <w:r w:rsidRPr="007C603C">
        <w:rPr>
          <w:rFonts w:ascii="Bookman Old Style" w:hAnsi="Bookman Old Style"/>
          <w:sz w:val="24"/>
          <w:szCs w:val="24"/>
          <w:lang w:eastAsia="es-CO"/>
        </w:rPr>
        <w:t xml:space="preserve">En caso en que el incremento anual de gastos de AOM en </w:t>
      </w:r>
      <w:r>
        <w:rPr>
          <w:rFonts w:ascii="Bookman Old Style" w:hAnsi="Bookman Old Style"/>
          <w:sz w:val="24"/>
          <w:szCs w:val="24"/>
          <w:lang w:eastAsia="es-CO"/>
        </w:rPr>
        <w:t>un año de la proyección</w:t>
      </w:r>
      <w:r w:rsidRPr="007C603C">
        <w:rPr>
          <w:rFonts w:ascii="Bookman Old Style" w:hAnsi="Bookman Old Style"/>
          <w:sz w:val="24"/>
          <w:szCs w:val="24"/>
          <w:lang w:eastAsia="es-CO"/>
        </w:rPr>
        <w:t xml:space="preserve"> sea mayor al incremento de la demanda</w:t>
      </w:r>
      <w:r>
        <w:rPr>
          <w:rFonts w:ascii="Bookman Old Style" w:hAnsi="Bookman Old Style"/>
          <w:sz w:val="24"/>
          <w:szCs w:val="24"/>
          <w:lang w:eastAsia="es-CO"/>
        </w:rPr>
        <w:t xml:space="preserve"> en ese año</w:t>
      </w:r>
      <w:r w:rsidRPr="007C603C">
        <w:rPr>
          <w:rFonts w:ascii="Bookman Old Style" w:hAnsi="Bookman Old Style"/>
          <w:sz w:val="24"/>
          <w:szCs w:val="24"/>
          <w:lang w:eastAsia="es-CO"/>
        </w:rPr>
        <w:t xml:space="preserve">, </w:t>
      </w:r>
      <w:r>
        <w:rPr>
          <w:rFonts w:ascii="Bookman Old Style" w:hAnsi="Bookman Old Style"/>
          <w:sz w:val="24"/>
          <w:szCs w:val="24"/>
          <w:lang w:eastAsia="es-CO"/>
        </w:rPr>
        <w:t xml:space="preserve">el gasto de AOM de ese año </w:t>
      </w:r>
      <w:r w:rsidRPr="007C603C">
        <w:rPr>
          <w:rFonts w:ascii="Bookman Old Style" w:hAnsi="Bookman Old Style"/>
          <w:sz w:val="24"/>
          <w:szCs w:val="24"/>
          <w:lang w:eastAsia="es-CO"/>
        </w:rPr>
        <w:t xml:space="preserve">se ajustará al menor de los crecimientos entre </w:t>
      </w:r>
      <w:r>
        <w:rPr>
          <w:rFonts w:ascii="Bookman Old Style" w:hAnsi="Bookman Old Style"/>
          <w:sz w:val="24"/>
          <w:szCs w:val="24"/>
          <w:lang w:eastAsia="es-CO"/>
        </w:rPr>
        <w:t xml:space="preserve">el de </w:t>
      </w:r>
      <w:r w:rsidRPr="007C603C">
        <w:rPr>
          <w:rFonts w:ascii="Bookman Old Style" w:hAnsi="Bookman Old Style"/>
          <w:sz w:val="24"/>
          <w:szCs w:val="24"/>
          <w:lang w:eastAsia="es-CO"/>
        </w:rPr>
        <w:t xml:space="preserve">AOM y </w:t>
      </w:r>
      <w:r>
        <w:rPr>
          <w:rFonts w:ascii="Bookman Old Style" w:hAnsi="Bookman Old Style"/>
          <w:sz w:val="24"/>
          <w:szCs w:val="24"/>
          <w:lang w:eastAsia="es-CO"/>
        </w:rPr>
        <w:t xml:space="preserve">el de la </w:t>
      </w:r>
      <w:r w:rsidRPr="007C603C">
        <w:rPr>
          <w:rFonts w:ascii="Bookman Old Style" w:hAnsi="Bookman Old Style"/>
          <w:sz w:val="24"/>
          <w:szCs w:val="24"/>
          <w:lang w:eastAsia="es-CO"/>
        </w:rPr>
        <w:t>demanda</w:t>
      </w:r>
      <w:r w:rsidRPr="001954E9">
        <w:rPr>
          <w:rFonts w:ascii="Bookman Old Style" w:hAnsi="Bookman Old Style"/>
          <w:sz w:val="24"/>
          <w:szCs w:val="24"/>
          <w:lang w:val="es-ES_tradnl" w:eastAsia="es-CO"/>
        </w:rPr>
        <w:t>.</w:t>
      </w:r>
    </w:p>
    <w:p w:rsidR="00436CBA" w:rsidRPr="000024C0" w:rsidRDefault="00436CBA" w:rsidP="00436CBA">
      <w:pPr>
        <w:spacing w:before="240" w:after="240"/>
        <w:ind w:left="0"/>
        <w:jc w:val="both"/>
        <w:rPr>
          <w:rFonts w:ascii="Bookman Old Style" w:hAnsi="Bookman Old Style"/>
          <w:lang w:eastAsia="es-CO"/>
        </w:rPr>
      </w:pPr>
      <w:r w:rsidRPr="000024C0">
        <w:rPr>
          <w:rFonts w:ascii="Bookman Old Style" w:hAnsi="Bookman Old Style"/>
          <w:lang w:eastAsia="es-CO"/>
        </w:rPr>
        <w:t xml:space="preserve">Posteriormente se determina el porcentaje de AOM eficiente de acuerdo con la siguiente fórmula: </w:t>
      </w:r>
    </w:p>
    <w:p w:rsidR="00436CBA" w:rsidRPr="00535AB1" w:rsidRDefault="003E42EC" w:rsidP="00436CBA">
      <w:pPr>
        <w:spacing w:before="240" w:after="240"/>
        <w:ind w:left="0" w:right="-93"/>
        <w:jc w:val="center"/>
        <w:rPr>
          <w:rFonts w:ascii="Bookman Old Style" w:eastAsia="MS Mincho" w:hAnsi="Bookman Old Style" w:cs="Arial"/>
          <w:sz w:val="22"/>
          <w:lang w:val="es-ES_tradnl" w:eastAsia="en-US"/>
        </w:rPr>
      </w:pPr>
      <m:oMathPara>
        <m:oMathParaPr>
          <m:jc m:val="center"/>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e>
              </m:d>
              <m:r>
                <m:rPr>
                  <m:sty m:val="p"/>
                </m:rP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num>
                        <m:den>
                          <m:r>
                            <m:rPr>
                              <m:sty m:val="p"/>
                            </m:rPr>
                            <w:rPr>
                              <w:rFonts w:ascii="Cambria Math" w:eastAsia="MS Mincho" w:hAnsi="Cambria Math" w:cs="Arial"/>
                              <w:lang w:val="es-ES_tradnl" w:eastAsia="en-US"/>
                            </w:rPr>
                            <m:t>BRAN</m:t>
                          </m:r>
                        </m:den>
                      </m:f>
                    </m:e>
                  </m:d>
                </m:e>
                <m:sub>
                  <m:r>
                    <w:rPr>
                      <w:rFonts w:ascii="Cambria Math" w:eastAsia="MS Mincho" w:hAnsi="Cambria Math" w:cs="Arial"/>
                      <w:lang w:val="es-ES_tradnl" w:eastAsia="en-US"/>
                    </w:rPr>
                    <m:t>k</m:t>
                  </m:r>
                </m:sub>
              </m:sSub>
            </m:e>
          </m:d>
        </m:oMath>
      </m:oMathPara>
    </w:p>
    <w:p w:rsidR="00436CBA" w:rsidRPr="000024C0" w:rsidRDefault="00436CBA" w:rsidP="00436CBA">
      <w:pPr>
        <w:spacing w:before="240" w:after="240"/>
        <w:ind w:left="0" w:right="-93"/>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Donde:</w:t>
      </w:r>
    </w:p>
    <w:tbl>
      <w:tblPr>
        <w:tblW w:w="9741" w:type="dxa"/>
        <w:tblInd w:w="-284" w:type="dxa"/>
        <w:tblLayout w:type="fixed"/>
        <w:tblLook w:val="04A0" w:firstRow="1" w:lastRow="0" w:firstColumn="1" w:lastColumn="0" w:noHBand="0" w:noVBand="1"/>
      </w:tblPr>
      <w:tblGrid>
        <w:gridCol w:w="1844"/>
        <w:gridCol w:w="545"/>
        <w:gridCol w:w="7352"/>
      </w:tblGrid>
      <w:tr w:rsidR="00436CBA" w:rsidRPr="00AC7842" w:rsidTr="004739C3">
        <w:tc>
          <w:tcPr>
            <w:tcW w:w="1844" w:type="dxa"/>
          </w:tcPr>
          <w:p w:rsidR="00436CBA" w:rsidRPr="00535AB1" w:rsidRDefault="003E42EC" w:rsidP="00436CBA">
            <w:pPr>
              <w:ind w:left="28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oMath>
            </m:oMathPara>
          </w:p>
        </w:tc>
        <w:tc>
          <w:tcPr>
            <w:tcW w:w="7897" w:type="dxa"/>
            <w:gridSpan w:val="2"/>
          </w:tcPr>
          <w:p w:rsidR="00436CBA" w:rsidRPr="00AC7842" w:rsidRDefault="00436CBA"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Promedio de los Gastos de AOM de los cinco (5) años reportados por las empresas en el horizonte de proyección y ajustados conforme al </w:t>
            </w:r>
            <w:r>
              <w:rPr>
                <w:rFonts w:ascii="Bookman Old Style" w:hAnsi="Bookman Old Style"/>
                <w:lang w:eastAsia="es-CO"/>
              </w:rPr>
              <w:t>men</w:t>
            </w:r>
            <w:r w:rsidRPr="000024C0">
              <w:rPr>
                <w:rFonts w:ascii="Bookman Old Style" w:hAnsi="Bookman Old Style"/>
                <w:lang w:eastAsia="es-CO"/>
              </w:rPr>
              <w:t>or de los crecimientos entre el de AOM y el de la demanda</w:t>
            </w:r>
            <w:r>
              <w:rPr>
                <w:rFonts w:ascii="Bookman Old Style" w:eastAsia="MS Mincho" w:hAnsi="Bookman Old Style" w:cs="Arial"/>
                <w:lang w:val="es-ES_tradnl" w:eastAsia="en-US"/>
              </w:rPr>
              <w:t>. Ex</w:t>
            </w:r>
            <w:r w:rsidRPr="00AC7842">
              <w:rPr>
                <w:rFonts w:ascii="Bookman Old Style" w:eastAsia="MS Mincho" w:hAnsi="Bookman Old Style" w:cs="Arial"/>
                <w:lang w:val="es-ES_tradnl" w:eastAsia="en-US"/>
              </w:rPr>
              <w:t xml:space="preserve">presados en pesos de la fecha base. </w:t>
            </w:r>
          </w:p>
          <w:p w:rsidR="00436CBA" w:rsidRPr="00AC7842" w:rsidRDefault="00436CBA" w:rsidP="004739C3">
            <w:pPr>
              <w:ind w:right="-93"/>
              <w:jc w:val="both"/>
              <w:rPr>
                <w:rFonts w:ascii="Bookman Old Style" w:eastAsia="MS Mincho" w:hAnsi="Bookman Old Style" w:cs="Arial"/>
                <w:lang w:val="es-ES_tradnl" w:eastAsia="en-US"/>
              </w:rPr>
            </w:pPr>
          </w:p>
        </w:tc>
      </w:tr>
      <w:tr w:rsidR="00436CBA" w:rsidRPr="00AC7842" w:rsidTr="004739C3">
        <w:tc>
          <w:tcPr>
            <w:tcW w:w="1844" w:type="dxa"/>
          </w:tcPr>
          <w:p w:rsidR="00436CBA" w:rsidRPr="00535AB1" w:rsidRDefault="003E42EC" w:rsidP="004739C3">
            <w:pPr>
              <w:ind w:left="142" w:right="382" w:hanging="108"/>
              <w:jc w:val="both"/>
              <w:rPr>
                <w:rFonts w:ascii="Bookman Old Style" w:eastAsia="MS Mincho" w:hAnsi="Bookman Old Style" w:cs="Arial"/>
                <w:sz w:val="22"/>
                <w:szCs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897" w:type="dxa"/>
            <w:gridSpan w:val="2"/>
          </w:tcPr>
          <w:p w:rsidR="00436CBA" w:rsidRPr="00AC7842" w:rsidRDefault="00436CBA" w:rsidP="004739C3">
            <w:pPr>
              <w:ind w:left="0" w:right="-93"/>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este se calcula conforme a la siguiente fórmula y se expresa en pesos de la fecha base.</w:t>
            </w:r>
          </w:p>
          <w:p w:rsidR="00436CBA" w:rsidRPr="00AC7842" w:rsidRDefault="00436CBA" w:rsidP="004739C3">
            <w:pPr>
              <w:ind w:left="0" w:right="-93"/>
              <w:jc w:val="both"/>
              <w:rPr>
                <w:rFonts w:ascii="Bookman Old Style" w:eastAsia="MS Mincho" w:hAnsi="Bookman Old Style"/>
                <w:lang w:val="es-ES_tradnl" w:eastAsia="en-US"/>
              </w:rPr>
            </w:pPr>
          </w:p>
          <w:p w:rsidR="00436CBA" w:rsidRPr="00535AB1" w:rsidRDefault="003E42EC" w:rsidP="004739C3">
            <w:pPr>
              <w:ind w:left="0"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w:rPr>
                                            <w:rFonts w:ascii="Cambria Math" w:eastAsia="MS Mincho" w:hAnsi="Cambria Math" w:cs="Arial"/>
                                            <w:sz w:val="22"/>
                                            <w:lang w:val="es-ES_tradnl" w:eastAsia="en-US"/>
                                          </w:rPr>
                                          <m:t>r</m:t>
                                        </m:r>
                                      </m:sub>
                                    </m:sSub>
                                  </m:num>
                                  <m:den>
                                    <m:r>
                                      <m:rPr>
                                        <m:sty m:val="p"/>
                                      </m:rPr>
                                      <w:rPr>
                                        <w:rFonts w:ascii="Cambria Math" w:eastAsia="MS Mincho" w:hAnsi="Cambria Math" w:cs="Arial"/>
                                        <w:sz w:val="22"/>
                                        <w:lang w:val="es-ES_tradnl" w:eastAsia="en-US"/>
                                      </w:rPr>
                                      <m:t>BRAN</m:t>
                                    </m:r>
                                  </m:den>
                                </m:f>
                              </m:e>
                            </m:d>
                          </m:e>
                          <m:sub>
                            <m: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BRAN</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lang w:val="es-ES_tradnl" w:eastAsia="en-US"/>
                              </w:rPr>
                              <m:t>CyE</m:t>
                            </m:r>
                          </m:e>
                          <m:sub>
                            <m:r>
                              <m:rPr>
                                <m:sty m:val="p"/>
                              </m:rPr>
                              <w:rPr>
                                <w:rFonts w:ascii="Cambria Math" w:eastAsia="MS Mincho" w:hAnsi="Cambria Math"/>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BRAN</m:t>
                        </m:r>
                      </m:e>
                      <m:sub>
                        <m:r>
                          <w:rPr>
                            <w:rFonts w:ascii="Cambria Math" w:eastAsia="MS Mincho" w:hAnsi="Cambria Math" w:cs="Arial"/>
                            <w:lang w:val="es-ES_tradnl" w:eastAsia="en-US"/>
                          </w:rPr>
                          <m:t>k</m:t>
                        </m:r>
                      </m:sub>
                    </m:sSub>
                  </m:den>
                </m:f>
              </m:oMath>
            </m:oMathPara>
          </w:p>
          <w:p w:rsidR="00436CBA" w:rsidRPr="00AC7842" w:rsidRDefault="00436CBA" w:rsidP="004739C3">
            <w:pPr>
              <w:ind w:left="0" w:right="-93"/>
              <w:jc w:val="both"/>
              <w:rPr>
                <w:rFonts w:ascii="Bookman Old Style" w:eastAsia="MS Mincho" w:hAnsi="Bookman Old Style"/>
                <w:lang w:val="es-ES_tradnl" w:eastAsia="en-US"/>
              </w:rPr>
            </w:pPr>
          </w:p>
          <w:p w:rsidR="00436CBA" w:rsidRPr="00AC7842" w:rsidRDefault="00436CBA" w:rsidP="004739C3">
            <w:pPr>
              <w:ind w:left="0" w:right="-93"/>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p w:rsidR="00436CBA" w:rsidRDefault="00436CBA" w:rsidP="004739C3">
            <w:pPr>
              <w:ind w:left="0" w:right="-93"/>
              <w:jc w:val="both"/>
              <w:rPr>
                <w:rFonts w:ascii="Bookman Old Style" w:eastAsia="MS Mincho" w:hAnsi="Bookman Old Style"/>
                <w:lang w:val="es-ES_tradnl" w:eastAsia="en-US"/>
              </w:rPr>
            </w:pPr>
          </w:p>
          <w:p w:rsidR="004333D1" w:rsidRPr="00AC7842" w:rsidRDefault="004333D1" w:rsidP="004739C3">
            <w:pPr>
              <w:ind w:left="0" w:right="-93"/>
              <w:jc w:val="both"/>
              <w:rPr>
                <w:rFonts w:ascii="Bookman Old Style" w:eastAsia="MS Mincho" w:hAnsi="Bookman Old Style"/>
                <w:lang w:val="es-ES_tradnl" w:eastAsia="en-US"/>
              </w:rPr>
            </w:pPr>
          </w:p>
          <w:tbl>
            <w:tblPr>
              <w:tblW w:w="7546" w:type="dxa"/>
              <w:tblLayout w:type="fixed"/>
              <w:tblLook w:val="04A0" w:firstRow="1" w:lastRow="0" w:firstColumn="1" w:lastColumn="0" w:noHBand="0" w:noVBand="1"/>
            </w:tblPr>
            <w:tblGrid>
              <w:gridCol w:w="1167"/>
              <w:gridCol w:w="709"/>
              <w:gridCol w:w="250"/>
              <w:gridCol w:w="4571"/>
              <w:gridCol w:w="849"/>
            </w:tblGrid>
            <w:tr w:rsidR="00436CBA" w:rsidRPr="00AC7842" w:rsidTr="004739C3">
              <w:tc>
                <w:tcPr>
                  <w:tcW w:w="1876" w:type="dxa"/>
                  <w:gridSpan w:val="2"/>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k</w:t>
                  </w:r>
                </w:p>
              </w:tc>
              <w:tc>
                <w:tcPr>
                  <w:tcW w:w="5670" w:type="dxa"/>
                  <w:gridSpan w:val="3"/>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Mercado relevante de distribución para el siguiente periodo tarifario.</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1876" w:type="dxa"/>
                  <w:gridSpan w:val="2"/>
                  <w:shd w:val="clear" w:color="auto" w:fill="auto"/>
                </w:tcPr>
                <w:p w:rsidR="00436CBA" w:rsidRPr="00535AB1" w:rsidRDefault="003E42EC" w:rsidP="004739C3">
                  <w:pPr>
                    <w:tabs>
                      <w:tab w:val="left" w:pos="5513"/>
                    </w:tabs>
                    <w:ind w:left="0" w:right="743"/>
                    <w:jc w:val="both"/>
                    <w:rPr>
                      <w:lang w:val="es-ES_tradnl" w:eastAsia="en-US"/>
                    </w:rPr>
                  </w:pPr>
                  <m:oMathPara>
                    <m:oMathParaPr>
                      <m:jc m:val="left"/>
                    </m:oMathParaPr>
                    <m:oMath>
                      <m:sSub>
                        <m:sSubPr>
                          <m:ctrlPr>
                            <w:rPr>
                              <w:rFonts w:ascii="Cambria Math" w:eastAsia="MS Mincho" w:hAnsi="Cambria Math"/>
                              <w:i/>
                              <w:lang w:val="es-ES_tradnl" w:eastAsia="en-US"/>
                            </w:rPr>
                          </m:ctrlPr>
                        </m:sSubPr>
                        <m:e>
                          <m:r>
                            <w:rPr>
                              <w:rFonts w:ascii="Cambria Math" w:eastAsia="MS Mincho" w:hAnsi="Cambria Math"/>
                              <w:lang w:val="es-ES_tradnl" w:eastAsia="en-US"/>
                            </w:rPr>
                            <m:t>CyE</m:t>
                          </m:r>
                        </m:e>
                        <m:sub>
                          <m:r>
                            <w:rPr>
                              <w:rFonts w:ascii="Cambria Math" w:eastAsia="MS Mincho" w:hAnsi="Cambria Math"/>
                              <w:lang w:val="es-ES_tradnl" w:eastAsia="en-US"/>
                            </w:rPr>
                            <m:t>k</m:t>
                          </m:r>
                        </m:sub>
                      </m:sSub>
                    </m:oMath>
                  </m:oMathPara>
                </w:p>
              </w:tc>
              <w:tc>
                <w:tcPr>
                  <w:tcW w:w="5670" w:type="dxa"/>
                  <w:gridSpan w:val="3"/>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Corresponde al 12,7% del valor de las construcciones y edificaciones atribuidos directamente a la unidad de negocio de distribución y que pertenecen al mercado relevante de distribución para el siguiente periodo tarifario k.</w:t>
                  </w:r>
                </w:p>
                <w:p w:rsidR="00436CBA" w:rsidRPr="00CB3BEE" w:rsidRDefault="00436CBA" w:rsidP="004739C3">
                  <w:pPr>
                    <w:tabs>
                      <w:tab w:val="left" w:pos="4141"/>
                    </w:tabs>
                    <w:ind w:left="-541" w:right="-1" w:firstLine="541"/>
                    <w:jc w:val="both"/>
                    <w:rPr>
                      <w:rFonts w:ascii="Bookman Old Style" w:eastAsia="MS Mincho" w:hAnsi="Bookman Old Style"/>
                      <w:lang w:val="es-ES_tradnl" w:eastAsia="en-US"/>
                    </w:rPr>
                  </w:pPr>
                </w:p>
              </w:tc>
            </w:tr>
            <w:tr w:rsidR="00436CBA" w:rsidRPr="00AC7842" w:rsidTr="004739C3">
              <w:tc>
                <w:tcPr>
                  <w:tcW w:w="1876" w:type="dxa"/>
                  <w:gridSpan w:val="2"/>
                  <w:shd w:val="clear" w:color="auto" w:fill="auto"/>
                </w:tcPr>
                <w:p w:rsidR="00436CBA" w:rsidRPr="00535AB1" w:rsidRDefault="003E42EC" w:rsidP="004739C3">
                  <w:pPr>
                    <w:tabs>
                      <w:tab w:val="left" w:pos="5513"/>
                    </w:tabs>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i/>
                              <w:lang w:val="es-ES_tradnl" w:eastAsia="en-US"/>
                            </w:rPr>
                          </m:ctrlPr>
                        </m:sSubPr>
                        <m:e>
                          <m:r>
                            <w:rPr>
                              <w:rFonts w:ascii="Cambria Math" w:eastAsia="MS Mincho" w:hAnsi="Cambria Math"/>
                              <w:lang w:val="es-ES_tradnl" w:eastAsia="en-US"/>
                            </w:rPr>
                            <m:t>T</m:t>
                          </m:r>
                        </m:e>
                        <m:sub>
                          <m:r>
                            <w:rPr>
                              <w:rFonts w:ascii="Cambria Math" w:eastAsia="MS Mincho" w:hAnsi="Cambria Math"/>
                              <w:lang w:val="es-ES_tradnl" w:eastAsia="en-US"/>
                            </w:rPr>
                            <m:t>k</m:t>
                          </m:r>
                        </m:sub>
                      </m:sSub>
                    </m:oMath>
                  </m:oMathPara>
                </w:p>
              </w:tc>
              <w:tc>
                <w:tcPr>
                  <w:tcW w:w="5670" w:type="dxa"/>
                  <w:gridSpan w:val="3"/>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Corresponde al 12,7% del valor de los terrenos atribuidos directamente a la unidad de negocio de distribución y que pertenecen al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1876" w:type="dxa"/>
                  <w:gridSpan w:val="2"/>
                  <w:shd w:val="clear" w:color="auto" w:fill="auto"/>
                </w:tcPr>
                <w:p w:rsidR="00436CBA" w:rsidRPr="00535AB1" w:rsidRDefault="003E42EC" w:rsidP="004739C3">
                  <w:pPr>
                    <w:tabs>
                      <w:tab w:val="left" w:pos="5513"/>
                    </w:tabs>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w:rPr>
                                          <w:rFonts w:ascii="Cambria Math" w:eastAsia="MS Mincho" w:hAnsi="Cambria Math" w:cs="Arial"/>
                                          <w:sz w:val="22"/>
                                          <w:lang w:val="es-ES_tradnl" w:eastAsia="en-US"/>
                                        </w:rPr>
                                        <m:t>r</m:t>
                                      </m:r>
                                    </m:sub>
                                  </m:sSub>
                                </m:num>
                                <m:den>
                                  <m:r>
                                    <m:rPr>
                                      <m:sty m:val="p"/>
                                    </m:rPr>
                                    <w:rPr>
                                      <w:rFonts w:ascii="Cambria Math" w:eastAsia="MS Mincho" w:hAnsi="Cambria Math" w:cs="Arial"/>
                                      <w:sz w:val="22"/>
                                      <w:lang w:val="es-ES_tradnl" w:eastAsia="en-US"/>
                                    </w:rPr>
                                    <m:t>BRAN</m:t>
                                  </m:r>
                                </m:den>
                              </m:f>
                            </m:e>
                          </m:d>
                        </m:e>
                        <m:sub>
                          <m:r>
                            <w:rPr>
                              <w:rFonts w:ascii="Cambria Math" w:eastAsia="MS Mincho" w:hAnsi="Cambria Math" w:cs="Arial"/>
                              <w:lang w:val="es-ES_tradnl" w:eastAsia="en-US"/>
                            </w:rPr>
                            <m:t>estimado k</m:t>
                          </m:r>
                        </m:sub>
                      </m:sSub>
                    </m:oMath>
                  </m:oMathPara>
                </w:p>
                <w:p w:rsidR="00436CBA" w:rsidRPr="00CB3BEE" w:rsidRDefault="00436CBA" w:rsidP="004739C3">
                  <w:pPr>
                    <w:tabs>
                      <w:tab w:val="left" w:pos="5513"/>
                    </w:tabs>
                    <w:ind w:left="0" w:right="743"/>
                    <w:rPr>
                      <w:rFonts w:ascii="Bookman Old Style" w:eastAsia="MS Mincho" w:hAnsi="Bookman Old Style" w:cs="Arial"/>
                      <w:lang w:val="es-ES_tradnl" w:eastAsia="en-US"/>
                    </w:rPr>
                  </w:pPr>
                </w:p>
              </w:tc>
              <w:tc>
                <w:tcPr>
                  <w:tcW w:w="5670" w:type="dxa"/>
                  <w:gridSpan w:val="3"/>
                  <w:shd w:val="clear" w:color="auto" w:fill="auto"/>
                </w:tcPr>
                <w:p w:rsidR="00436CBA" w:rsidRPr="00CB3BEE" w:rsidRDefault="00436CBA" w:rsidP="004739C3">
                  <w:pPr>
                    <w:ind w:left="0" w:right="34"/>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Relación entre los gastos de AOM y los activos de base regulatoria para el mercado relevante de distribución para el siguiente periodo tarifario k, calculada así:</w:t>
                  </w:r>
                </w:p>
                <w:p w:rsidR="00436CBA" w:rsidRPr="00CB3BEE" w:rsidRDefault="00436CBA" w:rsidP="004739C3">
                  <w:pPr>
                    <w:tabs>
                      <w:tab w:val="left" w:pos="4141"/>
                    </w:tabs>
                    <w:ind w:left="0" w:right="34"/>
                    <w:jc w:val="both"/>
                    <w:rPr>
                      <w:rFonts w:ascii="Bookman Old Style" w:eastAsia="MS Mincho" w:hAnsi="Bookman Old Style"/>
                      <w:lang w:val="es-ES_tradnl" w:eastAsia="en-US"/>
                    </w:rPr>
                  </w:pPr>
                </w:p>
                <w:p w:rsidR="00436CBA" w:rsidRPr="00535AB1" w:rsidRDefault="003E42EC" w:rsidP="004739C3">
                  <w:pPr>
                    <w:tabs>
                      <w:tab w:val="left" w:pos="4141"/>
                    </w:tabs>
                    <w:ind w:left="0" w:right="34"/>
                    <w:jc w:val="both"/>
                    <w:rPr>
                      <w:rFonts w:ascii="Bookman Old Style" w:eastAsia="MS Mincho" w:hAnsi="Bookman Old Style"/>
                      <w:sz w:val="16"/>
                      <w:szCs w:val="16"/>
                      <w:lang w:val="es-ES_tradnl" w:eastAsia="en-US"/>
                    </w:rPr>
                  </w:pPr>
                  <m:oMathPara>
                    <m:oMath>
                      <m:sSub>
                        <m:sSubPr>
                          <m:ctrlPr>
                            <w:rPr>
                              <w:rFonts w:ascii="Cambria Math" w:eastAsia="MS Mincho" w:hAnsi="Cambria Math"/>
                              <w:sz w:val="16"/>
                              <w:szCs w:val="16"/>
                              <w:lang w:val="es-ES_tradnl" w:eastAsia="en-US"/>
                            </w:rPr>
                          </m:ctrlPr>
                        </m:sSubPr>
                        <m:e>
                          <m:d>
                            <m:dPr>
                              <m:ctrlPr>
                                <w:rPr>
                                  <w:rFonts w:ascii="Cambria Math" w:eastAsia="MS Mincho" w:hAnsi="Cambria Math"/>
                                  <w:sz w:val="16"/>
                                  <w:szCs w:val="16"/>
                                  <w:lang w:val="es-ES_tradnl" w:eastAsia="en-US"/>
                                </w:rPr>
                              </m:ctrlPr>
                            </m:dPr>
                            <m:e>
                              <m:f>
                                <m:fPr>
                                  <m:ctrlPr>
                                    <w:rPr>
                                      <w:rFonts w:ascii="Cambria Math" w:eastAsia="MS Mincho" w:hAnsi="Cambria Math"/>
                                      <w:sz w:val="16"/>
                                      <w:szCs w:val="16"/>
                                      <w:lang w:val="es-ES_tradnl" w:eastAsia="en-US"/>
                                    </w:rPr>
                                  </m:ctrlPr>
                                </m:fPr>
                                <m:num>
                                  <m:sSub>
                                    <m:sSubPr>
                                      <m:ctrlPr>
                                        <w:rPr>
                                          <w:rFonts w:ascii="Cambria Math" w:eastAsia="MS Mincho" w:hAnsi="Cambria Math"/>
                                          <w:sz w:val="16"/>
                                          <w:szCs w:val="16"/>
                                          <w:lang w:val="es-ES_tradnl" w:eastAsia="en-US"/>
                                        </w:rPr>
                                      </m:ctrlPr>
                                    </m:sSubPr>
                                    <m:e>
                                      <m:r>
                                        <m:rPr>
                                          <m:sty m:val="p"/>
                                        </m:rPr>
                                        <w:rPr>
                                          <w:rFonts w:ascii="Cambria Math" w:eastAsia="MS Mincho" w:hAnsi="Cambria Math" w:hint="eastAsia"/>
                                          <w:sz w:val="16"/>
                                          <w:szCs w:val="16"/>
                                          <w:lang w:val="es-ES_tradnl" w:eastAsia="en-US"/>
                                        </w:rPr>
                                        <m:t>AOM</m:t>
                                      </m:r>
                                    </m:e>
                                    <m:sub>
                                      <m:r>
                                        <w:rPr>
                                          <w:rFonts w:ascii="Cambria Math" w:eastAsia="MS Mincho" w:hAnsi="Cambria Math"/>
                                          <w:sz w:val="16"/>
                                          <w:szCs w:val="16"/>
                                          <w:lang w:val="es-ES_tradnl" w:eastAsia="en-US"/>
                                        </w:rPr>
                                        <m:t>r</m:t>
                                      </m:r>
                                    </m:sub>
                                  </m:sSub>
                                </m:num>
                                <m:den>
                                  <m:r>
                                    <m:rPr>
                                      <m:sty m:val="p"/>
                                    </m:rPr>
                                    <w:rPr>
                                      <w:rFonts w:ascii="Cambria Math" w:eastAsia="MS Mincho" w:hAnsi="Cambria Math" w:hint="eastAsia"/>
                                      <w:sz w:val="16"/>
                                      <w:szCs w:val="16"/>
                                      <w:lang w:val="es-ES_tradnl" w:eastAsia="en-US"/>
                                    </w:rPr>
                                    <m:t>BRAN</m:t>
                                  </m:r>
                                </m:den>
                              </m:f>
                            </m:e>
                          </m:d>
                        </m:e>
                        <m:sub>
                          <m:r>
                            <w:rPr>
                              <w:rFonts w:ascii="Cambria Math" w:eastAsia="MS Mincho" w:hAnsi="Cambria Math"/>
                              <w:sz w:val="16"/>
                              <w:szCs w:val="16"/>
                              <w:lang w:val="es-ES_tradnl" w:eastAsia="en-US"/>
                            </w:rPr>
                            <m:t>estimado</m:t>
                          </m:r>
                          <m:r>
                            <m:rPr>
                              <m:sty m:val="p"/>
                            </m:rPr>
                            <w:rPr>
                              <w:rFonts w:ascii="Cambria Math" w:eastAsia="MS Mincho" w:hAnsi="Cambria Math" w:hint="eastAsia"/>
                              <w:sz w:val="16"/>
                              <w:szCs w:val="16"/>
                              <w:lang w:val="es-ES_tradnl" w:eastAsia="en-US"/>
                            </w:rPr>
                            <m:t xml:space="preserve"> k</m:t>
                          </m:r>
                        </m:sub>
                      </m:sSub>
                      <m:r>
                        <m:rPr>
                          <m:sty m:val="p"/>
                        </m:rPr>
                        <w:rPr>
                          <w:rFonts w:ascii="Cambria Math" w:eastAsia="MS Mincho" w:hAnsi="Cambria Math" w:hint="eastAsia"/>
                          <w:sz w:val="16"/>
                          <w:szCs w:val="16"/>
                          <w:lang w:val="es-ES_tradnl" w:eastAsia="en-US"/>
                        </w:rPr>
                        <m:t>=</m:t>
                      </m:r>
                      <m:f>
                        <m:fPr>
                          <m:ctrlPr>
                            <w:rPr>
                              <w:rFonts w:ascii="Cambria Math" w:eastAsia="MS Mincho" w:hAnsi="Cambria Math"/>
                              <w:sz w:val="16"/>
                              <w:szCs w:val="16"/>
                              <w:lang w:val="es-ES_tradnl" w:eastAsia="en-US"/>
                            </w:rPr>
                          </m:ctrlPr>
                        </m:fPr>
                        <m:num>
                          <m:r>
                            <m:rPr>
                              <m:sty m:val="p"/>
                            </m:rPr>
                            <w:rPr>
                              <w:rFonts w:ascii="Cambria Math" w:eastAsia="MS Mincho" w:hAnsi="Cambria Math" w:hint="eastAsia"/>
                              <w:sz w:val="16"/>
                              <w:szCs w:val="16"/>
                              <w:lang w:val="es-ES_tradnl" w:eastAsia="en-US"/>
                            </w:rPr>
                            <m:t>1</m:t>
                          </m:r>
                        </m:num>
                        <m:den>
                          <m:sSub>
                            <m:sSubPr>
                              <m:ctrlPr>
                                <w:rPr>
                                  <w:rFonts w:ascii="Cambria Math" w:eastAsia="MS Mincho" w:hAnsi="Cambria Math"/>
                                  <w:sz w:val="16"/>
                                  <w:szCs w:val="16"/>
                                  <w:lang w:val="es-ES_tradnl" w:eastAsia="en-US"/>
                                </w:rPr>
                              </m:ctrlPr>
                            </m:sSubPr>
                            <m:e>
                              <m:r>
                                <w:rPr>
                                  <w:rFonts w:ascii="Cambria Math" w:eastAsia="MS Mincho" w:hAnsi="Cambria Math"/>
                                  <w:sz w:val="16"/>
                                  <w:szCs w:val="16"/>
                                  <w:lang w:val="es-ES_tradnl" w:eastAsia="en-US"/>
                                </w:rPr>
                                <m:t>Km</m:t>
                              </m:r>
                            </m:e>
                            <m:sub>
                              <m:r>
                                <w:rPr>
                                  <w:rFonts w:ascii="Cambria Math" w:eastAsia="MS Mincho" w:hAnsi="Cambria Math"/>
                                  <w:sz w:val="16"/>
                                  <w:szCs w:val="16"/>
                                  <w:lang w:val="es-ES_tradnl" w:eastAsia="en-US"/>
                                </w:rPr>
                                <m:t>k</m:t>
                              </m:r>
                            </m:sub>
                          </m:sSub>
                        </m:den>
                      </m:f>
                      <m:r>
                        <m:rPr>
                          <m:sty m:val="p"/>
                        </m:rPr>
                        <w:rPr>
                          <w:rFonts w:ascii="Cambria Math" w:eastAsia="MS Mincho" w:hAnsi="Cambria Math" w:hint="eastAsia"/>
                          <w:sz w:val="16"/>
                          <w:szCs w:val="16"/>
                          <w:lang w:val="es-ES_tradnl" w:eastAsia="en-US"/>
                        </w:rPr>
                        <m:t>×</m:t>
                      </m:r>
                      <m:nary>
                        <m:naryPr>
                          <m:chr m:val="∑"/>
                          <m:limLoc m:val="undOvr"/>
                          <m:ctrlPr>
                            <w:rPr>
                              <w:rFonts w:ascii="Cambria Math" w:eastAsia="MS Mincho" w:hAnsi="Cambria Math"/>
                              <w:sz w:val="16"/>
                              <w:szCs w:val="16"/>
                              <w:lang w:val="es-ES_tradnl" w:eastAsia="en-US"/>
                            </w:rPr>
                          </m:ctrlPr>
                        </m:naryPr>
                        <m:sub>
                          <m:r>
                            <w:rPr>
                              <w:rFonts w:ascii="Cambria Math" w:eastAsia="MS Mincho" w:hAnsi="Cambria Math"/>
                              <w:sz w:val="16"/>
                              <w:szCs w:val="16"/>
                              <w:lang w:val="es-ES_tradnl" w:eastAsia="en-US"/>
                            </w:rPr>
                            <m:t>p</m:t>
                          </m:r>
                          <m:r>
                            <m:rPr>
                              <m:sty m:val="p"/>
                            </m:rPr>
                            <w:rPr>
                              <w:rFonts w:ascii="Cambria Math" w:eastAsia="MS Mincho" w:hAnsi="Cambria Math" w:hint="eastAsia"/>
                              <w:sz w:val="16"/>
                              <w:szCs w:val="16"/>
                              <w:lang w:val="es-ES_tradnl" w:eastAsia="en-US"/>
                            </w:rPr>
                            <m:t>=1</m:t>
                          </m:r>
                        </m:sub>
                        <m:sup>
                          <m:r>
                            <w:rPr>
                              <w:rFonts w:ascii="Cambria Math" w:eastAsia="MS Mincho" w:hAnsi="Cambria Math"/>
                              <w:sz w:val="16"/>
                              <w:szCs w:val="16"/>
                              <w:lang w:val="es-ES_tradnl" w:eastAsia="en-US"/>
                            </w:rPr>
                            <m:t>n</m:t>
                          </m:r>
                        </m:sup>
                        <m:e>
                          <m:d>
                            <m:dPr>
                              <m:ctrlPr>
                                <w:rPr>
                                  <w:rFonts w:ascii="Cambria Math" w:eastAsia="MS Mincho" w:hAnsi="Cambria Math"/>
                                  <w:sz w:val="16"/>
                                  <w:szCs w:val="16"/>
                                  <w:lang w:val="es-ES_tradnl" w:eastAsia="en-US"/>
                                </w:rPr>
                              </m:ctrlPr>
                            </m:dPr>
                            <m:e>
                              <m:sSub>
                                <m:sSubPr>
                                  <m:ctrlPr>
                                    <w:rPr>
                                      <w:rFonts w:ascii="Cambria Math" w:eastAsia="MS Mincho" w:hAnsi="Cambria Math"/>
                                      <w:sz w:val="16"/>
                                      <w:szCs w:val="16"/>
                                      <w:lang w:val="es-ES_tradnl" w:eastAsia="en-US"/>
                                    </w:rPr>
                                  </m:ctrlPr>
                                </m:sSubPr>
                                <m:e>
                                  <m:d>
                                    <m:dPr>
                                      <m:ctrlPr>
                                        <w:rPr>
                                          <w:rFonts w:ascii="Cambria Math" w:eastAsia="MS Mincho" w:hAnsi="Cambria Math"/>
                                          <w:sz w:val="16"/>
                                          <w:szCs w:val="16"/>
                                          <w:lang w:val="es-ES_tradnl" w:eastAsia="en-US"/>
                                        </w:rPr>
                                      </m:ctrlPr>
                                    </m:dPr>
                                    <m:e>
                                      <m:f>
                                        <m:fPr>
                                          <m:ctrlPr>
                                            <w:rPr>
                                              <w:rFonts w:ascii="Cambria Math" w:eastAsia="MS Mincho" w:hAnsi="Cambria Math"/>
                                              <w:sz w:val="16"/>
                                              <w:szCs w:val="16"/>
                                              <w:lang w:val="es-ES_tradnl" w:eastAsia="en-US"/>
                                            </w:rPr>
                                          </m:ctrlPr>
                                        </m:fPr>
                                        <m:num>
                                          <m:sSub>
                                            <m:sSubPr>
                                              <m:ctrlPr>
                                                <w:rPr>
                                                  <w:rFonts w:ascii="Cambria Math" w:eastAsia="MS Mincho" w:hAnsi="Cambria Math"/>
                                                  <w:sz w:val="16"/>
                                                  <w:szCs w:val="16"/>
                                                  <w:lang w:val="es-ES_tradnl" w:eastAsia="en-US"/>
                                                </w:rPr>
                                              </m:ctrlPr>
                                            </m:sSubPr>
                                            <m:e>
                                              <m:r>
                                                <m:rPr>
                                                  <m:sty m:val="p"/>
                                                </m:rPr>
                                                <w:rPr>
                                                  <w:rFonts w:ascii="Cambria Math" w:eastAsia="MS Mincho" w:hAnsi="Cambria Math" w:hint="eastAsia"/>
                                                  <w:sz w:val="16"/>
                                                  <w:szCs w:val="16"/>
                                                  <w:lang w:val="es-ES_tradnl" w:eastAsia="en-US"/>
                                                </w:rPr>
                                                <m:t>AOM</m:t>
                                              </m:r>
                                            </m:e>
                                            <m:sub>
                                              <m:r>
                                                <w:rPr>
                                                  <w:rFonts w:ascii="Cambria Math" w:eastAsia="MS Mincho" w:hAnsi="Cambria Math"/>
                                                  <w:sz w:val="16"/>
                                                  <w:szCs w:val="16"/>
                                                  <w:lang w:val="es-ES_tradnl" w:eastAsia="en-US"/>
                                                </w:rPr>
                                                <m:t>r</m:t>
                                              </m:r>
                                            </m:sub>
                                          </m:sSub>
                                        </m:num>
                                        <m:den>
                                          <m:r>
                                            <m:rPr>
                                              <m:sty m:val="p"/>
                                            </m:rPr>
                                            <w:rPr>
                                              <w:rFonts w:ascii="Cambria Math" w:eastAsia="MS Mincho" w:hAnsi="Cambria Math" w:hint="eastAsia"/>
                                              <w:sz w:val="16"/>
                                              <w:szCs w:val="16"/>
                                              <w:lang w:val="es-ES_tradnl" w:eastAsia="en-US"/>
                                            </w:rPr>
                                            <m:t>BRAN</m:t>
                                          </m:r>
                                        </m:den>
                                      </m:f>
                                    </m:e>
                                  </m:d>
                                </m:e>
                                <m:sub>
                                  <m:eqArr>
                                    <m:eqArrPr>
                                      <m:ctrlPr>
                                        <w:rPr>
                                          <w:rFonts w:ascii="Cambria Math" w:eastAsia="MS Mincho" w:hAnsi="Cambria Math"/>
                                          <w:sz w:val="16"/>
                                          <w:szCs w:val="16"/>
                                          <w:lang w:val="es-ES_tradnl" w:eastAsia="en-US"/>
                                        </w:rPr>
                                      </m:ctrlPr>
                                    </m:eqArrPr>
                                    <m:e>
                                      <m:r>
                                        <w:rPr>
                                          <w:rFonts w:ascii="Cambria Math" w:eastAsia="MS Mincho" w:hAnsi="Cambria Math"/>
                                          <w:sz w:val="16"/>
                                          <w:szCs w:val="16"/>
                                          <w:lang w:val="es-ES_tradnl" w:eastAsia="en-US"/>
                                        </w:rPr>
                                        <m:t>estimado</m:t>
                                      </m:r>
                                      <m:r>
                                        <m:rPr>
                                          <m:sty m:val="p"/>
                                        </m:rPr>
                                        <w:rPr>
                                          <w:rFonts w:ascii="Cambria Math" w:eastAsia="MS Mincho" w:hAnsi="Cambria Math" w:hint="eastAsia"/>
                                          <w:sz w:val="16"/>
                                          <w:szCs w:val="16"/>
                                          <w:lang w:val="es-ES_tradnl" w:eastAsia="en-US"/>
                                        </w:rPr>
                                        <m:t xml:space="preserve"> </m:t>
                                      </m:r>
                                    </m:e>
                                    <m:e>
                                      <m:r>
                                        <w:rPr>
                                          <w:rFonts w:ascii="Cambria Math" w:eastAsia="MS Mincho" w:hAnsi="Cambria Math"/>
                                          <w:sz w:val="16"/>
                                          <w:szCs w:val="16"/>
                                          <w:lang w:val="es-ES_tradnl" w:eastAsia="en-US"/>
                                        </w:rPr>
                                        <m:t>municipio</m:t>
                                      </m:r>
                                      <m:r>
                                        <m:rPr>
                                          <m:sty m:val="p"/>
                                        </m:rPr>
                                        <w:rPr>
                                          <w:rFonts w:ascii="Cambria Math" w:eastAsia="MS Mincho" w:hAnsi="Cambria Math" w:hint="eastAsia"/>
                                          <w:sz w:val="16"/>
                                          <w:szCs w:val="16"/>
                                          <w:lang w:val="es-ES_tradnl" w:eastAsia="en-US"/>
                                        </w:rPr>
                                        <m:t xml:space="preserve"> </m:t>
                                      </m:r>
                                      <m:r>
                                        <w:rPr>
                                          <w:rFonts w:ascii="Cambria Math" w:eastAsia="MS Mincho" w:hAnsi="Cambria Math"/>
                                          <w:sz w:val="16"/>
                                          <w:szCs w:val="16"/>
                                          <w:lang w:val="es-ES_tradnl" w:eastAsia="en-US"/>
                                        </w:rPr>
                                        <m:t>p</m:t>
                                      </m:r>
                                      <m:r>
                                        <m:rPr>
                                          <m:sty m:val="p"/>
                                        </m:rPr>
                                        <w:rPr>
                                          <w:rFonts w:ascii="Cambria Math" w:eastAsia="MS Mincho" w:hAnsi="Cambria Math" w:hint="eastAsia"/>
                                          <w:sz w:val="16"/>
                                          <w:szCs w:val="16"/>
                                          <w:lang w:val="es-ES_tradnl" w:eastAsia="en-US"/>
                                        </w:rPr>
                                        <m:t>,</m:t>
                                      </m:r>
                                      <m:r>
                                        <w:rPr>
                                          <w:rFonts w:ascii="Cambria Math" w:eastAsia="MS Mincho" w:hAnsi="Cambria Math"/>
                                          <w:sz w:val="16"/>
                                          <w:szCs w:val="16"/>
                                          <w:lang w:val="es-ES_tradnl" w:eastAsia="en-US"/>
                                        </w:rPr>
                                        <m:t>G</m:t>
                                      </m:r>
                                      <m:r>
                                        <m:rPr>
                                          <m:sty m:val="p"/>
                                        </m:rPr>
                                        <w:rPr>
                                          <w:rFonts w:ascii="Cambria Math" w:eastAsia="MS Mincho" w:hAnsi="Cambria Math" w:hint="eastAsia"/>
                                          <w:sz w:val="16"/>
                                          <w:szCs w:val="16"/>
                                          <w:lang w:val="es-ES_tradnl" w:eastAsia="en-US"/>
                                        </w:rPr>
                                        <m:t>;</m:t>
                                      </m:r>
                                      <m:r>
                                        <w:rPr>
                                          <w:rFonts w:ascii="Cambria Math" w:eastAsia="MS Mincho" w:hAnsi="Cambria Math"/>
                                          <w:sz w:val="16"/>
                                          <w:szCs w:val="16"/>
                                          <w:lang w:val="es-ES_tradnl" w:eastAsia="en-US"/>
                                        </w:rPr>
                                        <m:t>M</m:t>
                                      </m:r>
                                    </m:e>
                                  </m:eqArr>
                                </m:sub>
                              </m:sSub>
                              <m:r>
                                <m:rPr>
                                  <m:sty m:val="p"/>
                                </m:rPr>
                                <w:rPr>
                                  <w:rFonts w:ascii="Cambria Math" w:eastAsia="MS Mincho" w:hAnsi="Cambria Math" w:hint="eastAsia"/>
                                  <w:sz w:val="16"/>
                                  <w:szCs w:val="16"/>
                                  <w:lang w:val="es-ES_tradnl" w:eastAsia="en-US"/>
                                </w:rPr>
                                <m:t>×</m:t>
                              </m:r>
                              <m:sSub>
                                <m:sSubPr>
                                  <m:ctrlPr>
                                    <w:rPr>
                                      <w:rFonts w:ascii="Cambria Math" w:eastAsia="MS Mincho" w:hAnsi="Cambria Math"/>
                                      <w:sz w:val="16"/>
                                      <w:szCs w:val="16"/>
                                      <w:lang w:val="es-ES_tradnl" w:eastAsia="en-US"/>
                                    </w:rPr>
                                  </m:ctrlPr>
                                </m:sSubPr>
                                <m:e>
                                  <m:r>
                                    <w:rPr>
                                      <w:rFonts w:ascii="Cambria Math" w:eastAsia="MS Mincho" w:hAnsi="Cambria Math"/>
                                      <w:sz w:val="16"/>
                                      <w:szCs w:val="16"/>
                                      <w:lang w:val="es-ES_tradnl" w:eastAsia="en-US"/>
                                    </w:rPr>
                                    <m:t>Km</m:t>
                                  </m:r>
                                </m:e>
                                <m:sub>
                                  <m:r>
                                    <w:rPr>
                                      <w:rFonts w:ascii="Cambria Math" w:eastAsia="MS Mincho" w:hAnsi="Cambria Math"/>
                                      <w:sz w:val="16"/>
                                      <w:szCs w:val="16"/>
                                      <w:lang w:val="es-ES_tradnl" w:eastAsia="en-US"/>
                                    </w:rPr>
                                    <m:t>municipio p</m:t>
                                  </m:r>
                                </m:sub>
                              </m:sSub>
                            </m:e>
                          </m:d>
                        </m:e>
                      </m:nary>
                    </m:oMath>
                  </m:oMathPara>
                </w:p>
                <w:p w:rsidR="00436CBA" w:rsidRPr="00CB3BEE" w:rsidRDefault="00436CBA" w:rsidP="004739C3">
                  <w:pPr>
                    <w:tabs>
                      <w:tab w:val="left" w:pos="4141"/>
                    </w:tabs>
                    <w:ind w:left="-1366" w:right="-1"/>
                    <w:jc w:val="both"/>
                    <w:rPr>
                      <w:rFonts w:ascii="Bookman Old Style" w:eastAsia="MS Mincho" w:hAnsi="Bookman Old Style"/>
                      <w:lang w:val="es-ES_tradnl" w:eastAsia="en-US"/>
                    </w:rPr>
                  </w:pPr>
                </w:p>
              </w:tc>
            </w:tr>
            <w:tr w:rsidR="00436CBA" w:rsidRPr="00AC7842" w:rsidTr="004739C3">
              <w:tc>
                <w:tcPr>
                  <w:tcW w:w="1167" w:type="dxa"/>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c>
                <w:tcPr>
                  <w:tcW w:w="6379" w:type="dxa"/>
                  <w:gridSpan w:val="4"/>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rPr>
                <w:gridAfter w:val="1"/>
                <w:wAfter w:w="849" w:type="dxa"/>
              </w:trPr>
              <w:tc>
                <w:tcPr>
                  <w:tcW w:w="2126" w:type="dxa"/>
                  <w:gridSpan w:val="3"/>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Donde:</w:t>
                  </w:r>
                </w:p>
                <w:p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c>
                <w:tcPr>
                  <w:tcW w:w="4571" w:type="dxa"/>
                  <w:shd w:val="clear" w:color="auto" w:fill="auto"/>
                </w:tcPr>
                <w:p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r>
            <w:tr w:rsidR="00436CBA" w:rsidRPr="00AC7842" w:rsidTr="004739C3">
              <w:tc>
                <w:tcPr>
                  <w:tcW w:w="2126" w:type="dxa"/>
                  <w:gridSpan w:val="3"/>
                  <w:shd w:val="clear" w:color="auto" w:fill="auto"/>
                </w:tcPr>
                <w:p w:rsidR="00436CBA" w:rsidRPr="00535AB1" w:rsidRDefault="00535AB1" w:rsidP="004739C3">
                  <w:pPr>
                    <w:tabs>
                      <w:tab w:val="left" w:pos="5513"/>
                    </w:tabs>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395"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Número de municipios que contiene el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2126" w:type="dxa"/>
                  <w:gridSpan w:val="3"/>
                  <w:shd w:val="clear" w:color="auto" w:fill="auto"/>
                </w:tcPr>
                <w:p w:rsidR="00436CBA" w:rsidRPr="00535AB1" w:rsidRDefault="003E42EC" w:rsidP="004739C3">
                  <w:pPr>
                    <w:tabs>
                      <w:tab w:val="left" w:pos="5513"/>
                    </w:tabs>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395"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Total de kilómetros de red del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2126" w:type="dxa"/>
                  <w:gridSpan w:val="3"/>
                  <w:shd w:val="clear" w:color="auto" w:fill="auto"/>
                </w:tcPr>
                <w:p w:rsidR="00436CBA" w:rsidRPr="00535AB1" w:rsidRDefault="003E42EC" w:rsidP="004739C3">
                  <w:pPr>
                    <w:tabs>
                      <w:tab w:val="left" w:pos="5513"/>
                    </w:tabs>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5395" w:type="dxa"/>
                  <w:gridSpan w:val="2"/>
                  <w:shd w:val="clear" w:color="auto" w:fill="auto"/>
                </w:tcPr>
                <w:p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Total de kilómetros de red del municipio p que pertenece al mercado relevante de distribución para el siguiente periodo tarifario k.</w:t>
                  </w:r>
                </w:p>
                <w:p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rsidTr="004739C3">
              <w:tc>
                <w:tcPr>
                  <w:tcW w:w="2126" w:type="dxa"/>
                  <w:gridSpan w:val="3"/>
                  <w:shd w:val="clear" w:color="auto" w:fill="auto"/>
                </w:tcPr>
                <w:p w:rsidR="00436CBA" w:rsidRPr="00535AB1" w:rsidRDefault="003E42EC" w:rsidP="004739C3">
                  <w:pPr>
                    <w:tabs>
                      <w:tab w:val="left" w:pos="5513"/>
                    </w:tabs>
                    <w:ind w:left="0" w:right="74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f>
                                <m:fPr>
                                  <m:ctrlPr>
                                    <w:rPr>
                                      <w:rFonts w:ascii="Cambria Math" w:eastAsia="MS Mincho" w:hAnsi="Cambria Math" w:cs="Arial"/>
                                      <w:i/>
                                      <w:sz w:val="22"/>
                                      <w:szCs w:val="22"/>
                                      <w:lang w:val="es-ES_tradnl" w:eastAsia="en-US"/>
                                    </w:rPr>
                                  </m:ctrlPr>
                                </m:fPr>
                                <m:num>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AOM</m:t>
                                      </m:r>
                                    </m:e>
                                    <m:sub>
                                      <m:r>
                                        <w:rPr>
                                          <w:rFonts w:ascii="Cambria Math" w:eastAsia="MS Mincho" w:hAnsi="Cambria Math" w:cs="Arial"/>
                                          <w:sz w:val="22"/>
                                          <w:szCs w:val="22"/>
                                          <w:lang w:val="es-ES_tradnl" w:eastAsia="en-US"/>
                                        </w:rPr>
                                        <m:t>r</m:t>
                                      </m:r>
                                    </m:sub>
                                  </m:sSub>
                                </m:num>
                                <m:den>
                                  <m:r>
                                    <m:rPr>
                                      <m:sty m:val="p"/>
                                    </m:rPr>
                                    <w:rPr>
                                      <w:rFonts w:ascii="Cambria Math" w:eastAsia="MS Mincho" w:hAnsi="Cambria Math" w:cs="Arial"/>
                                      <w:sz w:val="22"/>
                                      <w:szCs w:val="22"/>
                                      <w:lang w:val="es-ES_tradnl" w:eastAsia="en-US"/>
                                    </w:rPr>
                                    <m:t>BRAN</m:t>
                                  </m:r>
                                </m:den>
                              </m:f>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p,G,M</m:t>
                              </m:r>
                            </m:e>
                          </m:eqArr>
                        </m:sub>
                      </m:sSub>
                    </m:oMath>
                  </m:oMathPara>
                </w:p>
              </w:tc>
              <w:tc>
                <w:tcPr>
                  <w:tcW w:w="5395" w:type="dxa"/>
                  <w:gridSpan w:val="2"/>
                  <w:shd w:val="clear" w:color="auto" w:fill="auto"/>
                </w:tcPr>
                <w:p w:rsidR="00436CBA"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 xml:space="preserve">Porcentaje asignado por </w:t>
                  </w:r>
                  <m:oMath>
                    <m:d>
                      <m:dPr>
                        <m:ctrlPr>
                          <w:rPr>
                            <w:rFonts w:ascii="Cambria Math" w:eastAsia="MS Mincho" w:hAnsi="Cambria Math" w:cs="Arial"/>
                            <w:i/>
                            <w:sz w:val="22"/>
                            <w:szCs w:val="22"/>
                            <w:lang w:val="es-ES_tradnl" w:eastAsia="en-US"/>
                          </w:rPr>
                        </m:ctrlPr>
                      </m:dPr>
                      <m:e>
                        <m:f>
                          <m:fPr>
                            <m:ctrlPr>
                              <w:rPr>
                                <w:rFonts w:ascii="Cambria Math" w:eastAsia="MS Mincho" w:hAnsi="Cambria Math" w:cs="Arial"/>
                                <w:i/>
                                <w:sz w:val="22"/>
                                <w:szCs w:val="22"/>
                                <w:lang w:val="es-ES_tradnl" w:eastAsia="en-US"/>
                              </w:rPr>
                            </m:ctrlPr>
                          </m:fPr>
                          <m:num>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AOM</m:t>
                                </m:r>
                              </m:e>
                              <m:sub>
                                <m:r>
                                  <w:rPr>
                                    <w:rFonts w:ascii="Cambria Math" w:eastAsia="MS Mincho" w:hAnsi="Cambria Math" w:cs="Arial"/>
                                    <w:sz w:val="22"/>
                                    <w:szCs w:val="22"/>
                                    <w:lang w:val="es-ES_tradnl" w:eastAsia="en-US"/>
                                  </w:rPr>
                                  <m:t>r</m:t>
                                </m:r>
                              </m:sub>
                            </m:sSub>
                          </m:num>
                          <m:den>
                            <m:r>
                              <m:rPr>
                                <m:sty m:val="p"/>
                              </m:rPr>
                              <w:rPr>
                                <w:rFonts w:ascii="Cambria Math" w:eastAsia="MS Mincho" w:hAnsi="Cambria Math" w:cs="Arial"/>
                                <w:sz w:val="22"/>
                                <w:szCs w:val="22"/>
                                <w:lang w:val="es-ES_tradnl" w:eastAsia="en-US"/>
                              </w:rPr>
                              <m:t>BRAN</m:t>
                            </m:r>
                          </m:den>
                        </m:f>
                      </m:e>
                    </m:d>
                  </m:oMath>
                  <w:r w:rsidRPr="00CB3BEE">
                    <w:rPr>
                      <w:rFonts w:ascii="Bookman Old Style" w:eastAsia="MS Mincho" w:hAnsi="Bookman Old Style"/>
                      <w:lang w:val="es-ES_tradnl" w:eastAsia="en-US"/>
                    </w:rPr>
                    <w:t xml:space="preserve"> al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según la clasificación dada al mismo municipio por grupo G y considerando la metodología M correspondiente a 3,  conforme a la siguiente tabla:</w:t>
                  </w:r>
                </w:p>
                <w:p w:rsidR="004333D1" w:rsidRDefault="004333D1" w:rsidP="004739C3">
                  <w:pPr>
                    <w:ind w:left="0" w:right="-1"/>
                    <w:jc w:val="both"/>
                    <w:rPr>
                      <w:rFonts w:ascii="Bookman Old Style" w:eastAsia="MS Mincho" w:hAnsi="Bookman Old Style"/>
                      <w:lang w:val="es-ES_tradnl" w:eastAsia="en-US"/>
                    </w:rPr>
                  </w:pPr>
                </w:p>
                <w:p w:rsidR="004333D1" w:rsidRPr="00CB3BEE" w:rsidRDefault="004333D1" w:rsidP="004739C3">
                  <w:pPr>
                    <w:ind w:left="0" w:right="-1"/>
                    <w:jc w:val="both"/>
                    <w:rPr>
                      <w:rFonts w:ascii="Bookman Old Style" w:eastAsia="MS Mincho" w:hAnsi="Bookman Old Style"/>
                      <w:lang w:val="es-ES_tradnl" w:eastAsia="en-US"/>
                    </w:rPr>
                  </w:pPr>
                </w:p>
                <w:p w:rsidR="00436CBA" w:rsidRPr="00CB3BEE" w:rsidRDefault="00436CBA" w:rsidP="004739C3">
                  <w:pPr>
                    <w:ind w:left="0" w:right="-1"/>
                    <w:jc w:val="both"/>
                    <w:rPr>
                      <w:rFonts w:ascii="Bookman Old Style" w:eastAsia="MS Mincho" w:hAnsi="Bookman Old Style"/>
                      <w:lang w:val="es-ES_tradnl" w:eastAsia="en-US"/>
                    </w:rPr>
                  </w:pPr>
                </w:p>
                <w:tbl>
                  <w:tblPr>
                    <w:tblW w:w="4993" w:type="dxa"/>
                    <w:tblLayout w:type="fixed"/>
                    <w:tblCellMar>
                      <w:left w:w="70" w:type="dxa"/>
                      <w:right w:w="70" w:type="dxa"/>
                    </w:tblCellMar>
                    <w:tblLook w:val="04A0" w:firstRow="1" w:lastRow="0" w:firstColumn="1" w:lastColumn="0" w:noHBand="0" w:noVBand="1"/>
                  </w:tblPr>
                  <w:tblGrid>
                    <w:gridCol w:w="1166"/>
                    <w:gridCol w:w="1701"/>
                    <w:gridCol w:w="2126"/>
                  </w:tblGrid>
                  <w:tr w:rsidR="00436CBA" w:rsidRPr="00AC7842" w:rsidTr="004739C3">
                    <w:trPr>
                      <w:trHeight w:val="615"/>
                    </w:trPr>
                    <w:tc>
                      <w:tcPr>
                        <w:tcW w:w="11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6CBA" w:rsidRPr="000E41E3" w:rsidRDefault="00436CBA"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 xml:space="preserve">Grupo </w:t>
                        </w:r>
                      </w:p>
                      <w:p w:rsidR="00436CBA" w:rsidRPr="000E41E3" w:rsidRDefault="00436CBA"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36CBA" w:rsidRPr="000E41E3" w:rsidRDefault="00436CBA"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436CBA" w:rsidRPr="00535AB1" w:rsidRDefault="003E42EC" w:rsidP="004739C3">
                        <w:pPr>
                          <w:ind w:left="0" w:right="-1"/>
                          <w:rPr>
                            <w:rFonts w:ascii="Bookman Old Style" w:eastAsia="MS Mincho" w:hAnsi="Bookman Old Style"/>
                            <w:b/>
                            <w:sz w:val="22"/>
                            <w:lang w:val="es-ES_tradnl" w:eastAsia="en-US"/>
                          </w:rPr>
                        </w:pPr>
                        <m:oMathPara>
                          <m:oMath>
                            <m:sSub>
                              <m:sSubPr>
                                <m:ctrlPr>
                                  <w:rPr>
                                    <w:rFonts w:ascii="Cambria Math" w:eastAsia="MS Mincho" w:hAnsi="Cambria Math"/>
                                    <w:b/>
                                    <w:sz w:val="20"/>
                                    <w:lang w:val="es-ES_tradnl" w:eastAsia="en-US"/>
                                  </w:rPr>
                                </m:ctrlPr>
                              </m:sSubPr>
                              <m:e>
                                <m:d>
                                  <m:dPr>
                                    <m:ctrlPr>
                                      <w:rPr>
                                        <w:rFonts w:ascii="Cambria Math" w:eastAsia="MS Mincho" w:hAnsi="Cambria Math"/>
                                        <w:b/>
                                        <w:sz w:val="20"/>
                                        <w:lang w:val="es-ES_tradnl" w:eastAsia="en-US"/>
                                      </w:rPr>
                                    </m:ctrlPr>
                                  </m:dPr>
                                  <m:e>
                                    <m:f>
                                      <m:fPr>
                                        <m:ctrlPr>
                                          <w:rPr>
                                            <w:rFonts w:ascii="Cambria Math" w:eastAsia="MS Mincho" w:hAnsi="Cambria Math"/>
                                            <w:b/>
                                            <w:sz w:val="20"/>
                                            <w:lang w:val="es-ES_tradnl" w:eastAsia="en-US"/>
                                          </w:rPr>
                                        </m:ctrlPr>
                                      </m:fPr>
                                      <m:num>
                                        <m:r>
                                          <m:rPr>
                                            <m:sty m:val="b"/>
                                          </m:rPr>
                                          <w:rPr>
                                            <w:rFonts w:ascii="Cambria Math" w:eastAsia="MS Mincho" w:hAnsi="Cambria Math"/>
                                            <w:sz w:val="20"/>
                                            <w:lang w:val="es-ES_tradnl" w:eastAsia="en-US"/>
                                          </w:rPr>
                                          <m:t>A</m:t>
                                        </m:r>
                                        <m:sSub>
                                          <m:sSubPr>
                                            <m:ctrlPr>
                                              <w:rPr>
                                                <w:rFonts w:ascii="Cambria Math" w:eastAsia="MS Mincho" w:hAnsi="Cambria Math"/>
                                                <w:b/>
                                                <w:sz w:val="20"/>
                                                <w:lang w:val="es-ES_tradnl" w:eastAsia="en-US"/>
                                              </w:rPr>
                                            </m:ctrlPr>
                                          </m:sSubPr>
                                          <m:e>
                                            <m:r>
                                              <m:rPr>
                                                <m:sty m:val="b"/>
                                              </m:rPr>
                                              <w:rPr>
                                                <w:rFonts w:ascii="Cambria Math" w:eastAsia="MS Mincho" w:hAnsi="Cambria Math"/>
                                                <w:sz w:val="20"/>
                                                <w:lang w:val="es-ES_tradnl" w:eastAsia="en-US"/>
                                              </w:rPr>
                                              <m:t>OM</m:t>
                                            </m:r>
                                          </m:e>
                                          <m:sub>
                                            <m:r>
                                              <m:rPr>
                                                <m:sty m:val="bi"/>
                                              </m:rPr>
                                              <w:rPr>
                                                <w:rFonts w:ascii="Cambria Math" w:eastAsia="MS Mincho" w:hAnsi="Cambria Math"/>
                                                <w:sz w:val="20"/>
                                                <w:lang w:val="es-ES_tradnl" w:eastAsia="en-US"/>
                                              </w:rPr>
                                              <m:t>r</m:t>
                                            </m:r>
                                          </m:sub>
                                        </m:sSub>
                                      </m:num>
                                      <m:den>
                                        <m:r>
                                          <m:rPr>
                                            <m:sty m:val="b"/>
                                          </m:rPr>
                                          <w:rPr>
                                            <w:rFonts w:ascii="Cambria Math" w:eastAsia="MS Mincho" w:hAnsi="Cambria Math"/>
                                            <w:sz w:val="20"/>
                                            <w:lang w:val="es-ES_tradnl" w:eastAsia="en-US"/>
                                          </w:rPr>
                                          <m:t>BRAN</m:t>
                                        </m:r>
                                      </m:den>
                                    </m:f>
                                  </m:e>
                                </m:d>
                              </m:e>
                              <m:sub>
                                <m:eqArr>
                                  <m:eqArrPr>
                                    <m:ctrlPr>
                                      <w:rPr>
                                        <w:rFonts w:ascii="Cambria Math" w:eastAsia="MS Mincho" w:hAnsi="Cambria Math"/>
                                        <w:b/>
                                        <w:i/>
                                        <w:sz w:val="20"/>
                                        <w:lang w:val="es-ES_tradnl" w:eastAsia="en-US"/>
                                      </w:rPr>
                                    </m:ctrlPr>
                                  </m:eqArrPr>
                                  <m:e>
                                    <m:r>
                                      <m:rPr>
                                        <m:sty m:val="bi"/>
                                      </m:rPr>
                                      <w:rPr>
                                        <w:rFonts w:ascii="Cambria Math" w:eastAsia="MS Mincho" w:hAnsi="Cambria Math"/>
                                        <w:sz w:val="20"/>
                                        <w:lang w:val="es-ES_tradnl" w:eastAsia="en-US"/>
                                      </w:rPr>
                                      <m:t>estimado</m:t>
                                    </m:r>
                                  </m:e>
                                  <m:e>
                                    <m:r>
                                      <m:rPr>
                                        <m:sty m:val="bi"/>
                                      </m:rPr>
                                      <w:rPr>
                                        <w:rFonts w:ascii="Cambria Math" w:eastAsia="MS Mincho" w:hAnsi="Cambria Math"/>
                                        <w:sz w:val="20"/>
                                        <w:lang w:val="es-ES_tradnl" w:eastAsia="en-US"/>
                                      </w:rPr>
                                      <m:t>municipio</m:t>
                                    </m:r>
                                    <m:r>
                                      <m:rPr>
                                        <m:sty m:val="b"/>
                                      </m:rPr>
                                      <w:rPr>
                                        <w:rFonts w:ascii="Cambria Math" w:eastAsia="MS Mincho" w:hAnsi="Cambria Math" w:hint="eastAsia"/>
                                        <w:sz w:val="20"/>
                                        <w:lang w:val="es-ES_tradnl" w:eastAsia="en-US"/>
                                      </w:rPr>
                                      <m:t xml:space="preserve"> </m:t>
                                    </m:r>
                                    <m:r>
                                      <m:rPr>
                                        <m:sty m:val="bi"/>
                                      </m:rPr>
                                      <w:rPr>
                                        <w:rFonts w:ascii="Cambria Math" w:eastAsia="MS Mincho" w:hAnsi="Cambria Math"/>
                                        <w:sz w:val="20"/>
                                        <w:lang w:val="es-ES_tradnl" w:eastAsia="en-US"/>
                                      </w:rPr>
                                      <m:t xml:space="preserve"> G,M</m:t>
                                    </m:r>
                                  </m:e>
                                </m:eqArr>
                              </m:sub>
                            </m:sSub>
                          </m:oMath>
                        </m:oMathPara>
                      </w:p>
                    </w:tc>
                  </w:tr>
                  <w:tr w:rsidR="00436CBA" w:rsidRPr="00AC7842" w:rsidTr="004739C3">
                    <w:trPr>
                      <w:trHeight w:val="330"/>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436CBA" w:rsidRPr="000E41E3" w:rsidRDefault="00436CBA"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1</w:t>
                        </w:r>
                      </w:p>
                    </w:tc>
                    <w:tc>
                      <w:tcPr>
                        <w:tcW w:w="1701" w:type="dxa"/>
                        <w:tcBorders>
                          <w:top w:val="nil"/>
                          <w:left w:val="nil"/>
                          <w:bottom w:val="single" w:sz="8" w:space="0" w:color="auto"/>
                          <w:right w:val="single" w:sz="8" w:space="0" w:color="auto"/>
                        </w:tcBorders>
                        <w:shd w:val="clear" w:color="auto" w:fill="auto"/>
                        <w:vAlign w:val="center"/>
                        <w:hideMark/>
                      </w:tcPr>
                      <w:p w:rsidR="00436CBA" w:rsidRPr="000E41E3" w:rsidRDefault="00436CBA"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6CBA" w:rsidRPr="000E41E3" w:rsidRDefault="00436CBA"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7,68%</w:t>
                        </w:r>
                      </w:p>
                    </w:tc>
                  </w:tr>
                  <w:tr w:rsidR="00436CBA" w:rsidRPr="00AC7842" w:rsidTr="004739C3">
                    <w:trPr>
                      <w:trHeight w:val="330"/>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436CBA" w:rsidRPr="000E41E3" w:rsidRDefault="00436CBA"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2</w:t>
                        </w:r>
                      </w:p>
                    </w:tc>
                    <w:tc>
                      <w:tcPr>
                        <w:tcW w:w="1701" w:type="dxa"/>
                        <w:tcBorders>
                          <w:top w:val="nil"/>
                          <w:left w:val="nil"/>
                          <w:bottom w:val="single" w:sz="8" w:space="0" w:color="auto"/>
                          <w:right w:val="single" w:sz="8" w:space="0" w:color="auto"/>
                        </w:tcBorders>
                        <w:shd w:val="clear" w:color="auto" w:fill="auto"/>
                        <w:vAlign w:val="center"/>
                        <w:hideMark/>
                      </w:tcPr>
                      <w:p w:rsidR="00436CBA" w:rsidRPr="000E41E3" w:rsidRDefault="00436CBA"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436CBA" w:rsidRPr="000E41E3" w:rsidRDefault="00436CBA"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5,85%</w:t>
                        </w:r>
                      </w:p>
                    </w:tc>
                  </w:tr>
                  <w:tr w:rsidR="00436CBA" w:rsidRPr="00AC7842" w:rsidTr="004739C3">
                    <w:trPr>
                      <w:trHeight w:val="330"/>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436CBA" w:rsidRPr="000E41E3" w:rsidRDefault="00436CBA"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701" w:type="dxa"/>
                        <w:tcBorders>
                          <w:top w:val="nil"/>
                          <w:left w:val="nil"/>
                          <w:bottom w:val="single" w:sz="8" w:space="0" w:color="auto"/>
                          <w:right w:val="single" w:sz="8" w:space="0" w:color="auto"/>
                        </w:tcBorders>
                        <w:shd w:val="clear" w:color="auto" w:fill="auto"/>
                        <w:vAlign w:val="center"/>
                        <w:hideMark/>
                      </w:tcPr>
                      <w:p w:rsidR="00436CBA" w:rsidRPr="000E41E3" w:rsidRDefault="00436CBA"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436CBA" w:rsidRPr="000E41E3" w:rsidRDefault="00436CBA"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6,96%</w:t>
                        </w:r>
                      </w:p>
                    </w:tc>
                  </w:tr>
                </w:tbl>
                <w:p w:rsidR="00436CBA" w:rsidRPr="00CB3BEE" w:rsidRDefault="00436CBA" w:rsidP="004739C3">
                  <w:pPr>
                    <w:ind w:left="0" w:right="-1"/>
                    <w:jc w:val="both"/>
                    <w:rPr>
                      <w:rFonts w:ascii="Bookman Old Style" w:eastAsia="MS Mincho" w:hAnsi="Bookman Old Style"/>
                      <w:lang w:val="es-ES_tradnl" w:eastAsia="en-US"/>
                    </w:rPr>
                  </w:pPr>
                </w:p>
                <w:p w:rsidR="00436CBA" w:rsidRPr="00CB3BEE" w:rsidRDefault="00436CBA" w:rsidP="004739C3">
                  <w:pPr>
                    <w:ind w:left="0" w:right="-9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 xml:space="preserve">Para los centros poblados pertenecientes a un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con prestación del servicio en la cabecera municipal se mantiene el grupo G</w:t>
                  </w:r>
                  <w:r>
                    <w:rPr>
                      <w:rFonts w:ascii="Bookman Old Style" w:eastAsia="MS Mincho" w:hAnsi="Bookman Old Style"/>
                      <w:lang w:val="es-ES_tradnl" w:eastAsia="en-US"/>
                    </w:rPr>
                    <w:t xml:space="preserve"> del municipio</w:t>
                  </w:r>
                  <w:r w:rsidRPr="00CB3BEE">
                    <w:rPr>
                      <w:rFonts w:ascii="Bookman Old Style" w:eastAsia="MS Mincho" w:hAnsi="Bookman Old Style"/>
                      <w:lang w:val="es-ES_tradnl" w:eastAsia="en-US"/>
                    </w:rPr>
                    <w:t xml:space="preserve">, cambiando la clasificación de metodología M 1 </w:t>
                  </w:r>
                  <w:r>
                    <w:rPr>
                      <w:rFonts w:ascii="Bookman Old Style" w:eastAsia="MS Mincho" w:hAnsi="Bookman Old Style"/>
                      <w:lang w:val="es-ES_tradnl" w:eastAsia="en-US"/>
                    </w:rPr>
                    <w:t>o 2 a metodología 3.</w:t>
                  </w:r>
                </w:p>
                <w:p w:rsidR="00436CBA" w:rsidRPr="00CB3BEE" w:rsidRDefault="00436CBA" w:rsidP="004739C3">
                  <w:pPr>
                    <w:ind w:left="0" w:right="-93"/>
                    <w:jc w:val="both"/>
                    <w:rPr>
                      <w:rFonts w:ascii="Bookman Old Style" w:eastAsia="MS Mincho" w:hAnsi="Bookman Old Style"/>
                      <w:lang w:val="es-ES_tradnl" w:eastAsia="en-US"/>
                    </w:rPr>
                  </w:pPr>
                </w:p>
              </w:tc>
            </w:tr>
          </w:tbl>
          <w:p w:rsidR="00436CBA" w:rsidRPr="00AC7842" w:rsidRDefault="00436CBA" w:rsidP="004739C3">
            <w:pPr>
              <w:ind w:left="0" w:right="-93"/>
              <w:jc w:val="both"/>
              <w:rPr>
                <w:rFonts w:ascii="Bookman Old Style" w:eastAsia="MS Mincho" w:hAnsi="Bookman Old Style" w:cs="Arial"/>
                <w:lang w:val="es-ES_tradnl" w:eastAsia="en-US"/>
              </w:rPr>
            </w:pPr>
          </w:p>
        </w:tc>
      </w:tr>
      <w:tr w:rsidR="00436CBA" w:rsidRPr="00AC7842" w:rsidTr="004739C3">
        <w:tc>
          <w:tcPr>
            <w:tcW w:w="2389" w:type="dxa"/>
            <w:gridSpan w:val="2"/>
          </w:tcPr>
          <w:p w:rsidR="00436CBA" w:rsidRPr="00535AB1" w:rsidRDefault="003E42EC" w:rsidP="00E40A62">
            <w:pPr>
              <w:ind w:left="28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BRAN</m:t>
                    </m:r>
                  </m:e>
                  <m:sub>
                    <m:r>
                      <w:rPr>
                        <w:rFonts w:ascii="Cambria Math" w:eastAsia="MS Mincho" w:hAnsi="Cambria Math" w:cs="Arial"/>
                        <w:sz w:val="22"/>
                        <w:lang w:val="es-ES_tradnl" w:eastAsia="en-US"/>
                      </w:rPr>
                      <m:t>k</m:t>
                    </m:r>
                  </m:sub>
                </m:sSub>
              </m:oMath>
            </m:oMathPara>
          </w:p>
        </w:tc>
        <w:tc>
          <w:tcPr>
            <w:tcW w:w="7352" w:type="dxa"/>
          </w:tcPr>
          <w:p w:rsidR="00436CBA" w:rsidRPr="00AC7842" w:rsidRDefault="00436CBA"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Base Regulatoria de Activos es la sumatoria de las inversiones reportadas en el programa de inversiones para los cinco (5) años del siguiente periodo tarifario. Esta incluye los activos inherentes a la operación y control de calidad del servicio y activos especiales, expresada en pesos de la fecha base.</w:t>
            </w:r>
          </w:p>
        </w:tc>
      </w:tr>
    </w:tbl>
    <w:p w:rsidR="00C86384" w:rsidRPr="000024C0" w:rsidRDefault="00C86384" w:rsidP="00C8638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b/>
                <w:i/>
                <w:sz w:val="20"/>
                <w:szCs w:val="22"/>
                <w:lang w:val="es-ES_tradnl" w:eastAsia="en-US"/>
              </w:rPr>
            </m:ctrlPr>
          </m:sSubPr>
          <m:e>
            <m:d>
              <m:dPr>
                <m:ctrlPr>
                  <w:rPr>
                    <w:rFonts w:ascii="Cambria Math" w:eastAsia="MS Mincho" w:hAnsi="Cambria Math" w:cs="Arial"/>
                    <w:b/>
                    <w:i/>
                    <w:sz w:val="20"/>
                    <w:szCs w:val="22"/>
                    <w:lang w:val="es-ES_tradnl" w:eastAsia="en-US"/>
                  </w:rPr>
                </m:ctrlPr>
              </m:dPr>
              <m:e>
                <m:f>
                  <m:fPr>
                    <m:ctrlPr>
                      <w:rPr>
                        <w:rFonts w:ascii="Cambria Math" w:eastAsia="MS Mincho" w:hAnsi="Cambria Math" w:cs="Arial"/>
                        <w:b/>
                        <w:i/>
                        <w:sz w:val="20"/>
                        <w:szCs w:val="22"/>
                        <w:lang w:val="es-ES_tradnl" w:eastAsia="en-US"/>
                      </w:rPr>
                    </m:ctrlPr>
                  </m:fPr>
                  <m:num>
                    <m:r>
                      <m:rPr>
                        <m:sty m:val="b"/>
                      </m:rPr>
                      <w:rPr>
                        <w:rFonts w:ascii="Cambria Math" w:eastAsia="MS Mincho" w:hAnsi="Cambria Math" w:cs="Arial"/>
                        <w:sz w:val="20"/>
                        <w:lang w:val="es-ES_tradnl" w:eastAsia="en-US"/>
                      </w:rPr>
                      <m:t>AOM</m:t>
                    </m:r>
                  </m:num>
                  <m:den>
                    <m:r>
                      <m:rPr>
                        <m:sty m:val="b"/>
                      </m:rPr>
                      <w:rPr>
                        <w:rFonts w:ascii="Cambria Math" w:eastAsia="MS Mincho" w:hAnsi="Cambria Math" w:cs="Arial"/>
                        <w:sz w:val="20"/>
                        <w:lang w:val="es-ES_tradnl" w:eastAsia="en-US"/>
                      </w:rPr>
                      <m:t>BRA</m:t>
                    </m:r>
                  </m:den>
                </m:f>
              </m:e>
            </m:d>
          </m:e>
          <m:sub>
            <m:eqArr>
              <m:eqArrPr>
                <m:ctrlPr>
                  <w:rPr>
                    <w:rFonts w:ascii="Cambria Math" w:eastAsia="MS Mincho" w:hAnsi="Cambria Math" w:cs="Arial"/>
                    <w:b/>
                    <w:i/>
                    <w:sz w:val="20"/>
                    <w:szCs w:val="22"/>
                    <w:lang w:val="es-ES_tradnl" w:eastAsia="en-US"/>
                  </w:rPr>
                </m:ctrlPr>
              </m:eqArrPr>
              <m:e>
                <m:r>
                  <m:rPr>
                    <m:sty m:val="bi"/>
                  </m:rPr>
                  <w:rPr>
                    <w:rFonts w:ascii="Cambria Math" w:eastAsia="MS Mincho" w:hAnsi="Cambria Math" w:cs="Arial"/>
                    <w:sz w:val="20"/>
                    <w:lang w:val="es-ES_tradnl" w:eastAsia="en-US"/>
                  </w:rPr>
                  <m:t>estimado</m:t>
                </m:r>
              </m:e>
              <m:e>
                <m:r>
                  <m:rPr>
                    <m:sty m:val="bi"/>
                  </m:rPr>
                  <w:rPr>
                    <w:rFonts w:ascii="Cambria Math" w:eastAsia="MS Mincho" w:hAnsi="Cambria Math" w:cs="Arial"/>
                    <w:sz w:val="20"/>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Pr>
          <w:rFonts w:ascii="Bookman Old Style" w:eastAsia="MS Mincho" w:hAnsi="Bookman Old Style" w:cs="Arial"/>
          <w:lang w:val="es-ES_tradnl" w:eastAsia="en-US"/>
        </w:rPr>
        <w:t>.</w:t>
      </w:r>
    </w:p>
    <w:p w:rsidR="00C86384" w:rsidRPr="000024C0" w:rsidRDefault="00C86384" w:rsidP="00C86384">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rsidR="00C86384" w:rsidRDefault="00C86384" w:rsidP="00C8638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rsidR="00436CBA" w:rsidRPr="000024C0" w:rsidRDefault="00436CBA" w:rsidP="00436CBA">
      <w:pPr>
        <w:spacing w:before="240" w:after="240"/>
        <w:ind w:left="0"/>
        <w:jc w:val="both"/>
        <w:rPr>
          <w:rFonts w:ascii="Bookman Old Style" w:hAnsi="Bookman Old Style"/>
          <w:lang w:eastAsia="es-CO"/>
        </w:rPr>
      </w:pPr>
      <w:r w:rsidRPr="000024C0">
        <w:rPr>
          <w:rFonts w:ascii="Bookman Old Style" w:hAnsi="Bookman Old Style"/>
          <w:lang w:eastAsia="es-CO"/>
        </w:rPr>
        <w:t xml:space="preserve">Cuando el porcentaje eficiente de gastos de AOM corresponda con el porcentaje de la relación </w:t>
      </w:r>
      <m:oMath>
        <m:f>
          <m:fPr>
            <m:ctrlPr>
              <w:rPr>
                <w:rFonts w:ascii="Cambria Math" w:hAnsi="Cambria Math"/>
                <w:lang w:eastAsia="es-CO"/>
              </w:rPr>
            </m:ctrlPr>
          </m:fPr>
          <m:num>
            <m:sSub>
              <m:sSubPr>
                <m:ctrlPr>
                  <w:rPr>
                    <w:rFonts w:ascii="Cambria Math" w:hAnsi="Cambria Math"/>
                    <w:lang w:eastAsia="es-CO"/>
                  </w:rPr>
                </m:ctrlPr>
              </m:sSubPr>
              <m:e>
                <m:r>
                  <m:rPr>
                    <m:sty m:val="p"/>
                  </m:rPr>
                  <w:rPr>
                    <w:rFonts w:ascii="Cambria Math" w:hAnsi="Cambria Math"/>
                  </w:rPr>
                  <m:t>AOM</m:t>
                </m:r>
              </m:e>
              <m:sub>
                <m:r>
                  <m:rPr>
                    <m:sty m:val="p"/>
                  </m:rPr>
                  <w:rPr>
                    <w:rFonts w:ascii="Cambria Math" w:hAnsi="Cambria Math"/>
                  </w:rPr>
                  <m:t>r</m:t>
                </m:r>
              </m:sub>
            </m:sSub>
          </m:num>
          <m:den>
            <m:r>
              <m:rPr>
                <m:sty m:val="p"/>
              </m:rPr>
              <w:rPr>
                <w:rFonts w:ascii="Cambria Math" w:hAnsi="Cambria Math"/>
              </w:rPr>
              <m:t>BRAN</m:t>
            </m:r>
          </m:den>
        </m:f>
      </m:oMath>
      <w:r w:rsidRPr="000024C0">
        <w:rPr>
          <w:rFonts w:ascii="Bookman Old Style" w:hAnsi="Bookman Old Style"/>
          <w:lang w:eastAsia="es-CO"/>
        </w:rPr>
        <w:t xml:space="preserve">, se utiliza la proyección de los gastos de AOM reportada por la empresa y ajustada conforme </w:t>
      </w:r>
      <w:r w:rsidRPr="000024C0">
        <w:rPr>
          <w:rFonts w:ascii="Bookman Old Style" w:eastAsia="MS Mincho" w:hAnsi="Bookman Old Style" w:cs="Arial"/>
          <w:lang w:val="es-ES_tradnl" w:eastAsia="en-US"/>
        </w:rPr>
        <w:t xml:space="preserve">al </w:t>
      </w:r>
      <w:r w:rsidRPr="000024C0">
        <w:rPr>
          <w:rFonts w:ascii="Bookman Old Style" w:hAnsi="Bookman Old Style"/>
          <w:lang w:eastAsia="es-CO"/>
        </w:rPr>
        <w:t>menor de los crecimientos entre el de AOM y el de la demanda para determinar los cargos de distribución.</w:t>
      </w:r>
    </w:p>
    <w:p w:rsidR="00436CBA" w:rsidRPr="000024C0" w:rsidRDefault="00436CBA" w:rsidP="00436CBA">
      <w:pPr>
        <w:spacing w:before="240" w:after="240"/>
        <w:ind w:left="0"/>
        <w:jc w:val="both"/>
        <w:rPr>
          <w:rFonts w:ascii="Bookman Old Style" w:hAnsi="Bookman Old Style"/>
          <w:lang w:val="es-ES_tradnl" w:eastAsia="en-US"/>
        </w:rPr>
      </w:pPr>
      <w:r w:rsidRPr="000024C0">
        <w:rPr>
          <w:rFonts w:ascii="Bookman Old Style" w:hAnsi="Bookman Old Style"/>
          <w:lang w:eastAsia="es-CO"/>
        </w:rPr>
        <w:t xml:space="preserve">En los casos en que el porcentaje eficiente de gastos de AOM corresponda con </w:t>
      </w:r>
      <m:oMath>
        <m:sSub>
          <m:sSubPr>
            <m:ctrlPr>
              <w:rPr>
                <w:rFonts w:ascii="Cambria Math" w:hAnsi="Cambria Math"/>
                <w:lang w:eastAsia="es-CO"/>
              </w:rPr>
            </m:ctrlPr>
          </m:sSubPr>
          <m:e>
            <m:r>
              <m:rPr>
                <m:sty m:val="p"/>
              </m:rPr>
              <w:rPr>
                <w:rFonts w:ascii="Cambria Math" w:hAnsi="Cambria Math"/>
              </w:rPr>
              <m:t>AOM</m:t>
            </m:r>
          </m:e>
          <m:sub>
            <m:func>
              <m:funcPr>
                <m:ctrlPr>
                  <w:rPr>
                    <w:rFonts w:ascii="Cambria Math" w:hAnsi="Cambria Math"/>
                    <w:lang w:eastAsia="es-CO"/>
                  </w:rPr>
                </m:ctrlPr>
              </m:funcPr>
              <m:fName>
                <m:r>
                  <m:rPr>
                    <m:sty m:val="p"/>
                  </m:rPr>
                  <w:rPr>
                    <w:rFonts w:ascii="Cambria Math" w:hAnsi="Cambria Math"/>
                  </w:rPr>
                  <m:t>max</m:t>
                </m:r>
              </m:fName>
              <m:e>
                <m:r>
                  <m:rPr>
                    <m:sty m:val="p"/>
                  </m:rPr>
                  <w:rPr>
                    <w:rFonts w:ascii="Cambria Math" w:hAnsi="Cambria Math"/>
                  </w:rPr>
                  <m:t xml:space="preserve"> reconocer</m:t>
                </m:r>
              </m:e>
            </m:func>
          </m:sub>
        </m:sSub>
        <m:r>
          <m:rPr>
            <m:sty m:val="p"/>
          </m:rPr>
          <w:rPr>
            <w:rFonts w:ascii="Cambria Math" w:hAnsi="Cambria Math"/>
          </w:rPr>
          <m:t xml:space="preserve"> </m:t>
        </m:r>
      </m:oMath>
      <w:r w:rsidRPr="000024C0">
        <w:rPr>
          <w:rFonts w:ascii="Bookman Old Style" w:hAnsi="Bookman Old Style"/>
          <w:lang w:eastAsia="es-CO"/>
        </w:rPr>
        <w:t>, se multiplica el gasto de AOM proyectado para cada uno de los años, reportado por la empresa y ajustado conforme al menor de los crecimientos entre el de AOM y el de la demanda, por el siguiente factor:</w:t>
      </w:r>
    </w:p>
    <w:p w:rsidR="00436CBA" w:rsidRPr="00535AB1" w:rsidRDefault="003E42EC" w:rsidP="00436CBA">
      <w:pPr>
        <w:spacing w:before="240" w:after="240"/>
        <w:ind w:left="0"/>
        <w:jc w:val="center"/>
        <w:rPr>
          <w:rFonts w:ascii="Bookman Old Style" w:hAnsi="Bookman Old Style" w:cs="Arial"/>
          <w:sz w:val="28"/>
          <w:lang w:val="es-ES_tradnl" w:eastAsia="en-US"/>
        </w:rPr>
      </w:pPr>
      <m:oMathPara>
        <m:oMath>
          <m:sSub>
            <m:sSubPr>
              <m:ctrlPr>
                <w:rPr>
                  <w:rFonts w:ascii="Cambria Math" w:hAnsi="Cambria Math"/>
                  <w:sz w:val="28"/>
                  <w:lang w:val="es-ES_tradnl" w:eastAsia="en-US"/>
                </w:rPr>
              </m:ctrlPr>
            </m:sSubPr>
            <m:e>
              <m:r>
                <m:rPr>
                  <m:sty m:val="p"/>
                </m:rPr>
                <w:rPr>
                  <w:rFonts w:ascii="Cambria Math" w:hAnsi="Cambria Math"/>
                  <w:sz w:val="28"/>
                  <w:lang w:val="es-ES_tradnl" w:eastAsia="en-US"/>
                </w:rPr>
                <m:t>%FA</m:t>
              </m:r>
            </m:e>
            <m:sub>
              <m:r>
                <m:rPr>
                  <m:sty m:val="p"/>
                </m:rPr>
                <w:rPr>
                  <w:rFonts w:ascii="Cambria Math" w:hAnsi="Cambria Math"/>
                  <w:sz w:val="28"/>
                  <w:lang w:val="es-ES_tradnl" w:eastAsia="en-US"/>
                </w:rPr>
                <m:t>proyecci</m:t>
              </m:r>
              <m:r>
                <m:rPr>
                  <m:sty m:val="p"/>
                </m:rPr>
                <w:rPr>
                  <w:rFonts w:ascii="Cambria Math" w:hAnsi="Cambria Math" w:hint="eastAsia"/>
                  <w:sz w:val="28"/>
                  <w:lang w:val="es-ES_tradnl" w:eastAsia="en-US"/>
                </w:rPr>
                <m:t>ó</m:t>
              </m:r>
              <m:r>
                <m:rPr>
                  <m:sty m:val="p"/>
                </m:rPr>
                <w:rPr>
                  <w:rFonts w:ascii="Cambria Math" w:hAnsi="Cambria Math"/>
                  <w:sz w:val="28"/>
                  <w:lang w:val="es-ES_tradnl" w:eastAsia="en-US"/>
                </w:rPr>
                <m:t>n AOM</m:t>
              </m:r>
            </m:sub>
          </m:sSub>
          <m:r>
            <m:rPr>
              <m:sty m:val="p"/>
            </m:rPr>
            <w:rPr>
              <w:rFonts w:ascii="Cambria Math" w:hAnsi="Cambria Math"/>
              <w:sz w:val="28"/>
              <w:lang w:val="es-ES_tradnl" w:eastAsia="en-US"/>
            </w:rPr>
            <m:t>=</m:t>
          </m:r>
          <m:f>
            <m:fPr>
              <m:ctrlPr>
                <w:rPr>
                  <w:rFonts w:ascii="Cambria Math" w:hAnsi="Cambria Math"/>
                  <w:sz w:val="28"/>
                  <w:lang w:val="es-ES_tradnl" w:eastAsia="en-US"/>
                </w:rPr>
              </m:ctrlPr>
            </m:fPr>
            <m:num>
              <m:sSub>
                <m:sSubPr>
                  <m:ctrlPr>
                    <w:rPr>
                      <w:rFonts w:ascii="Cambria Math" w:eastAsia="MS Mincho" w:hAnsi="Cambria Math" w:cs="Arial"/>
                      <w:sz w:val="28"/>
                      <w:lang w:val="es-ES_tradnl" w:eastAsia="en-US"/>
                    </w:rPr>
                  </m:ctrlPr>
                </m:sSubPr>
                <m:e>
                  <m:r>
                    <m:rPr>
                      <m:sty m:val="p"/>
                    </m:rPr>
                    <w:rPr>
                      <w:rFonts w:ascii="Cambria Math" w:eastAsia="MS Mincho" w:hAnsi="Cambria Math" w:cs="Arial"/>
                      <w:sz w:val="28"/>
                      <w:lang w:val="es-ES_tradnl" w:eastAsia="en-US"/>
                    </w:rPr>
                    <m:t>%AOM</m:t>
                  </m:r>
                </m:e>
                <m:sub>
                  <m:r>
                    <m:rPr>
                      <m:sty m:val="p"/>
                    </m:rPr>
                    <w:rPr>
                      <w:rFonts w:ascii="Cambria Math" w:eastAsia="MS Mincho" w:hAnsi="Cambria Math" w:cs="Arial"/>
                      <w:sz w:val="28"/>
                      <w:lang w:val="es-ES_tradnl" w:eastAsia="en-US"/>
                    </w:rPr>
                    <m:t>eficiente</m:t>
                  </m:r>
                </m:sub>
              </m:sSub>
              <m:r>
                <m:rPr>
                  <m:sty m:val="p"/>
                </m:rPr>
                <w:rPr>
                  <w:rFonts w:ascii="Cambria Math" w:hAnsi="Cambria Math" w:hint="eastAsia"/>
                  <w:sz w:val="28"/>
                  <w:lang w:val="es-ES_tradnl" w:eastAsia="en-US"/>
                </w:rPr>
                <m:t>×</m:t>
              </m:r>
              <m:sSub>
                <m:sSubPr>
                  <m:ctrlPr>
                    <w:rPr>
                      <w:rFonts w:ascii="Cambria Math" w:hAnsi="Cambria Math"/>
                      <w:sz w:val="28"/>
                      <w:lang w:val="es-ES_tradnl" w:eastAsia="en-US"/>
                    </w:rPr>
                  </m:ctrlPr>
                </m:sSubPr>
                <m:e>
                  <m:r>
                    <m:rPr>
                      <m:sty m:val="p"/>
                    </m:rPr>
                    <w:rPr>
                      <w:rFonts w:ascii="Cambria Math" w:hAnsi="Cambria Math"/>
                      <w:sz w:val="28"/>
                      <w:lang w:val="es-ES_tradnl" w:eastAsia="en-US"/>
                    </w:rPr>
                    <m:t>BRAN</m:t>
                  </m:r>
                </m:e>
                <m:sub>
                  <m:r>
                    <w:rPr>
                      <w:rFonts w:ascii="Cambria Math" w:hAnsi="Cambria Math"/>
                      <w:sz w:val="28"/>
                      <w:lang w:val="es-ES_tradnl" w:eastAsia="en-US"/>
                    </w:rPr>
                    <m:t>k</m:t>
                  </m:r>
                </m:sub>
              </m:sSub>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den>
          </m:f>
        </m:oMath>
      </m:oMathPara>
    </w:p>
    <w:p w:rsidR="00675DB2" w:rsidRPr="001954E9" w:rsidRDefault="00014E2E" w:rsidP="008C4452">
      <w:pPr>
        <w:ind w:left="0" w:right="-91"/>
        <w:contextualSpacing/>
        <w:jc w:val="both"/>
        <w:rPr>
          <w:rFonts w:ascii="Bookman Old Style" w:eastAsia="Calibri" w:hAnsi="Bookman Old Style" w:cs="Arial"/>
          <w:lang w:eastAsia="en-US"/>
        </w:rPr>
      </w:pPr>
      <w:r w:rsidRPr="001954E9">
        <w:rPr>
          <w:rFonts w:ascii="Bookman Old Style" w:eastAsia="Calibri" w:hAnsi="Bookman Old Style" w:cs="Arial"/>
          <w:lang w:eastAsia="en-US"/>
        </w:rPr>
        <w:t>L</w:t>
      </w:r>
      <w:r w:rsidR="009F492A"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permite</w:t>
      </w:r>
      <w:r w:rsidR="008C4452" w:rsidRPr="001954E9">
        <w:rPr>
          <w:rFonts w:ascii="Bookman Old Style" w:eastAsia="Calibri" w:hAnsi="Bookman Old Style" w:cs="Arial"/>
          <w:lang w:eastAsia="en-US"/>
        </w:rPr>
        <w:t xml:space="preserve">: i) </w:t>
      </w:r>
      <w:r w:rsidR="004F759A" w:rsidRPr="001954E9">
        <w:rPr>
          <w:rFonts w:ascii="Bookman Old Style" w:eastAsia="Calibri" w:hAnsi="Bookman Old Style" w:cs="Arial"/>
          <w:lang w:eastAsia="en-US"/>
        </w:rPr>
        <w:t>reducir</w:t>
      </w:r>
      <w:r w:rsidR="008C4452" w:rsidRPr="001954E9">
        <w:rPr>
          <w:rFonts w:ascii="Bookman Old Style" w:eastAsia="Calibri" w:hAnsi="Bookman Old Style" w:cs="Arial"/>
          <w:lang w:eastAsia="en-US"/>
        </w:rPr>
        <w:t xml:space="preserve"> las asimetrías en la informaci</w:t>
      </w:r>
      <w:r w:rsidR="004F759A" w:rsidRPr="001954E9">
        <w:rPr>
          <w:rFonts w:ascii="Bookman Old Style" w:eastAsia="Calibri" w:hAnsi="Bookman Old Style" w:cs="Arial"/>
          <w:lang w:eastAsia="en-US"/>
        </w:rPr>
        <w:t>ón existentes</w:t>
      </w:r>
      <w:r w:rsidR="008C4452" w:rsidRPr="001954E9">
        <w:rPr>
          <w:rFonts w:ascii="Bookman Old Style" w:eastAsia="Calibri" w:hAnsi="Bookman Old Style" w:cs="Arial"/>
          <w:lang w:eastAsia="en-US"/>
        </w:rPr>
        <w:t xml:space="preserve"> con respecto a </w:t>
      </w:r>
      <w:r w:rsidR="00321E6C" w:rsidRPr="001954E9">
        <w:rPr>
          <w:rFonts w:ascii="Bookman Old Style" w:eastAsia="Calibri" w:hAnsi="Bookman Old Style" w:cs="Arial"/>
          <w:lang w:eastAsia="en-US"/>
        </w:rPr>
        <w:t xml:space="preserve">los </w:t>
      </w:r>
      <w:r w:rsidR="008C4452" w:rsidRPr="001954E9">
        <w:rPr>
          <w:rFonts w:ascii="Bookman Old Style" w:eastAsia="Calibri" w:hAnsi="Bookman Old Style" w:cs="Arial"/>
          <w:lang w:eastAsia="en-US"/>
        </w:rPr>
        <w:t xml:space="preserve">gastos de AOM; ii) </w:t>
      </w:r>
      <w:r w:rsidR="004F759A" w:rsidRPr="001954E9">
        <w:rPr>
          <w:rFonts w:ascii="Bookman Old Style" w:eastAsia="Calibri" w:hAnsi="Bookman Old Style" w:cs="Arial"/>
          <w:lang w:eastAsia="en-US"/>
        </w:rPr>
        <w:t>establecer</w:t>
      </w:r>
      <w:r w:rsidR="00321E6C" w:rsidRPr="001954E9">
        <w:rPr>
          <w:rFonts w:ascii="Bookman Old Style" w:eastAsia="Calibri" w:hAnsi="Bookman Old Style" w:cs="Arial"/>
          <w:lang w:eastAsia="en-US"/>
        </w:rPr>
        <w:t xml:space="preserve"> un valor eficiente de gastos de AOM</w:t>
      </w:r>
      <w:r w:rsidR="00CA227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 xml:space="preserve">teniendo en cuenta </w:t>
      </w:r>
      <w:r w:rsidR="00321E6C" w:rsidRPr="001954E9">
        <w:rPr>
          <w:rFonts w:ascii="Bookman Old Style" w:eastAsia="Calibri" w:hAnsi="Bookman Old Style" w:cs="Arial"/>
          <w:lang w:eastAsia="en-US"/>
        </w:rPr>
        <w:t xml:space="preserve">los gastos eficientes reconocidos propios y de otras empresas comparables en la misma actividad,; iii) </w:t>
      </w:r>
      <w:r w:rsidR="004F759A" w:rsidRPr="001954E9">
        <w:rPr>
          <w:rFonts w:ascii="Bookman Old Style" w:eastAsia="Calibri" w:hAnsi="Bookman Old Style" w:cs="Arial"/>
          <w:lang w:eastAsia="en-US"/>
        </w:rPr>
        <w:t>limitar que dentro de los cargos aprobados se traslade la gestión ineficiente de los agentes, en particular con la posibilidad de incorporar costos y gastos que no se encuentren relacionados con la prestación del servicio público domiciliario y en este caso, la actividad de distribución de gas combustible</w:t>
      </w:r>
      <w:r w:rsidR="00243DE3" w:rsidRPr="001954E9">
        <w:rPr>
          <w:rFonts w:ascii="Bookman Old Style" w:eastAsia="Calibri" w:hAnsi="Bookman Old Style" w:cs="Arial"/>
          <w:lang w:eastAsia="en-US"/>
        </w:rPr>
        <w:t xml:space="preserve"> (i.e.</w:t>
      </w:r>
      <w:r w:rsidR="004F759A" w:rsidRPr="001954E9">
        <w:rPr>
          <w:rFonts w:ascii="Bookman Old Style" w:eastAsia="Calibri" w:hAnsi="Bookman Old Style" w:cs="Arial"/>
          <w:lang w:eastAsia="en-US"/>
        </w:rPr>
        <w:t xml:space="preserve"> </w:t>
      </w:r>
      <w:r w:rsidR="00321E6C" w:rsidRPr="001954E9">
        <w:rPr>
          <w:rFonts w:ascii="Bookman Old Style" w:eastAsia="Calibri" w:hAnsi="Bookman Old Style" w:cs="Arial"/>
          <w:lang w:eastAsia="en-US"/>
        </w:rPr>
        <w:t>los costos y gastos reflejados en la información contable de las empresas son objeto de análisis por parte de la Comisión en el marco del criterio de eficiencia</w:t>
      </w:r>
      <w:r w:rsidR="004F759A" w:rsidRPr="001954E9">
        <w:rPr>
          <w:rFonts w:ascii="Bookman Old Style" w:eastAsia="Calibri" w:hAnsi="Bookman Old Style" w:cs="Arial"/>
          <w:lang w:eastAsia="en-US"/>
        </w:rPr>
        <w:t xml:space="preserve">, razón por la cual, estos </w:t>
      </w:r>
      <w:r w:rsidR="00321E6C" w:rsidRPr="001954E9">
        <w:rPr>
          <w:rFonts w:ascii="Bookman Old Style" w:eastAsia="Calibri" w:hAnsi="Bookman Old Style" w:cs="Arial"/>
          <w:lang w:eastAsia="en-US"/>
        </w:rPr>
        <w:t xml:space="preserve">no corresponden </w:t>
      </w:r>
      <w:r w:rsidR="004F759A" w:rsidRPr="001954E9">
        <w:rPr>
          <w:rFonts w:ascii="Bookman Old Style" w:eastAsia="Calibri" w:hAnsi="Bookman Old Style" w:cs="Arial"/>
          <w:lang w:eastAsia="en-US"/>
        </w:rPr>
        <w:t xml:space="preserve">directamente </w:t>
      </w:r>
      <w:r w:rsidR="00321E6C" w:rsidRPr="001954E9">
        <w:rPr>
          <w:rFonts w:ascii="Bookman Old Style" w:eastAsia="Calibri" w:hAnsi="Bookman Old Style" w:cs="Arial"/>
          <w:lang w:eastAsia="en-US"/>
        </w:rPr>
        <w:t>a los costos y gastos eficientes dentro de la prestaci</w:t>
      </w:r>
      <w:r w:rsidR="004F759A" w:rsidRPr="001954E9">
        <w:rPr>
          <w:rFonts w:ascii="Bookman Old Style" w:eastAsia="Calibri" w:hAnsi="Bookman Old Style" w:cs="Arial"/>
          <w:lang w:eastAsia="en-US"/>
        </w:rPr>
        <w:t>ón del servicio</w:t>
      </w:r>
      <w:r w:rsidR="00243DE3" w:rsidRPr="001954E9">
        <w:rPr>
          <w:rFonts w:ascii="Bookman Old Style" w:eastAsia="Calibri" w:hAnsi="Bookman Old Style" w:cs="Arial"/>
          <w:lang w:eastAsia="en-US"/>
        </w:rPr>
        <w:t>)</w:t>
      </w:r>
      <w:r w:rsidRPr="001954E9">
        <w:rPr>
          <w:rFonts w:ascii="Bookman Old Style" w:eastAsia="Calibri" w:hAnsi="Bookman Old Style" w:cs="Arial"/>
          <w:lang w:eastAsia="en-US"/>
        </w:rPr>
        <w:t xml:space="preserve">; iv) </w:t>
      </w:r>
      <w:r w:rsidR="004F759A" w:rsidRPr="001954E9">
        <w:rPr>
          <w:rFonts w:ascii="Bookman Old Style" w:eastAsia="Calibri" w:hAnsi="Bookman Old Style" w:cs="Arial"/>
          <w:lang w:eastAsia="en-US"/>
        </w:rPr>
        <w:t>garantizar</w:t>
      </w:r>
      <w:r w:rsidR="008C4452"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que la decisión que apruebe los cargos se haga atendiendo parámetros de eficiencia, atendiendo motivos comprobables en</w:t>
      </w:r>
      <w:r w:rsidR="0073055C" w:rsidRPr="001954E9">
        <w:rPr>
          <w:rFonts w:ascii="Bookman Old Style" w:eastAsia="Calibri" w:hAnsi="Bookman Old Style" w:cs="Arial"/>
          <w:lang w:eastAsia="en-US"/>
        </w:rPr>
        <w:t xml:space="preserve"> el marco de la Ley 142 de 1994</w:t>
      </w:r>
      <w:r w:rsidR="008C4452" w:rsidRPr="001954E9">
        <w:rPr>
          <w:rFonts w:ascii="Bookman Old Style" w:eastAsia="Calibri" w:hAnsi="Bookman Old Style" w:cs="Arial"/>
          <w:lang w:eastAsia="en-US"/>
        </w:rPr>
        <w:t>.</w:t>
      </w:r>
    </w:p>
    <w:p w:rsidR="00675DB2" w:rsidRPr="004333D1" w:rsidRDefault="00675DB2" w:rsidP="00F36B65">
      <w:pPr>
        <w:spacing w:after="200" w:line="276" w:lineRule="auto"/>
        <w:ind w:left="0" w:right="-93"/>
        <w:contextualSpacing/>
        <w:jc w:val="both"/>
        <w:rPr>
          <w:rFonts w:ascii="Bookman Old Style" w:eastAsia="Calibri" w:hAnsi="Bookman Old Style" w:cs="Arial"/>
          <w:b/>
          <w:sz w:val="22"/>
          <w:lang w:eastAsia="en-US"/>
        </w:rPr>
      </w:pPr>
    </w:p>
    <w:p w:rsidR="00831A1E" w:rsidRPr="001954E9" w:rsidRDefault="00930B12" w:rsidP="00F36B65">
      <w:pPr>
        <w:spacing w:after="200" w:line="276" w:lineRule="auto"/>
        <w:ind w:left="0" w:right="-93"/>
        <w:contextualSpacing/>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31A1E" w:rsidRPr="001954E9">
        <w:rPr>
          <w:rFonts w:ascii="Bookman Old Style" w:eastAsia="Calibri" w:hAnsi="Bookman Old Style" w:cs="Arial"/>
          <w:b/>
          <w:lang w:val="es-CO" w:eastAsia="en-US"/>
        </w:rPr>
        <w:t>.</w:t>
      </w:r>
      <w:r w:rsidR="00886F37" w:rsidRPr="001954E9">
        <w:rPr>
          <w:rFonts w:ascii="Bookman Old Style" w:eastAsia="Calibri" w:hAnsi="Bookman Old Style" w:cs="Arial"/>
          <w:b/>
          <w:lang w:val="es-CO" w:eastAsia="en-US"/>
        </w:rPr>
        <w:t xml:space="preserve">3. </w:t>
      </w:r>
      <w:r w:rsidR="00831A1E" w:rsidRPr="001954E9">
        <w:rPr>
          <w:rFonts w:ascii="Bookman Old Style" w:eastAsia="Calibri" w:hAnsi="Bookman Old Style" w:cs="Arial"/>
          <w:b/>
          <w:lang w:val="es-CO" w:eastAsia="en-US"/>
        </w:rPr>
        <w:t xml:space="preserve"> Inversi</w:t>
      </w:r>
      <w:r w:rsidR="00217844" w:rsidRPr="001954E9">
        <w:rPr>
          <w:rFonts w:ascii="Bookman Old Style" w:eastAsia="Calibri" w:hAnsi="Bookman Old Style" w:cs="Arial"/>
          <w:b/>
          <w:lang w:val="es-CO" w:eastAsia="en-US"/>
        </w:rPr>
        <w:t>ón Base</w:t>
      </w:r>
      <w:r w:rsidR="00831A1E" w:rsidRPr="001954E9">
        <w:rPr>
          <w:rFonts w:ascii="Bookman Old Style" w:eastAsia="Calibri" w:hAnsi="Bookman Old Style" w:cs="Arial"/>
          <w:b/>
          <w:lang w:val="es-CO" w:eastAsia="en-US"/>
        </w:rPr>
        <w:t xml:space="preserve"> </w:t>
      </w:r>
    </w:p>
    <w:p w:rsidR="00831A1E" w:rsidRPr="004333D1" w:rsidRDefault="00831A1E" w:rsidP="00F36B65">
      <w:pPr>
        <w:spacing w:after="200" w:line="276" w:lineRule="auto"/>
        <w:ind w:left="0" w:right="-93"/>
        <w:contextualSpacing/>
        <w:jc w:val="both"/>
        <w:rPr>
          <w:rFonts w:ascii="Bookman Old Style" w:eastAsia="Calibri" w:hAnsi="Bookman Old Style" w:cs="Arial"/>
          <w:b/>
          <w:sz w:val="14"/>
          <w:lang w:val="es-CO" w:eastAsia="en-US"/>
        </w:rPr>
      </w:pPr>
    </w:p>
    <w:p w:rsidR="003034E2" w:rsidRPr="001954E9" w:rsidRDefault="00956824" w:rsidP="00B565E2">
      <w:pPr>
        <w:spacing w:after="200"/>
        <w:ind w:left="0" w:right="-91"/>
        <w:contextualSpacing/>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 es la que</w:t>
      </w:r>
      <w:r w:rsidR="000E7A38" w:rsidRPr="001954E9">
        <w:rPr>
          <w:rFonts w:ascii="Bookman Old Style" w:eastAsia="Calibri" w:hAnsi="Bookman Old Style" w:cs="Arial"/>
          <w:lang w:val="es-CO" w:eastAsia="en-US"/>
        </w:rPr>
        <w:t xml:space="preserve"> se reconoce en los cargos de distribución y</w:t>
      </w:r>
      <w:r w:rsidRPr="001954E9">
        <w:rPr>
          <w:rFonts w:ascii="Bookman Old Style" w:eastAsia="Calibri" w:hAnsi="Bookman Old Style" w:cs="Arial"/>
          <w:lang w:val="es-CO" w:eastAsia="en-US"/>
        </w:rPr>
        <w:t xml:space="preserve"> debe</w:t>
      </w:r>
      <w:r w:rsidR="002872ED">
        <w:rPr>
          <w:rFonts w:ascii="Bookman Old Style" w:eastAsia="Calibri" w:hAnsi="Bookman Old Style" w:cs="Arial"/>
          <w:lang w:val="es-CO" w:eastAsia="en-US"/>
        </w:rPr>
        <w:t xml:space="preserve"> </w:t>
      </w:r>
      <w:r w:rsidRPr="001954E9">
        <w:rPr>
          <w:rFonts w:ascii="Bookman Old Style" w:eastAsia="Calibri" w:hAnsi="Bookman Old Style" w:cs="Arial"/>
          <w:lang w:val="es-CO" w:eastAsia="en-US"/>
        </w:rPr>
        <w:t xml:space="preserve"> </w:t>
      </w:r>
      <w:r w:rsidR="000E7A38" w:rsidRPr="001954E9">
        <w:rPr>
          <w:rFonts w:ascii="Bookman Old Style" w:eastAsia="Calibri" w:hAnsi="Bookman Old Style" w:cs="Arial"/>
          <w:lang w:val="es-CO" w:eastAsia="en-US"/>
        </w:rPr>
        <w:t xml:space="preserve"> corresponde</w:t>
      </w:r>
      <w:r w:rsidRPr="001954E9">
        <w:rPr>
          <w:rFonts w:ascii="Bookman Old Style" w:eastAsia="Calibri" w:hAnsi="Bookman Old Style" w:cs="Arial"/>
          <w:lang w:val="es-CO" w:eastAsia="en-US"/>
        </w:rPr>
        <w:t>r</w:t>
      </w:r>
      <w:r w:rsidR="000E7A38" w:rsidRPr="001954E9">
        <w:rPr>
          <w:rFonts w:ascii="Bookman Old Style" w:eastAsia="Calibri" w:hAnsi="Bookman Old Style" w:cs="Arial"/>
          <w:lang w:val="es-CO" w:eastAsia="en-US"/>
        </w:rPr>
        <w:t xml:space="preserve"> al dimensionamiento del sistema de distribución de acuerdo con la demanda de volumen, </w:t>
      </w:r>
      <w:r w:rsidRPr="001954E9">
        <w:rPr>
          <w:rFonts w:ascii="Bookman Old Style" w:eastAsia="Calibri" w:hAnsi="Bookman Old Style" w:cs="Arial"/>
          <w:lang w:val="es-CO" w:eastAsia="en-US"/>
        </w:rPr>
        <w:t>sistema</w:t>
      </w:r>
      <w:r w:rsidR="000E7A38" w:rsidRPr="001954E9">
        <w:rPr>
          <w:rFonts w:ascii="Bookman Old Style" w:eastAsia="Calibri" w:hAnsi="Bookman Old Style" w:cs="Arial"/>
          <w:lang w:val="es-CO" w:eastAsia="en-US"/>
        </w:rPr>
        <w:t xml:space="preserve"> valorado con los costos eficientes establecidos para cada una de las unidades constructivas. </w:t>
      </w:r>
    </w:p>
    <w:p w:rsidR="003034E2" w:rsidRPr="001954E9" w:rsidRDefault="003034E2" w:rsidP="00B565E2">
      <w:pPr>
        <w:spacing w:after="200"/>
        <w:ind w:left="0" w:right="-91"/>
        <w:contextualSpacing/>
        <w:jc w:val="both"/>
        <w:rPr>
          <w:rFonts w:ascii="Bookman Old Style" w:eastAsia="Calibri" w:hAnsi="Bookman Old Style" w:cs="Arial"/>
          <w:lang w:val="es-CO" w:eastAsia="en-US"/>
        </w:rPr>
      </w:pPr>
    </w:p>
    <w:p w:rsidR="000E7A38" w:rsidRPr="001954E9" w:rsidRDefault="00217844" w:rsidP="00B565E2">
      <w:pPr>
        <w:spacing w:after="200"/>
        <w:ind w:left="0" w:right="-91"/>
        <w:contextualSpacing/>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w:t>
      </w:r>
      <w:r w:rsidR="000E7A38" w:rsidRPr="001954E9">
        <w:rPr>
          <w:rFonts w:ascii="Bookman Old Style" w:eastAsia="Calibri" w:hAnsi="Bookman Old Style" w:cs="Arial"/>
          <w:lang w:val="es-CO" w:eastAsia="en-US"/>
        </w:rPr>
        <w:t xml:space="preserve"> comprenderá</w:t>
      </w:r>
      <w:r w:rsidR="00CE2BD2">
        <w:rPr>
          <w:rFonts w:ascii="Bookman Old Style" w:eastAsia="Calibri" w:hAnsi="Bookman Old Style" w:cs="Arial"/>
          <w:lang w:val="es-CO" w:eastAsia="en-US"/>
        </w:rPr>
        <w:t>:</w:t>
      </w:r>
      <w:r w:rsidR="000E7A38" w:rsidRPr="001954E9">
        <w:rPr>
          <w:rFonts w:ascii="Bookman Old Style" w:eastAsia="Calibri" w:hAnsi="Bookman Old Style" w:cs="Arial"/>
          <w:lang w:val="es-CO" w:eastAsia="en-US"/>
        </w:rPr>
        <w:t xml:space="preserve"> </w:t>
      </w:r>
      <w:r w:rsidR="004A0540" w:rsidRPr="001954E9">
        <w:rPr>
          <w:rFonts w:ascii="Bookman Old Style" w:eastAsia="Calibri" w:hAnsi="Bookman Old Style" w:cs="Arial"/>
          <w:lang w:val="es-CO" w:eastAsia="en-US"/>
        </w:rPr>
        <w:t>a)</w:t>
      </w:r>
      <w:r w:rsidR="000E7A38" w:rsidRPr="001954E9">
        <w:rPr>
          <w:rFonts w:ascii="Bookman Old Style" w:eastAsia="Calibri" w:hAnsi="Bookman Old Style" w:cs="Arial"/>
          <w:lang w:val="es-CO" w:eastAsia="en-US"/>
        </w:rPr>
        <w:t xml:space="preserve"> activos inherentes a la operación (estaciones de puerta de ciudad, gasoductos, estaciones de regulación, accesorios entre otros), </w:t>
      </w:r>
      <w:r w:rsidR="004A0540" w:rsidRPr="001954E9">
        <w:rPr>
          <w:rFonts w:ascii="Bookman Old Style" w:eastAsia="Calibri" w:hAnsi="Bookman Old Style" w:cs="Arial"/>
          <w:lang w:val="es-CO" w:eastAsia="en-US"/>
        </w:rPr>
        <w:t xml:space="preserve">b) </w:t>
      </w:r>
      <w:r w:rsidR="000E7A38" w:rsidRPr="001954E9">
        <w:rPr>
          <w:rFonts w:ascii="Bookman Old Style" w:eastAsia="Calibri" w:hAnsi="Bookman Old Style" w:cs="Arial"/>
          <w:lang w:val="es-CO" w:eastAsia="en-US"/>
        </w:rPr>
        <w:t>otros activos (maquinaria y equipos, muebles, equipos de cómputo y comunicación, sistema de información) y</w:t>
      </w:r>
      <w:r w:rsidR="004A0540" w:rsidRPr="001954E9">
        <w:rPr>
          <w:rFonts w:ascii="Bookman Old Style" w:eastAsia="Calibri" w:hAnsi="Bookman Old Style" w:cs="Arial"/>
          <w:lang w:val="es-CO" w:eastAsia="en-US"/>
        </w:rPr>
        <w:t xml:space="preserve"> c)</w:t>
      </w:r>
      <w:r w:rsidR="000E7A38" w:rsidRPr="001954E9">
        <w:rPr>
          <w:rFonts w:ascii="Bookman Old Style" w:eastAsia="Calibri" w:hAnsi="Bookman Old Style" w:cs="Arial"/>
          <w:lang w:val="es-CO" w:eastAsia="en-US"/>
        </w:rPr>
        <w:t xml:space="preserve"> activos asociados al control de la calidad del servicio.</w:t>
      </w:r>
    </w:p>
    <w:p w:rsidR="00886F37" w:rsidRPr="001954E9" w:rsidRDefault="00886F37" w:rsidP="00B565E2">
      <w:pPr>
        <w:spacing w:after="200"/>
        <w:ind w:left="0" w:right="-91"/>
        <w:contextualSpacing/>
        <w:jc w:val="both"/>
        <w:rPr>
          <w:rFonts w:ascii="Bookman Old Style" w:eastAsia="Calibri" w:hAnsi="Bookman Old Style" w:cs="Arial"/>
          <w:lang w:val="es-CO" w:eastAsia="en-US"/>
        </w:rPr>
      </w:pPr>
    </w:p>
    <w:p w:rsidR="003034E2" w:rsidRPr="001954E9" w:rsidRDefault="00930B12" w:rsidP="00367F57">
      <w:pPr>
        <w:spacing w:after="200"/>
        <w:ind w:left="0" w:right="-91"/>
        <w:contextualSpacing/>
        <w:jc w:val="both"/>
        <w:rPr>
          <w:rFonts w:ascii="Bookman Old Style" w:eastAsia="Calibri" w:hAnsi="Bookman Old Style" w:cs="Arial"/>
          <w:b/>
          <w:lang w:val="es-CO" w:eastAsia="en-US"/>
        </w:rPr>
      </w:pPr>
      <w:r w:rsidRPr="004F009B">
        <w:rPr>
          <w:rFonts w:ascii="Bookman Old Style" w:eastAsia="Calibri" w:hAnsi="Bookman Old Style" w:cs="Arial"/>
          <w:b/>
          <w:lang w:val="es-CO" w:eastAsia="en-US"/>
        </w:rPr>
        <w:t>6</w:t>
      </w:r>
      <w:r w:rsidR="003034E2" w:rsidRPr="004F009B">
        <w:rPr>
          <w:rFonts w:ascii="Bookman Old Style" w:eastAsia="Calibri" w:hAnsi="Bookman Old Style" w:cs="Arial"/>
          <w:b/>
          <w:lang w:val="es-CO" w:eastAsia="en-US"/>
        </w:rPr>
        <w:t>.3.</w:t>
      </w:r>
      <w:r w:rsidRPr="004F009B">
        <w:rPr>
          <w:rFonts w:ascii="Bookman Old Style" w:eastAsia="Calibri" w:hAnsi="Bookman Old Style" w:cs="Arial"/>
          <w:b/>
          <w:lang w:val="es-CO" w:eastAsia="en-US"/>
        </w:rPr>
        <w:t>1</w:t>
      </w:r>
      <w:r w:rsidR="003034E2" w:rsidRPr="004F009B">
        <w:rPr>
          <w:rFonts w:ascii="Bookman Old Style" w:eastAsia="Calibri" w:hAnsi="Bookman Old Style" w:cs="Arial"/>
          <w:b/>
          <w:lang w:val="es-CO" w:eastAsia="en-US"/>
        </w:rPr>
        <w:t xml:space="preserve">. </w:t>
      </w:r>
      <w:r w:rsidR="003034E2" w:rsidRPr="004F009B">
        <w:rPr>
          <w:rFonts w:ascii="Bookman Old Style" w:hAnsi="Bookman Old Style" w:cs="Arial"/>
          <w:b/>
          <w:lang w:val="es-ES_tradnl"/>
        </w:rPr>
        <w:t>Programa de Nuevas Inversiones (IPNI)</w:t>
      </w:r>
      <w:r w:rsidR="00367F57" w:rsidRPr="004F009B">
        <w:rPr>
          <w:rFonts w:ascii="Bookman Old Style" w:hAnsi="Bookman Old Style" w:cs="Arial"/>
          <w:b/>
          <w:lang w:val="es-ES_tradnl"/>
        </w:rPr>
        <w:t>.</w:t>
      </w:r>
      <w:r w:rsidR="00367F57" w:rsidRPr="001954E9">
        <w:rPr>
          <w:rFonts w:ascii="Bookman Old Style" w:hAnsi="Bookman Old Style" w:cs="Arial"/>
          <w:b/>
          <w:lang w:val="es-ES_tradnl"/>
        </w:rPr>
        <w:t xml:space="preserve">  </w:t>
      </w:r>
      <w:r w:rsidR="00481F9A" w:rsidRPr="001954E9">
        <w:rPr>
          <w:rFonts w:ascii="Bookman Old Style" w:hAnsi="Bookman Old Style" w:cs="Arial"/>
          <w:lang w:val="es-ES_tradnl"/>
        </w:rPr>
        <w:t>E</w:t>
      </w:r>
      <w:r w:rsidR="00367F57" w:rsidRPr="001954E9">
        <w:rPr>
          <w:rFonts w:ascii="Bookman Old Style" w:hAnsi="Bookman Old Style"/>
          <w:lang w:val="es-ES_tradnl"/>
        </w:rPr>
        <w:t>s la inversión del Programa de Nuevas Inversiones que se realizará en el Siguiente Período Tarifario</w:t>
      </w:r>
      <w:r w:rsidR="00560229">
        <w:rPr>
          <w:rFonts w:ascii="Bookman Old Style" w:hAnsi="Bookman Old Style"/>
          <w:lang w:val="es-ES_tradnl"/>
        </w:rPr>
        <w:t>. E</w:t>
      </w:r>
      <w:r w:rsidR="00367F57" w:rsidRPr="001954E9">
        <w:rPr>
          <w:rFonts w:ascii="Bookman Old Style" w:hAnsi="Bookman Old Style"/>
          <w:lang w:val="es-ES_tradnl"/>
        </w:rPr>
        <w:t>st</w:t>
      </w:r>
      <w:r w:rsidR="00560229">
        <w:rPr>
          <w:rFonts w:ascii="Bookman Old Style" w:hAnsi="Bookman Old Style"/>
          <w:lang w:val="es-ES_tradnl"/>
        </w:rPr>
        <w:t>á</w:t>
      </w:r>
      <w:r w:rsidR="00367F57" w:rsidRPr="001954E9">
        <w:rPr>
          <w:rFonts w:ascii="Bookman Old Style" w:hAnsi="Bookman Old Style"/>
          <w:lang w:val="es-ES_tradnl"/>
        </w:rPr>
        <w:t xml:space="preserve"> homologada a las Unidades Constructivas definid</w:t>
      </w:r>
      <w:r w:rsidR="00481F9A" w:rsidRPr="001954E9">
        <w:rPr>
          <w:rFonts w:ascii="Bookman Old Style" w:hAnsi="Bookman Old Style"/>
          <w:lang w:val="es-ES_tradnl"/>
        </w:rPr>
        <w:t>a</w:t>
      </w:r>
      <w:r w:rsidR="00367F57" w:rsidRPr="001954E9">
        <w:rPr>
          <w:rFonts w:ascii="Bookman Old Style" w:hAnsi="Bookman Old Style"/>
          <w:lang w:val="es-ES_tradnl"/>
        </w:rPr>
        <w:t xml:space="preserve">s en el </w:t>
      </w:r>
      <w:r w:rsidR="00481F9A" w:rsidRPr="001954E9">
        <w:rPr>
          <w:rFonts w:ascii="Bookman Old Style" w:hAnsi="Bookman Old Style"/>
          <w:lang w:val="es-ES_tradnl"/>
        </w:rPr>
        <w:t>ANEXO 8 de la Resolución CREG 202 de 2013.</w:t>
      </w:r>
    </w:p>
    <w:p w:rsidR="003034E2" w:rsidRPr="001954E9" w:rsidRDefault="003034E2" w:rsidP="00A71343">
      <w:pPr>
        <w:spacing w:after="200"/>
        <w:ind w:left="0" w:right="-91"/>
        <w:contextualSpacing/>
        <w:jc w:val="both"/>
        <w:rPr>
          <w:rFonts w:ascii="Bookman Old Style" w:eastAsia="Calibri" w:hAnsi="Bookman Old Style" w:cs="Arial"/>
          <w:lang w:val="es-CO" w:eastAsia="en-US"/>
        </w:rPr>
      </w:pPr>
    </w:p>
    <w:p w:rsidR="00F417E3" w:rsidRDefault="00481F9A" w:rsidP="00880F6B">
      <w:pPr>
        <w:spacing w:after="200"/>
        <w:ind w:left="0" w:right="-91"/>
        <w:contextualSpacing/>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Teniendo en cuenta que la solicitud comprende la inclusión de municipios nuevos o que corresponde a un mercado nuevo la empresa reporta el siguiente programa de inversiones.</w:t>
      </w:r>
    </w:p>
    <w:p w:rsidR="0092412E" w:rsidRDefault="0092412E" w:rsidP="0092412E">
      <w:pPr>
        <w:spacing w:after="200"/>
        <w:ind w:left="0" w:right="-91"/>
        <w:contextualSpacing/>
        <w:jc w:val="both"/>
        <w:rPr>
          <w:rFonts w:ascii="Bookman Old Style" w:eastAsia="Calibri" w:hAnsi="Bookman Old Style" w:cs="Arial"/>
          <w:lang w:val="es-C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7"/>
        <w:gridCol w:w="1839"/>
        <w:gridCol w:w="1134"/>
        <w:gridCol w:w="1089"/>
        <w:gridCol w:w="1354"/>
        <w:gridCol w:w="1355"/>
      </w:tblGrid>
      <w:tr w:rsidR="0092412E" w:rsidRPr="00772807" w:rsidTr="007842C3">
        <w:trPr>
          <w:trHeight w:val="475"/>
          <w:jc w:val="center"/>
        </w:trPr>
        <w:tc>
          <w:tcPr>
            <w:tcW w:w="2527" w:type="dxa"/>
            <w:tcBorders>
              <w:top w:val="single" w:sz="4" w:space="0" w:color="auto"/>
              <w:left w:val="single" w:sz="4" w:space="0" w:color="auto"/>
              <w:bottom w:val="single" w:sz="4" w:space="0" w:color="auto"/>
              <w:right w:val="single" w:sz="4" w:space="0" w:color="auto"/>
            </w:tcBorders>
            <w:shd w:val="clear" w:color="auto" w:fill="D9D9D9"/>
            <w:vAlign w:val="center"/>
          </w:tcPr>
          <w:p w:rsidR="0092412E" w:rsidRPr="00A47AD0" w:rsidRDefault="0092412E" w:rsidP="004D5674">
            <w:pPr>
              <w:widowControl w:val="0"/>
              <w:adjustRightInd w:val="0"/>
              <w:ind w:left="0" w:right="20"/>
              <w:jc w:val="center"/>
              <w:rPr>
                <w:rFonts w:ascii="Bookman Old Style" w:hAnsi="Bookman Old Style" w:cs="Arial"/>
                <w:b/>
                <w:bCs/>
                <w:sz w:val="22"/>
              </w:rPr>
            </w:pPr>
            <w:r w:rsidRPr="00A47AD0">
              <w:rPr>
                <w:rFonts w:ascii="Bookman Old Style" w:hAnsi="Bookman Old Style" w:cs="Arial"/>
                <w:b/>
                <w:bCs/>
                <w:sz w:val="22"/>
              </w:rPr>
              <w:t>ACTIVOS</w:t>
            </w:r>
          </w:p>
        </w:tc>
        <w:tc>
          <w:tcPr>
            <w:tcW w:w="18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A47AD0" w:rsidRDefault="0092412E" w:rsidP="004D5674">
            <w:pPr>
              <w:widowControl w:val="0"/>
              <w:adjustRightInd w:val="0"/>
              <w:ind w:left="0" w:right="20"/>
              <w:jc w:val="center"/>
              <w:rPr>
                <w:rFonts w:ascii="Bookman Old Style" w:hAnsi="Bookman Old Style" w:cs="Arial"/>
                <w:b/>
                <w:bCs/>
                <w:sz w:val="22"/>
              </w:rPr>
            </w:pPr>
            <w:r w:rsidRPr="00A47AD0">
              <w:rPr>
                <w:rFonts w:ascii="Bookman Old Style" w:hAnsi="Bookman Old Style" w:cs="Arial"/>
                <w:b/>
                <w:bCs/>
                <w:sz w:val="22"/>
              </w:rPr>
              <w:t>AÑO 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A47AD0" w:rsidRDefault="0092412E" w:rsidP="004D5674">
            <w:pPr>
              <w:widowControl w:val="0"/>
              <w:adjustRightInd w:val="0"/>
              <w:ind w:left="0" w:right="20"/>
              <w:jc w:val="center"/>
              <w:rPr>
                <w:rFonts w:ascii="Bookman Old Style" w:hAnsi="Bookman Old Style" w:cs="Arial"/>
                <w:b/>
                <w:bCs/>
                <w:sz w:val="22"/>
              </w:rPr>
            </w:pPr>
            <w:r w:rsidRPr="00A47AD0">
              <w:rPr>
                <w:rFonts w:ascii="Bookman Old Style" w:hAnsi="Bookman Old Style" w:cs="Arial"/>
                <w:b/>
                <w:bCs/>
                <w:sz w:val="22"/>
              </w:rPr>
              <w:t>AÑO 2</w:t>
            </w:r>
          </w:p>
        </w:tc>
        <w:tc>
          <w:tcPr>
            <w:tcW w:w="10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A47AD0" w:rsidRDefault="0092412E" w:rsidP="004D5674">
            <w:pPr>
              <w:widowControl w:val="0"/>
              <w:adjustRightInd w:val="0"/>
              <w:ind w:left="0" w:right="20"/>
              <w:jc w:val="center"/>
              <w:rPr>
                <w:rFonts w:ascii="Bookman Old Style" w:hAnsi="Bookman Old Style" w:cs="Arial"/>
                <w:b/>
                <w:bCs/>
                <w:sz w:val="22"/>
              </w:rPr>
            </w:pPr>
            <w:r w:rsidRPr="00A47AD0">
              <w:rPr>
                <w:rFonts w:ascii="Bookman Old Style" w:hAnsi="Bookman Old Style" w:cs="Arial"/>
                <w:b/>
                <w:bCs/>
                <w:sz w:val="22"/>
              </w:rPr>
              <w:t>AÑO 3</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A47AD0" w:rsidRDefault="0092412E" w:rsidP="004D5674">
            <w:pPr>
              <w:widowControl w:val="0"/>
              <w:adjustRightInd w:val="0"/>
              <w:ind w:left="0" w:right="20"/>
              <w:jc w:val="center"/>
              <w:rPr>
                <w:rFonts w:ascii="Bookman Old Style" w:hAnsi="Bookman Old Style" w:cs="Arial"/>
                <w:b/>
                <w:bCs/>
                <w:sz w:val="22"/>
              </w:rPr>
            </w:pPr>
            <w:r w:rsidRPr="00A47AD0">
              <w:rPr>
                <w:rFonts w:ascii="Bookman Old Style" w:hAnsi="Bookman Old Style" w:cs="Arial"/>
                <w:b/>
                <w:bCs/>
                <w:sz w:val="22"/>
              </w:rPr>
              <w:t>AÑO 4</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412E" w:rsidRPr="00A47AD0" w:rsidRDefault="0092412E" w:rsidP="004D5674">
            <w:pPr>
              <w:widowControl w:val="0"/>
              <w:adjustRightInd w:val="0"/>
              <w:ind w:left="0" w:right="20"/>
              <w:jc w:val="center"/>
              <w:rPr>
                <w:rFonts w:ascii="Bookman Old Style" w:hAnsi="Bookman Old Style" w:cs="Arial"/>
                <w:b/>
                <w:bCs/>
                <w:sz w:val="22"/>
              </w:rPr>
            </w:pPr>
            <w:r w:rsidRPr="00A47AD0">
              <w:rPr>
                <w:rFonts w:ascii="Bookman Old Style" w:hAnsi="Bookman Old Style" w:cs="Arial"/>
                <w:b/>
                <w:bCs/>
                <w:sz w:val="22"/>
              </w:rPr>
              <w:t>AÑO 5</w:t>
            </w:r>
          </w:p>
        </w:tc>
      </w:tr>
      <w:tr w:rsidR="0092412E" w:rsidRPr="00B572CF" w:rsidTr="007842C3">
        <w:trPr>
          <w:trHeight w:val="465"/>
          <w:jc w:val="center"/>
        </w:trPr>
        <w:tc>
          <w:tcPr>
            <w:tcW w:w="2527" w:type="dxa"/>
            <w:tcBorders>
              <w:top w:val="single" w:sz="4" w:space="0" w:color="auto"/>
              <w:left w:val="single" w:sz="4" w:space="0" w:color="auto"/>
              <w:bottom w:val="single" w:sz="4" w:space="0" w:color="auto"/>
              <w:right w:val="single" w:sz="4" w:space="0" w:color="auto"/>
            </w:tcBorders>
          </w:tcPr>
          <w:p w:rsidR="0092412E" w:rsidRPr="00181DFD" w:rsidRDefault="0092412E" w:rsidP="002E5078">
            <w:pPr>
              <w:ind w:left="172"/>
              <w:rPr>
                <w:rFonts w:ascii="Bookman Old Style" w:eastAsia="Arial Unicode MS" w:hAnsi="Bookman Old Style" w:cs="Arial"/>
                <w:sz w:val="22"/>
              </w:rPr>
            </w:pPr>
            <w:r>
              <w:rPr>
                <w:rFonts w:ascii="Bookman Old Style" w:hAnsi="Bookman Old Style" w:cs="Arial"/>
                <w:sz w:val="22"/>
              </w:rPr>
              <w:t>I</w:t>
            </w:r>
            <w:r w:rsidRPr="00181DFD">
              <w:rPr>
                <w:rFonts w:ascii="Bookman Old Style" w:hAnsi="Bookman Old Style" w:cs="Arial"/>
                <w:sz w:val="22"/>
              </w:rPr>
              <w:t>nherentes a la operación</w:t>
            </w:r>
          </w:p>
        </w:tc>
        <w:tc>
          <w:tcPr>
            <w:tcW w:w="1839" w:type="dxa"/>
            <w:tcBorders>
              <w:top w:val="single" w:sz="4" w:space="0" w:color="auto"/>
              <w:left w:val="single" w:sz="4" w:space="0" w:color="auto"/>
              <w:bottom w:val="single" w:sz="4" w:space="0" w:color="auto"/>
              <w:right w:val="single" w:sz="4" w:space="0" w:color="auto"/>
            </w:tcBorders>
            <w:vAlign w:val="center"/>
          </w:tcPr>
          <w:p w:rsidR="00217C1B" w:rsidRPr="007842C3" w:rsidRDefault="00903575" w:rsidP="00347C39">
            <w:pPr>
              <w:ind w:left="635" w:hanging="641"/>
              <w:jc w:val="right"/>
              <w:rPr>
                <w:rFonts w:ascii="Bookman Old Style" w:hAnsi="Bookman Old Style" w:cs="Arial"/>
                <w:bCs/>
                <w:sz w:val="22"/>
                <w:szCs w:val="16"/>
              </w:rPr>
            </w:pPr>
            <w:r>
              <w:rPr>
                <w:rFonts w:ascii="Bookman Old Style" w:hAnsi="Bookman Old Style" w:cs="Arial"/>
                <w:bCs/>
                <w:sz w:val="22"/>
                <w:szCs w:val="16"/>
              </w:rPr>
              <w:t>957.460.279</w:t>
            </w:r>
          </w:p>
        </w:tc>
        <w:tc>
          <w:tcPr>
            <w:tcW w:w="1134" w:type="dxa"/>
            <w:tcBorders>
              <w:top w:val="single" w:sz="4" w:space="0" w:color="auto"/>
              <w:left w:val="single" w:sz="4" w:space="0" w:color="auto"/>
              <w:bottom w:val="single" w:sz="4" w:space="0" w:color="auto"/>
              <w:right w:val="single" w:sz="4" w:space="0" w:color="auto"/>
            </w:tcBorders>
            <w:vAlign w:val="center"/>
          </w:tcPr>
          <w:p w:rsidR="00347C39" w:rsidRDefault="00347C39" w:rsidP="00347C39">
            <w:pPr>
              <w:ind w:left="0"/>
              <w:jc w:val="right"/>
              <w:rPr>
                <w:rFonts w:ascii="Calibri" w:hAnsi="Calibri"/>
                <w:color w:val="000000"/>
                <w:sz w:val="16"/>
                <w:szCs w:val="16"/>
                <w:lang w:val="es-CO" w:eastAsia="es-CO"/>
              </w:rPr>
            </w:pPr>
          </w:p>
          <w:p w:rsidR="0092412E" w:rsidRDefault="0092412E" w:rsidP="00542D0D">
            <w:pPr>
              <w:ind w:left="72"/>
              <w:jc w:val="right"/>
            </w:pPr>
            <w:r w:rsidRPr="001E1C58">
              <w:rPr>
                <w:rFonts w:ascii="Bookman Old Style" w:hAnsi="Bookman Old Style" w:cs="Arial"/>
                <w:bCs/>
                <w:sz w:val="18"/>
                <w:szCs w:val="16"/>
              </w:rPr>
              <w:t>-</w:t>
            </w:r>
          </w:p>
        </w:tc>
        <w:tc>
          <w:tcPr>
            <w:tcW w:w="1089" w:type="dxa"/>
            <w:tcBorders>
              <w:top w:val="single" w:sz="4" w:space="0" w:color="auto"/>
              <w:left w:val="single" w:sz="4" w:space="0" w:color="auto"/>
              <w:bottom w:val="single" w:sz="4" w:space="0" w:color="auto"/>
              <w:right w:val="single" w:sz="4" w:space="0" w:color="auto"/>
            </w:tcBorders>
            <w:vAlign w:val="center"/>
          </w:tcPr>
          <w:p w:rsidR="0092412E" w:rsidRDefault="0092412E" w:rsidP="00542D0D">
            <w:pPr>
              <w:ind w:left="72"/>
              <w:jc w:val="right"/>
            </w:pPr>
            <w:r w:rsidRPr="001E1C58">
              <w:rPr>
                <w:rFonts w:ascii="Bookman Old Style" w:hAnsi="Bookman Old Style" w:cs="Arial"/>
                <w:bCs/>
                <w:sz w:val="18"/>
                <w:szCs w:val="16"/>
              </w:rPr>
              <w:t>-</w:t>
            </w:r>
          </w:p>
        </w:tc>
        <w:tc>
          <w:tcPr>
            <w:tcW w:w="1354" w:type="dxa"/>
            <w:tcBorders>
              <w:top w:val="single" w:sz="4" w:space="0" w:color="auto"/>
              <w:left w:val="single" w:sz="4" w:space="0" w:color="auto"/>
              <w:bottom w:val="single" w:sz="4" w:space="0" w:color="auto"/>
              <w:right w:val="single" w:sz="4" w:space="0" w:color="auto"/>
            </w:tcBorders>
            <w:vAlign w:val="center"/>
          </w:tcPr>
          <w:p w:rsidR="0092412E" w:rsidRDefault="0092412E" w:rsidP="00542D0D">
            <w:pPr>
              <w:ind w:left="72"/>
              <w:jc w:val="right"/>
            </w:pPr>
            <w:r w:rsidRPr="001E1C58">
              <w:rPr>
                <w:rFonts w:ascii="Bookman Old Style" w:hAnsi="Bookman Old Style" w:cs="Arial"/>
                <w:bCs/>
                <w:sz w:val="18"/>
                <w:szCs w:val="16"/>
              </w:rPr>
              <w:t>-</w:t>
            </w:r>
          </w:p>
        </w:tc>
        <w:tc>
          <w:tcPr>
            <w:tcW w:w="1355" w:type="dxa"/>
            <w:tcBorders>
              <w:top w:val="single" w:sz="4" w:space="0" w:color="auto"/>
              <w:left w:val="single" w:sz="4" w:space="0" w:color="auto"/>
              <w:bottom w:val="single" w:sz="4" w:space="0" w:color="auto"/>
              <w:right w:val="single" w:sz="4" w:space="0" w:color="auto"/>
            </w:tcBorders>
            <w:vAlign w:val="center"/>
          </w:tcPr>
          <w:p w:rsidR="0092412E" w:rsidRDefault="0092412E" w:rsidP="00542D0D">
            <w:pPr>
              <w:ind w:left="72"/>
              <w:jc w:val="right"/>
            </w:pPr>
            <w:r w:rsidRPr="001E1C58">
              <w:rPr>
                <w:rFonts w:ascii="Bookman Old Style" w:hAnsi="Bookman Old Style" w:cs="Arial"/>
                <w:bCs/>
                <w:sz w:val="18"/>
                <w:szCs w:val="16"/>
              </w:rPr>
              <w:t>-</w:t>
            </w:r>
          </w:p>
        </w:tc>
      </w:tr>
      <w:tr w:rsidR="0084194F" w:rsidRPr="00B572CF" w:rsidTr="007842C3">
        <w:trPr>
          <w:trHeight w:val="465"/>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84194F" w:rsidRPr="00181DFD" w:rsidRDefault="0084194F" w:rsidP="002E5078">
            <w:pPr>
              <w:ind w:left="172"/>
              <w:rPr>
                <w:rFonts w:ascii="Bookman Old Style" w:hAnsi="Bookman Old Style" w:cs="Arial"/>
                <w:sz w:val="22"/>
              </w:rPr>
            </w:pPr>
            <w:r>
              <w:rPr>
                <w:rFonts w:ascii="Bookman Old Style" w:hAnsi="Bookman Old Style" w:cs="Arial"/>
                <w:sz w:val="22"/>
              </w:rPr>
              <w:t>Especiales</w:t>
            </w:r>
          </w:p>
        </w:tc>
        <w:tc>
          <w:tcPr>
            <w:tcW w:w="1839" w:type="dxa"/>
            <w:tcBorders>
              <w:top w:val="single" w:sz="4" w:space="0" w:color="auto"/>
              <w:left w:val="single" w:sz="4" w:space="0" w:color="auto"/>
              <w:bottom w:val="single" w:sz="4" w:space="0" w:color="auto"/>
              <w:right w:val="single" w:sz="4" w:space="0" w:color="auto"/>
            </w:tcBorders>
            <w:vAlign w:val="center"/>
          </w:tcPr>
          <w:p w:rsidR="00EA61DF" w:rsidRPr="007842C3" w:rsidRDefault="00903575" w:rsidP="00EA61DF">
            <w:pPr>
              <w:ind w:left="635" w:hanging="641"/>
              <w:jc w:val="right"/>
              <w:rPr>
                <w:rFonts w:ascii="Bookman Old Style" w:hAnsi="Bookman Old Style" w:cs="Arial"/>
                <w:bCs/>
                <w:sz w:val="22"/>
                <w:szCs w:val="16"/>
              </w:rPr>
            </w:pPr>
            <w:r>
              <w:rPr>
                <w:rFonts w:ascii="Bookman Old Style" w:hAnsi="Bookman Old Style" w:cs="Arial"/>
                <w:bCs/>
                <w:sz w:val="22"/>
                <w:szCs w:val="16"/>
              </w:rPr>
              <w:t>396.789.787</w:t>
            </w:r>
          </w:p>
        </w:tc>
        <w:tc>
          <w:tcPr>
            <w:tcW w:w="1134"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c>
          <w:tcPr>
            <w:tcW w:w="1089"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c>
          <w:tcPr>
            <w:tcW w:w="1354"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c>
          <w:tcPr>
            <w:tcW w:w="1355"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r>
      <w:tr w:rsidR="0084194F" w:rsidRPr="00B572CF" w:rsidTr="007842C3">
        <w:trPr>
          <w:trHeight w:val="465"/>
          <w:jc w:val="center"/>
        </w:trPr>
        <w:tc>
          <w:tcPr>
            <w:tcW w:w="2527" w:type="dxa"/>
            <w:tcBorders>
              <w:top w:val="single" w:sz="4" w:space="0" w:color="auto"/>
              <w:left w:val="single" w:sz="4" w:space="0" w:color="auto"/>
              <w:bottom w:val="single" w:sz="4" w:space="0" w:color="auto"/>
              <w:right w:val="single" w:sz="4" w:space="0" w:color="auto"/>
            </w:tcBorders>
            <w:vAlign w:val="center"/>
          </w:tcPr>
          <w:p w:rsidR="0084194F" w:rsidRPr="00181DFD" w:rsidRDefault="0084194F" w:rsidP="002E5078">
            <w:pPr>
              <w:ind w:left="172"/>
              <w:rPr>
                <w:rFonts w:ascii="Bookman Old Style" w:hAnsi="Bookman Old Style" w:cs="Arial"/>
                <w:sz w:val="22"/>
              </w:rPr>
            </w:pPr>
            <w:r>
              <w:rPr>
                <w:rFonts w:ascii="Bookman Old Style" w:hAnsi="Bookman Old Style" w:cs="Arial"/>
                <w:sz w:val="22"/>
              </w:rPr>
              <w:t>C</w:t>
            </w:r>
            <w:r w:rsidRPr="00181DFD">
              <w:rPr>
                <w:rFonts w:ascii="Bookman Old Style" w:hAnsi="Bookman Old Style" w:cs="Arial"/>
                <w:sz w:val="22"/>
              </w:rPr>
              <w:t>alidad del servicio</w:t>
            </w:r>
          </w:p>
        </w:tc>
        <w:tc>
          <w:tcPr>
            <w:tcW w:w="1839" w:type="dxa"/>
            <w:tcBorders>
              <w:top w:val="single" w:sz="4" w:space="0" w:color="auto"/>
              <w:left w:val="single" w:sz="4" w:space="0" w:color="auto"/>
              <w:bottom w:val="single" w:sz="4" w:space="0" w:color="auto"/>
              <w:right w:val="single" w:sz="4" w:space="0" w:color="auto"/>
            </w:tcBorders>
            <w:vAlign w:val="center"/>
          </w:tcPr>
          <w:p w:rsidR="0084194F" w:rsidRPr="007842C3" w:rsidRDefault="00EA61DF" w:rsidP="00903575">
            <w:pPr>
              <w:ind w:left="635" w:hanging="641"/>
              <w:jc w:val="right"/>
              <w:rPr>
                <w:rFonts w:ascii="Bookman Old Style" w:hAnsi="Bookman Old Style" w:cs="Arial"/>
                <w:bCs/>
                <w:sz w:val="22"/>
                <w:szCs w:val="16"/>
              </w:rPr>
            </w:pPr>
            <w:r>
              <w:rPr>
                <w:rFonts w:ascii="Bookman Old Style" w:hAnsi="Bookman Old Style" w:cs="Arial"/>
                <w:bCs/>
                <w:sz w:val="22"/>
                <w:szCs w:val="16"/>
              </w:rPr>
              <w:t>36.129.87</w:t>
            </w:r>
            <w:r w:rsidR="00903575">
              <w:rPr>
                <w:rFonts w:ascii="Bookman Old Style" w:hAnsi="Bookman Old Style" w:cs="Arial"/>
                <w:bCs/>
                <w:sz w:val="22"/>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c>
          <w:tcPr>
            <w:tcW w:w="1089"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c>
          <w:tcPr>
            <w:tcW w:w="1354"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c>
          <w:tcPr>
            <w:tcW w:w="1355" w:type="dxa"/>
            <w:tcBorders>
              <w:top w:val="single" w:sz="4" w:space="0" w:color="auto"/>
              <w:left w:val="single" w:sz="4" w:space="0" w:color="auto"/>
              <w:bottom w:val="single" w:sz="4" w:space="0" w:color="auto"/>
              <w:right w:val="single" w:sz="4" w:space="0" w:color="auto"/>
            </w:tcBorders>
            <w:vAlign w:val="center"/>
          </w:tcPr>
          <w:p w:rsidR="0084194F" w:rsidRDefault="0084194F" w:rsidP="00542D0D">
            <w:pPr>
              <w:ind w:left="72"/>
              <w:jc w:val="right"/>
            </w:pPr>
            <w:r w:rsidRPr="001E1C58">
              <w:rPr>
                <w:rFonts w:ascii="Bookman Old Style" w:hAnsi="Bookman Old Style" w:cs="Arial"/>
                <w:bCs/>
                <w:sz w:val="18"/>
                <w:szCs w:val="16"/>
              </w:rPr>
              <w:t>-</w:t>
            </w:r>
          </w:p>
        </w:tc>
      </w:tr>
      <w:tr w:rsidR="0084194F" w:rsidRPr="001321BD" w:rsidTr="007842C3">
        <w:trPr>
          <w:trHeight w:val="318"/>
          <w:jc w:val="center"/>
        </w:trPr>
        <w:tc>
          <w:tcPr>
            <w:tcW w:w="25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4194F" w:rsidRPr="00772807" w:rsidRDefault="0084194F" w:rsidP="00BA1FCF">
            <w:pPr>
              <w:widowControl w:val="0"/>
              <w:adjustRightInd w:val="0"/>
              <w:ind w:left="0" w:right="20"/>
              <w:jc w:val="center"/>
              <w:rPr>
                <w:rFonts w:ascii="Bookman Old Style" w:hAnsi="Bookman Old Style" w:cs="Arial"/>
                <w:b/>
                <w:bCs/>
              </w:rPr>
            </w:pPr>
            <w:r w:rsidRPr="00772807">
              <w:rPr>
                <w:rFonts w:ascii="Bookman Old Style" w:hAnsi="Bookman Old Style" w:cs="Arial"/>
                <w:b/>
                <w:bCs/>
              </w:rPr>
              <w:t>Inversiones</w:t>
            </w:r>
          </w:p>
        </w:tc>
        <w:tc>
          <w:tcPr>
            <w:tcW w:w="1839" w:type="dxa"/>
            <w:tcBorders>
              <w:top w:val="single" w:sz="4" w:space="0" w:color="auto"/>
              <w:left w:val="single" w:sz="4" w:space="0" w:color="auto"/>
              <w:bottom w:val="single" w:sz="4" w:space="0" w:color="auto"/>
              <w:right w:val="single" w:sz="4" w:space="0" w:color="auto"/>
            </w:tcBorders>
            <w:shd w:val="clear" w:color="auto" w:fill="D9D9D9"/>
            <w:vAlign w:val="center"/>
          </w:tcPr>
          <w:p w:rsidR="0084194F" w:rsidRPr="007842C3" w:rsidRDefault="00903575" w:rsidP="00542D0D">
            <w:pPr>
              <w:ind w:left="635" w:hanging="641"/>
              <w:jc w:val="right"/>
              <w:rPr>
                <w:rFonts w:ascii="Bookman Old Style" w:hAnsi="Bookman Old Style" w:cs="Arial"/>
                <w:b/>
                <w:bCs/>
                <w:sz w:val="22"/>
                <w:szCs w:val="16"/>
              </w:rPr>
            </w:pPr>
            <w:r>
              <w:rPr>
                <w:rFonts w:ascii="Bookman Old Style" w:hAnsi="Bookman Old Style" w:cs="Arial"/>
                <w:b/>
                <w:bCs/>
                <w:sz w:val="22"/>
                <w:szCs w:val="16"/>
              </w:rPr>
              <w:t>1.390.379.937</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4194F" w:rsidRPr="00B572CF" w:rsidRDefault="0084194F" w:rsidP="00542D0D">
            <w:pPr>
              <w:widowControl w:val="0"/>
              <w:adjustRightInd w:val="0"/>
              <w:spacing w:line="360" w:lineRule="auto"/>
              <w:ind w:left="0" w:right="20"/>
              <w:jc w:val="right"/>
              <w:rPr>
                <w:rFonts w:ascii="Bookman Old Style" w:hAnsi="Bookman Old Style" w:cs="Arial"/>
                <w:b/>
                <w:sz w:val="18"/>
                <w:szCs w:val="22"/>
              </w:rPr>
            </w:pPr>
            <w:r>
              <w:rPr>
                <w:rFonts w:ascii="Bookman Old Style" w:hAnsi="Bookman Old Style" w:cs="Arial"/>
                <w:b/>
                <w:sz w:val="18"/>
                <w:szCs w:val="22"/>
              </w:rPr>
              <w:t>-</w:t>
            </w:r>
          </w:p>
        </w:tc>
        <w:tc>
          <w:tcPr>
            <w:tcW w:w="1089" w:type="dxa"/>
            <w:tcBorders>
              <w:top w:val="single" w:sz="4" w:space="0" w:color="auto"/>
              <w:left w:val="single" w:sz="4" w:space="0" w:color="auto"/>
              <w:bottom w:val="single" w:sz="4" w:space="0" w:color="auto"/>
              <w:right w:val="single" w:sz="4" w:space="0" w:color="auto"/>
            </w:tcBorders>
            <w:shd w:val="clear" w:color="auto" w:fill="D9D9D9"/>
          </w:tcPr>
          <w:p w:rsidR="0084194F" w:rsidRDefault="0084194F" w:rsidP="00542D0D">
            <w:pPr>
              <w:jc w:val="right"/>
            </w:pPr>
            <w:r w:rsidRPr="00035562">
              <w:rPr>
                <w:rFonts w:ascii="Bookman Old Style" w:hAnsi="Bookman Old Style" w:cs="Arial"/>
                <w:b/>
                <w:sz w:val="18"/>
                <w:szCs w:val="22"/>
              </w:rPr>
              <w:t>-</w:t>
            </w:r>
          </w:p>
        </w:tc>
        <w:tc>
          <w:tcPr>
            <w:tcW w:w="1354" w:type="dxa"/>
            <w:tcBorders>
              <w:top w:val="single" w:sz="4" w:space="0" w:color="auto"/>
              <w:left w:val="single" w:sz="4" w:space="0" w:color="auto"/>
              <w:bottom w:val="single" w:sz="4" w:space="0" w:color="auto"/>
              <w:right w:val="single" w:sz="4" w:space="0" w:color="auto"/>
            </w:tcBorders>
            <w:shd w:val="clear" w:color="auto" w:fill="D9D9D9"/>
          </w:tcPr>
          <w:p w:rsidR="0084194F" w:rsidRDefault="0084194F" w:rsidP="00542D0D">
            <w:pPr>
              <w:jc w:val="right"/>
            </w:pPr>
            <w:r w:rsidRPr="00035562">
              <w:rPr>
                <w:rFonts w:ascii="Bookman Old Style" w:hAnsi="Bookman Old Style" w:cs="Arial"/>
                <w:b/>
                <w:sz w:val="18"/>
                <w:szCs w:val="22"/>
              </w:rPr>
              <w:t>-</w:t>
            </w:r>
          </w:p>
        </w:tc>
        <w:tc>
          <w:tcPr>
            <w:tcW w:w="1355" w:type="dxa"/>
            <w:tcBorders>
              <w:top w:val="single" w:sz="4" w:space="0" w:color="auto"/>
              <w:left w:val="single" w:sz="4" w:space="0" w:color="auto"/>
              <w:bottom w:val="single" w:sz="4" w:space="0" w:color="auto"/>
              <w:right w:val="single" w:sz="4" w:space="0" w:color="auto"/>
            </w:tcBorders>
            <w:shd w:val="clear" w:color="auto" w:fill="D9D9D9"/>
          </w:tcPr>
          <w:p w:rsidR="0084194F" w:rsidRDefault="0084194F" w:rsidP="00542D0D">
            <w:pPr>
              <w:jc w:val="right"/>
            </w:pPr>
            <w:r w:rsidRPr="00035562">
              <w:rPr>
                <w:rFonts w:ascii="Bookman Old Style" w:hAnsi="Bookman Old Style" w:cs="Arial"/>
                <w:b/>
                <w:sz w:val="18"/>
                <w:szCs w:val="22"/>
              </w:rPr>
              <w:t>-</w:t>
            </w:r>
          </w:p>
        </w:tc>
      </w:tr>
    </w:tbl>
    <w:p w:rsidR="0092412E" w:rsidRPr="002442D8" w:rsidRDefault="0092412E" w:rsidP="0092412E">
      <w:pPr>
        <w:spacing w:after="200"/>
        <w:ind w:left="851" w:right="-91" w:hanging="851"/>
        <w:contextualSpacing/>
        <w:jc w:val="both"/>
        <w:rPr>
          <w:rFonts w:ascii="Bookman Old Style" w:hAnsi="Bookman Old Style" w:cs="Arial"/>
          <w:sz w:val="18"/>
        </w:rPr>
      </w:pPr>
      <w:r w:rsidRPr="002442D8">
        <w:rPr>
          <w:rFonts w:ascii="Bookman Old Style" w:hAnsi="Bookman Old Style" w:cs="Arial"/>
          <w:sz w:val="18"/>
        </w:rPr>
        <w:t>Cifras en pesos del 31 de diciembre de 201</w:t>
      </w:r>
      <w:r w:rsidR="00F417E3">
        <w:rPr>
          <w:rFonts w:ascii="Bookman Old Style" w:hAnsi="Bookman Old Style" w:cs="Arial"/>
          <w:sz w:val="18"/>
        </w:rPr>
        <w:t>6</w:t>
      </w:r>
    </w:p>
    <w:p w:rsidR="00704166" w:rsidRPr="001954E9" w:rsidRDefault="00704166" w:rsidP="00880F6B">
      <w:pPr>
        <w:spacing w:after="200"/>
        <w:ind w:left="851" w:right="-91" w:hanging="851"/>
        <w:contextualSpacing/>
        <w:jc w:val="both"/>
        <w:rPr>
          <w:rFonts w:ascii="Bookman Old Style" w:eastAsia="Calibri" w:hAnsi="Bookman Old Style" w:cs="Arial"/>
          <w:lang w:val="es-CO" w:eastAsia="en-US"/>
        </w:rPr>
      </w:pPr>
    </w:p>
    <w:p w:rsidR="00886F37" w:rsidRPr="001954E9" w:rsidRDefault="00930B12" w:rsidP="00886F37">
      <w:pPr>
        <w:ind w:left="0" w:right="-93"/>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2</w:t>
      </w:r>
      <w:r w:rsidR="00886F37" w:rsidRPr="001954E9">
        <w:rPr>
          <w:rFonts w:ascii="Bookman Old Style" w:eastAsia="Calibri" w:hAnsi="Bookman Old Style" w:cs="Arial"/>
          <w:b/>
          <w:lang w:val="es-CO" w:eastAsia="en-US"/>
        </w:rPr>
        <w:t xml:space="preserve">. </w:t>
      </w:r>
      <w:r w:rsidR="00704166" w:rsidRPr="001954E9">
        <w:rPr>
          <w:rFonts w:ascii="Bookman Old Style" w:eastAsia="Calibri" w:hAnsi="Bookman Old Style" w:cs="Arial"/>
          <w:b/>
          <w:lang w:val="es-CO" w:eastAsia="en-US"/>
        </w:rPr>
        <w:t>O</w:t>
      </w:r>
      <w:r w:rsidR="00886F37" w:rsidRPr="001954E9">
        <w:rPr>
          <w:rFonts w:ascii="Bookman Old Style" w:eastAsia="Calibri" w:hAnsi="Bookman Old Style" w:cs="Arial"/>
          <w:b/>
          <w:lang w:val="es-CO" w:eastAsia="en-US"/>
        </w:rPr>
        <w:t xml:space="preserve">tros </w:t>
      </w:r>
      <w:r w:rsidR="002E7264">
        <w:rPr>
          <w:rFonts w:ascii="Bookman Old Style" w:eastAsia="Calibri" w:hAnsi="Bookman Old Style" w:cs="Arial"/>
          <w:b/>
          <w:lang w:val="es-CO" w:eastAsia="en-US"/>
        </w:rPr>
        <w:t>A</w:t>
      </w:r>
      <w:r w:rsidR="00886F37" w:rsidRPr="001954E9">
        <w:rPr>
          <w:rFonts w:ascii="Bookman Old Style" w:eastAsia="Calibri" w:hAnsi="Bookman Old Style" w:cs="Arial"/>
          <w:b/>
          <w:lang w:val="es-CO" w:eastAsia="en-US"/>
        </w:rPr>
        <w:t>ctivos</w:t>
      </w:r>
    </w:p>
    <w:p w:rsidR="00886F37" w:rsidRPr="001954E9" w:rsidRDefault="00886F37" w:rsidP="00886F37">
      <w:pPr>
        <w:ind w:left="0" w:right="-93"/>
        <w:jc w:val="both"/>
        <w:rPr>
          <w:rFonts w:ascii="Bookman Old Style" w:eastAsia="Calibri" w:hAnsi="Bookman Old Style" w:cs="Arial"/>
          <w:b/>
          <w:lang w:val="es-CO" w:eastAsia="en-US"/>
        </w:rPr>
      </w:pPr>
    </w:p>
    <w:p w:rsidR="00886F37" w:rsidRPr="001954E9" w:rsidRDefault="00704166" w:rsidP="00886F37">
      <w:pPr>
        <w:ind w:left="0" w:right="-93"/>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Según lo señalado en la metodología, l</w:t>
      </w:r>
      <w:r w:rsidR="00886F37" w:rsidRPr="001954E9">
        <w:rPr>
          <w:rFonts w:ascii="Bookman Old Style" w:eastAsia="Calibri" w:hAnsi="Bookman Old Style" w:cs="Arial"/>
          <w:lang w:val="es-CO" w:eastAsia="en-US"/>
        </w:rPr>
        <w:t>os otros activos reportados por las empresas no pueden ser superiores al monto en activos inherentes en operación por el porcentaje establecido conforme al Anexo 9 de la Resolución CREG 202 de 2013.</w:t>
      </w:r>
    </w:p>
    <w:p w:rsidR="00886F37" w:rsidRPr="001954E9" w:rsidRDefault="00886F37" w:rsidP="00886F37">
      <w:pPr>
        <w:ind w:left="0" w:right="-93"/>
        <w:jc w:val="both"/>
        <w:rPr>
          <w:rFonts w:ascii="Bookman Old Style" w:eastAsia="Calibri" w:hAnsi="Bookman Old Style" w:cs="Arial"/>
          <w:lang w:val="es-CO" w:eastAsia="en-US"/>
        </w:rPr>
      </w:pPr>
    </w:p>
    <w:p w:rsidR="00886F37" w:rsidRPr="001954E9" w:rsidRDefault="00886F37" w:rsidP="00886F37">
      <w:pPr>
        <w:ind w:left="0" w:right="-93"/>
        <w:jc w:val="both"/>
        <w:rPr>
          <w:rFonts w:ascii="Bookman Old Style" w:hAnsi="Bookman Old Style" w:cs="Arial"/>
          <w:bCs/>
        </w:rPr>
      </w:pPr>
      <w:r w:rsidRPr="001954E9">
        <w:rPr>
          <w:rFonts w:ascii="Bookman Old Style" w:hAnsi="Bookman Old Style" w:cs="Arial"/>
          <w:bCs/>
        </w:rPr>
        <w:t>Mediante la Circular CREG 105 de 2015</w:t>
      </w:r>
      <w:r w:rsidR="0010055F" w:rsidRPr="001954E9">
        <w:rPr>
          <w:rFonts w:ascii="Bookman Old Style" w:hAnsi="Bookman Old Style" w:cs="Arial"/>
          <w:bCs/>
        </w:rPr>
        <w:t>,</w:t>
      </w:r>
      <w:r w:rsidRPr="001954E9">
        <w:rPr>
          <w:rFonts w:ascii="Bookman Old Style" w:hAnsi="Bookman Old Style" w:cs="Arial"/>
          <w:bCs/>
        </w:rPr>
        <w:t xml:space="preserve"> para la determinación de otros activos se definió una función de regresión lineal que considera las variables de gastos de AOM y kilometro por área. </w:t>
      </w:r>
      <w:r w:rsidR="00AF577E" w:rsidRPr="001954E9">
        <w:rPr>
          <w:rFonts w:ascii="Bookman Old Style" w:hAnsi="Bookman Old Style" w:cs="Arial"/>
          <w:bCs/>
        </w:rPr>
        <w:t xml:space="preserve"> El procedimiento para establecer esta variable también fue revocado mediante la Resolución CREG </w:t>
      </w:r>
      <w:r w:rsidR="00A13C50">
        <w:rPr>
          <w:rFonts w:ascii="Bookman Old Style" w:hAnsi="Bookman Old Style" w:cs="Arial"/>
          <w:bCs/>
        </w:rPr>
        <w:t>093</w:t>
      </w:r>
      <w:r w:rsidR="00AF577E" w:rsidRPr="001954E9">
        <w:rPr>
          <w:rFonts w:ascii="Bookman Old Style" w:hAnsi="Bookman Old Style" w:cs="Arial"/>
          <w:bCs/>
        </w:rPr>
        <w:t xml:space="preserve"> de 2016, esto t</w:t>
      </w:r>
      <w:r w:rsidRPr="001954E9">
        <w:rPr>
          <w:rFonts w:ascii="Bookman Old Style" w:hAnsi="Bookman Old Style" w:cs="Arial"/>
          <w:bCs/>
        </w:rPr>
        <w:t xml:space="preserve">eniendo en cuenta que la función toma como insumo el valor de AOM resultante de la aplicación de lo dispuesto en el Anexo 10 de la </w:t>
      </w:r>
      <w:r w:rsidR="004A5E41" w:rsidRPr="001954E9">
        <w:rPr>
          <w:rFonts w:ascii="Bookman Old Style" w:hAnsi="Bookman Old Style" w:cs="Arial"/>
          <w:bCs/>
        </w:rPr>
        <w:t>R</w:t>
      </w:r>
      <w:r w:rsidRPr="001954E9">
        <w:rPr>
          <w:rFonts w:ascii="Bookman Old Style" w:hAnsi="Bookman Old Style" w:cs="Arial"/>
          <w:bCs/>
        </w:rPr>
        <w:t xml:space="preserve">esolución CREG 202 de 2013, los problemas encontrados en la medición de los gastos de AOM por la calidad de la información contable </w:t>
      </w:r>
      <w:r w:rsidR="000E7F51" w:rsidRPr="001954E9">
        <w:rPr>
          <w:rFonts w:ascii="Bookman Old Style" w:hAnsi="Bookman Old Style" w:cs="Arial"/>
          <w:bCs/>
        </w:rPr>
        <w:t xml:space="preserve">y las asimetrías en dicha información </w:t>
      </w:r>
      <w:r w:rsidRPr="001954E9">
        <w:rPr>
          <w:rFonts w:ascii="Bookman Old Style" w:hAnsi="Bookman Old Style" w:cs="Arial"/>
          <w:bCs/>
        </w:rPr>
        <w:t xml:space="preserve">afectan </w:t>
      </w:r>
      <w:r w:rsidR="000E7F51" w:rsidRPr="001954E9">
        <w:rPr>
          <w:rFonts w:ascii="Bookman Old Style" w:hAnsi="Bookman Old Style" w:cs="Arial"/>
          <w:bCs/>
        </w:rPr>
        <w:t>igualmente</w:t>
      </w:r>
      <w:r w:rsidRPr="001954E9">
        <w:rPr>
          <w:rFonts w:ascii="Bookman Old Style" w:hAnsi="Bookman Old Style" w:cs="Arial"/>
          <w:bCs/>
        </w:rPr>
        <w:t xml:space="preserve"> el cálculo del porcentaje de remuneración por otros activos.</w:t>
      </w:r>
      <w:r w:rsidR="00CE2BD2" w:rsidRPr="00CE2BD2">
        <w:rPr>
          <w:rFonts w:ascii="Bookman Old Style" w:hAnsi="Bookman Old Style" w:cs="Arial"/>
          <w:bCs/>
        </w:rPr>
        <w:t xml:space="preserve"> </w:t>
      </w:r>
      <w:r w:rsidR="005E783F">
        <w:rPr>
          <w:rFonts w:ascii="Bookman Old Style" w:hAnsi="Bookman Old Style" w:cs="Arial"/>
          <w:bCs/>
        </w:rPr>
        <w:t>Además,</w:t>
      </w:r>
      <w:r w:rsidR="00CE2BD2">
        <w:rPr>
          <w:rFonts w:ascii="Bookman Old Style" w:hAnsi="Bookman Old Style" w:cs="Arial"/>
          <w:bCs/>
        </w:rPr>
        <w:t xml:space="preserve"> durante el proceso tarifario se encontró inconsistencias entre la información de kilómetros de red informada por las empresas para la definición de la función de regresión lineal y la reportada en la solicitud tarifaria, así como, las empresas depuraron la información contable de Otros Activos y en general su valor disminuyó.</w:t>
      </w:r>
      <w:r w:rsidRPr="001954E9">
        <w:rPr>
          <w:rFonts w:ascii="Bookman Old Style" w:hAnsi="Bookman Old Style" w:cs="Arial"/>
          <w:bCs/>
        </w:rPr>
        <w:t xml:space="preserve"> </w:t>
      </w:r>
      <w:r w:rsidR="00AF577E" w:rsidRPr="001954E9">
        <w:rPr>
          <w:rFonts w:ascii="Bookman Old Style" w:hAnsi="Bookman Old Style" w:cs="Arial"/>
          <w:bCs/>
        </w:rPr>
        <w:t xml:space="preserve"> </w:t>
      </w:r>
    </w:p>
    <w:p w:rsidR="00F054F5" w:rsidRDefault="00F054F5" w:rsidP="00886F37">
      <w:pPr>
        <w:ind w:left="0" w:right="-93"/>
        <w:jc w:val="both"/>
        <w:rPr>
          <w:rFonts w:ascii="Bookman Old Style" w:hAnsi="Bookman Old Style" w:cs="Arial"/>
          <w:bCs/>
        </w:rPr>
      </w:pPr>
    </w:p>
    <w:p w:rsidR="00AF577E" w:rsidRPr="001954E9" w:rsidRDefault="00886F37" w:rsidP="00886F37">
      <w:pPr>
        <w:ind w:left="0" w:right="-93"/>
        <w:jc w:val="both"/>
        <w:rPr>
          <w:rFonts w:ascii="Bookman Old Style" w:hAnsi="Bookman Old Style" w:cs="Arial"/>
          <w:bCs/>
        </w:rPr>
      </w:pPr>
      <w:r w:rsidRPr="001954E9">
        <w:rPr>
          <w:rFonts w:ascii="Bookman Old Style" w:hAnsi="Bookman Old Style" w:cs="Arial"/>
          <w:bCs/>
        </w:rPr>
        <w:t xml:space="preserve">De acuerdo con lo anterior y en concordancia con los fundamentos en que se sustenta el ejercicio llevado a cabo para determinar los gastos eficientes de AOM, se considera pertinente y razonable, como parte del régimen tarifario de acuerdo con lo previsto en el artículo </w:t>
      </w:r>
      <w:r w:rsidR="00AF577E" w:rsidRPr="001954E9">
        <w:rPr>
          <w:rFonts w:ascii="Bookman Old Style" w:hAnsi="Bookman Old Style" w:cs="Arial"/>
          <w:bCs/>
        </w:rPr>
        <w:t xml:space="preserve">86 </w:t>
      </w:r>
      <w:r w:rsidRPr="001954E9">
        <w:rPr>
          <w:rFonts w:ascii="Bookman Old Style" w:hAnsi="Bookman Old Style" w:cs="Arial"/>
          <w:bCs/>
        </w:rPr>
        <w:t>de la Ley 142 de 1994, así como de acuerdo con las finalidades que cumple el ejercicio de la función regulatoria en materia tarifaria con la que cuenta esta Comisión, llevar a cabo un ejercicio, como parte del criterio de eficiencia</w:t>
      </w:r>
      <w:r w:rsidR="00AF577E" w:rsidRPr="001954E9">
        <w:rPr>
          <w:rFonts w:ascii="Bookman Old Style" w:hAnsi="Bookman Old Style" w:cs="Arial"/>
          <w:bCs/>
        </w:rPr>
        <w:t xml:space="preserve"> para establecer el porcentaje de otros activos a reconocer transitoriamente en Nuevos Mercados de Distribución así:.</w:t>
      </w:r>
    </w:p>
    <w:p w:rsidR="00AF577E" w:rsidRPr="001954E9" w:rsidRDefault="00AF577E" w:rsidP="00886F37">
      <w:pPr>
        <w:ind w:left="0" w:right="-93"/>
        <w:jc w:val="both"/>
        <w:rPr>
          <w:rFonts w:ascii="Bookman Old Style" w:hAnsi="Bookman Old Style" w:cs="Arial"/>
          <w:bCs/>
        </w:rPr>
      </w:pPr>
    </w:p>
    <w:p w:rsidR="002E7264" w:rsidRDefault="002E7264" w:rsidP="002E7264">
      <w:pPr>
        <w:pStyle w:val="Prrafodelista"/>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t xml:space="preserve">Teniendo en cuenta el valor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 xml:space="preserve">ctivos y el de activos presentados en la solicitud tarifaria por la empresa para los Mercados Relevantes de Distribución conformados por Municipios Nuevos se establecerá el porcentaje eficiente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ctivos así:</w:t>
      </w:r>
    </w:p>
    <w:p w:rsidR="00C86384" w:rsidRPr="001954E9" w:rsidRDefault="00C86384" w:rsidP="002E7264">
      <w:pPr>
        <w:pStyle w:val="Prrafodelista"/>
        <w:ind w:left="0"/>
        <w:jc w:val="both"/>
        <w:rPr>
          <w:rFonts w:ascii="Bookman Old Style" w:hAnsi="Bookman Old Style" w:cs="Arial"/>
          <w:sz w:val="24"/>
          <w:szCs w:val="24"/>
          <w:lang w:val="es-ES_tradnl" w:eastAsia="es-CO"/>
        </w:rPr>
      </w:pPr>
    </w:p>
    <w:p w:rsidR="00C86384" w:rsidRPr="00535AB1" w:rsidRDefault="003E42EC" w:rsidP="00C86384">
      <w:pPr>
        <w:ind w:left="0" w:right="-93"/>
        <w:jc w:val="center"/>
        <w:rPr>
          <w:rFonts w:ascii="Bookman Old Style" w:eastAsia="MS Mincho" w:hAnsi="Bookman Old Style"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e>
              </m:d>
            </m:e>
          </m:d>
        </m:oMath>
      </m:oMathPara>
    </w:p>
    <w:p w:rsidR="00C86384" w:rsidRPr="00AC7842" w:rsidRDefault="00C86384" w:rsidP="00C86384">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p w:rsidR="00C86384" w:rsidRPr="00AC7842" w:rsidRDefault="00C86384" w:rsidP="00C86384">
      <w:pPr>
        <w:ind w:left="0" w:right="-93"/>
        <w:jc w:val="both"/>
        <w:rPr>
          <w:rFonts w:ascii="Bookman Old Style" w:eastAsia="MS Mincho" w:hAnsi="Bookman Old Style" w:cs="Arial"/>
          <w:lang w:val="es-ES_tradnl" w:eastAsia="en-US"/>
        </w:rPr>
      </w:pPr>
    </w:p>
    <w:tbl>
      <w:tblPr>
        <w:tblW w:w="0" w:type="auto"/>
        <w:tblLook w:val="04A0" w:firstRow="1" w:lastRow="0" w:firstColumn="1" w:lastColumn="0" w:noHBand="0" w:noVBand="1"/>
      </w:tblPr>
      <w:tblGrid>
        <w:gridCol w:w="1954"/>
        <w:gridCol w:w="7402"/>
      </w:tblGrid>
      <w:tr w:rsidR="00C86384" w:rsidRPr="00AC7842" w:rsidTr="004739C3">
        <w:tc>
          <w:tcPr>
            <w:tcW w:w="1954" w:type="dxa"/>
          </w:tcPr>
          <w:p w:rsidR="00C86384" w:rsidRPr="00535AB1" w:rsidRDefault="003E42EC" w:rsidP="004739C3">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402" w:type="dxa"/>
          </w:tcPr>
          <w:p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eficiente que se reconocerá en los cargos de distribución del mercado relevante de distribución para el siguiente periodo tarifario k.</w:t>
            </w:r>
          </w:p>
          <w:p w:rsidR="00C86384" w:rsidRPr="00AC7842" w:rsidRDefault="00C86384" w:rsidP="004739C3">
            <w:pPr>
              <w:ind w:left="0" w:right="-93"/>
              <w:jc w:val="both"/>
              <w:rPr>
                <w:rFonts w:ascii="Bookman Old Style" w:eastAsia="MS Mincho" w:hAnsi="Bookman Old Style" w:cs="Arial"/>
                <w:lang w:val="es-ES_tradnl" w:eastAsia="en-US"/>
              </w:rPr>
            </w:pPr>
          </w:p>
        </w:tc>
      </w:tr>
      <w:tr w:rsidR="00C86384" w:rsidRPr="00AC7842" w:rsidTr="004739C3">
        <w:tc>
          <w:tcPr>
            <w:tcW w:w="1954" w:type="dxa"/>
          </w:tcPr>
          <w:p w:rsidR="00C86384" w:rsidRPr="00535AB1" w:rsidRDefault="003E42EC" w:rsidP="004739C3">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oMath>
            </m:oMathPara>
          </w:p>
        </w:tc>
        <w:tc>
          <w:tcPr>
            <w:tcW w:w="7402" w:type="dxa"/>
          </w:tcPr>
          <w:p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en la solicitud tarifaria para el mercado relevante de distribución para el siguiente periodo tarifario k.</w:t>
            </w:r>
          </w:p>
          <w:p w:rsidR="00C86384" w:rsidRPr="00AC7842" w:rsidRDefault="00C86384" w:rsidP="004739C3">
            <w:pPr>
              <w:ind w:left="0" w:right="-93"/>
              <w:jc w:val="both"/>
              <w:rPr>
                <w:rFonts w:ascii="Bookman Old Style" w:eastAsia="MS Mincho" w:hAnsi="Bookman Old Style" w:cs="Arial"/>
                <w:lang w:val="es-ES_tradnl" w:eastAsia="en-US"/>
              </w:rPr>
            </w:pPr>
          </w:p>
        </w:tc>
      </w:tr>
      <w:tr w:rsidR="00C86384" w:rsidRPr="00AC7842" w:rsidTr="004739C3">
        <w:tc>
          <w:tcPr>
            <w:tcW w:w="1954" w:type="dxa"/>
          </w:tcPr>
          <w:p w:rsidR="00C86384" w:rsidRPr="00535AB1" w:rsidRDefault="003E42EC" w:rsidP="004739C3">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402" w:type="dxa"/>
          </w:tcPr>
          <w:p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máximo a reconocer para el</w:t>
            </w:r>
            <w:r w:rsidR="005E783F">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mercado relevante de distribución para el siguiente periodo tarifario, este se calcula conforme a la siguiente fórmula:</w:t>
            </w:r>
          </w:p>
          <w:p w:rsidR="00C86384" w:rsidRPr="00AC7842" w:rsidRDefault="00C86384" w:rsidP="004739C3">
            <w:pPr>
              <w:ind w:left="0" w:right="-93"/>
              <w:jc w:val="both"/>
              <w:rPr>
                <w:rFonts w:ascii="Bookman Old Style" w:eastAsia="MS Mincho" w:hAnsi="Bookman Old Style" w:cs="Arial"/>
                <w:lang w:val="es-ES_tradnl" w:eastAsia="en-US"/>
              </w:rPr>
            </w:pPr>
          </w:p>
          <w:p w:rsidR="00C86384" w:rsidRPr="00535AB1" w:rsidRDefault="003E42EC" w:rsidP="004739C3">
            <w:pPr>
              <w:ind w:left="0" w:right="-93"/>
              <w:jc w:val="both"/>
              <w:rPr>
                <w:rFonts w:ascii="Bookman Old Style" w:eastAsia="MS Mincho" w:hAnsi="Bookman Old Style" w:cs="Arial"/>
                <w:sz w:val="22"/>
                <w:szCs w:val="22"/>
                <w:lang w:val="es-ES_tradnl" w:eastAsia="en-US"/>
              </w:rPr>
            </w:pPr>
            <m:oMathPara>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r>
                  <w:rPr>
                    <w:rFonts w:ascii="Cambria Math" w:eastAsia="MS Mincho" w:hAnsi="Cambria Math" w:cs="Arial"/>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sz w:val="22"/>
                                    <w:szCs w:val="22"/>
                                    <w:lang w:val="es-ES_tradnl" w:eastAsia="en-US"/>
                                  </w:rPr>
                                </m:ctrlPr>
                              </m:dPr>
                              <m:e>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 G,M</m:t>
                                </m:r>
                              </m:e>
                            </m:eqArr>
                          </m:sub>
                        </m:sSub>
                        <m:r>
                          <w:rPr>
                            <w:rFonts w:ascii="Cambria Math" w:eastAsia="MS Mincho" w:hAnsi="Cambria Math" w:cs="Arial"/>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m:t>
                                </m:r>
                              </m:e>
                            </m:eqArr>
                          </m:sub>
                        </m:sSub>
                      </m:e>
                    </m:d>
                  </m:e>
                </m:nary>
              </m:oMath>
            </m:oMathPara>
          </w:p>
          <w:p w:rsidR="00C86384" w:rsidRPr="00AC7842" w:rsidRDefault="00C86384" w:rsidP="004739C3">
            <w:pPr>
              <w:ind w:left="0" w:right="-93"/>
              <w:jc w:val="both"/>
              <w:rPr>
                <w:rFonts w:ascii="Bookman Old Style" w:eastAsia="MS Mincho" w:hAnsi="Bookman Old Style" w:cs="Arial"/>
                <w:sz w:val="22"/>
                <w:szCs w:val="22"/>
                <w:lang w:val="es-ES_tradnl" w:eastAsia="en-US"/>
              </w:rPr>
            </w:pPr>
          </w:p>
          <w:tbl>
            <w:tblPr>
              <w:tblW w:w="6962" w:type="dxa"/>
              <w:tblInd w:w="224" w:type="dxa"/>
              <w:tblLook w:val="04A0" w:firstRow="1" w:lastRow="0" w:firstColumn="1" w:lastColumn="0" w:noHBand="0" w:noVBand="1"/>
            </w:tblPr>
            <w:tblGrid>
              <w:gridCol w:w="2118"/>
              <w:gridCol w:w="4844"/>
            </w:tblGrid>
            <w:tr w:rsidR="00C86384" w:rsidRPr="00AC7842" w:rsidTr="004739C3">
              <w:tc>
                <w:tcPr>
                  <w:tcW w:w="2250" w:type="dxa"/>
                  <w:shd w:val="clear" w:color="auto" w:fill="auto"/>
                </w:tcPr>
                <w:p w:rsidR="00C86384" w:rsidRPr="00E053CB" w:rsidRDefault="00C86384" w:rsidP="004739C3">
                  <w:pPr>
                    <w:ind w:left="0" w:right="-93"/>
                    <w:jc w:val="both"/>
                    <w:rPr>
                      <w:rFonts w:ascii="Bookman Old Style" w:eastAsia="MS Mincho" w:hAnsi="Bookman Old Style"/>
                      <w:lang w:val="es-ES_tradnl" w:eastAsia="en-US"/>
                    </w:rPr>
                  </w:pPr>
                  <w:r w:rsidRPr="00E053CB">
                    <w:rPr>
                      <w:rFonts w:ascii="Bookman Old Style" w:eastAsia="MS Mincho" w:hAnsi="Bookman Old Style"/>
                      <w:lang w:val="es-ES_tradnl" w:eastAsia="en-US"/>
                    </w:rPr>
                    <w:t>donde:</w:t>
                  </w:r>
                </w:p>
                <w:p w:rsidR="00C86384" w:rsidRPr="00E053CB" w:rsidRDefault="00C86384" w:rsidP="004739C3">
                  <w:pPr>
                    <w:ind w:left="0" w:right="-93"/>
                    <w:jc w:val="both"/>
                    <w:rPr>
                      <w:rFonts w:ascii="Bookman Old Style" w:eastAsia="MS Mincho" w:hAnsi="Bookman Old Style"/>
                      <w:lang w:val="es-ES_tradnl" w:eastAsia="en-US"/>
                    </w:rPr>
                  </w:pPr>
                </w:p>
              </w:tc>
              <w:tc>
                <w:tcPr>
                  <w:tcW w:w="4712" w:type="dxa"/>
                  <w:shd w:val="clear" w:color="auto" w:fill="auto"/>
                </w:tcPr>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535AB1" w:rsidRDefault="00535AB1" w:rsidP="004739C3">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4712" w:type="dxa"/>
                  <w:shd w:val="clear" w:color="auto" w:fill="auto"/>
                </w:tcPr>
                <w:p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Número de municipios que contiene el </w:t>
                  </w:r>
                  <w:r w:rsidRPr="00E053CB">
                    <w:rPr>
                      <w:rFonts w:ascii="Bookman Old Style" w:eastAsia="MS Mincho" w:hAnsi="Bookman Old Style" w:cs="Arial"/>
                      <w:lang w:val="es-ES_tradnl" w:eastAsia="en-US"/>
                    </w:rPr>
                    <w:t>mercado relevante de distribución para el siguiente periodo tarifario k.</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535AB1" w:rsidRDefault="003E42EC" w:rsidP="004739C3">
                  <w:pPr>
                    <w:ind w:left="0" w:right="-9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4712" w:type="dxa"/>
                  <w:shd w:val="clear" w:color="auto" w:fill="auto"/>
                </w:tcPr>
                <w:p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w:t>
                  </w:r>
                  <w:r w:rsidRPr="00E053CB">
                    <w:rPr>
                      <w:rFonts w:ascii="Bookman Old Style" w:eastAsia="MS Mincho" w:hAnsi="Bookman Old Style" w:cs="Arial"/>
                      <w:lang w:val="es-ES_tradnl" w:eastAsia="en-US"/>
                    </w:rPr>
                    <w:t>mercado relevante de distribución para el siguiente periodo tarifario k.</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535AB1" w:rsidRDefault="003E42EC" w:rsidP="004739C3">
                  <w:pPr>
                    <w:ind w:left="0" w:right="-9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4712" w:type="dxa"/>
                  <w:shd w:val="clear" w:color="auto" w:fill="auto"/>
                </w:tcPr>
                <w:p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municipio </w:t>
                  </w:r>
                  <w:r w:rsidRPr="00E053CB">
                    <w:rPr>
                      <w:rFonts w:ascii="Bookman Old Style" w:eastAsia="MS Mincho" w:hAnsi="Bookman Old Style"/>
                      <w:i/>
                      <w:lang w:val="es-ES_tradnl" w:eastAsia="en-US"/>
                    </w:rPr>
                    <w:t>p</w:t>
                  </w:r>
                  <w:r w:rsidRPr="00E053CB">
                    <w:rPr>
                      <w:rFonts w:ascii="Bookman Old Style" w:eastAsia="MS Mincho" w:hAnsi="Bookman Old Style"/>
                      <w:lang w:val="es-ES_tradnl" w:eastAsia="en-US"/>
                    </w:rPr>
                    <w:t xml:space="preserve"> que pertenece al </w:t>
                  </w:r>
                  <w:r w:rsidRPr="00E053CB">
                    <w:rPr>
                      <w:rFonts w:ascii="Bookman Old Style" w:eastAsia="MS Mincho" w:hAnsi="Bookman Old Style" w:cs="Arial"/>
                      <w:lang w:val="es-ES_tradnl" w:eastAsia="en-US"/>
                    </w:rPr>
                    <w:t>mercado relevante de distribución para el siguiente periodo tarifario k.</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E053CB" w:rsidRDefault="00C86384" w:rsidP="004739C3">
                  <w:pPr>
                    <w:ind w:left="0" w:right="-93"/>
                    <w:jc w:val="both"/>
                    <w:rPr>
                      <w:sz w:val="22"/>
                      <w:szCs w:val="22"/>
                      <w:lang w:val="es-ES_tradnl" w:eastAsia="en-US"/>
                    </w:rPr>
                  </w:pPr>
                  <w:r w:rsidRPr="00E053CB">
                    <w:rPr>
                      <w:sz w:val="22"/>
                      <w:szCs w:val="22"/>
                      <w:lang w:val="es-ES_tradnl" w:eastAsia="en-US"/>
                    </w:rPr>
                    <w:t>G</w:t>
                  </w:r>
                </w:p>
              </w:tc>
              <w:tc>
                <w:tcPr>
                  <w:tcW w:w="4712" w:type="dxa"/>
                  <w:shd w:val="clear" w:color="auto" w:fill="auto"/>
                </w:tcPr>
                <w:p w:rsidR="00C86384" w:rsidRPr="00E053CB" w:rsidRDefault="00C86384" w:rsidP="004739C3">
                  <w:pPr>
                    <w:ind w:left="0"/>
                    <w:jc w:val="both"/>
                    <w:outlineLvl w:val="0"/>
                    <w:rPr>
                      <w:rFonts w:ascii="Bookman Old Style" w:hAnsi="Bookman Old Style" w:cs="Arial"/>
                      <w:bCs/>
                    </w:rPr>
                  </w:pPr>
                  <w:r w:rsidRPr="00E053CB">
                    <w:rPr>
                      <w:rFonts w:ascii="Bookman Old Style" w:eastAsia="MS Mincho" w:hAnsi="Bookman Old Style" w:cs="Arial"/>
                      <w:lang w:val="es-ES_tradnl" w:eastAsia="en-US"/>
                    </w:rPr>
                    <w:t>Grupo de municipios</w:t>
                  </w:r>
                  <w:r w:rsidRPr="00E053C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E053CB" w:rsidRDefault="00C86384" w:rsidP="004739C3">
                  <w:pPr>
                    <w:ind w:left="0" w:right="-93"/>
                    <w:jc w:val="both"/>
                    <w:rPr>
                      <w:sz w:val="22"/>
                      <w:szCs w:val="22"/>
                      <w:lang w:val="es-ES_tradnl" w:eastAsia="en-US"/>
                    </w:rPr>
                  </w:pPr>
                  <w:r w:rsidRPr="00E053CB">
                    <w:rPr>
                      <w:sz w:val="22"/>
                      <w:szCs w:val="22"/>
                      <w:lang w:val="es-ES_tradnl" w:eastAsia="en-US"/>
                    </w:rPr>
                    <w:t>M</w:t>
                  </w:r>
                </w:p>
              </w:tc>
              <w:tc>
                <w:tcPr>
                  <w:tcW w:w="4712" w:type="dxa"/>
                  <w:shd w:val="clear" w:color="auto" w:fill="auto"/>
                </w:tcPr>
                <w:p w:rsidR="00C86384" w:rsidRPr="00E053CB" w:rsidRDefault="00C86384" w:rsidP="004739C3">
                  <w:pPr>
                    <w:ind w:left="0" w:right="-117"/>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rsidTr="004739C3">
              <w:tc>
                <w:tcPr>
                  <w:tcW w:w="2250" w:type="dxa"/>
                  <w:shd w:val="clear" w:color="auto" w:fill="auto"/>
                </w:tcPr>
                <w:p w:rsidR="00C86384" w:rsidRPr="00535AB1" w:rsidRDefault="003E42EC" w:rsidP="004739C3">
                  <w:pPr>
                    <w:ind w:left="0" w:right="-9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p,G,M</m:t>
                              </m:r>
                            </m:e>
                          </m:eqArr>
                        </m:sub>
                      </m:sSub>
                    </m:oMath>
                  </m:oMathPara>
                </w:p>
              </w:tc>
              <w:tc>
                <w:tcPr>
                  <w:tcW w:w="4712" w:type="dxa"/>
                  <w:shd w:val="clear" w:color="auto" w:fill="auto"/>
                </w:tcPr>
                <w:p w:rsidR="00C86384" w:rsidRPr="00E053CB" w:rsidRDefault="00C86384" w:rsidP="004739C3">
                  <w:pPr>
                    <w:ind w:left="0" w:right="-1"/>
                    <w:jc w:val="both"/>
                    <w:rPr>
                      <w:rFonts w:ascii="Bookman Old Style" w:eastAsia="MS Mincho" w:hAnsi="Bookman Old Style"/>
                      <w:lang w:val="es-ES_tradnl" w:eastAsia="en-US"/>
                    </w:rPr>
                  </w:pPr>
                  <w:r w:rsidRPr="00E053CB">
                    <w:rPr>
                      <w:rFonts w:ascii="Bookman Old Style" w:eastAsia="MS Mincho" w:hAnsi="Bookman Old Style" w:cs="Arial"/>
                      <w:lang w:val="es-ES_tradnl" w:eastAsia="en-US"/>
                    </w:rPr>
                    <w:t xml:space="preserve">Porcentaje de Otros Activos asignado para el municipio </w:t>
                  </w:r>
                  <w:r w:rsidRPr="00E053CB">
                    <w:rPr>
                      <w:rFonts w:ascii="Bookman Old Style" w:eastAsia="MS Mincho" w:hAnsi="Bookman Old Style" w:cs="Arial"/>
                      <w:i/>
                      <w:lang w:val="es-ES_tradnl" w:eastAsia="en-US"/>
                    </w:rPr>
                    <w:t>p</w:t>
                  </w:r>
                  <w:r w:rsidRPr="00E053CB">
                    <w:rPr>
                      <w:rFonts w:ascii="Bookman Old Style" w:eastAsia="MS Mincho" w:hAnsi="Bookman Old Style" w:cs="Arial"/>
                      <w:lang w:val="es-ES_tradnl" w:eastAsia="en-US"/>
                    </w:rPr>
                    <w:t xml:space="preserve"> según la clasificación dada por grupo G </w:t>
                  </w:r>
                  <w:r w:rsidRPr="00E053CB">
                    <w:rPr>
                      <w:rFonts w:ascii="Bookman Old Style" w:eastAsia="MS Mincho" w:hAnsi="Bookman Old Style"/>
                      <w:lang w:val="es-ES_tradnl" w:eastAsia="en-US"/>
                    </w:rPr>
                    <w:t>y considerando la metodología M correspondiente a 3</w:t>
                  </w:r>
                  <w:r>
                    <w:rPr>
                      <w:rFonts w:ascii="Bookman Old Style" w:eastAsia="MS Mincho" w:hAnsi="Bookman Old Style"/>
                      <w:lang w:val="es-ES_tradnl" w:eastAsia="en-US"/>
                    </w:rPr>
                    <w:t xml:space="preserve"> </w:t>
                  </w:r>
                  <w:r w:rsidRPr="00E053CB">
                    <w:rPr>
                      <w:rFonts w:ascii="Bookman Old Style" w:eastAsia="MS Mincho" w:hAnsi="Bookman Old Style"/>
                      <w:lang w:val="es-ES_tradnl" w:eastAsia="en-US"/>
                    </w:rPr>
                    <w:t>conforme a la siguiente tabla:</w:t>
                  </w:r>
                </w:p>
                <w:p w:rsidR="00C86384" w:rsidRPr="00E053CB" w:rsidRDefault="00C86384" w:rsidP="004739C3">
                  <w:pPr>
                    <w:ind w:left="0" w:right="-1"/>
                    <w:jc w:val="both"/>
                    <w:rPr>
                      <w:rFonts w:ascii="Bookman Old Style" w:eastAsia="MS Mincho" w:hAnsi="Bookman Old Style"/>
                      <w:lang w:val="es-ES_tradnl" w:eastAsia="en-US"/>
                    </w:rPr>
                  </w:pPr>
                </w:p>
                <w:tbl>
                  <w:tblPr>
                    <w:tblW w:w="4679" w:type="dxa"/>
                    <w:tblCellMar>
                      <w:left w:w="70" w:type="dxa"/>
                      <w:right w:w="70" w:type="dxa"/>
                    </w:tblCellMar>
                    <w:tblLook w:val="04A0" w:firstRow="1" w:lastRow="0" w:firstColumn="1" w:lastColumn="0" w:noHBand="0" w:noVBand="1"/>
                  </w:tblPr>
                  <w:tblGrid>
                    <w:gridCol w:w="1033"/>
                    <w:gridCol w:w="1662"/>
                    <w:gridCol w:w="1984"/>
                  </w:tblGrid>
                  <w:tr w:rsidR="00C86384" w:rsidRPr="00AC7842" w:rsidTr="004739C3">
                    <w:trPr>
                      <w:trHeight w:val="615"/>
                    </w:trPr>
                    <w:tc>
                      <w:tcPr>
                        <w:tcW w:w="10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 xml:space="preserve">Grupo </w:t>
                        </w:r>
                      </w:p>
                      <w:p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C86384" w:rsidRPr="00535AB1" w:rsidRDefault="00535AB1" w:rsidP="004739C3">
                        <w:pPr>
                          <w:ind w:left="0" w:right="-1"/>
                          <w:rPr>
                            <w:rFonts w:ascii="Bookman Old Style" w:eastAsia="MS Mincho" w:hAnsi="Bookman Old Style"/>
                            <w:b/>
                            <w:sz w:val="22"/>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C86384" w:rsidRPr="00AC7842" w:rsidTr="004739C3">
                    <w:trPr>
                      <w:trHeight w:val="330"/>
                    </w:trPr>
                    <w:tc>
                      <w:tcPr>
                        <w:tcW w:w="1033" w:type="dxa"/>
                        <w:tcBorders>
                          <w:top w:val="nil"/>
                          <w:left w:val="single" w:sz="8" w:space="0" w:color="auto"/>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1</w:t>
                        </w:r>
                      </w:p>
                    </w:tc>
                    <w:tc>
                      <w:tcPr>
                        <w:tcW w:w="1662" w:type="dxa"/>
                        <w:tcBorders>
                          <w:top w:val="nil"/>
                          <w:left w:val="nil"/>
                          <w:bottom w:val="single" w:sz="8" w:space="0" w:color="auto"/>
                          <w:right w:val="single" w:sz="8" w:space="0" w:color="auto"/>
                        </w:tcBorders>
                        <w:shd w:val="clear" w:color="auto" w:fill="auto"/>
                        <w:vAlign w:val="center"/>
                        <w:hideMark/>
                      </w:tcPr>
                      <w:p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cs="Arial"/>
                            <w:sz w:val="22"/>
                            <w:lang w:val="es-ES_tradnl" w:eastAsia="en-US"/>
                          </w:rPr>
                          <w:t>3,96%</w:t>
                        </w:r>
                      </w:p>
                    </w:tc>
                  </w:tr>
                  <w:tr w:rsidR="00C86384" w:rsidRPr="00AC7842" w:rsidTr="004739C3">
                    <w:trPr>
                      <w:trHeight w:val="330"/>
                    </w:trPr>
                    <w:tc>
                      <w:tcPr>
                        <w:tcW w:w="1033" w:type="dxa"/>
                        <w:tcBorders>
                          <w:top w:val="nil"/>
                          <w:left w:val="single" w:sz="8" w:space="0" w:color="auto"/>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2</w:t>
                        </w:r>
                      </w:p>
                    </w:tc>
                    <w:tc>
                      <w:tcPr>
                        <w:tcW w:w="1662" w:type="dxa"/>
                        <w:tcBorders>
                          <w:top w:val="nil"/>
                          <w:left w:val="nil"/>
                          <w:bottom w:val="single" w:sz="8" w:space="0" w:color="auto"/>
                          <w:right w:val="single" w:sz="8" w:space="0" w:color="auto"/>
                        </w:tcBorders>
                        <w:shd w:val="clear" w:color="auto" w:fill="auto"/>
                        <w:vAlign w:val="center"/>
                        <w:hideMark/>
                      </w:tcPr>
                      <w:p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cs="Arial"/>
                            <w:sz w:val="22"/>
                            <w:lang w:val="es-ES_tradnl" w:eastAsia="en-US"/>
                          </w:rPr>
                          <w:t>3,73%</w:t>
                        </w:r>
                      </w:p>
                    </w:tc>
                  </w:tr>
                  <w:tr w:rsidR="00C86384" w:rsidRPr="00AC7842" w:rsidTr="004739C3">
                    <w:trPr>
                      <w:trHeight w:val="330"/>
                    </w:trPr>
                    <w:tc>
                      <w:tcPr>
                        <w:tcW w:w="1033" w:type="dxa"/>
                        <w:tcBorders>
                          <w:top w:val="nil"/>
                          <w:left w:val="single" w:sz="8" w:space="0" w:color="auto"/>
                          <w:bottom w:val="single" w:sz="8" w:space="0" w:color="auto"/>
                          <w:right w:val="single" w:sz="8" w:space="0" w:color="auto"/>
                        </w:tcBorders>
                        <w:shd w:val="clear" w:color="auto" w:fill="auto"/>
                        <w:vAlign w:val="center"/>
                        <w:hideMark/>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662" w:type="dxa"/>
                        <w:tcBorders>
                          <w:top w:val="nil"/>
                          <w:left w:val="nil"/>
                          <w:bottom w:val="single" w:sz="8" w:space="0" w:color="auto"/>
                          <w:right w:val="single" w:sz="8" w:space="0" w:color="auto"/>
                        </w:tcBorders>
                        <w:shd w:val="clear" w:color="auto" w:fill="auto"/>
                        <w:vAlign w:val="center"/>
                        <w:hideMark/>
                      </w:tcPr>
                      <w:p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5,36%</w:t>
                        </w:r>
                      </w:p>
                    </w:tc>
                  </w:tr>
                </w:tbl>
                <w:p w:rsidR="00C86384" w:rsidRPr="00E053CB" w:rsidRDefault="00C86384" w:rsidP="004739C3">
                  <w:pPr>
                    <w:ind w:left="0" w:right="-93"/>
                    <w:jc w:val="both"/>
                    <w:rPr>
                      <w:rFonts w:ascii="Bookman Old Style" w:eastAsia="MS Mincho" w:hAnsi="Bookman Old Style" w:cs="Arial"/>
                      <w:lang w:val="es-ES_tradnl" w:eastAsia="en-US"/>
                    </w:rPr>
                  </w:pPr>
                </w:p>
              </w:tc>
            </w:tr>
            <w:tr w:rsidR="00C86384" w:rsidRPr="00AC7842" w:rsidTr="004739C3">
              <w:tc>
                <w:tcPr>
                  <w:tcW w:w="2250" w:type="dxa"/>
                  <w:shd w:val="clear" w:color="auto" w:fill="auto"/>
                </w:tcPr>
                <w:p w:rsidR="00C86384" w:rsidRPr="00E053CB" w:rsidRDefault="00C86384" w:rsidP="004739C3">
                  <w:pPr>
                    <w:ind w:left="0" w:right="-93"/>
                    <w:jc w:val="both"/>
                    <w:rPr>
                      <w:sz w:val="22"/>
                      <w:szCs w:val="22"/>
                      <w:lang w:val="es-ES_tradnl" w:eastAsia="en-US"/>
                    </w:rPr>
                  </w:pPr>
                </w:p>
              </w:tc>
              <w:tc>
                <w:tcPr>
                  <w:tcW w:w="4712" w:type="dxa"/>
                  <w:shd w:val="clear" w:color="auto" w:fill="auto"/>
                </w:tcPr>
                <w:p w:rsidR="00C86384" w:rsidRPr="00E053CB" w:rsidRDefault="00C86384" w:rsidP="004739C3">
                  <w:pPr>
                    <w:ind w:left="0" w:right="-93"/>
                    <w:jc w:val="both"/>
                    <w:rPr>
                      <w:rFonts w:ascii="Bookman Old Style" w:eastAsia="MS Mincho" w:hAnsi="Bookman Old Style"/>
                      <w:lang w:val="es-ES_tradnl" w:eastAsia="en-US"/>
                    </w:rPr>
                  </w:pPr>
                </w:p>
                <w:p w:rsidR="00C86384" w:rsidRPr="00E053CB" w:rsidRDefault="00C86384" w:rsidP="004739C3">
                  <w:pPr>
                    <w:ind w:left="0" w:right="-93"/>
                    <w:jc w:val="both"/>
                    <w:rPr>
                      <w:rFonts w:ascii="Bookman Old Style" w:eastAsia="MS Mincho" w:hAnsi="Bookman Old Style" w:cs="Arial"/>
                      <w:lang w:val="es-ES_tradnl" w:eastAsia="en-US"/>
                    </w:rPr>
                  </w:pPr>
                  <w:r w:rsidRPr="00CB3BEE">
                    <w:rPr>
                      <w:rFonts w:ascii="Bookman Old Style" w:eastAsia="MS Mincho" w:hAnsi="Bookman Old Style"/>
                      <w:lang w:val="es-ES_tradnl" w:eastAsia="en-US"/>
                    </w:rPr>
                    <w:lastRenderedPageBreak/>
                    <w:t xml:space="preserve">Para los centros poblados pertenecientes a un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con prestación del servicio en la cabecera municipal se mantiene el grupo G</w:t>
                  </w:r>
                  <w:r>
                    <w:rPr>
                      <w:rFonts w:ascii="Bookman Old Style" w:eastAsia="MS Mincho" w:hAnsi="Bookman Old Style"/>
                      <w:lang w:val="es-ES_tradnl" w:eastAsia="en-US"/>
                    </w:rPr>
                    <w:t xml:space="preserve"> del municipio</w:t>
                  </w:r>
                  <w:r w:rsidRPr="00CB3BEE">
                    <w:rPr>
                      <w:rFonts w:ascii="Bookman Old Style" w:eastAsia="MS Mincho" w:hAnsi="Bookman Old Style"/>
                      <w:lang w:val="es-ES_tradnl" w:eastAsia="en-US"/>
                    </w:rPr>
                    <w:t xml:space="preserve">, cambiando la clasificación de metodología M 1 </w:t>
                  </w:r>
                  <w:r>
                    <w:rPr>
                      <w:rFonts w:ascii="Bookman Old Style" w:eastAsia="MS Mincho" w:hAnsi="Bookman Old Style"/>
                      <w:lang w:val="es-ES_tradnl" w:eastAsia="en-US"/>
                    </w:rPr>
                    <w:t>o</w:t>
                  </w:r>
                  <w:r w:rsidRPr="00CB3BEE">
                    <w:rPr>
                      <w:rFonts w:ascii="Bookman Old Style" w:eastAsia="MS Mincho" w:hAnsi="Bookman Old Style"/>
                      <w:lang w:val="es-ES_tradnl" w:eastAsia="en-US"/>
                    </w:rPr>
                    <w:t xml:space="preserve"> 2 a metodología 3.</w:t>
                  </w:r>
                  <w:r w:rsidRPr="00E053CB">
                    <w:rPr>
                      <w:rFonts w:ascii="Bookman Old Style" w:eastAsia="MS Mincho" w:hAnsi="Bookman Old Style"/>
                      <w:lang w:val="es-ES_tradnl" w:eastAsia="en-US"/>
                    </w:rPr>
                    <w:t xml:space="preserve"> </w:t>
                  </w:r>
                </w:p>
              </w:tc>
            </w:tr>
          </w:tbl>
          <w:p w:rsidR="00C86384" w:rsidRPr="00AC7842" w:rsidRDefault="00C86384" w:rsidP="004739C3">
            <w:pPr>
              <w:ind w:left="0" w:right="-93"/>
              <w:jc w:val="both"/>
              <w:rPr>
                <w:rFonts w:ascii="Bookman Old Style" w:eastAsia="MS Mincho" w:hAnsi="Bookman Old Style" w:cs="Arial"/>
                <w:lang w:val="es-ES_tradnl" w:eastAsia="en-US"/>
              </w:rPr>
            </w:pPr>
          </w:p>
        </w:tc>
      </w:tr>
    </w:tbl>
    <w:p w:rsidR="00C86384" w:rsidRPr="00AC7842" w:rsidRDefault="00C86384" w:rsidP="00C8638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lastRenderedPageBreak/>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Pr>
          <w:rFonts w:ascii="Bookman Old Style" w:eastAsia="MS Mincho" w:hAnsi="Bookman Old Style" w:cs="Arial"/>
          <w:lang w:val="es-ES_tradnl" w:eastAsia="en-US"/>
        </w:rPr>
        <w:t>an Áreas de Servicio Exclusivo.</w:t>
      </w:r>
    </w:p>
    <w:p w:rsidR="00C86384" w:rsidRPr="00AC7842" w:rsidRDefault="00C86384" w:rsidP="00C8638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rsidR="00C86384" w:rsidRDefault="00C86384" w:rsidP="00C86384">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rsidR="00C86384" w:rsidRPr="000024C0" w:rsidRDefault="00C86384" w:rsidP="00C86384">
      <w:pPr>
        <w:pStyle w:val="Prrafodelista"/>
        <w:tabs>
          <w:tab w:val="left" w:pos="0"/>
        </w:tabs>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E</w:t>
      </w:r>
      <w:r w:rsidRPr="000024C0">
        <w:rPr>
          <w:rFonts w:ascii="Bookman Old Style" w:hAnsi="Bookman Old Style"/>
          <w:sz w:val="24"/>
          <w:szCs w:val="24"/>
          <w:lang w:eastAsia="es-CO"/>
        </w:rPr>
        <w:t xml:space="preserve">l monto correspondiente a Otros Activos </w:t>
      </w:r>
      <w:r w:rsidRPr="000024C0">
        <w:rPr>
          <w:rFonts w:ascii="Bookman Old Style" w:eastAsia="Calibri" w:hAnsi="Bookman Old Style" w:cs="Arial"/>
          <w:sz w:val="24"/>
          <w:szCs w:val="24"/>
          <w:lang w:eastAsia="en-US"/>
        </w:rPr>
        <w:t>no podrá ser superior al monto de la inversión en Activos Inherentes a la operación por el porcentaje de Otros Activos eficiente.</w:t>
      </w:r>
    </w:p>
    <w:p w:rsidR="00880F6B" w:rsidRPr="001954E9" w:rsidRDefault="00AF577E" w:rsidP="00F35317">
      <w:pPr>
        <w:ind w:left="0" w:right="-91"/>
        <w:contextualSpacing/>
        <w:jc w:val="both"/>
        <w:rPr>
          <w:rFonts w:ascii="Bookman Old Style" w:eastAsia="Calibri" w:hAnsi="Bookman Old Style" w:cs="Arial"/>
          <w:lang w:eastAsia="en-US"/>
        </w:rPr>
      </w:pPr>
      <w:r w:rsidRPr="001954E9">
        <w:rPr>
          <w:rFonts w:ascii="Bookman Old Style" w:eastAsia="Calibri" w:hAnsi="Bookman Old Style" w:cs="Arial"/>
          <w:lang w:eastAsia="en-US"/>
        </w:rPr>
        <w:t>Aquí también l</w:t>
      </w:r>
      <w:r w:rsidR="00093F91"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880F6B" w:rsidRPr="001954E9">
        <w:rPr>
          <w:rFonts w:ascii="Bookman Old Style" w:eastAsia="Calibri" w:hAnsi="Bookman Old Style" w:cs="Arial"/>
          <w:lang w:eastAsia="en-US"/>
        </w:rPr>
        <w:t>permite: i) reducir las asimetrías en la información existentes con respecto a la información de otros activos; ii) establecer un porcentaje eficiente de otros activos  propios y de otras empresas comparables en la misma actividad,; iii) limitar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r w:rsidR="00F35317" w:rsidRPr="001954E9">
        <w:rPr>
          <w:rFonts w:ascii="Bookman Old Style" w:eastAsia="Calibri" w:hAnsi="Bookman Old Style" w:cs="Arial"/>
          <w:lang w:eastAsia="en-US"/>
        </w:rPr>
        <w:t>.</w:t>
      </w:r>
    </w:p>
    <w:p w:rsidR="00880F6B" w:rsidRPr="001954E9" w:rsidRDefault="00880F6B" w:rsidP="00880F6B">
      <w:pPr>
        <w:ind w:left="1062" w:right="-93"/>
        <w:jc w:val="both"/>
        <w:rPr>
          <w:rFonts w:ascii="Bookman Old Style" w:hAnsi="Bookman Old Style" w:cs="Arial"/>
          <w:bCs/>
          <w:lang w:val="es-ES_tradnl"/>
        </w:rPr>
      </w:pPr>
    </w:p>
    <w:p w:rsidR="00886F37" w:rsidRDefault="00930B12" w:rsidP="00886F37">
      <w:pPr>
        <w:ind w:left="0" w:right="-93"/>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3</w:t>
      </w:r>
      <w:r w:rsidR="00886F37" w:rsidRPr="001954E9">
        <w:rPr>
          <w:rFonts w:ascii="Bookman Old Style" w:eastAsia="Calibri" w:hAnsi="Bookman Old Style" w:cs="Arial"/>
          <w:b/>
          <w:lang w:val="es-CO" w:eastAsia="en-US"/>
        </w:rPr>
        <w:t>. Inversión de Recursos Públicos</w:t>
      </w:r>
    </w:p>
    <w:p w:rsidR="00A4209D" w:rsidRPr="001954E9" w:rsidRDefault="00A4209D" w:rsidP="00886F37">
      <w:pPr>
        <w:ind w:left="0" w:right="-93"/>
        <w:jc w:val="both"/>
        <w:rPr>
          <w:rFonts w:ascii="Bookman Old Style" w:eastAsia="Calibri" w:hAnsi="Bookman Old Style" w:cs="Arial"/>
          <w:b/>
          <w:lang w:val="es-CO" w:eastAsia="en-US"/>
        </w:rPr>
      </w:pPr>
    </w:p>
    <w:p w:rsidR="00A4209D" w:rsidRPr="00A4209D" w:rsidRDefault="00A4209D" w:rsidP="00A4209D">
      <w:pPr>
        <w:ind w:left="0" w:right="-93"/>
        <w:jc w:val="both"/>
        <w:rPr>
          <w:rFonts w:ascii="Bookman Old Style" w:eastAsia="Calibri" w:hAnsi="Bookman Old Style" w:cs="Arial"/>
          <w:b/>
          <w:lang w:val="es-CO" w:eastAsia="en-US"/>
        </w:rPr>
      </w:pPr>
      <w:r w:rsidRPr="00A4209D">
        <w:rPr>
          <w:rFonts w:ascii="Bookman Old Style" w:eastAsia="Calibri" w:hAnsi="Bookman Old Style"/>
          <w:lang w:val="es-CO" w:eastAsia="en-US"/>
        </w:rPr>
        <w:t>Los recursos públicos permiten viabilizar y/o incentivar la construcción de infraestructura para el uso del gas combustible por redes de tubería en las poblaciones que no son atractivas para que las empresas privadas lleven el servicio, por condiciones tales como localización, tamaño y demanda del servicio. Estos apor</w:t>
      </w:r>
      <w:r w:rsidR="002E2392">
        <w:rPr>
          <w:rFonts w:ascii="Bookman Old Style" w:eastAsia="Calibri" w:hAnsi="Bookman Old Style"/>
          <w:lang w:val="es-CO" w:eastAsia="en-US"/>
        </w:rPr>
        <w:t xml:space="preserve">tes se hacen con fundamento en </w:t>
      </w:r>
      <w:r w:rsidRPr="00A4209D">
        <w:rPr>
          <w:rFonts w:ascii="Bookman Old Style" w:eastAsia="Calibri" w:hAnsi="Bookman Old Style"/>
          <w:lang w:val="es-CO" w:eastAsia="en-US"/>
        </w:rPr>
        <w:t xml:space="preserve">el artículo 87.9 de la Ley 142 de 1994, modificado por el artículo 99 de la Ley 1450 de 2011, el cual establece que: </w:t>
      </w:r>
    </w:p>
    <w:p w:rsidR="00A4209D" w:rsidRPr="00A4209D" w:rsidRDefault="00A4209D" w:rsidP="00A4209D">
      <w:pPr>
        <w:spacing w:before="100" w:beforeAutospacing="1" w:after="100" w:afterAutospacing="1"/>
        <w:ind w:left="0"/>
        <w:jc w:val="both"/>
        <w:rPr>
          <w:rFonts w:ascii="Bookman Old Style" w:eastAsia="Calibri" w:hAnsi="Bookman Old Style"/>
          <w:lang w:val="es-CO" w:eastAsia="en-US"/>
        </w:rPr>
      </w:pPr>
      <w:r w:rsidRPr="00A4209D">
        <w:rPr>
          <w:rFonts w:ascii="Bookman Old Style" w:eastAsia="Calibri" w:hAnsi="Bookman Old Style"/>
          <w:lang w:val="es-CO" w:eastAsia="en-US"/>
        </w:rPr>
        <w:lastRenderedPageBreak/>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 </w:t>
      </w:r>
    </w:p>
    <w:p w:rsidR="00A4209D" w:rsidRPr="00A4209D" w:rsidRDefault="007A439E" w:rsidP="00A4209D">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 xml:space="preserve">La norma </w:t>
      </w:r>
      <w:r w:rsidR="00A4209D" w:rsidRPr="00A4209D">
        <w:rPr>
          <w:rFonts w:ascii="Bookman Old Style" w:eastAsia="Calibri" w:hAnsi="Bookman Old Style"/>
          <w:lang w:val="es-CO" w:eastAsia="en-US"/>
        </w:rPr>
        <w:t>permite que dentro del cobro de las tarifas se descuenten los valores correspondientes a los montos de las inve</w:t>
      </w:r>
      <w:r w:rsidR="009D3C89">
        <w:rPr>
          <w:rFonts w:ascii="Bookman Old Style" w:eastAsia="Calibri" w:hAnsi="Bookman Old Style"/>
          <w:lang w:val="es-CO" w:eastAsia="en-US"/>
        </w:rPr>
        <w:t>rsiones que son financiados con</w:t>
      </w:r>
      <w:r w:rsidR="00A4209D" w:rsidRPr="00A4209D">
        <w:rPr>
          <w:rFonts w:ascii="Bookman Old Style" w:eastAsia="Calibri" w:hAnsi="Bookman Old Style"/>
          <w:lang w:val="es-CO" w:eastAsia="en-US"/>
        </w:rPr>
        <w:t xml:space="preserve"> recursos públicos, permitiendo que el usuario obtenga una tarifa final con un menor impacto a nivel de precio, sin perjuicio de efectos tales como hacerla competitiva frente a otros energéticos. Esto hace parte de la política del Gobierno Nacional en materia de recursos públicos y subsidios dentro de la prestación de los servicios públicos domiciliarios.</w:t>
      </w:r>
    </w:p>
    <w:p w:rsidR="00A4209D" w:rsidRPr="00A4209D" w:rsidRDefault="00A4209D" w:rsidP="00A4209D">
      <w:pPr>
        <w:spacing w:before="100" w:beforeAutospacing="1" w:after="100" w:afterAutospacing="1"/>
        <w:ind w:left="0"/>
        <w:jc w:val="both"/>
        <w:rPr>
          <w:rFonts w:ascii="Bookman Old Style" w:eastAsia="Calibri" w:hAnsi="Bookman Old Style"/>
          <w:lang w:val="es-CO" w:eastAsia="en-US"/>
        </w:rPr>
      </w:pPr>
      <w:r w:rsidRPr="00A4209D">
        <w:rPr>
          <w:rFonts w:ascii="Bookman Old Style" w:eastAsia="Calibri" w:hAnsi="Bookman Old Style"/>
          <w:lang w:val="es-CO" w:eastAsia="en-US"/>
        </w:rPr>
        <w:t>La Comisión de Regulación de Energía y Gas en sus actos administrativos particulares realiza la discriminación de los cargos de distribución el valor correspondiente a la componente de inversión financiada con recursos públicos y el que corresponde a la componente de inversión de recursos propios de la empresa, de tal manera que la primera sea fácilmente identificable, para no ser cobrada en la tarifa a los usuarios por parte del prestador del servicio.</w:t>
      </w:r>
    </w:p>
    <w:p w:rsidR="00A4209D" w:rsidRDefault="00A4209D" w:rsidP="00A4209D">
      <w:pPr>
        <w:spacing w:before="100" w:beforeAutospacing="1" w:after="100" w:afterAutospacing="1"/>
        <w:ind w:left="0"/>
        <w:jc w:val="both"/>
        <w:rPr>
          <w:rFonts w:ascii="Bookman Old Style" w:eastAsia="Calibri" w:hAnsi="Bookman Old Style"/>
          <w:lang w:val="es-CO" w:eastAsia="en-US"/>
        </w:rPr>
      </w:pPr>
      <w:r w:rsidRPr="00A4209D">
        <w:rPr>
          <w:rFonts w:ascii="Bookman Old Style" w:eastAsia="Calibri" w:hAnsi="Bookman Old Style"/>
          <w:lang w:val="es-CO" w:eastAsia="en-US"/>
        </w:rPr>
        <w:t>De acuerdo con lo anterior la</w:t>
      </w:r>
      <w:r>
        <w:rPr>
          <w:rFonts w:ascii="Bookman Old Style" w:eastAsia="Calibri" w:hAnsi="Bookman Old Style"/>
          <w:lang w:val="es-CO" w:eastAsia="en-US"/>
        </w:rPr>
        <w:t xml:space="preserve"> </w:t>
      </w:r>
      <w:r w:rsidRPr="008F367C">
        <w:rPr>
          <w:rFonts w:ascii="Bookman Old Style" w:eastAsia="Calibri" w:hAnsi="Bookman Old Style"/>
          <w:lang w:val="es-CO" w:eastAsia="en-US"/>
        </w:rPr>
        <w:t xml:space="preserve">empresa </w:t>
      </w:r>
      <w:r w:rsidR="001B0F48" w:rsidRPr="000F2F87">
        <w:rPr>
          <w:rFonts w:ascii="Bookman Old Style" w:eastAsia="Calibri" w:hAnsi="Bookman Old Style"/>
          <w:lang w:val="es-CO" w:eastAsia="en-US"/>
        </w:rPr>
        <w:t>INGENIERIA Y SERVICIOS S.A. E.S.P.</w:t>
      </w:r>
      <w:r w:rsidRPr="008F367C">
        <w:rPr>
          <w:rFonts w:ascii="Bookman Old Style" w:eastAsia="Calibri" w:hAnsi="Bookman Old Style"/>
          <w:lang w:val="es-CO" w:eastAsia="en-US"/>
        </w:rPr>
        <w:t xml:space="preserve">  manifiesta que el proyecto cuenta con recursos públicos por un monto de </w:t>
      </w:r>
      <w:r w:rsidRPr="000F2F87">
        <w:rPr>
          <w:rFonts w:ascii="Bookman Old Style" w:eastAsia="Calibri" w:hAnsi="Bookman Old Style"/>
          <w:lang w:val="es-CO" w:eastAsia="en-US"/>
        </w:rPr>
        <w:t>$</w:t>
      </w:r>
      <w:r w:rsidR="002F66D0" w:rsidRPr="000F2F87">
        <w:rPr>
          <w:rFonts w:ascii="Bookman Old Style" w:eastAsia="Calibri" w:hAnsi="Bookman Old Style"/>
          <w:lang w:val="es-CO" w:eastAsia="en-US"/>
        </w:rPr>
        <w:t>1.</w:t>
      </w:r>
      <w:r w:rsidR="0024463C" w:rsidRPr="000F2F87">
        <w:rPr>
          <w:rFonts w:ascii="Bookman Old Style" w:eastAsia="Calibri" w:hAnsi="Bookman Old Style"/>
          <w:lang w:val="es-CO" w:eastAsia="en-US"/>
        </w:rPr>
        <w:t>124.460.220</w:t>
      </w:r>
      <w:r w:rsidR="002F66D0" w:rsidRPr="008F367C">
        <w:rPr>
          <w:rFonts w:ascii="Bookman Old Style" w:eastAsia="Calibri" w:hAnsi="Bookman Old Style"/>
          <w:lang w:val="es-CO" w:eastAsia="en-US"/>
        </w:rPr>
        <w:t xml:space="preserve"> </w:t>
      </w:r>
      <w:r w:rsidRPr="008F367C">
        <w:rPr>
          <w:rFonts w:ascii="Bookman Old Style" w:eastAsia="Calibri" w:hAnsi="Bookman Old Style"/>
          <w:lang w:val="es-CO" w:eastAsia="en-US"/>
        </w:rPr>
        <w:t xml:space="preserve">otorgados por </w:t>
      </w:r>
      <w:r w:rsidR="00175388" w:rsidRPr="008F367C">
        <w:rPr>
          <w:rFonts w:ascii="Bookman Old Style" w:eastAsia="Calibri" w:hAnsi="Bookman Old Style"/>
          <w:lang w:val="es-CO" w:eastAsia="en-US"/>
        </w:rPr>
        <w:t xml:space="preserve">el MINISTERIO DE MINAS Y ENERGÍA – FONDO ESPECIAL CUOTA DE FOMENTO DE GAS NATURAL </w:t>
      </w:r>
      <w:r w:rsidRPr="008F367C">
        <w:rPr>
          <w:rFonts w:ascii="Bookman Old Style" w:eastAsia="Calibri" w:hAnsi="Bookman Old Style"/>
          <w:lang w:val="es-CO" w:eastAsia="en-US"/>
        </w:rPr>
        <w:t xml:space="preserve">mediante el convenio de cofinanciación </w:t>
      </w:r>
      <w:r w:rsidR="00CF0050" w:rsidRPr="000F2F87">
        <w:rPr>
          <w:rFonts w:ascii="Bookman Old Style" w:eastAsia="Calibri" w:hAnsi="Bookman Old Style"/>
          <w:lang w:val="es-CO" w:eastAsia="en-US"/>
        </w:rPr>
        <w:t>GGC</w:t>
      </w:r>
      <w:r w:rsidRPr="000F2F87">
        <w:rPr>
          <w:rFonts w:ascii="Bookman Old Style" w:eastAsia="Calibri" w:hAnsi="Bookman Old Style"/>
          <w:lang w:val="es-CO" w:eastAsia="en-US"/>
        </w:rPr>
        <w:t xml:space="preserve"> </w:t>
      </w:r>
      <w:r w:rsidR="00CD5206" w:rsidRPr="000F2F87">
        <w:rPr>
          <w:rFonts w:ascii="Bookman Old Style" w:eastAsia="Calibri" w:hAnsi="Bookman Old Style"/>
          <w:lang w:val="es-CO" w:eastAsia="en-US"/>
        </w:rPr>
        <w:t xml:space="preserve">No. </w:t>
      </w:r>
      <w:r w:rsidR="0024463C" w:rsidRPr="000F2F87">
        <w:rPr>
          <w:rFonts w:ascii="Bookman Old Style" w:eastAsia="Calibri" w:hAnsi="Bookman Old Style"/>
          <w:lang w:val="es-CO" w:eastAsia="en-US"/>
        </w:rPr>
        <w:t>588</w:t>
      </w:r>
      <w:r w:rsidR="00CF0050" w:rsidRPr="000F2F87">
        <w:rPr>
          <w:rFonts w:ascii="Bookman Old Style" w:eastAsia="Calibri" w:hAnsi="Bookman Old Style"/>
          <w:lang w:val="es-CO" w:eastAsia="en-US"/>
        </w:rPr>
        <w:t xml:space="preserve"> de 2017</w:t>
      </w:r>
      <w:r w:rsidR="00CF0050" w:rsidRPr="008F367C">
        <w:rPr>
          <w:rFonts w:ascii="Bookman Old Style" w:eastAsia="Calibri" w:hAnsi="Bookman Old Style"/>
          <w:lang w:val="es-CO" w:eastAsia="en-US"/>
        </w:rPr>
        <w:t xml:space="preserve"> suscrito entre el </w:t>
      </w:r>
      <w:r w:rsidR="00175388" w:rsidRPr="008F367C">
        <w:rPr>
          <w:rFonts w:ascii="Bookman Old Style" w:eastAsia="Calibri" w:hAnsi="Bookman Old Style"/>
          <w:lang w:val="es-CO" w:eastAsia="en-US"/>
        </w:rPr>
        <w:t>MME</w:t>
      </w:r>
      <w:r w:rsidR="00CF0050" w:rsidRPr="008F367C">
        <w:rPr>
          <w:rFonts w:ascii="Bookman Old Style" w:eastAsia="Calibri" w:hAnsi="Bookman Old Style"/>
          <w:lang w:val="es-CO" w:eastAsia="en-US"/>
        </w:rPr>
        <w:t xml:space="preserve"> y </w:t>
      </w:r>
      <w:r w:rsidR="001B0F48" w:rsidRPr="008F367C">
        <w:rPr>
          <w:rFonts w:ascii="Bookman Old Style" w:eastAsia="Calibri" w:hAnsi="Bookman Old Style"/>
          <w:lang w:val="es-CO" w:eastAsia="en-US"/>
        </w:rPr>
        <w:t>INGENIERIA Y SERVICIOS S.A. E.S.P.</w:t>
      </w:r>
      <w:r w:rsidR="00CF0050" w:rsidRPr="008F367C">
        <w:rPr>
          <w:rFonts w:ascii="Bookman Old Style" w:eastAsia="Calibri" w:hAnsi="Bookman Old Style"/>
          <w:lang w:val="es-CO" w:eastAsia="en-US"/>
        </w:rPr>
        <w:t xml:space="preserve"> </w:t>
      </w:r>
      <w:r w:rsidRPr="008F367C">
        <w:rPr>
          <w:rFonts w:ascii="Bookman Old Style" w:eastAsia="Calibri" w:hAnsi="Bookman Old Style"/>
          <w:lang w:val="es-CO" w:eastAsia="en-US"/>
        </w:rPr>
        <w:t xml:space="preserve">y que equivalen a un </w:t>
      </w:r>
      <w:r w:rsidR="0024463C" w:rsidRPr="000F2F87">
        <w:rPr>
          <w:rFonts w:ascii="Bookman Old Style" w:eastAsia="Calibri" w:hAnsi="Bookman Old Style"/>
          <w:lang w:val="es-CO" w:eastAsia="en-US"/>
        </w:rPr>
        <w:t>77,16</w:t>
      </w:r>
      <w:r w:rsidRPr="000F2F87">
        <w:rPr>
          <w:rFonts w:ascii="Bookman Old Style" w:eastAsia="Calibri" w:hAnsi="Bookman Old Style"/>
          <w:lang w:val="es-CO" w:eastAsia="en-US"/>
        </w:rPr>
        <w:t>%</w:t>
      </w:r>
      <w:r w:rsidRPr="008F367C">
        <w:rPr>
          <w:rFonts w:ascii="Bookman Old Style" w:eastAsia="Calibri" w:hAnsi="Bookman Old Style"/>
          <w:lang w:val="es-CO" w:eastAsia="en-US"/>
        </w:rPr>
        <w:t xml:space="preserve"> de</w:t>
      </w:r>
      <w:r w:rsidRPr="00A4209D">
        <w:rPr>
          <w:rFonts w:ascii="Bookman Old Style" w:eastAsia="Calibri" w:hAnsi="Bookman Old Style"/>
          <w:lang w:val="es-CO" w:eastAsia="en-US"/>
        </w:rPr>
        <w:t xml:space="preserve"> la inversión.</w:t>
      </w:r>
    </w:p>
    <w:p w:rsidR="008C1E83" w:rsidRPr="001954E9" w:rsidRDefault="00930B12" w:rsidP="00EC5678">
      <w:pPr>
        <w:spacing w:before="100" w:beforeAutospacing="1" w:after="100" w:afterAutospacing="1"/>
        <w:ind w:left="0"/>
        <w:jc w:val="both"/>
        <w:rPr>
          <w:rFonts w:ascii="Bookman Old Style" w:hAnsi="Bookman Old Style" w:cs="Arial"/>
          <w:bCs/>
        </w:rPr>
      </w:pPr>
      <w:r w:rsidRPr="00741853">
        <w:rPr>
          <w:rFonts w:ascii="Bookman Old Style" w:hAnsi="Bookman Old Style" w:cs="Arial"/>
          <w:b/>
          <w:bCs/>
        </w:rPr>
        <w:t>7</w:t>
      </w:r>
      <w:r w:rsidR="008C1E83" w:rsidRPr="00741853">
        <w:rPr>
          <w:rFonts w:ascii="Bookman Old Style" w:hAnsi="Bookman Old Style" w:cs="Arial"/>
          <w:b/>
          <w:bCs/>
        </w:rPr>
        <w:t>. Aspectos y elementos adicionales</w:t>
      </w:r>
    </w:p>
    <w:p w:rsidR="00831A1E" w:rsidRPr="001954E9" w:rsidRDefault="00831A1E" w:rsidP="00831A1E">
      <w:pPr>
        <w:widowControl w:val="0"/>
        <w:adjustRightInd w:val="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CREG </w:t>
      </w:r>
      <w:r w:rsidR="004333D1">
        <w:rPr>
          <w:rFonts w:ascii="Bookman Old Style" w:hAnsi="Bookman Old Style" w:cs="Arial"/>
        </w:rPr>
        <w:t>080</w:t>
      </w:r>
      <w:r w:rsidRPr="001954E9">
        <w:rPr>
          <w:rFonts w:ascii="Bookman Old Style" w:hAnsi="Bookman Old Style" w:cs="Arial"/>
        </w:rPr>
        <w:t xml:space="preserve"> de 201</w:t>
      </w:r>
      <w:r w:rsidR="00A47AD0">
        <w:rPr>
          <w:rFonts w:ascii="Bookman Old Style" w:hAnsi="Bookman Old Style" w:cs="Arial"/>
        </w:rPr>
        <w:t>8</w:t>
      </w:r>
      <w:r w:rsidRPr="001954E9">
        <w:rPr>
          <w:rFonts w:ascii="Bookman Old Style" w:hAnsi="Bookman Old Style" w:cs="Arial"/>
        </w:rPr>
        <w:t>, soporte de la presente resolución.</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AF1FB3" w:rsidP="00662B20">
      <w:pPr>
        <w:ind w:left="0"/>
        <w:jc w:val="both"/>
        <w:rPr>
          <w:rFonts w:ascii="Bookman Old Style" w:hAnsi="Bookman Old Style" w:cs="Arial"/>
        </w:rPr>
      </w:pPr>
      <w:r w:rsidRPr="001954E9">
        <w:rPr>
          <w:rFonts w:ascii="Bookman Old Style" w:hAnsi="Bookman Old Style"/>
          <w:lang w:val="es-ES_tradnl"/>
        </w:rPr>
        <w:t>Con base en lo establecido en el artículo 4 del Decreto 2897 de 2010</w:t>
      </w:r>
      <w:r w:rsidRPr="001954E9">
        <w:rPr>
          <w:rFonts w:ascii="Bookman Old Style" w:hAnsi="Bookman Old Style"/>
          <w:vertAlign w:val="superscript"/>
          <w:lang w:val="es-ES_tradnl"/>
        </w:rPr>
        <w:footnoteReference w:id="31"/>
      </w:r>
      <w:r w:rsidR="00A91BF5" w:rsidRPr="001954E9">
        <w:rPr>
          <w:rFonts w:ascii="Bookman Old Style" w:hAnsi="Bookman Old Style"/>
          <w:lang w:val="es-ES_tradnl"/>
        </w:rPr>
        <w:t>,</w:t>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w:t>
      </w:r>
      <w:r w:rsidR="00B47F3A" w:rsidRPr="001954E9">
        <w:rPr>
          <w:rFonts w:ascii="Bookman Old Style" w:hAnsi="Bookman Old Style"/>
          <w:lang w:val="es-ES_tradnl"/>
        </w:rPr>
        <w:t xml:space="preserve">ndebida a la libre competencia, </w:t>
      </w:r>
      <w:r w:rsidR="005873FD" w:rsidRPr="001954E9">
        <w:rPr>
          <w:rFonts w:ascii="Bookman Old Style" w:hAnsi="Bookman Old Style" w:cs="Arial"/>
        </w:rPr>
        <w:t xml:space="preserve">el cual se encuentra en el Documento </w:t>
      </w:r>
      <w:r w:rsidR="00A41FA4" w:rsidRPr="001954E9">
        <w:rPr>
          <w:rFonts w:ascii="Bookman Old Style" w:hAnsi="Bookman Old Style" w:cs="Arial"/>
        </w:rPr>
        <w:t xml:space="preserve">CREG </w:t>
      </w:r>
      <w:r w:rsidR="004333D1">
        <w:rPr>
          <w:rFonts w:ascii="Bookman Old Style" w:hAnsi="Bookman Old Style" w:cs="Arial"/>
        </w:rPr>
        <w:t>080</w:t>
      </w:r>
      <w:r w:rsidR="00A41FA4" w:rsidRPr="001954E9">
        <w:rPr>
          <w:rFonts w:ascii="Bookman Old Style" w:hAnsi="Bookman Old Style" w:cs="Arial"/>
        </w:rPr>
        <w:t xml:space="preserve"> de 201</w:t>
      </w:r>
      <w:r w:rsidR="00A47AD0">
        <w:rPr>
          <w:rFonts w:ascii="Bookman Old Style" w:hAnsi="Bookman Old Style" w:cs="Arial"/>
        </w:rPr>
        <w:t>8</w:t>
      </w:r>
      <w:r w:rsidR="00A41FA4" w:rsidRPr="001954E9">
        <w:rPr>
          <w:rFonts w:ascii="Bookman Old Style" w:hAnsi="Bookman Old Style" w:cs="Arial"/>
        </w:rPr>
        <w:t>.</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5873FD"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sidR="00A41FA4" w:rsidRPr="001954E9">
        <w:rPr>
          <w:rFonts w:ascii="Bookman Old Style" w:hAnsi="Bookman Old Style" w:cs="Arial"/>
        </w:rPr>
        <w:t>R</w:t>
      </w:r>
      <w:r w:rsidRPr="001954E9">
        <w:rPr>
          <w:rFonts w:ascii="Bookman Old Style" w:hAnsi="Bookman Old Style" w:cs="Arial"/>
        </w:rPr>
        <w:t>esoluci</w:t>
      </w:r>
      <w:r w:rsidR="00A41FA4" w:rsidRPr="001954E9">
        <w:rPr>
          <w:rFonts w:ascii="Bookman Old Style" w:hAnsi="Bookman Old Style" w:cs="Arial"/>
        </w:rPr>
        <w:t>ón</w:t>
      </w:r>
      <w:r w:rsidRPr="001954E9">
        <w:rPr>
          <w:rFonts w:ascii="Bookman Old Style" w:hAnsi="Bookman Old Style" w:cs="Arial"/>
        </w:rPr>
        <w:t xml:space="preserve">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00B47F3A" w:rsidRPr="001954E9">
        <w:rPr>
          <w:rStyle w:val="Refdenotaalpie"/>
          <w:rFonts w:ascii="Bookman Old Style" w:hAnsi="Bookman Old Style" w:cs="Arial"/>
        </w:rPr>
        <w:footnoteReference w:id="32"/>
      </w:r>
      <w:r w:rsidRPr="001954E9">
        <w:rPr>
          <w:rFonts w:ascii="Bookman Old Style" w:hAnsi="Bookman Old Style" w:cs="Arial"/>
        </w:rPr>
        <w:t xml:space="preserve">. </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5873FD" w:rsidP="00341E8F">
      <w:pPr>
        <w:suppressAutoHyphens/>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4333D1">
        <w:rPr>
          <w:rFonts w:ascii="Bookman Old Style" w:hAnsi="Bookman Old Style" w:cs="Arial"/>
          <w:color w:val="000000"/>
          <w:spacing w:val="-3"/>
        </w:rPr>
        <w:t>870</w:t>
      </w:r>
      <w:r w:rsidRPr="001954E9">
        <w:rPr>
          <w:rFonts w:ascii="Bookman Old Style" w:hAnsi="Bookman Old Style" w:cs="Arial"/>
          <w:color w:val="000000"/>
          <w:spacing w:val="-3"/>
        </w:rPr>
        <w:t xml:space="preserve"> del </w:t>
      </w:r>
      <w:r w:rsidR="004333D1">
        <w:rPr>
          <w:rFonts w:ascii="Bookman Old Style" w:hAnsi="Bookman Old Style" w:cs="Arial"/>
          <w:color w:val="000000"/>
          <w:spacing w:val="-3"/>
        </w:rPr>
        <w:t>31</w:t>
      </w:r>
      <w:r w:rsidRPr="001954E9">
        <w:rPr>
          <w:rFonts w:ascii="Bookman Old Style" w:hAnsi="Bookman Old Style" w:cs="Arial"/>
          <w:color w:val="000000"/>
          <w:spacing w:val="-3"/>
        </w:rPr>
        <w:t xml:space="preserve"> de </w:t>
      </w:r>
      <w:r w:rsidR="0024463C">
        <w:rPr>
          <w:rFonts w:ascii="Bookman Old Style" w:hAnsi="Bookman Old Style" w:cs="Arial"/>
          <w:color w:val="000000"/>
          <w:spacing w:val="-3"/>
        </w:rPr>
        <w:t>julio</w:t>
      </w:r>
      <w:r w:rsidR="00AA010D" w:rsidRPr="001954E9">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sidR="00A47AD0">
        <w:rPr>
          <w:rFonts w:ascii="Bookman Old Style" w:hAnsi="Bookman Old Style" w:cs="Arial"/>
          <w:color w:val="000000"/>
          <w:spacing w:val="-3"/>
        </w:rPr>
        <w:t>8</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B47F3A" w:rsidRPr="001954E9">
        <w:rPr>
          <w:rFonts w:ascii="Bookman Old Style" w:hAnsi="Bookman Old Style"/>
          <w:color w:val="000000"/>
          <w:lang w:val="es-ES_tradnl"/>
        </w:rPr>
        <w:t>r</w:t>
      </w:r>
      <w:r w:rsidRPr="001954E9">
        <w:rPr>
          <w:rFonts w:ascii="Bookman Old Style" w:hAnsi="Bookman Old Style"/>
          <w:color w:val="000000"/>
          <w:lang w:val="es-ES_tradnl"/>
        </w:rPr>
        <w:t>esolución.</w:t>
      </w:r>
    </w:p>
    <w:p w:rsidR="00273C2C" w:rsidRPr="001954E9" w:rsidRDefault="00273C2C" w:rsidP="00244322">
      <w:pPr>
        <w:ind w:left="0"/>
        <w:rPr>
          <w:rFonts w:ascii="Bookman Old Style" w:hAnsi="Bookman Old Style" w:cs="Arial"/>
          <w:b/>
          <w:spacing w:val="80"/>
          <w:lang w:val="es-ES_tradnl"/>
        </w:rPr>
      </w:pPr>
    </w:p>
    <w:p w:rsidR="00273C2C" w:rsidRPr="001954E9" w:rsidRDefault="00273C2C" w:rsidP="00341E8F">
      <w:pPr>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AA00E0" w:rsidRDefault="00AA00E0" w:rsidP="00341E8F">
      <w:pPr>
        <w:keepNext/>
        <w:widowControl w:val="0"/>
        <w:tabs>
          <w:tab w:val="left" w:pos="0"/>
        </w:tabs>
        <w:adjustRightInd w:val="0"/>
        <w:ind w:left="0" w:right="20"/>
        <w:jc w:val="both"/>
        <w:rPr>
          <w:rFonts w:ascii="Bookman Old Style" w:hAnsi="Bookman Old Style" w:cs="Arial"/>
          <w:bCs/>
          <w:sz w:val="18"/>
        </w:rPr>
      </w:pPr>
    </w:p>
    <w:p w:rsidR="000E41E3" w:rsidRPr="001954E9" w:rsidRDefault="000E41E3" w:rsidP="00341E8F">
      <w:pPr>
        <w:keepNext/>
        <w:widowControl w:val="0"/>
        <w:tabs>
          <w:tab w:val="left" w:pos="0"/>
        </w:tabs>
        <w:adjustRightInd w:val="0"/>
        <w:ind w:left="0" w:right="20"/>
        <w:jc w:val="both"/>
        <w:rPr>
          <w:rFonts w:ascii="Bookman Old Style" w:hAnsi="Bookman Old Style" w:cs="Arial"/>
          <w:bCs/>
          <w:sz w:val="18"/>
        </w:rPr>
      </w:pPr>
    </w:p>
    <w:p w:rsidR="00F054F5" w:rsidRDefault="00273C2C" w:rsidP="00F054F5">
      <w:pPr>
        <w:widowControl w:val="0"/>
        <w:tabs>
          <w:tab w:val="left" w:pos="0"/>
        </w:tabs>
        <w:adjustRightInd w:val="0"/>
        <w:ind w:left="0" w:right="20"/>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984E57"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00984E57" w:rsidRPr="001954E9">
        <w:rPr>
          <w:rFonts w:ascii="Bookman Old Style" w:hAnsi="Bookman Old Style" w:cs="Arial"/>
          <w:szCs w:val="20"/>
          <w:lang w:val="es-ES_tradnl"/>
        </w:rPr>
        <w:t xml:space="preserve">por </w:t>
      </w:r>
      <w:r w:rsidR="00984E57">
        <w:rPr>
          <w:rFonts w:ascii="Bookman Old Style" w:hAnsi="Bookman Old Style" w:cs="Arial"/>
        </w:rPr>
        <w:t>los</w:t>
      </w:r>
      <w:r w:rsidR="00984E57" w:rsidRPr="001954E9">
        <w:rPr>
          <w:rFonts w:ascii="Bookman Old Style" w:hAnsi="Bookman Old Style" w:cs="Arial"/>
        </w:rPr>
        <w:t xml:space="preserve"> siguiente</w:t>
      </w:r>
      <w:r w:rsidR="00984E57">
        <w:rPr>
          <w:rFonts w:ascii="Bookman Old Style" w:hAnsi="Bookman Old Style" w:cs="Arial"/>
        </w:rPr>
        <w:t>s</w:t>
      </w:r>
      <w:r w:rsidR="00984E57" w:rsidRPr="001954E9">
        <w:rPr>
          <w:rFonts w:ascii="Bookman Old Style" w:hAnsi="Bookman Old Style" w:cs="Arial"/>
        </w:rPr>
        <w:t xml:space="preserve"> </w:t>
      </w:r>
      <w:r w:rsidR="00427BF4">
        <w:rPr>
          <w:rFonts w:ascii="Bookman Old Style" w:hAnsi="Bookman Old Style" w:cs="Arial"/>
        </w:rPr>
        <w:t>centros poblados</w:t>
      </w:r>
      <w:r w:rsidR="00F054F5">
        <w:rPr>
          <w:rFonts w:ascii="Bookman Old Style" w:hAnsi="Bookman Old Style" w:cs="Arial"/>
        </w:rPr>
        <w:t>:</w:t>
      </w:r>
    </w:p>
    <w:p w:rsidR="00230611" w:rsidRDefault="00230611" w:rsidP="00F054F5">
      <w:pPr>
        <w:widowControl w:val="0"/>
        <w:tabs>
          <w:tab w:val="left" w:pos="0"/>
        </w:tabs>
        <w:adjustRightInd w:val="0"/>
        <w:ind w:left="0" w:right="20"/>
        <w:jc w:val="both"/>
        <w:rPr>
          <w:rFonts w:ascii="Bookman Old Style" w:hAnsi="Bookman Old Style"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2235"/>
        <w:gridCol w:w="2126"/>
        <w:gridCol w:w="1905"/>
      </w:tblGrid>
      <w:tr w:rsidR="0024463C" w:rsidRPr="00C52112" w:rsidTr="00A77587">
        <w:trPr>
          <w:jc w:val="center"/>
        </w:trPr>
        <w:tc>
          <w:tcPr>
            <w:tcW w:w="2722" w:type="dxa"/>
            <w:shd w:val="clear" w:color="auto" w:fill="D9D9D9"/>
          </w:tcPr>
          <w:p w:rsidR="0024463C" w:rsidRPr="00E35625" w:rsidRDefault="0024463C" w:rsidP="00A77587">
            <w:pPr>
              <w:keepNext/>
              <w:ind w:left="-98"/>
              <w:jc w:val="center"/>
              <w:rPr>
                <w:rFonts w:ascii="Bookman Old Style" w:hAnsi="Bookman Old Style" w:cs="Arial"/>
                <w:b/>
                <w:sz w:val="22"/>
              </w:rPr>
            </w:pPr>
            <w:r>
              <w:rPr>
                <w:rFonts w:ascii="Bookman Old Style" w:hAnsi="Bookman Old Style" w:cs="Arial"/>
                <w:b/>
                <w:sz w:val="22"/>
              </w:rPr>
              <w:t>Nombre de los centros poblados</w:t>
            </w:r>
          </w:p>
        </w:tc>
        <w:tc>
          <w:tcPr>
            <w:tcW w:w="2235" w:type="dxa"/>
            <w:shd w:val="clear" w:color="auto" w:fill="D9D9D9"/>
            <w:vAlign w:val="center"/>
          </w:tcPr>
          <w:p w:rsidR="0024463C" w:rsidRPr="00E35625" w:rsidRDefault="0024463C" w:rsidP="00A77587">
            <w:pPr>
              <w:keepNext/>
              <w:ind w:left="-98"/>
              <w:jc w:val="center"/>
              <w:rPr>
                <w:rFonts w:ascii="Bookman Old Style" w:hAnsi="Bookman Old Style" w:cs="Arial"/>
                <w:b/>
                <w:sz w:val="22"/>
              </w:rPr>
            </w:pPr>
            <w:r w:rsidRPr="00E35625">
              <w:rPr>
                <w:rFonts w:ascii="Bookman Old Style" w:hAnsi="Bookman Old Style" w:cs="Arial"/>
                <w:b/>
                <w:sz w:val="22"/>
              </w:rPr>
              <w:t>C</w:t>
            </w:r>
            <w:r>
              <w:rPr>
                <w:rFonts w:ascii="Bookman Old Style" w:hAnsi="Bookman Old Style" w:cs="Arial"/>
                <w:b/>
                <w:sz w:val="22"/>
              </w:rPr>
              <w:t>ódigo DANE del municipio</w:t>
            </w:r>
          </w:p>
        </w:tc>
        <w:tc>
          <w:tcPr>
            <w:tcW w:w="2126" w:type="dxa"/>
            <w:shd w:val="clear" w:color="auto" w:fill="D9D9D9"/>
            <w:vAlign w:val="center"/>
          </w:tcPr>
          <w:p w:rsidR="0024463C" w:rsidRPr="00E35625" w:rsidRDefault="0024463C" w:rsidP="00A77587">
            <w:pPr>
              <w:keepNext/>
              <w:ind w:left="-98"/>
              <w:jc w:val="center"/>
              <w:rPr>
                <w:rFonts w:ascii="Bookman Old Style" w:hAnsi="Bookman Old Style" w:cs="Arial"/>
                <w:b/>
                <w:sz w:val="22"/>
              </w:rPr>
            </w:pPr>
            <w:r w:rsidRPr="00E35625">
              <w:rPr>
                <w:rFonts w:ascii="Bookman Old Style" w:hAnsi="Bookman Old Style" w:cs="Arial"/>
                <w:b/>
                <w:sz w:val="22"/>
              </w:rPr>
              <w:t>M</w:t>
            </w:r>
            <w:r>
              <w:rPr>
                <w:rFonts w:ascii="Bookman Old Style" w:hAnsi="Bookman Old Style" w:cs="Arial"/>
                <w:b/>
                <w:sz w:val="22"/>
              </w:rPr>
              <w:t>unicipio</w:t>
            </w:r>
          </w:p>
        </w:tc>
        <w:tc>
          <w:tcPr>
            <w:tcW w:w="1905" w:type="dxa"/>
            <w:shd w:val="clear" w:color="auto" w:fill="D9D9D9"/>
            <w:vAlign w:val="center"/>
          </w:tcPr>
          <w:p w:rsidR="0024463C" w:rsidRPr="00E35625" w:rsidRDefault="0024463C" w:rsidP="00A77587">
            <w:pPr>
              <w:keepNext/>
              <w:ind w:left="-98"/>
              <w:jc w:val="center"/>
              <w:rPr>
                <w:rFonts w:ascii="Bookman Old Style" w:hAnsi="Bookman Old Style" w:cs="Arial"/>
                <w:b/>
                <w:sz w:val="22"/>
              </w:rPr>
            </w:pPr>
            <w:r w:rsidRPr="00E35625">
              <w:rPr>
                <w:rFonts w:ascii="Bookman Old Style" w:hAnsi="Bookman Old Style" w:cs="Arial"/>
                <w:b/>
                <w:sz w:val="22"/>
              </w:rPr>
              <w:t>D</w:t>
            </w:r>
            <w:r>
              <w:rPr>
                <w:rFonts w:ascii="Bookman Old Style" w:hAnsi="Bookman Old Style" w:cs="Arial"/>
                <w:b/>
                <w:sz w:val="22"/>
              </w:rPr>
              <w:t>epartamento</w:t>
            </w:r>
          </w:p>
        </w:tc>
      </w:tr>
      <w:tr w:rsidR="0024463C" w:rsidRPr="00C52112" w:rsidTr="00A77587">
        <w:trPr>
          <w:jc w:val="center"/>
        </w:trPr>
        <w:tc>
          <w:tcPr>
            <w:tcW w:w="2722" w:type="dxa"/>
          </w:tcPr>
          <w:p w:rsidR="0024463C" w:rsidRPr="00E35625" w:rsidRDefault="0024463C" w:rsidP="00A77587">
            <w:pPr>
              <w:ind w:left="33" w:right="-1"/>
              <w:rPr>
                <w:rFonts w:ascii="Bookman Old Style" w:hAnsi="Bookman Old Style" w:cs="Arial"/>
                <w:sz w:val="22"/>
              </w:rPr>
            </w:pPr>
            <w:r>
              <w:rPr>
                <w:rFonts w:ascii="Bookman Old Style" w:hAnsi="Bookman Old Style" w:cs="Arial"/>
                <w:sz w:val="22"/>
              </w:rPr>
              <w:t>Taravita</w:t>
            </w:r>
          </w:p>
        </w:tc>
        <w:tc>
          <w:tcPr>
            <w:tcW w:w="2235" w:type="dxa"/>
            <w:shd w:val="clear" w:color="auto" w:fill="auto"/>
            <w:vAlign w:val="center"/>
          </w:tcPr>
          <w:p w:rsidR="0024463C" w:rsidRPr="00E35625" w:rsidRDefault="0024463C" w:rsidP="00A77587">
            <w:pPr>
              <w:ind w:left="-98" w:right="-1"/>
              <w:jc w:val="center"/>
              <w:rPr>
                <w:rFonts w:ascii="Bookman Old Style" w:hAnsi="Bookman Old Style" w:cs="Arial"/>
                <w:sz w:val="22"/>
              </w:rPr>
            </w:pPr>
            <w:r>
              <w:rPr>
                <w:rFonts w:ascii="Bookman Old Style" w:hAnsi="Bookman Old Style" w:cs="Arial"/>
                <w:sz w:val="22"/>
              </w:rPr>
              <w:t>25288</w:t>
            </w:r>
          </w:p>
        </w:tc>
        <w:tc>
          <w:tcPr>
            <w:tcW w:w="2126" w:type="dxa"/>
            <w:shd w:val="clear" w:color="auto" w:fill="auto"/>
            <w:vAlign w:val="center"/>
          </w:tcPr>
          <w:p w:rsidR="0024463C" w:rsidRPr="00E35625" w:rsidRDefault="0024463C" w:rsidP="00A77587">
            <w:pPr>
              <w:ind w:left="-98" w:right="-1"/>
              <w:jc w:val="center"/>
              <w:rPr>
                <w:rFonts w:ascii="Bookman Old Style" w:hAnsi="Bookman Old Style" w:cs="Arial"/>
                <w:sz w:val="22"/>
              </w:rPr>
            </w:pPr>
            <w:r>
              <w:rPr>
                <w:rFonts w:ascii="Bookman Old Style" w:hAnsi="Bookman Old Style" w:cs="Arial"/>
                <w:sz w:val="22"/>
              </w:rPr>
              <w:t>Fúquene</w:t>
            </w:r>
          </w:p>
        </w:tc>
        <w:tc>
          <w:tcPr>
            <w:tcW w:w="1905" w:type="dxa"/>
            <w:vMerge w:val="restart"/>
            <w:shd w:val="clear" w:color="auto" w:fill="auto"/>
            <w:vAlign w:val="center"/>
          </w:tcPr>
          <w:p w:rsidR="0024463C" w:rsidRPr="00E35625" w:rsidRDefault="0024463C" w:rsidP="00A77587">
            <w:pPr>
              <w:ind w:left="-98" w:right="-1"/>
              <w:jc w:val="center"/>
              <w:rPr>
                <w:rFonts w:ascii="Bookman Old Style" w:hAnsi="Bookman Old Style" w:cs="Arial"/>
                <w:sz w:val="22"/>
              </w:rPr>
            </w:pPr>
            <w:r>
              <w:rPr>
                <w:rFonts w:ascii="Bookman Old Style" w:hAnsi="Bookman Old Style" w:cs="Arial"/>
                <w:sz w:val="22"/>
              </w:rPr>
              <w:t>Cundinamarca</w:t>
            </w:r>
          </w:p>
        </w:tc>
      </w:tr>
      <w:tr w:rsidR="0024463C" w:rsidRPr="00C52112" w:rsidTr="00A77587">
        <w:trPr>
          <w:jc w:val="center"/>
        </w:trPr>
        <w:tc>
          <w:tcPr>
            <w:tcW w:w="2722" w:type="dxa"/>
          </w:tcPr>
          <w:p w:rsidR="0024463C" w:rsidRPr="00E35625" w:rsidRDefault="0024463C" w:rsidP="00A77587">
            <w:pPr>
              <w:ind w:left="33" w:right="-1"/>
              <w:rPr>
                <w:rFonts w:ascii="Bookman Old Style" w:hAnsi="Bookman Old Style" w:cs="Arial"/>
                <w:sz w:val="22"/>
              </w:rPr>
            </w:pPr>
            <w:r>
              <w:rPr>
                <w:rFonts w:ascii="Bookman Old Style" w:hAnsi="Bookman Old Style" w:cs="Arial"/>
                <w:sz w:val="22"/>
              </w:rPr>
              <w:t>Ticha</w:t>
            </w:r>
          </w:p>
        </w:tc>
        <w:tc>
          <w:tcPr>
            <w:tcW w:w="2235" w:type="dxa"/>
            <w:vMerge w:val="restart"/>
            <w:shd w:val="clear" w:color="auto" w:fill="auto"/>
            <w:vAlign w:val="center"/>
          </w:tcPr>
          <w:p w:rsidR="0024463C" w:rsidRPr="00E35625" w:rsidRDefault="0024463C" w:rsidP="00A77587">
            <w:pPr>
              <w:ind w:left="-98" w:right="-1"/>
              <w:jc w:val="center"/>
              <w:rPr>
                <w:rFonts w:ascii="Bookman Old Style" w:hAnsi="Bookman Old Style" w:cs="Arial"/>
                <w:sz w:val="22"/>
              </w:rPr>
            </w:pPr>
            <w:r>
              <w:rPr>
                <w:rFonts w:ascii="Bookman Old Style" w:hAnsi="Bookman Old Style" w:cs="Arial"/>
                <w:sz w:val="22"/>
              </w:rPr>
              <w:t>25317</w:t>
            </w:r>
          </w:p>
        </w:tc>
        <w:tc>
          <w:tcPr>
            <w:tcW w:w="2126" w:type="dxa"/>
            <w:vMerge w:val="restart"/>
            <w:shd w:val="clear" w:color="auto" w:fill="auto"/>
            <w:vAlign w:val="center"/>
          </w:tcPr>
          <w:p w:rsidR="0024463C" w:rsidRPr="00E35625" w:rsidRDefault="0024463C" w:rsidP="00A77587">
            <w:pPr>
              <w:ind w:left="-98" w:right="-1"/>
              <w:jc w:val="center"/>
              <w:rPr>
                <w:rFonts w:ascii="Bookman Old Style" w:hAnsi="Bookman Old Style" w:cs="Arial"/>
                <w:sz w:val="22"/>
              </w:rPr>
            </w:pPr>
            <w:r>
              <w:rPr>
                <w:rFonts w:ascii="Bookman Old Style" w:hAnsi="Bookman Old Style" w:cs="Arial"/>
                <w:sz w:val="22"/>
              </w:rPr>
              <w:t>Guachetá</w:t>
            </w:r>
          </w:p>
        </w:tc>
        <w:tc>
          <w:tcPr>
            <w:tcW w:w="1905" w:type="dxa"/>
            <w:vMerge/>
            <w:shd w:val="clear" w:color="auto" w:fill="auto"/>
          </w:tcPr>
          <w:p w:rsidR="0024463C" w:rsidRPr="00E35625" w:rsidRDefault="0024463C" w:rsidP="00A77587">
            <w:pPr>
              <w:ind w:left="-98" w:right="-1"/>
              <w:jc w:val="center"/>
              <w:rPr>
                <w:rFonts w:ascii="Bookman Old Style" w:hAnsi="Bookman Old Style" w:cs="Arial"/>
                <w:sz w:val="22"/>
              </w:rPr>
            </w:pPr>
          </w:p>
        </w:tc>
      </w:tr>
      <w:tr w:rsidR="0024463C" w:rsidRPr="00C52112" w:rsidTr="00A77587">
        <w:trPr>
          <w:jc w:val="center"/>
        </w:trPr>
        <w:tc>
          <w:tcPr>
            <w:tcW w:w="2722" w:type="dxa"/>
          </w:tcPr>
          <w:p w:rsidR="0024463C" w:rsidRDefault="0024463C" w:rsidP="00A77587">
            <w:pPr>
              <w:ind w:left="33" w:right="-1"/>
              <w:rPr>
                <w:rFonts w:ascii="Bookman Old Style" w:hAnsi="Bookman Old Style" w:cs="Arial"/>
                <w:sz w:val="22"/>
              </w:rPr>
            </w:pPr>
            <w:r>
              <w:rPr>
                <w:rFonts w:ascii="Bookman Old Style" w:hAnsi="Bookman Old Style" w:cs="Arial"/>
                <w:sz w:val="22"/>
              </w:rPr>
              <w:t>Nengua</w:t>
            </w:r>
          </w:p>
        </w:tc>
        <w:tc>
          <w:tcPr>
            <w:tcW w:w="2235" w:type="dxa"/>
            <w:vMerge/>
            <w:shd w:val="clear" w:color="auto" w:fill="auto"/>
          </w:tcPr>
          <w:p w:rsidR="0024463C" w:rsidRPr="00E35625" w:rsidRDefault="0024463C" w:rsidP="00A77587">
            <w:pPr>
              <w:ind w:left="-98" w:right="-1"/>
              <w:jc w:val="center"/>
              <w:rPr>
                <w:rFonts w:ascii="Bookman Old Style" w:hAnsi="Bookman Old Style" w:cs="Arial"/>
                <w:sz w:val="22"/>
              </w:rPr>
            </w:pPr>
          </w:p>
        </w:tc>
        <w:tc>
          <w:tcPr>
            <w:tcW w:w="2126" w:type="dxa"/>
            <w:vMerge/>
            <w:shd w:val="clear" w:color="auto" w:fill="auto"/>
          </w:tcPr>
          <w:p w:rsidR="0024463C" w:rsidRPr="00E35625" w:rsidRDefault="0024463C" w:rsidP="00A77587">
            <w:pPr>
              <w:ind w:left="-98" w:right="-1"/>
              <w:jc w:val="center"/>
              <w:rPr>
                <w:rFonts w:ascii="Bookman Old Style" w:hAnsi="Bookman Old Style" w:cs="Arial"/>
                <w:sz w:val="22"/>
              </w:rPr>
            </w:pPr>
          </w:p>
        </w:tc>
        <w:tc>
          <w:tcPr>
            <w:tcW w:w="1905" w:type="dxa"/>
            <w:vMerge/>
            <w:shd w:val="clear" w:color="auto" w:fill="auto"/>
          </w:tcPr>
          <w:p w:rsidR="0024463C" w:rsidRPr="00E35625" w:rsidRDefault="0024463C" w:rsidP="00A77587">
            <w:pPr>
              <w:ind w:left="-98" w:right="-1"/>
              <w:jc w:val="center"/>
              <w:rPr>
                <w:rFonts w:ascii="Bookman Old Style" w:hAnsi="Bookman Old Style" w:cs="Arial"/>
                <w:sz w:val="22"/>
              </w:rPr>
            </w:pPr>
          </w:p>
        </w:tc>
      </w:tr>
      <w:tr w:rsidR="0024463C" w:rsidRPr="00C52112" w:rsidTr="00A77587">
        <w:trPr>
          <w:jc w:val="center"/>
        </w:trPr>
        <w:tc>
          <w:tcPr>
            <w:tcW w:w="2722" w:type="dxa"/>
          </w:tcPr>
          <w:p w:rsidR="0024463C" w:rsidRDefault="0024463C" w:rsidP="00A77587">
            <w:pPr>
              <w:ind w:left="33" w:right="-1"/>
              <w:rPr>
                <w:rFonts w:ascii="Bookman Old Style" w:hAnsi="Bookman Old Style" w:cs="Arial"/>
                <w:sz w:val="22"/>
              </w:rPr>
            </w:pPr>
            <w:r>
              <w:rPr>
                <w:rFonts w:ascii="Bookman Old Style" w:hAnsi="Bookman Old Style" w:cs="Arial"/>
                <w:sz w:val="22"/>
              </w:rPr>
              <w:t>Miña</w:t>
            </w:r>
          </w:p>
        </w:tc>
        <w:tc>
          <w:tcPr>
            <w:tcW w:w="2235" w:type="dxa"/>
            <w:vMerge/>
            <w:shd w:val="clear" w:color="auto" w:fill="auto"/>
          </w:tcPr>
          <w:p w:rsidR="0024463C" w:rsidRPr="00E35625" w:rsidRDefault="0024463C" w:rsidP="00A77587">
            <w:pPr>
              <w:ind w:left="-98" w:right="-1"/>
              <w:jc w:val="center"/>
              <w:rPr>
                <w:rFonts w:ascii="Bookman Old Style" w:hAnsi="Bookman Old Style" w:cs="Arial"/>
                <w:sz w:val="22"/>
              </w:rPr>
            </w:pPr>
          </w:p>
        </w:tc>
        <w:tc>
          <w:tcPr>
            <w:tcW w:w="2126" w:type="dxa"/>
            <w:vMerge/>
            <w:shd w:val="clear" w:color="auto" w:fill="auto"/>
          </w:tcPr>
          <w:p w:rsidR="0024463C" w:rsidRPr="00E35625" w:rsidRDefault="0024463C" w:rsidP="00A77587">
            <w:pPr>
              <w:ind w:left="-98" w:right="-1"/>
              <w:jc w:val="center"/>
              <w:rPr>
                <w:rFonts w:ascii="Bookman Old Style" w:hAnsi="Bookman Old Style" w:cs="Arial"/>
                <w:sz w:val="22"/>
              </w:rPr>
            </w:pPr>
          </w:p>
        </w:tc>
        <w:tc>
          <w:tcPr>
            <w:tcW w:w="1905" w:type="dxa"/>
            <w:vMerge/>
            <w:shd w:val="clear" w:color="auto" w:fill="auto"/>
          </w:tcPr>
          <w:p w:rsidR="0024463C" w:rsidRPr="00E35625" w:rsidRDefault="0024463C" w:rsidP="00A77587">
            <w:pPr>
              <w:ind w:left="-98" w:right="-1"/>
              <w:jc w:val="center"/>
              <w:rPr>
                <w:rFonts w:ascii="Bookman Old Style" w:hAnsi="Bookman Old Style" w:cs="Arial"/>
                <w:sz w:val="22"/>
              </w:rPr>
            </w:pPr>
          </w:p>
        </w:tc>
      </w:tr>
    </w:tbl>
    <w:p w:rsidR="008D002E" w:rsidRDefault="008D002E" w:rsidP="00F054F5">
      <w:pPr>
        <w:widowControl w:val="0"/>
        <w:tabs>
          <w:tab w:val="left" w:pos="0"/>
        </w:tabs>
        <w:adjustRightInd w:val="0"/>
        <w:ind w:left="0" w:right="20"/>
        <w:jc w:val="both"/>
        <w:rPr>
          <w:rFonts w:ascii="Bookman Old Style" w:hAnsi="Bookman Old Style" w:cs="Arial"/>
          <w:b/>
        </w:rPr>
      </w:pPr>
    </w:p>
    <w:p w:rsidR="00883586" w:rsidRPr="001954E9" w:rsidRDefault="00883586" w:rsidP="00F054F5">
      <w:pPr>
        <w:widowControl w:val="0"/>
        <w:tabs>
          <w:tab w:val="left" w:pos="0"/>
        </w:tabs>
        <w:adjustRightInd w:val="0"/>
        <w:ind w:left="0" w:right="20"/>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 presentada en el Anexo 2 de esta Resolución.</w:t>
      </w:r>
    </w:p>
    <w:p w:rsidR="0097361C" w:rsidRPr="001954E9" w:rsidRDefault="0097361C" w:rsidP="00341E8F">
      <w:pPr>
        <w:widowControl w:val="0"/>
        <w:adjustRightInd w:val="0"/>
        <w:ind w:left="0" w:right="20"/>
        <w:jc w:val="both"/>
        <w:rPr>
          <w:rFonts w:ascii="Bookman Old Style" w:hAnsi="Bookman Old Style" w:cs="Arial"/>
          <w:b/>
        </w:rPr>
      </w:pPr>
    </w:p>
    <w:p w:rsidR="00273C2C" w:rsidRPr="001954E9" w:rsidRDefault="00273C2C" w:rsidP="00341E8F">
      <w:pPr>
        <w:widowControl w:val="0"/>
        <w:adjustRightInd w:val="0"/>
        <w:ind w:left="0" w:right="20"/>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transitorios</w:t>
      </w:r>
      <w:r w:rsidRPr="001954E9">
        <w:rPr>
          <w:rFonts w:ascii="Bookman Old Style" w:hAnsi="Bookman Old Style" w:cs="Arial"/>
        </w:rPr>
        <w:t xml:space="preserve"> 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3B75B5" w:rsidRPr="001954E9" w:rsidRDefault="003B75B5" w:rsidP="00341E8F">
      <w:pPr>
        <w:widowControl w:val="0"/>
        <w:adjustRightInd w:val="0"/>
        <w:ind w:left="0" w:right="20"/>
        <w:jc w:val="both"/>
        <w:rPr>
          <w:rFonts w:ascii="Bookman Old Style" w:hAnsi="Bookman Old Style" w:cs="Arial"/>
          <w:b/>
        </w:rPr>
      </w:pPr>
    </w:p>
    <w:p w:rsidR="00273C2C" w:rsidRPr="001954E9" w:rsidRDefault="00105372" w:rsidP="00341E8F">
      <w:pPr>
        <w:widowControl w:val="0"/>
        <w:adjustRightInd w:val="0"/>
        <w:ind w:left="0" w:right="20"/>
        <w:jc w:val="both"/>
        <w:rPr>
          <w:rFonts w:ascii="Bookman Old Style" w:hAnsi="Bookman Old Style" w:cs="Arial"/>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914E79">
        <w:rPr>
          <w:rFonts w:ascii="Bookman Old Style" w:hAnsi="Bookman Old Style" w:cs="Arial"/>
        </w:rPr>
        <w:t xml:space="preserve"> </w:t>
      </w:r>
      <w:r w:rsidR="00273C2C" w:rsidRPr="001954E9">
        <w:rPr>
          <w:rFonts w:ascii="Bookman Old Style" w:hAnsi="Bookman Old Style" w:cs="Arial"/>
        </w:rPr>
        <w:t>Programa de Nuevas Inversiones</w:t>
      </w:r>
      <w:r w:rsidR="008150E7" w:rsidRPr="001954E9">
        <w:rPr>
          <w:rFonts w:ascii="Bookman Old Style" w:hAnsi="Bookman Old Style" w:cs="Arial"/>
        </w:rPr>
        <w:t xml:space="preserve"> corresponde a un valor de </w:t>
      </w:r>
      <w:r w:rsidR="0024463C" w:rsidRPr="000F2F87">
        <w:rPr>
          <w:rFonts w:ascii="Bookman Old Style" w:hAnsi="Bookman Old Style" w:cs="Arial"/>
        </w:rPr>
        <w:t>1.390.379.937</w:t>
      </w:r>
      <w:r w:rsidR="0024463C" w:rsidRPr="008F367C">
        <w:rPr>
          <w:rFonts w:ascii="Bookman Old Style" w:hAnsi="Bookman Old Style" w:cs="Arial"/>
        </w:rPr>
        <w:t xml:space="preserve"> </w:t>
      </w:r>
      <w:r w:rsidR="008150E7" w:rsidRPr="008F367C">
        <w:rPr>
          <w:rFonts w:ascii="Bookman Old Style" w:hAnsi="Bookman Old Style" w:cs="Arial"/>
        </w:rPr>
        <w:t>($</w:t>
      </w:r>
      <w:r w:rsidR="008150E7" w:rsidRPr="001954E9">
        <w:rPr>
          <w:rFonts w:ascii="Bookman Old Style" w:hAnsi="Bookman Old Style" w:cs="Arial"/>
        </w:rPr>
        <w:t xml:space="preserve"> 31 de diciembre de 201</w:t>
      </w:r>
      <w:r w:rsidR="00C72BA5">
        <w:rPr>
          <w:rFonts w:ascii="Bookman Old Style" w:hAnsi="Bookman Old Style" w:cs="Arial"/>
        </w:rPr>
        <w:t>6</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presente Resolución</w:t>
      </w:r>
      <w:r w:rsidR="005E783F">
        <w:rPr>
          <w:rFonts w:ascii="Bookman Old Style" w:hAnsi="Bookman Old Style" w:cs="Arial"/>
        </w:rPr>
        <w:t>.</w:t>
      </w:r>
    </w:p>
    <w:p w:rsidR="000A7E74" w:rsidRPr="001954E9" w:rsidRDefault="000A7E74" w:rsidP="00341E8F">
      <w:pPr>
        <w:widowControl w:val="0"/>
        <w:adjustRightInd w:val="0"/>
        <w:ind w:left="0" w:right="20"/>
        <w:jc w:val="both"/>
        <w:rPr>
          <w:rFonts w:ascii="Bookman Old Style" w:hAnsi="Bookman Old Style" w:cs="Arial"/>
        </w:rPr>
      </w:pPr>
    </w:p>
    <w:p w:rsidR="008150E7" w:rsidRPr="001954E9" w:rsidRDefault="008150E7" w:rsidP="00341E8F">
      <w:pPr>
        <w:widowControl w:val="0"/>
        <w:adjustRightInd w:val="0"/>
        <w:ind w:left="0" w:right="20"/>
        <w:jc w:val="both"/>
        <w:rPr>
          <w:rFonts w:ascii="Bookman Old Style" w:hAnsi="Bookman Old Style" w:cs="Arial"/>
          <w:b/>
        </w:rPr>
      </w:pPr>
      <w:r w:rsidRPr="001954E9">
        <w:rPr>
          <w:rFonts w:ascii="Bookman Old Style" w:hAnsi="Bookman Old Style" w:cs="Arial"/>
          <w:b/>
        </w:rPr>
        <w:t>3.</w:t>
      </w:r>
      <w:r w:rsidR="002B34EB" w:rsidRPr="001954E9">
        <w:rPr>
          <w:rFonts w:ascii="Bookman Old Style" w:hAnsi="Bookman Old Style" w:cs="Arial"/>
          <w:b/>
        </w:rPr>
        <w:t>2</w:t>
      </w:r>
      <w:r w:rsidR="00EC0B8D" w:rsidRPr="001954E9">
        <w:rPr>
          <w:rFonts w:ascii="Bookman Old Style" w:hAnsi="Bookman Old Style" w:cs="Arial"/>
          <w:b/>
        </w:rPr>
        <w:t>.</w:t>
      </w:r>
      <w:r w:rsidRPr="001954E9">
        <w:rPr>
          <w:rFonts w:ascii="Bookman Old Style" w:hAnsi="Bookman Old Style" w:cs="Arial"/>
          <w:b/>
        </w:rPr>
        <w:t xml:space="preserve"> Valoración de la Inversión Base</w:t>
      </w:r>
      <w:r w:rsidR="005A3FBF" w:rsidRPr="001954E9">
        <w:rPr>
          <w:rFonts w:ascii="Bookman Old Style" w:hAnsi="Bookman Old Style" w:cs="Arial"/>
          <w:b/>
        </w:rPr>
        <w:t xml:space="preserve">. </w:t>
      </w:r>
    </w:p>
    <w:p w:rsidR="00092171" w:rsidRPr="001954E9" w:rsidRDefault="00092171" w:rsidP="00341E8F">
      <w:pPr>
        <w:widowControl w:val="0"/>
        <w:adjustRightInd w:val="0"/>
        <w:ind w:left="0" w:right="20"/>
        <w:jc w:val="both"/>
        <w:rPr>
          <w:rFonts w:ascii="Bookman Old Style" w:hAnsi="Bookman Old Style" w:cs="Arial"/>
        </w:rPr>
      </w:pPr>
    </w:p>
    <w:p w:rsidR="008C3D2D" w:rsidRDefault="008C3D2D"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EC0B8D" w:rsidRPr="001954E9">
        <w:rPr>
          <w:rFonts w:ascii="Bookman Old Style" w:hAnsi="Bookman Old Style" w:cs="Arial"/>
        </w:rPr>
        <w:t>sus modificaciones y adiciones</w:t>
      </w:r>
      <w:r w:rsidRPr="001954E9">
        <w:rPr>
          <w:rFonts w:ascii="Bookman Old Style" w:hAnsi="Bookman Old Style" w:cs="Arial"/>
        </w:rPr>
        <w:t xml:space="preserve">, se calcularon </w:t>
      </w:r>
      <w:r w:rsidR="00DF00AE"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la inversión base, aplicable a usuarios de uso residencial y a usuarios diferentes a los de uso residencial</w:t>
      </w:r>
      <w:r w:rsidR="00EC0B8D" w:rsidRPr="001954E9">
        <w:rPr>
          <w:rFonts w:ascii="Bookman Old Style" w:hAnsi="Bookman Old Style" w:cs="Arial"/>
        </w:rPr>
        <w:t xml:space="preserve"> </w:t>
      </w:r>
      <w:r w:rsidR="00A62A9D" w:rsidRPr="001954E9">
        <w:rPr>
          <w:rFonts w:ascii="Bookman Old Style" w:hAnsi="Bookman Old Style" w:cs="Arial"/>
        </w:rPr>
        <w:t xml:space="preserve">y </w:t>
      </w:r>
      <w:r w:rsidR="00EC0B8D" w:rsidRPr="001954E9">
        <w:rPr>
          <w:rFonts w:ascii="Bookman Old Style" w:hAnsi="Bookman Old Style" w:cs="Arial"/>
        </w:rPr>
        <w:t>se obtuvieron</w:t>
      </w:r>
      <w:r w:rsidRPr="001954E9">
        <w:rPr>
          <w:rFonts w:ascii="Bookman Old Style" w:hAnsi="Bookman Old Style" w:cs="Arial"/>
        </w:rPr>
        <w:t xml:space="preserve"> las siguientes variables principales</w:t>
      </w:r>
      <w:r w:rsidR="00883586" w:rsidRPr="001954E9">
        <w:rPr>
          <w:rFonts w:ascii="Bookman Old Style" w:hAnsi="Bookman Old Style" w:cs="Arial"/>
        </w:rPr>
        <w:t>:</w:t>
      </w:r>
    </w:p>
    <w:p w:rsidR="00EE0E3E" w:rsidRDefault="00EE0E3E" w:rsidP="00341E8F">
      <w:pPr>
        <w:widowControl w:val="0"/>
        <w:adjustRightInd w:val="0"/>
        <w:ind w:left="0" w:right="20"/>
        <w:jc w:val="center"/>
        <w:rPr>
          <w:rFonts w:ascii="Bookman Old Style" w:hAnsi="Bookman Old Style" w:cs="Arial"/>
          <w:sz w:val="22"/>
        </w:rPr>
      </w:pPr>
    </w:p>
    <w:tbl>
      <w:tblPr>
        <w:tblW w:w="5000" w:type="pct"/>
        <w:jc w:val="center"/>
        <w:tblCellMar>
          <w:left w:w="70" w:type="dxa"/>
          <w:right w:w="70" w:type="dxa"/>
        </w:tblCellMar>
        <w:tblLook w:val="04A0" w:firstRow="1" w:lastRow="0" w:firstColumn="1" w:lastColumn="0" w:noHBand="0" w:noVBand="1"/>
      </w:tblPr>
      <w:tblGrid>
        <w:gridCol w:w="3434"/>
        <w:gridCol w:w="1998"/>
        <w:gridCol w:w="1952"/>
        <w:gridCol w:w="1952"/>
      </w:tblGrid>
      <w:tr w:rsidR="00A10908" w:rsidRPr="00A10908" w:rsidTr="00B0588B">
        <w:trPr>
          <w:trHeight w:val="300"/>
          <w:jc w:val="cent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10908" w:rsidRPr="00A10908" w:rsidTr="00B0588B">
        <w:trPr>
          <w:trHeight w:val="258"/>
          <w:jc w:val="cent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r>
      <w:tr w:rsidR="00A10908" w:rsidRPr="00A10908" w:rsidTr="00B0588B">
        <w:trPr>
          <w:trHeight w:val="315"/>
          <w:jc w:val="center"/>
        </w:trPr>
        <w:tc>
          <w:tcPr>
            <w:tcW w:w="1828" w:type="pct"/>
            <w:vMerge w:val="restart"/>
            <w:tcBorders>
              <w:top w:val="nil"/>
              <w:left w:val="single" w:sz="8" w:space="0" w:color="auto"/>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3172" w:type="pct"/>
            <w:gridSpan w:val="3"/>
            <w:tcBorders>
              <w:top w:val="single" w:sz="8" w:space="0" w:color="000000"/>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Valor ($31-Dic-2016)</w:t>
            </w:r>
          </w:p>
        </w:tc>
      </w:tr>
      <w:tr w:rsidR="00A10908" w:rsidRPr="00A10908" w:rsidTr="00B0588B">
        <w:trPr>
          <w:trHeight w:val="364"/>
          <w:jc w:val="center"/>
        </w:trPr>
        <w:tc>
          <w:tcPr>
            <w:tcW w:w="1828" w:type="pct"/>
            <w:vMerge/>
            <w:tcBorders>
              <w:top w:val="nil"/>
              <w:left w:val="single" w:sz="8" w:space="0" w:color="auto"/>
              <w:bottom w:val="single" w:sz="8" w:space="0" w:color="000000"/>
              <w:right w:val="single" w:sz="8" w:space="0" w:color="000000"/>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c>
          <w:tcPr>
            <w:tcW w:w="1045" w:type="pct"/>
            <w:tcBorders>
              <w:top w:val="nil"/>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2017</w:t>
            </w:r>
          </w:p>
        </w:tc>
        <w:tc>
          <w:tcPr>
            <w:tcW w:w="1045" w:type="pct"/>
            <w:tcBorders>
              <w:top w:val="nil"/>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2018</w:t>
            </w:r>
          </w:p>
        </w:tc>
        <w:tc>
          <w:tcPr>
            <w:tcW w:w="1082" w:type="pct"/>
            <w:tcBorders>
              <w:top w:val="nil"/>
              <w:left w:val="nil"/>
              <w:bottom w:val="single" w:sz="8" w:space="0" w:color="000000"/>
              <w:right w:val="single" w:sz="8"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2019-2020-2021</w:t>
            </w:r>
          </w:p>
        </w:tc>
      </w:tr>
      <w:tr w:rsidR="00705514" w:rsidRPr="00A10908" w:rsidTr="00D16787">
        <w:trPr>
          <w:trHeight w:val="315"/>
          <w:jc w:val="center"/>
        </w:trPr>
        <w:tc>
          <w:tcPr>
            <w:tcW w:w="1828" w:type="pct"/>
            <w:tcBorders>
              <w:top w:val="nil"/>
              <w:left w:val="single" w:sz="8" w:space="0" w:color="auto"/>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7F928B32" wp14:editId="33F304A3">
                  <wp:extent cx="504825" cy="15367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3670"/>
                          </a:xfrm>
                          <a:prstGeom prst="rect">
                            <a:avLst/>
                          </a:prstGeom>
                          <a:noFill/>
                          <a:ln>
                            <a:noFill/>
                          </a:ln>
                        </pic:spPr>
                      </pic:pic>
                    </a:graphicData>
                  </a:graphic>
                </wp:inline>
              </w:drawing>
            </w:r>
          </w:p>
        </w:tc>
        <w:tc>
          <w:tcPr>
            <w:tcW w:w="1045" w:type="pct"/>
            <w:tcBorders>
              <w:top w:val="single" w:sz="4" w:space="0" w:color="auto"/>
              <w:left w:val="single" w:sz="4" w:space="0" w:color="auto"/>
              <w:bottom w:val="single" w:sz="4" w:space="0" w:color="auto"/>
              <w:right w:val="single" w:sz="4" w:space="0" w:color="auto"/>
            </w:tcBorders>
            <w:shd w:val="clear" w:color="auto" w:fill="auto"/>
            <w:vAlign w:val="bottom"/>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341</w:t>
            </w:r>
            <w:r>
              <w:rPr>
                <w:rFonts w:ascii="Bookman Old Style" w:hAnsi="Bookman Old Style"/>
                <w:color w:val="000000"/>
                <w:sz w:val="20"/>
                <w:szCs w:val="20"/>
              </w:rPr>
              <w:t>.</w:t>
            </w:r>
            <w:r w:rsidRPr="00705514">
              <w:rPr>
                <w:rFonts w:ascii="Bookman Old Style" w:hAnsi="Bookman Old Style"/>
                <w:color w:val="000000"/>
                <w:sz w:val="20"/>
                <w:szCs w:val="20"/>
              </w:rPr>
              <w:t>033</w:t>
            </w:r>
            <w:r>
              <w:rPr>
                <w:rFonts w:ascii="Bookman Old Style" w:hAnsi="Bookman Old Style"/>
                <w:color w:val="000000"/>
                <w:sz w:val="20"/>
                <w:szCs w:val="20"/>
              </w:rPr>
              <w:t>.</w:t>
            </w:r>
            <w:r w:rsidRPr="00705514">
              <w:rPr>
                <w:rFonts w:ascii="Bookman Old Style" w:hAnsi="Bookman Old Style"/>
                <w:color w:val="000000"/>
                <w:sz w:val="20"/>
                <w:szCs w:val="20"/>
              </w:rPr>
              <w:t xml:space="preserve">063 </w:t>
            </w:r>
          </w:p>
        </w:tc>
        <w:tc>
          <w:tcPr>
            <w:tcW w:w="1045" w:type="pct"/>
            <w:tcBorders>
              <w:top w:val="single" w:sz="4" w:space="0" w:color="auto"/>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340</w:t>
            </w:r>
            <w:r>
              <w:rPr>
                <w:rFonts w:ascii="Bookman Old Style" w:hAnsi="Bookman Old Style"/>
                <w:color w:val="000000"/>
                <w:sz w:val="20"/>
                <w:szCs w:val="20"/>
              </w:rPr>
              <w:t>.</w:t>
            </w:r>
            <w:r w:rsidRPr="00705514">
              <w:rPr>
                <w:rFonts w:ascii="Bookman Old Style" w:hAnsi="Bookman Old Style"/>
                <w:color w:val="000000"/>
                <w:sz w:val="20"/>
                <w:szCs w:val="20"/>
              </w:rPr>
              <w:t>256</w:t>
            </w:r>
            <w:r>
              <w:rPr>
                <w:rFonts w:ascii="Bookman Old Style" w:hAnsi="Bookman Old Style"/>
                <w:color w:val="000000"/>
                <w:sz w:val="20"/>
                <w:szCs w:val="20"/>
              </w:rPr>
              <w:t>.</w:t>
            </w:r>
            <w:r w:rsidRPr="00705514">
              <w:rPr>
                <w:rFonts w:ascii="Bookman Old Style" w:hAnsi="Bookman Old Style"/>
                <w:color w:val="000000"/>
                <w:sz w:val="20"/>
                <w:szCs w:val="20"/>
              </w:rPr>
              <w:t xml:space="preserve">834 </w:t>
            </w:r>
          </w:p>
        </w:tc>
        <w:tc>
          <w:tcPr>
            <w:tcW w:w="1082" w:type="pct"/>
            <w:tcBorders>
              <w:top w:val="single" w:sz="4" w:space="0" w:color="auto"/>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345</w:t>
            </w:r>
            <w:r>
              <w:rPr>
                <w:rFonts w:ascii="Bookman Old Style" w:hAnsi="Bookman Old Style"/>
                <w:color w:val="000000"/>
                <w:sz w:val="20"/>
                <w:szCs w:val="20"/>
              </w:rPr>
              <w:t>.</w:t>
            </w:r>
            <w:r w:rsidRPr="00705514">
              <w:rPr>
                <w:rFonts w:ascii="Bookman Old Style" w:hAnsi="Bookman Old Style"/>
                <w:color w:val="000000"/>
                <w:sz w:val="20"/>
                <w:szCs w:val="20"/>
              </w:rPr>
              <w:t>581</w:t>
            </w:r>
            <w:r>
              <w:rPr>
                <w:rFonts w:ascii="Bookman Old Style" w:hAnsi="Bookman Old Style"/>
                <w:color w:val="000000"/>
                <w:sz w:val="20"/>
                <w:szCs w:val="20"/>
              </w:rPr>
              <w:t>.</w:t>
            </w:r>
            <w:r w:rsidRPr="00705514">
              <w:rPr>
                <w:rFonts w:ascii="Bookman Old Style" w:hAnsi="Bookman Old Style"/>
                <w:color w:val="000000"/>
                <w:sz w:val="20"/>
                <w:szCs w:val="20"/>
              </w:rPr>
              <w:t xml:space="preserve">383 </w:t>
            </w:r>
          </w:p>
        </w:tc>
      </w:tr>
      <w:tr w:rsidR="00705514" w:rsidRPr="00A10908" w:rsidTr="000D1E6E">
        <w:trPr>
          <w:trHeight w:val="315"/>
          <w:jc w:val="center"/>
        </w:trPr>
        <w:tc>
          <w:tcPr>
            <w:tcW w:w="1839" w:type="pct"/>
            <w:tcBorders>
              <w:top w:val="nil"/>
              <w:left w:val="single" w:sz="8" w:space="0" w:color="auto"/>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0D05A447" wp14:editId="2C7C0113">
                  <wp:extent cx="497205" cy="153670"/>
                  <wp:effectExtent l="0" t="0" r="0" b="0"/>
                  <wp:docPr id="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7205" cy="153670"/>
                          </a:xfrm>
                          <a:prstGeom prst="rect">
                            <a:avLst/>
                          </a:prstGeom>
                          <a:noFill/>
                          <a:ln>
                            <a:noFill/>
                          </a:ln>
                        </pic:spPr>
                      </pic:pic>
                    </a:graphicData>
                  </a:graphic>
                </wp:inline>
              </w:drawing>
            </w:r>
          </w:p>
        </w:tc>
        <w:tc>
          <w:tcPr>
            <w:tcW w:w="1103" w:type="pct"/>
            <w:tcBorders>
              <w:top w:val="nil"/>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937</w:t>
            </w:r>
            <w:r>
              <w:rPr>
                <w:rFonts w:ascii="Bookman Old Style" w:hAnsi="Bookman Old Style"/>
                <w:color w:val="000000"/>
                <w:sz w:val="20"/>
                <w:szCs w:val="20"/>
              </w:rPr>
              <w:t>.</w:t>
            </w:r>
            <w:r w:rsidRPr="00705514">
              <w:rPr>
                <w:rFonts w:ascii="Bookman Old Style" w:hAnsi="Bookman Old Style"/>
                <w:color w:val="000000"/>
                <w:sz w:val="20"/>
                <w:szCs w:val="20"/>
              </w:rPr>
              <w:t>619</w:t>
            </w:r>
            <w:r>
              <w:rPr>
                <w:rFonts w:ascii="Bookman Old Style" w:hAnsi="Bookman Old Style"/>
                <w:color w:val="000000"/>
                <w:sz w:val="20"/>
                <w:szCs w:val="20"/>
              </w:rPr>
              <w:t>.</w:t>
            </w:r>
            <w:r w:rsidRPr="00705514">
              <w:rPr>
                <w:rFonts w:ascii="Bookman Old Style" w:hAnsi="Bookman Old Style"/>
                <w:color w:val="000000"/>
                <w:sz w:val="20"/>
                <w:szCs w:val="20"/>
              </w:rPr>
              <w:t xml:space="preserve">117 </w:t>
            </w:r>
          </w:p>
        </w:tc>
        <w:tc>
          <w:tcPr>
            <w:tcW w:w="1045"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935</w:t>
            </w:r>
            <w:r>
              <w:rPr>
                <w:rFonts w:ascii="Bookman Old Style" w:hAnsi="Bookman Old Style"/>
                <w:color w:val="000000"/>
                <w:sz w:val="20"/>
                <w:szCs w:val="20"/>
              </w:rPr>
              <w:t>.</w:t>
            </w:r>
            <w:r w:rsidRPr="00705514">
              <w:rPr>
                <w:rFonts w:ascii="Bookman Old Style" w:hAnsi="Bookman Old Style"/>
                <w:color w:val="000000"/>
                <w:sz w:val="20"/>
                <w:szCs w:val="20"/>
              </w:rPr>
              <w:t>484</w:t>
            </w:r>
            <w:r>
              <w:rPr>
                <w:rFonts w:ascii="Bookman Old Style" w:hAnsi="Bookman Old Style"/>
                <w:color w:val="000000"/>
                <w:sz w:val="20"/>
                <w:szCs w:val="20"/>
              </w:rPr>
              <w:t>.</w:t>
            </w:r>
            <w:r w:rsidRPr="00705514">
              <w:rPr>
                <w:rFonts w:ascii="Bookman Old Style" w:hAnsi="Bookman Old Style"/>
                <w:color w:val="000000"/>
                <w:sz w:val="20"/>
                <w:szCs w:val="20"/>
              </w:rPr>
              <w:t xml:space="preserve">993 </w:t>
            </w:r>
          </w:p>
        </w:tc>
        <w:tc>
          <w:tcPr>
            <w:tcW w:w="1013"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950</w:t>
            </w:r>
            <w:r>
              <w:rPr>
                <w:rFonts w:ascii="Bookman Old Style" w:hAnsi="Bookman Old Style"/>
                <w:color w:val="000000"/>
                <w:sz w:val="20"/>
                <w:szCs w:val="20"/>
              </w:rPr>
              <w:t>.</w:t>
            </w:r>
            <w:r w:rsidRPr="00705514">
              <w:rPr>
                <w:rFonts w:ascii="Bookman Old Style" w:hAnsi="Bookman Old Style"/>
                <w:color w:val="000000"/>
                <w:sz w:val="20"/>
                <w:szCs w:val="20"/>
              </w:rPr>
              <w:t>124</w:t>
            </w:r>
            <w:r>
              <w:rPr>
                <w:rFonts w:ascii="Bookman Old Style" w:hAnsi="Bookman Old Style"/>
                <w:color w:val="000000"/>
                <w:sz w:val="20"/>
                <w:szCs w:val="20"/>
              </w:rPr>
              <w:t>.</w:t>
            </w:r>
            <w:r w:rsidRPr="00705514">
              <w:rPr>
                <w:rFonts w:ascii="Bookman Old Style" w:hAnsi="Bookman Old Style"/>
                <w:color w:val="000000"/>
                <w:sz w:val="20"/>
                <w:szCs w:val="20"/>
              </w:rPr>
              <w:t xml:space="preserve">040 </w:t>
            </w:r>
          </w:p>
        </w:tc>
      </w:tr>
      <w:tr w:rsidR="00705514" w:rsidRPr="00A10908" w:rsidTr="00705514">
        <w:trPr>
          <w:trHeight w:val="315"/>
          <w:jc w:val="center"/>
        </w:trPr>
        <w:tc>
          <w:tcPr>
            <w:tcW w:w="1839" w:type="pct"/>
            <w:tcBorders>
              <w:top w:val="nil"/>
              <w:left w:val="single" w:sz="8" w:space="0" w:color="auto"/>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2C42021B" wp14:editId="7B57953B">
                  <wp:extent cx="2048510" cy="146050"/>
                  <wp:effectExtent l="0" t="0" r="0" b="0"/>
                  <wp:docPr id="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8510" cy="146050"/>
                          </a:xfrm>
                          <a:prstGeom prst="rect">
                            <a:avLst/>
                          </a:prstGeom>
                          <a:noFill/>
                          <a:ln>
                            <a:noFill/>
                          </a:ln>
                        </pic:spPr>
                      </pic:pic>
                    </a:graphicData>
                  </a:graphic>
                </wp:inline>
              </w:drawing>
            </w:r>
          </w:p>
        </w:tc>
        <w:tc>
          <w:tcPr>
            <w:tcW w:w="1103" w:type="pct"/>
            <w:tcBorders>
              <w:top w:val="nil"/>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673</w:t>
            </w:r>
            <w:r>
              <w:rPr>
                <w:rFonts w:ascii="Bookman Old Style" w:hAnsi="Bookman Old Style"/>
                <w:color w:val="000000"/>
                <w:sz w:val="20"/>
                <w:szCs w:val="20"/>
              </w:rPr>
              <w:t>.</w:t>
            </w:r>
            <w:r w:rsidRPr="00705514">
              <w:rPr>
                <w:rFonts w:ascii="Bookman Old Style" w:hAnsi="Bookman Old Style"/>
                <w:color w:val="000000"/>
                <w:sz w:val="20"/>
                <w:szCs w:val="20"/>
              </w:rPr>
              <w:t xml:space="preserve">395 </w:t>
            </w:r>
          </w:p>
        </w:tc>
        <w:tc>
          <w:tcPr>
            <w:tcW w:w="1045"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663</w:t>
            </w:r>
            <w:r>
              <w:rPr>
                <w:rFonts w:ascii="Bookman Old Style" w:hAnsi="Bookman Old Style"/>
                <w:color w:val="000000"/>
                <w:sz w:val="20"/>
                <w:szCs w:val="20"/>
              </w:rPr>
              <w:t>.</w:t>
            </w:r>
            <w:r w:rsidRPr="00705514">
              <w:rPr>
                <w:rFonts w:ascii="Bookman Old Style" w:hAnsi="Bookman Old Style"/>
                <w:color w:val="000000"/>
                <w:sz w:val="20"/>
                <w:szCs w:val="20"/>
              </w:rPr>
              <w:t xml:space="preserve">326 </w:t>
            </w:r>
          </w:p>
        </w:tc>
        <w:tc>
          <w:tcPr>
            <w:tcW w:w="1013"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736</w:t>
            </w:r>
            <w:r>
              <w:rPr>
                <w:rFonts w:ascii="Bookman Old Style" w:hAnsi="Bookman Old Style"/>
                <w:color w:val="000000"/>
                <w:sz w:val="20"/>
                <w:szCs w:val="20"/>
              </w:rPr>
              <w:t>.</w:t>
            </w:r>
            <w:r w:rsidRPr="00705514">
              <w:rPr>
                <w:rFonts w:ascii="Bookman Old Style" w:hAnsi="Bookman Old Style"/>
                <w:color w:val="000000"/>
                <w:sz w:val="20"/>
                <w:szCs w:val="20"/>
              </w:rPr>
              <w:t xml:space="preserve">931 </w:t>
            </w:r>
          </w:p>
        </w:tc>
      </w:tr>
      <w:tr w:rsidR="00705514" w:rsidRPr="00A10908" w:rsidTr="00705514">
        <w:trPr>
          <w:trHeight w:val="315"/>
          <w:jc w:val="center"/>
        </w:trPr>
        <w:tc>
          <w:tcPr>
            <w:tcW w:w="1839" w:type="pct"/>
            <w:tcBorders>
              <w:top w:val="nil"/>
              <w:left w:val="single" w:sz="8" w:space="0" w:color="auto"/>
              <w:bottom w:val="single" w:sz="8" w:space="0" w:color="auto"/>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6A04E6F3" wp14:editId="591CF57B">
                  <wp:extent cx="746125" cy="153670"/>
                  <wp:effectExtent l="0" t="0" r="0" b="0"/>
                  <wp:docPr id="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6125" cy="153670"/>
                          </a:xfrm>
                          <a:prstGeom prst="rect">
                            <a:avLst/>
                          </a:prstGeom>
                          <a:noFill/>
                          <a:ln>
                            <a:noFill/>
                          </a:ln>
                        </pic:spPr>
                      </pic:pic>
                    </a:graphicData>
                  </a:graphic>
                </wp:inline>
              </w:drawing>
            </w:r>
          </w:p>
        </w:tc>
        <w:tc>
          <w:tcPr>
            <w:tcW w:w="1103" w:type="pct"/>
            <w:tcBorders>
              <w:top w:val="nil"/>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673</w:t>
            </w:r>
            <w:r>
              <w:rPr>
                <w:rFonts w:ascii="Bookman Old Style" w:hAnsi="Bookman Old Style"/>
                <w:color w:val="000000"/>
                <w:sz w:val="20"/>
                <w:szCs w:val="20"/>
              </w:rPr>
              <w:t>.</w:t>
            </w:r>
            <w:r w:rsidRPr="00705514">
              <w:rPr>
                <w:rFonts w:ascii="Bookman Old Style" w:hAnsi="Bookman Old Style"/>
                <w:color w:val="000000"/>
                <w:sz w:val="20"/>
                <w:szCs w:val="20"/>
              </w:rPr>
              <w:t xml:space="preserve">395 </w:t>
            </w:r>
          </w:p>
        </w:tc>
        <w:tc>
          <w:tcPr>
            <w:tcW w:w="1045"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663</w:t>
            </w:r>
            <w:r>
              <w:rPr>
                <w:rFonts w:ascii="Bookman Old Style" w:hAnsi="Bookman Old Style"/>
                <w:color w:val="000000"/>
                <w:sz w:val="20"/>
                <w:szCs w:val="20"/>
              </w:rPr>
              <w:t>.</w:t>
            </w:r>
            <w:r w:rsidRPr="00705514">
              <w:rPr>
                <w:rFonts w:ascii="Bookman Old Style" w:hAnsi="Bookman Old Style"/>
                <w:color w:val="000000"/>
                <w:sz w:val="20"/>
                <w:szCs w:val="20"/>
              </w:rPr>
              <w:t xml:space="preserve">326 </w:t>
            </w:r>
          </w:p>
        </w:tc>
        <w:tc>
          <w:tcPr>
            <w:tcW w:w="1013"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736</w:t>
            </w:r>
            <w:r>
              <w:rPr>
                <w:rFonts w:ascii="Bookman Old Style" w:hAnsi="Bookman Old Style"/>
                <w:color w:val="000000"/>
                <w:sz w:val="20"/>
                <w:szCs w:val="20"/>
              </w:rPr>
              <w:t>.</w:t>
            </w:r>
            <w:r w:rsidRPr="00705514">
              <w:rPr>
                <w:rFonts w:ascii="Bookman Old Style" w:hAnsi="Bookman Old Style"/>
                <w:color w:val="000000"/>
                <w:sz w:val="20"/>
                <w:szCs w:val="20"/>
              </w:rPr>
              <w:t xml:space="preserve">931 </w:t>
            </w:r>
          </w:p>
        </w:tc>
      </w:tr>
    </w:tbl>
    <w:p w:rsidR="00A1006B" w:rsidRDefault="00A1006B" w:rsidP="000E41E3">
      <w:pPr>
        <w:widowControl w:val="0"/>
        <w:adjustRightInd w:val="0"/>
        <w:ind w:left="0" w:right="23"/>
        <w:jc w:val="center"/>
        <w:rPr>
          <w:rFonts w:ascii="Bookman Old Style" w:hAnsi="Bookman Old Style" w:cs="Arial"/>
          <w:sz w:val="22"/>
        </w:rPr>
      </w:pPr>
    </w:p>
    <w:tbl>
      <w:tblPr>
        <w:tblW w:w="5000" w:type="pct"/>
        <w:tblCellMar>
          <w:left w:w="70" w:type="dxa"/>
          <w:right w:w="70" w:type="dxa"/>
        </w:tblCellMar>
        <w:tblLook w:val="04A0" w:firstRow="1" w:lastRow="0" w:firstColumn="1" w:lastColumn="0" w:noHBand="0" w:noVBand="1"/>
      </w:tblPr>
      <w:tblGrid>
        <w:gridCol w:w="3419"/>
        <w:gridCol w:w="1953"/>
        <w:gridCol w:w="1953"/>
        <w:gridCol w:w="2021"/>
      </w:tblGrid>
      <w:tr w:rsidR="00A10908" w:rsidRPr="00A10908" w:rsidTr="00F51FDC">
        <w:trPr>
          <w:trHeight w:val="300"/>
          <w:tblHeader/>
        </w:trPr>
        <w:tc>
          <w:tcPr>
            <w:tcW w:w="5000" w:type="pct"/>
            <w:gridSpan w:val="4"/>
            <w:vMerge w:val="restart"/>
            <w:tcBorders>
              <w:top w:val="single" w:sz="8" w:space="0" w:color="000000"/>
              <w:left w:val="single" w:sz="8" w:space="0" w:color="000000"/>
              <w:bottom w:val="single" w:sz="8" w:space="0" w:color="000000"/>
              <w:right w:val="nil"/>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10908" w:rsidRPr="00A10908" w:rsidTr="00F51FDC">
        <w:trPr>
          <w:trHeight w:val="315"/>
          <w:tblHeader/>
        </w:trPr>
        <w:tc>
          <w:tcPr>
            <w:tcW w:w="5000" w:type="pct"/>
            <w:gridSpan w:val="4"/>
            <w:vMerge/>
            <w:tcBorders>
              <w:top w:val="single" w:sz="8" w:space="0" w:color="000000"/>
              <w:left w:val="single" w:sz="8" w:space="0" w:color="000000"/>
              <w:bottom w:val="single" w:sz="8" w:space="0" w:color="000000"/>
              <w:right w:val="nil"/>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r>
      <w:tr w:rsidR="00A10908" w:rsidRPr="00A10908" w:rsidTr="00F51FDC">
        <w:trPr>
          <w:trHeight w:val="315"/>
          <w:tblHeader/>
        </w:trPr>
        <w:tc>
          <w:tcPr>
            <w:tcW w:w="1828" w:type="pct"/>
            <w:vMerge w:val="restart"/>
            <w:tcBorders>
              <w:top w:val="nil"/>
              <w:left w:val="single" w:sz="8" w:space="0" w:color="000000"/>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3172" w:type="pct"/>
            <w:gridSpan w:val="3"/>
            <w:tcBorders>
              <w:top w:val="single" w:sz="8" w:space="0" w:color="000000"/>
              <w:left w:val="nil"/>
              <w:bottom w:val="single" w:sz="8" w:space="0" w:color="000000"/>
              <w:right w:val="nil"/>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Valor ($31-Dic-2016)</w:t>
            </w:r>
          </w:p>
        </w:tc>
      </w:tr>
      <w:tr w:rsidR="00A10908" w:rsidRPr="00A10908" w:rsidTr="00F51FDC">
        <w:trPr>
          <w:trHeight w:val="368"/>
          <w:tblHeader/>
        </w:trPr>
        <w:tc>
          <w:tcPr>
            <w:tcW w:w="1828" w:type="pct"/>
            <w:vMerge/>
            <w:tcBorders>
              <w:top w:val="nil"/>
              <w:left w:val="single" w:sz="8" w:space="0" w:color="000000"/>
              <w:bottom w:val="single" w:sz="8" w:space="0" w:color="000000"/>
              <w:right w:val="single" w:sz="8" w:space="0" w:color="000000"/>
            </w:tcBorders>
            <w:vAlign w:val="center"/>
            <w:hideMark/>
          </w:tcPr>
          <w:p w:rsidR="00A10908" w:rsidRPr="00A10908" w:rsidRDefault="00A10908" w:rsidP="00A10908">
            <w:pPr>
              <w:ind w:left="0"/>
              <w:rPr>
                <w:rFonts w:ascii="Bookman Old Style" w:hAnsi="Bookman Old Style"/>
                <w:b/>
                <w:bCs/>
                <w:color w:val="000000"/>
                <w:sz w:val="22"/>
                <w:szCs w:val="22"/>
                <w:lang w:val="es-CO" w:eastAsia="es-CO"/>
              </w:rPr>
            </w:pPr>
          </w:p>
        </w:tc>
        <w:tc>
          <w:tcPr>
            <w:tcW w:w="1045" w:type="pct"/>
            <w:tcBorders>
              <w:top w:val="nil"/>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2017</w:t>
            </w:r>
          </w:p>
        </w:tc>
        <w:tc>
          <w:tcPr>
            <w:tcW w:w="1045" w:type="pct"/>
            <w:tcBorders>
              <w:top w:val="nil"/>
              <w:left w:val="nil"/>
              <w:bottom w:val="single" w:sz="8" w:space="0" w:color="000000"/>
              <w:right w:val="single" w:sz="8" w:space="0" w:color="000000"/>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2018</w:t>
            </w:r>
          </w:p>
        </w:tc>
        <w:tc>
          <w:tcPr>
            <w:tcW w:w="1082" w:type="pct"/>
            <w:tcBorders>
              <w:top w:val="nil"/>
              <w:left w:val="nil"/>
              <w:bottom w:val="single" w:sz="8" w:space="0" w:color="000000"/>
              <w:right w:val="single" w:sz="8" w:space="0" w:color="auto"/>
            </w:tcBorders>
            <w:shd w:val="clear" w:color="000000" w:fill="D9D9D9"/>
            <w:vAlign w:val="center"/>
            <w:hideMark/>
          </w:tcPr>
          <w:p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2019-2020-2021</w:t>
            </w:r>
          </w:p>
        </w:tc>
      </w:tr>
      <w:tr w:rsidR="00705514" w:rsidRPr="00A10908" w:rsidTr="00D16787">
        <w:trPr>
          <w:trHeight w:val="315"/>
        </w:trPr>
        <w:tc>
          <w:tcPr>
            <w:tcW w:w="1828" w:type="pct"/>
            <w:tcBorders>
              <w:top w:val="nil"/>
              <w:left w:val="single" w:sz="8" w:space="0" w:color="000000"/>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6DD16895" wp14:editId="15A6058E">
                  <wp:extent cx="504825" cy="153670"/>
                  <wp:effectExtent l="0" t="0" r="0" b="0"/>
                  <wp:docPr id="5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3670"/>
                          </a:xfrm>
                          <a:prstGeom prst="rect">
                            <a:avLst/>
                          </a:prstGeom>
                          <a:noFill/>
                          <a:ln>
                            <a:noFill/>
                          </a:ln>
                        </pic:spPr>
                      </pic:pic>
                    </a:graphicData>
                  </a:graphic>
                </wp:inline>
              </w:drawing>
            </w:r>
          </w:p>
        </w:tc>
        <w:tc>
          <w:tcPr>
            <w:tcW w:w="1045" w:type="pct"/>
            <w:tcBorders>
              <w:top w:val="single" w:sz="4" w:space="0" w:color="auto"/>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341</w:t>
            </w:r>
            <w:r>
              <w:rPr>
                <w:rFonts w:ascii="Bookman Old Style" w:hAnsi="Bookman Old Style"/>
                <w:color w:val="000000"/>
                <w:sz w:val="20"/>
                <w:szCs w:val="20"/>
              </w:rPr>
              <w:t>.</w:t>
            </w:r>
            <w:r w:rsidRPr="00705514">
              <w:rPr>
                <w:rFonts w:ascii="Bookman Old Style" w:hAnsi="Bookman Old Style"/>
                <w:color w:val="000000"/>
                <w:sz w:val="20"/>
                <w:szCs w:val="20"/>
              </w:rPr>
              <w:t>033</w:t>
            </w:r>
            <w:r>
              <w:rPr>
                <w:rFonts w:ascii="Bookman Old Style" w:hAnsi="Bookman Old Style"/>
                <w:color w:val="000000"/>
                <w:sz w:val="20"/>
                <w:szCs w:val="20"/>
              </w:rPr>
              <w:t>.</w:t>
            </w:r>
            <w:r w:rsidRPr="00705514">
              <w:rPr>
                <w:rFonts w:ascii="Bookman Old Style" w:hAnsi="Bookman Old Style"/>
                <w:color w:val="000000"/>
                <w:sz w:val="20"/>
                <w:szCs w:val="20"/>
              </w:rPr>
              <w:t>063</w:t>
            </w:r>
          </w:p>
        </w:tc>
        <w:tc>
          <w:tcPr>
            <w:tcW w:w="1045" w:type="pct"/>
            <w:tcBorders>
              <w:top w:val="single" w:sz="4" w:space="0" w:color="auto"/>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340</w:t>
            </w:r>
            <w:r>
              <w:rPr>
                <w:rFonts w:ascii="Bookman Old Style" w:hAnsi="Bookman Old Style"/>
                <w:color w:val="000000"/>
                <w:sz w:val="20"/>
                <w:szCs w:val="20"/>
              </w:rPr>
              <w:t>.</w:t>
            </w:r>
            <w:r w:rsidRPr="00705514">
              <w:rPr>
                <w:rFonts w:ascii="Bookman Old Style" w:hAnsi="Bookman Old Style"/>
                <w:color w:val="000000"/>
                <w:sz w:val="20"/>
                <w:szCs w:val="20"/>
              </w:rPr>
              <w:t>256</w:t>
            </w:r>
            <w:r>
              <w:rPr>
                <w:rFonts w:ascii="Bookman Old Style" w:hAnsi="Bookman Old Style"/>
                <w:color w:val="000000"/>
                <w:sz w:val="20"/>
                <w:szCs w:val="20"/>
              </w:rPr>
              <w:t>.</w:t>
            </w:r>
            <w:r w:rsidRPr="00705514">
              <w:rPr>
                <w:rFonts w:ascii="Bookman Old Style" w:hAnsi="Bookman Old Style"/>
                <w:color w:val="000000"/>
                <w:sz w:val="20"/>
                <w:szCs w:val="20"/>
              </w:rPr>
              <w:t>834</w:t>
            </w:r>
          </w:p>
        </w:tc>
        <w:tc>
          <w:tcPr>
            <w:tcW w:w="1082" w:type="pct"/>
            <w:tcBorders>
              <w:top w:val="single" w:sz="4" w:space="0" w:color="auto"/>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345</w:t>
            </w:r>
            <w:r>
              <w:rPr>
                <w:rFonts w:ascii="Bookman Old Style" w:hAnsi="Bookman Old Style"/>
                <w:color w:val="000000"/>
                <w:sz w:val="20"/>
                <w:szCs w:val="20"/>
              </w:rPr>
              <w:t>.</w:t>
            </w:r>
            <w:r w:rsidRPr="00705514">
              <w:rPr>
                <w:rFonts w:ascii="Bookman Old Style" w:hAnsi="Bookman Old Style"/>
                <w:color w:val="000000"/>
                <w:sz w:val="20"/>
                <w:szCs w:val="20"/>
              </w:rPr>
              <w:t>581</w:t>
            </w:r>
            <w:r>
              <w:rPr>
                <w:rFonts w:ascii="Bookman Old Style" w:hAnsi="Bookman Old Style"/>
                <w:color w:val="000000"/>
                <w:sz w:val="20"/>
                <w:szCs w:val="20"/>
              </w:rPr>
              <w:t>.</w:t>
            </w:r>
            <w:r w:rsidRPr="00705514">
              <w:rPr>
                <w:rFonts w:ascii="Bookman Old Style" w:hAnsi="Bookman Old Style"/>
                <w:color w:val="000000"/>
                <w:sz w:val="20"/>
                <w:szCs w:val="20"/>
              </w:rPr>
              <w:t>383</w:t>
            </w:r>
          </w:p>
        </w:tc>
      </w:tr>
      <w:tr w:rsidR="00705514" w:rsidRPr="00A10908" w:rsidTr="000D1E6E">
        <w:trPr>
          <w:trHeight w:val="315"/>
        </w:trPr>
        <w:tc>
          <w:tcPr>
            <w:tcW w:w="1829" w:type="pct"/>
            <w:tcBorders>
              <w:top w:val="nil"/>
              <w:left w:val="single" w:sz="8" w:space="0" w:color="000000"/>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1D2FE1F1" wp14:editId="50FBADB8">
                  <wp:extent cx="841375" cy="160655"/>
                  <wp:effectExtent l="0" t="0" r="0" b="0"/>
                  <wp:docPr id="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1375" cy="160655"/>
                          </a:xfrm>
                          <a:prstGeom prst="rect">
                            <a:avLst/>
                          </a:prstGeom>
                          <a:noFill/>
                          <a:ln>
                            <a:noFill/>
                          </a:ln>
                        </pic:spPr>
                      </pic:pic>
                    </a:graphicData>
                  </a:graphic>
                </wp:inline>
              </w:drawing>
            </w:r>
          </w:p>
        </w:tc>
        <w:tc>
          <w:tcPr>
            <w:tcW w:w="1045" w:type="pct"/>
            <w:tcBorders>
              <w:top w:val="nil"/>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10</w:t>
            </w:r>
            <w:r>
              <w:rPr>
                <w:rFonts w:ascii="Bookman Old Style" w:hAnsi="Bookman Old Style"/>
                <w:color w:val="000000"/>
                <w:sz w:val="20"/>
                <w:szCs w:val="20"/>
              </w:rPr>
              <w:t>.</w:t>
            </w:r>
            <w:r w:rsidRPr="00705514">
              <w:rPr>
                <w:rFonts w:ascii="Bookman Old Style" w:hAnsi="Bookman Old Style"/>
                <w:color w:val="000000"/>
                <w:sz w:val="20"/>
                <w:szCs w:val="20"/>
              </w:rPr>
              <w:t>618</w:t>
            </w:r>
            <w:r>
              <w:rPr>
                <w:rFonts w:ascii="Bookman Old Style" w:hAnsi="Bookman Old Style"/>
                <w:color w:val="000000"/>
                <w:sz w:val="20"/>
                <w:szCs w:val="20"/>
              </w:rPr>
              <w:t>.</w:t>
            </w:r>
            <w:r w:rsidRPr="00705514">
              <w:rPr>
                <w:rFonts w:ascii="Bookman Old Style" w:hAnsi="Bookman Old Style"/>
                <w:color w:val="000000"/>
                <w:sz w:val="20"/>
                <w:szCs w:val="20"/>
              </w:rPr>
              <w:t>355</w:t>
            </w:r>
          </w:p>
        </w:tc>
        <w:tc>
          <w:tcPr>
            <w:tcW w:w="1045"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10</w:t>
            </w:r>
            <w:r>
              <w:rPr>
                <w:rFonts w:ascii="Bookman Old Style" w:hAnsi="Bookman Old Style"/>
                <w:color w:val="000000"/>
                <w:sz w:val="20"/>
                <w:szCs w:val="20"/>
              </w:rPr>
              <w:t>.</w:t>
            </w:r>
            <w:r w:rsidRPr="00705514">
              <w:rPr>
                <w:rFonts w:ascii="Bookman Old Style" w:hAnsi="Bookman Old Style"/>
                <w:color w:val="000000"/>
                <w:sz w:val="20"/>
                <w:szCs w:val="20"/>
              </w:rPr>
              <w:t>582</w:t>
            </w:r>
            <w:r>
              <w:rPr>
                <w:rFonts w:ascii="Bookman Old Style" w:hAnsi="Bookman Old Style"/>
                <w:color w:val="000000"/>
                <w:sz w:val="20"/>
                <w:szCs w:val="20"/>
              </w:rPr>
              <w:t>.</w:t>
            </w:r>
            <w:r w:rsidRPr="00705514">
              <w:rPr>
                <w:rFonts w:ascii="Bookman Old Style" w:hAnsi="Bookman Old Style"/>
                <w:color w:val="000000"/>
                <w:sz w:val="20"/>
                <w:szCs w:val="20"/>
              </w:rPr>
              <w:t>158</w:t>
            </w:r>
          </w:p>
        </w:tc>
        <w:tc>
          <w:tcPr>
            <w:tcW w:w="1081"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10</w:t>
            </w:r>
            <w:r>
              <w:rPr>
                <w:rFonts w:ascii="Bookman Old Style" w:hAnsi="Bookman Old Style"/>
                <w:color w:val="000000"/>
                <w:sz w:val="20"/>
                <w:szCs w:val="20"/>
              </w:rPr>
              <w:t>.</w:t>
            </w:r>
            <w:r w:rsidRPr="00705514">
              <w:rPr>
                <w:rFonts w:ascii="Bookman Old Style" w:hAnsi="Bookman Old Style"/>
                <w:color w:val="000000"/>
                <w:sz w:val="20"/>
                <w:szCs w:val="20"/>
              </w:rPr>
              <w:t>833</w:t>
            </w:r>
            <w:r>
              <w:rPr>
                <w:rFonts w:ascii="Bookman Old Style" w:hAnsi="Bookman Old Style"/>
                <w:color w:val="000000"/>
                <w:sz w:val="20"/>
                <w:szCs w:val="20"/>
              </w:rPr>
              <w:t>.</w:t>
            </w:r>
            <w:r w:rsidRPr="00705514">
              <w:rPr>
                <w:rFonts w:ascii="Bookman Old Style" w:hAnsi="Bookman Old Style"/>
                <w:color w:val="000000"/>
                <w:sz w:val="20"/>
                <w:szCs w:val="20"/>
              </w:rPr>
              <w:t>235</w:t>
            </w:r>
          </w:p>
        </w:tc>
      </w:tr>
      <w:tr w:rsidR="00705514" w:rsidRPr="00A10908" w:rsidTr="00705514">
        <w:trPr>
          <w:trHeight w:val="315"/>
        </w:trPr>
        <w:tc>
          <w:tcPr>
            <w:tcW w:w="1829" w:type="pct"/>
            <w:tcBorders>
              <w:top w:val="nil"/>
              <w:left w:val="single" w:sz="8" w:space="0" w:color="000000"/>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62445D82" wp14:editId="73C4331E">
                  <wp:extent cx="694690" cy="153670"/>
                  <wp:effectExtent l="0" t="0" r="0" b="0"/>
                  <wp:docPr id="5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4690" cy="153670"/>
                          </a:xfrm>
                          <a:prstGeom prst="rect">
                            <a:avLst/>
                          </a:prstGeom>
                          <a:noFill/>
                          <a:ln>
                            <a:noFill/>
                          </a:ln>
                        </pic:spPr>
                      </pic:pic>
                    </a:graphicData>
                  </a:graphic>
                </wp:inline>
              </w:drawing>
            </w:r>
          </w:p>
        </w:tc>
        <w:tc>
          <w:tcPr>
            <w:tcW w:w="1045" w:type="pct"/>
            <w:tcBorders>
              <w:top w:val="nil"/>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673</w:t>
            </w:r>
            <w:r>
              <w:rPr>
                <w:rFonts w:ascii="Bookman Old Style" w:hAnsi="Bookman Old Style"/>
                <w:color w:val="000000"/>
                <w:sz w:val="20"/>
                <w:szCs w:val="20"/>
              </w:rPr>
              <w:t>.</w:t>
            </w:r>
            <w:r w:rsidRPr="00705514">
              <w:rPr>
                <w:rFonts w:ascii="Bookman Old Style" w:hAnsi="Bookman Old Style"/>
                <w:color w:val="000000"/>
                <w:sz w:val="20"/>
                <w:szCs w:val="20"/>
              </w:rPr>
              <w:t>395</w:t>
            </w:r>
          </w:p>
        </w:tc>
        <w:tc>
          <w:tcPr>
            <w:tcW w:w="1045"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663</w:t>
            </w:r>
            <w:r>
              <w:rPr>
                <w:rFonts w:ascii="Bookman Old Style" w:hAnsi="Bookman Old Style"/>
                <w:color w:val="000000"/>
                <w:sz w:val="20"/>
                <w:szCs w:val="20"/>
              </w:rPr>
              <w:t>.</w:t>
            </w:r>
            <w:r w:rsidRPr="00705514">
              <w:rPr>
                <w:rFonts w:ascii="Bookman Old Style" w:hAnsi="Bookman Old Style"/>
                <w:color w:val="000000"/>
                <w:sz w:val="20"/>
                <w:szCs w:val="20"/>
              </w:rPr>
              <w:t>326</w:t>
            </w:r>
          </w:p>
        </w:tc>
        <w:tc>
          <w:tcPr>
            <w:tcW w:w="1081"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736</w:t>
            </w:r>
            <w:r>
              <w:rPr>
                <w:rFonts w:ascii="Bookman Old Style" w:hAnsi="Bookman Old Style"/>
                <w:color w:val="000000"/>
                <w:sz w:val="20"/>
                <w:szCs w:val="20"/>
              </w:rPr>
              <w:t>.</w:t>
            </w:r>
            <w:r w:rsidRPr="00705514">
              <w:rPr>
                <w:rFonts w:ascii="Bookman Old Style" w:hAnsi="Bookman Old Style"/>
                <w:color w:val="000000"/>
                <w:sz w:val="20"/>
                <w:szCs w:val="20"/>
              </w:rPr>
              <w:t>931</w:t>
            </w:r>
          </w:p>
        </w:tc>
      </w:tr>
      <w:tr w:rsidR="00705514" w:rsidRPr="00A10908" w:rsidTr="000D1E6E">
        <w:trPr>
          <w:trHeight w:val="315"/>
        </w:trPr>
        <w:tc>
          <w:tcPr>
            <w:tcW w:w="1829" w:type="pct"/>
            <w:tcBorders>
              <w:top w:val="nil"/>
              <w:left w:val="single" w:sz="8" w:space="0" w:color="000000"/>
              <w:bottom w:val="single" w:sz="8" w:space="0" w:color="000000"/>
              <w:right w:val="single" w:sz="8" w:space="0" w:color="000000"/>
            </w:tcBorders>
            <w:shd w:val="clear" w:color="auto" w:fill="auto"/>
            <w:hideMark/>
          </w:tcPr>
          <w:p w:rsidR="00705514" w:rsidRPr="00A10908" w:rsidRDefault="00705514" w:rsidP="00705514">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48E9FF82" wp14:editId="53FBF092">
                  <wp:extent cx="841375" cy="153670"/>
                  <wp:effectExtent l="0" t="0" r="0" b="0"/>
                  <wp:docPr id="5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1375" cy="153670"/>
                          </a:xfrm>
                          <a:prstGeom prst="rect">
                            <a:avLst/>
                          </a:prstGeom>
                          <a:noFill/>
                          <a:ln>
                            <a:noFill/>
                          </a:ln>
                        </pic:spPr>
                      </pic:pic>
                    </a:graphicData>
                  </a:graphic>
                </wp:inline>
              </w:drawing>
            </w:r>
          </w:p>
        </w:tc>
        <w:tc>
          <w:tcPr>
            <w:tcW w:w="1045" w:type="pct"/>
            <w:tcBorders>
              <w:top w:val="nil"/>
              <w:left w:val="single" w:sz="4" w:space="0" w:color="auto"/>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665</w:t>
            </w:r>
            <w:r>
              <w:rPr>
                <w:rFonts w:ascii="Bookman Old Style" w:hAnsi="Bookman Old Style"/>
                <w:color w:val="000000"/>
                <w:sz w:val="20"/>
                <w:szCs w:val="20"/>
              </w:rPr>
              <w:t>.</w:t>
            </w:r>
            <w:r w:rsidRPr="00705514">
              <w:rPr>
                <w:rFonts w:ascii="Bookman Old Style" w:hAnsi="Bookman Old Style"/>
                <w:color w:val="000000"/>
                <w:sz w:val="20"/>
                <w:szCs w:val="20"/>
              </w:rPr>
              <w:t>769</w:t>
            </w:r>
          </w:p>
        </w:tc>
        <w:tc>
          <w:tcPr>
            <w:tcW w:w="1045"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655</w:t>
            </w:r>
            <w:r>
              <w:rPr>
                <w:rFonts w:ascii="Bookman Old Style" w:hAnsi="Bookman Old Style"/>
                <w:color w:val="000000"/>
                <w:sz w:val="20"/>
                <w:szCs w:val="20"/>
              </w:rPr>
              <w:t>.</w:t>
            </w:r>
            <w:r w:rsidRPr="00705514">
              <w:rPr>
                <w:rFonts w:ascii="Bookman Old Style" w:hAnsi="Bookman Old Style"/>
                <w:color w:val="000000"/>
                <w:sz w:val="20"/>
                <w:szCs w:val="20"/>
              </w:rPr>
              <w:t>822</w:t>
            </w:r>
          </w:p>
        </w:tc>
        <w:tc>
          <w:tcPr>
            <w:tcW w:w="1081" w:type="pct"/>
            <w:tcBorders>
              <w:top w:val="nil"/>
              <w:left w:val="nil"/>
              <w:bottom w:val="single" w:sz="4" w:space="0" w:color="auto"/>
              <w:right w:val="single" w:sz="4" w:space="0" w:color="auto"/>
            </w:tcBorders>
            <w:shd w:val="clear" w:color="auto" w:fill="auto"/>
            <w:vAlign w:val="bottom"/>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728</w:t>
            </w:r>
            <w:r>
              <w:rPr>
                <w:rFonts w:ascii="Bookman Old Style" w:hAnsi="Bookman Old Style"/>
                <w:color w:val="000000"/>
                <w:sz w:val="20"/>
                <w:szCs w:val="20"/>
              </w:rPr>
              <w:t>.</w:t>
            </w:r>
            <w:r w:rsidRPr="00705514">
              <w:rPr>
                <w:rFonts w:ascii="Bookman Old Style" w:hAnsi="Bookman Old Style"/>
                <w:color w:val="000000"/>
                <w:sz w:val="20"/>
                <w:szCs w:val="20"/>
              </w:rPr>
              <w:t>529</w:t>
            </w:r>
          </w:p>
        </w:tc>
      </w:tr>
    </w:tbl>
    <w:p w:rsidR="00A10908" w:rsidRDefault="00A10908" w:rsidP="00341E8F">
      <w:pPr>
        <w:widowControl w:val="0"/>
        <w:adjustRightInd w:val="0"/>
        <w:ind w:left="0" w:right="20"/>
        <w:jc w:val="center"/>
        <w:rPr>
          <w:rFonts w:ascii="Bookman Old Style" w:hAnsi="Bookman Old Style" w:cs="Arial"/>
          <w:sz w:val="22"/>
        </w:rPr>
      </w:pPr>
    </w:p>
    <w:p w:rsidR="001B63E5" w:rsidRPr="006F505C" w:rsidRDefault="00273C2C" w:rsidP="001B63E5">
      <w:pPr>
        <w:ind w:left="0"/>
        <w:jc w:val="both"/>
        <w:rPr>
          <w:rFonts w:ascii="Bookman Old Style" w:hAnsi="Bookman Old Style" w:cs="Arial"/>
        </w:rPr>
      </w:pPr>
      <w:r w:rsidRPr="006F505C">
        <w:rPr>
          <w:rFonts w:ascii="Bookman Old Style" w:hAnsi="Bookman Old Style" w:cs="Arial"/>
          <w:b/>
        </w:rPr>
        <w:t>ARTÍCULO 4. Gastos de Administración</w:t>
      </w:r>
      <w:r w:rsidR="000D1E6E">
        <w:rPr>
          <w:rFonts w:ascii="Bookman Old Style" w:hAnsi="Bookman Old Style" w:cs="Arial"/>
          <w:b/>
        </w:rPr>
        <w:t>.</w:t>
      </w:r>
      <w:r w:rsidRPr="006F505C">
        <w:rPr>
          <w:rFonts w:ascii="Bookman Old Style" w:hAnsi="Bookman Old Style" w:cs="Arial"/>
          <w:b/>
        </w:rPr>
        <w:t xml:space="preserve"> Operación y Mantenimiento - AOM.</w:t>
      </w:r>
      <w:r w:rsidRPr="006F505C">
        <w:rPr>
          <w:rFonts w:ascii="Bookman Old Style" w:hAnsi="Bookman Old Style" w:cs="Arial"/>
          <w:bCs/>
        </w:rPr>
        <w:t xml:space="preserve"> </w:t>
      </w:r>
      <w:r w:rsidR="001B63E5" w:rsidRPr="006F505C">
        <w:rPr>
          <w:rFonts w:ascii="Bookman Old Style" w:hAnsi="Bookman Old Style" w:cs="Arial"/>
          <w:bCs/>
        </w:rPr>
        <w:t>Para el mercado nuevo de distribución</w:t>
      </w:r>
      <w:r w:rsidR="000D1E6E">
        <w:rPr>
          <w:rFonts w:ascii="Bookman Old Style" w:hAnsi="Bookman Old Style" w:cs="Arial"/>
          <w:bCs/>
        </w:rPr>
        <w:t>.</w:t>
      </w:r>
      <w:r w:rsidR="001B63E5" w:rsidRPr="006F505C">
        <w:rPr>
          <w:rFonts w:ascii="Bookman Old Style" w:hAnsi="Bookman Old Style" w:cs="Arial"/>
          <w:bCs/>
        </w:rPr>
        <w:t xml:space="preserve"> una vez ajustado </w:t>
      </w:r>
      <w:r w:rsidR="001B63E5" w:rsidRPr="006F505C">
        <w:rPr>
          <w:rFonts w:ascii="Bookman Old Style" w:hAnsi="Bookman Old Style" w:cs="Arial"/>
        </w:rPr>
        <w:t>el Horizonte de Proyección</w:t>
      </w:r>
      <w:r w:rsidR="001B63E5" w:rsidRPr="006F505C">
        <w:rPr>
          <w:rFonts w:ascii="Bookman Old Style" w:hAnsi="Bookman Old Style" w:cs="Arial"/>
          <w:bCs/>
        </w:rPr>
        <w:t xml:space="preserve"> de AOM reportado por la empresa con el menor de los crecimientos porcentuales entre AOM y Demanda</w:t>
      </w:r>
      <w:r w:rsidR="000D1E6E">
        <w:rPr>
          <w:rFonts w:ascii="Bookman Old Style" w:hAnsi="Bookman Old Style" w:cs="Arial"/>
          <w:bCs/>
        </w:rPr>
        <w:t>.</w:t>
      </w:r>
      <w:r w:rsidR="001B63E5" w:rsidRPr="006F505C">
        <w:rPr>
          <w:rFonts w:ascii="Bookman Old Style" w:hAnsi="Bookman Old Style" w:cs="Arial"/>
          <w:bCs/>
        </w:rPr>
        <w:t xml:space="preserve"> se determina un porcentaje de AOM eficiente a reconocer </w:t>
      </w:r>
      <w:r w:rsidR="001B63E5" w:rsidRPr="008F367C">
        <w:rPr>
          <w:rFonts w:ascii="Bookman Old Style" w:hAnsi="Bookman Old Style" w:cs="Arial"/>
          <w:bCs/>
        </w:rPr>
        <w:t xml:space="preserve">de </w:t>
      </w:r>
      <w:r w:rsidR="00A92CF3" w:rsidRPr="000F2F87">
        <w:rPr>
          <w:rFonts w:ascii="Bookman Old Style" w:hAnsi="Bookman Old Style" w:cs="Arial"/>
          <w:bCs/>
        </w:rPr>
        <w:t>3,</w:t>
      </w:r>
      <w:r w:rsidR="00705514" w:rsidRPr="000F2F87">
        <w:rPr>
          <w:rFonts w:ascii="Bookman Old Style" w:hAnsi="Bookman Old Style" w:cs="Arial"/>
          <w:bCs/>
        </w:rPr>
        <w:t>32</w:t>
      </w:r>
      <w:r w:rsidR="001B63E5" w:rsidRPr="000F2F87">
        <w:rPr>
          <w:rFonts w:ascii="Bookman Old Style" w:hAnsi="Bookman Old Style" w:cs="Arial"/>
          <w:bCs/>
        </w:rPr>
        <w:t>%.</w:t>
      </w:r>
      <w:r w:rsidR="001B63E5" w:rsidRPr="006F505C">
        <w:rPr>
          <w:rFonts w:ascii="Bookman Old Style" w:hAnsi="Bookman Old Style" w:cs="Arial"/>
          <w:bCs/>
        </w:rPr>
        <w:t xml:space="preserve"> </w:t>
      </w:r>
      <w:r w:rsidR="001B63E5" w:rsidRPr="006F505C">
        <w:rPr>
          <w:rFonts w:ascii="Bookman Old Style" w:hAnsi="Bookman Old Style" w:cs="Arial"/>
        </w:rPr>
        <w:t>En el Anexo 3 se presentan los gastos ajustados de AOM para cada año del Horizonte de Proyección.</w:t>
      </w:r>
    </w:p>
    <w:p w:rsidR="00F37572" w:rsidRPr="005C7C67" w:rsidRDefault="00F37572" w:rsidP="00AB12AD">
      <w:pPr>
        <w:widowControl w:val="0"/>
        <w:adjustRightInd w:val="0"/>
        <w:ind w:left="0" w:right="20"/>
        <w:jc w:val="both"/>
        <w:rPr>
          <w:rFonts w:ascii="Bookman Old Style" w:hAnsi="Bookman Old Style" w:cs="Arial"/>
          <w:sz w:val="16"/>
          <w:highlight w:val="cyan"/>
        </w:rPr>
      </w:pPr>
    </w:p>
    <w:tbl>
      <w:tblPr>
        <w:tblW w:w="5000" w:type="pct"/>
        <w:tblCellMar>
          <w:left w:w="70" w:type="dxa"/>
          <w:right w:w="70" w:type="dxa"/>
        </w:tblCellMar>
        <w:tblLook w:val="04A0" w:firstRow="1" w:lastRow="0" w:firstColumn="1" w:lastColumn="0" w:noHBand="0" w:noVBand="1"/>
      </w:tblPr>
      <w:tblGrid>
        <w:gridCol w:w="2719"/>
        <w:gridCol w:w="2370"/>
        <w:gridCol w:w="2094"/>
        <w:gridCol w:w="2163"/>
      </w:tblGrid>
      <w:tr w:rsidR="00F37572" w:rsidRPr="003A07FF" w:rsidTr="00F37572">
        <w:trPr>
          <w:trHeight w:val="315"/>
        </w:trPr>
        <w:tc>
          <w:tcPr>
            <w:tcW w:w="1455" w:type="pct"/>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37572" w:rsidRPr="003A07FF" w:rsidRDefault="00F37572" w:rsidP="00F37572">
            <w:pPr>
              <w:ind w:left="0"/>
              <w:jc w:val="center"/>
              <w:rPr>
                <w:rFonts w:ascii="Bookman Old Style" w:hAnsi="Bookman Old Style"/>
                <w:b/>
                <w:bCs/>
                <w:color w:val="000000"/>
                <w:sz w:val="22"/>
                <w:szCs w:val="22"/>
                <w:lang w:val="es-CO" w:eastAsia="es-CO"/>
              </w:rPr>
            </w:pPr>
            <w:r w:rsidRPr="003A07FF">
              <w:rPr>
                <w:rFonts w:ascii="Bookman Old Style" w:hAnsi="Bookman Old Style" w:cs="Arial"/>
                <w:b/>
                <w:bCs/>
                <w:color w:val="000000"/>
                <w:sz w:val="22"/>
                <w:szCs w:val="22"/>
                <w:lang w:eastAsia="es-CO"/>
              </w:rPr>
              <w:t>Componente</w:t>
            </w:r>
          </w:p>
        </w:tc>
        <w:tc>
          <w:tcPr>
            <w:tcW w:w="3545" w:type="pct"/>
            <w:gridSpan w:val="3"/>
            <w:tcBorders>
              <w:top w:val="single" w:sz="8" w:space="0" w:color="000000"/>
              <w:left w:val="nil"/>
              <w:bottom w:val="single" w:sz="8" w:space="0" w:color="000000"/>
              <w:right w:val="nil"/>
            </w:tcBorders>
            <w:shd w:val="clear" w:color="000000" w:fill="D9D9D9"/>
            <w:vAlign w:val="center"/>
            <w:hideMark/>
          </w:tcPr>
          <w:p w:rsidR="00F37572" w:rsidRPr="003A07FF" w:rsidRDefault="00F37572" w:rsidP="00F37572">
            <w:pPr>
              <w:ind w:left="0"/>
              <w:jc w:val="center"/>
              <w:rPr>
                <w:rFonts w:ascii="Bookman Old Style" w:hAnsi="Bookman Old Style"/>
                <w:b/>
                <w:bCs/>
                <w:color w:val="000000"/>
                <w:sz w:val="22"/>
                <w:szCs w:val="22"/>
                <w:lang w:val="es-CO" w:eastAsia="es-CO"/>
              </w:rPr>
            </w:pPr>
            <w:r w:rsidRPr="003A07FF">
              <w:rPr>
                <w:rFonts w:ascii="Bookman Old Style" w:hAnsi="Bookman Old Style" w:cs="Arial"/>
                <w:b/>
                <w:bCs/>
                <w:color w:val="000000"/>
                <w:sz w:val="22"/>
                <w:szCs w:val="22"/>
                <w:lang w:eastAsia="es-CO"/>
              </w:rPr>
              <w:t>AÑO</w:t>
            </w:r>
          </w:p>
        </w:tc>
      </w:tr>
      <w:tr w:rsidR="00F37572" w:rsidRPr="003A07FF" w:rsidTr="00F51FDC">
        <w:trPr>
          <w:trHeight w:val="370"/>
        </w:trPr>
        <w:tc>
          <w:tcPr>
            <w:tcW w:w="1455" w:type="pct"/>
            <w:vMerge/>
            <w:tcBorders>
              <w:top w:val="single" w:sz="8" w:space="0" w:color="000000"/>
              <w:left w:val="single" w:sz="8" w:space="0" w:color="000000"/>
              <w:bottom w:val="single" w:sz="8" w:space="0" w:color="000000"/>
              <w:right w:val="single" w:sz="8" w:space="0" w:color="000000"/>
            </w:tcBorders>
            <w:vAlign w:val="center"/>
            <w:hideMark/>
          </w:tcPr>
          <w:p w:rsidR="00F37572" w:rsidRPr="003A07FF" w:rsidRDefault="00F37572" w:rsidP="00F37572">
            <w:pPr>
              <w:ind w:left="0"/>
              <w:rPr>
                <w:rFonts w:ascii="Bookman Old Style" w:hAnsi="Bookman Old Style"/>
                <w:b/>
                <w:bCs/>
                <w:color w:val="000000"/>
                <w:sz w:val="22"/>
                <w:szCs w:val="22"/>
                <w:lang w:val="es-CO" w:eastAsia="es-CO"/>
              </w:rPr>
            </w:pPr>
          </w:p>
        </w:tc>
        <w:tc>
          <w:tcPr>
            <w:tcW w:w="1268" w:type="pct"/>
            <w:tcBorders>
              <w:top w:val="nil"/>
              <w:left w:val="nil"/>
              <w:bottom w:val="single" w:sz="8" w:space="0" w:color="000000"/>
              <w:right w:val="single" w:sz="8" w:space="0" w:color="000000"/>
            </w:tcBorders>
            <w:shd w:val="clear" w:color="000000" w:fill="D9D9D9"/>
            <w:vAlign w:val="center"/>
            <w:hideMark/>
          </w:tcPr>
          <w:p w:rsidR="00F37572" w:rsidRPr="003A07FF" w:rsidRDefault="00F37572" w:rsidP="00F37572">
            <w:pPr>
              <w:ind w:left="0"/>
              <w:jc w:val="center"/>
              <w:rPr>
                <w:rFonts w:ascii="Bookman Old Style" w:hAnsi="Bookman Old Style"/>
                <w:b/>
                <w:bCs/>
                <w:color w:val="000000"/>
                <w:sz w:val="22"/>
                <w:szCs w:val="22"/>
                <w:lang w:val="es-CO" w:eastAsia="es-CO"/>
              </w:rPr>
            </w:pPr>
            <w:r w:rsidRPr="003A07FF">
              <w:rPr>
                <w:rFonts w:ascii="Bookman Old Style" w:hAnsi="Bookman Old Style" w:cs="Arial"/>
                <w:b/>
                <w:bCs/>
                <w:color w:val="000000"/>
                <w:sz w:val="22"/>
                <w:szCs w:val="22"/>
                <w:lang w:eastAsia="es-CO"/>
              </w:rPr>
              <w:t>2017</w:t>
            </w:r>
          </w:p>
        </w:tc>
        <w:tc>
          <w:tcPr>
            <w:tcW w:w="1120" w:type="pct"/>
            <w:tcBorders>
              <w:top w:val="nil"/>
              <w:left w:val="nil"/>
              <w:bottom w:val="single" w:sz="8" w:space="0" w:color="000000"/>
              <w:right w:val="single" w:sz="8" w:space="0" w:color="000000"/>
            </w:tcBorders>
            <w:shd w:val="clear" w:color="000000" w:fill="D9D9D9"/>
            <w:vAlign w:val="center"/>
            <w:hideMark/>
          </w:tcPr>
          <w:p w:rsidR="00F37572" w:rsidRPr="003A07FF" w:rsidRDefault="00F37572" w:rsidP="00F37572">
            <w:pPr>
              <w:ind w:left="0"/>
              <w:jc w:val="center"/>
              <w:rPr>
                <w:rFonts w:ascii="Bookman Old Style" w:hAnsi="Bookman Old Style"/>
                <w:b/>
                <w:bCs/>
                <w:color w:val="000000"/>
                <w:sz w:val="22"/>
                <w:szCs w:val="22"/>
                <w:lang w:val="es-CO" w:eastAsia="es-CO"/>
              </w:rPr>
            </w:pPr>
            <w:r w:rsidRPr="003A07FF">
              <w:rPr>
                <w:rFonts w:ascii="Bookman Old Style" w:hAnsi="Bookman Old Style" w:cs="Arial"/>
                <w:b/>
                <w:bCs/>
                <w:color w:val="000000"/>
                <w:sz w:val="22"/>
                <w:szCs w:val="22"/>
                <w:lang w:eastAsia="es-CO"/>
              </w:rPr>
              <w:t>2018</w:t>
            </w:r>
          </w:p>
        </w:tc>
        <w:tc>
          <w:tcPr>
            <w:tcW w:w="1157" w:type="pct"/>
            <w:tcBorders>
              <w:top w:val="nil"/>
              <w:left w:val="nil"/>
              <w:bottom w:val="single" w:sz="8" w:space="0" w:color="000000"/>
              <w:right w:val="single" w:sz="8" w:space="0" w:color="auto"/>
            </w:tcBorders>
            <w:shd w:val="clear" w:color="000000" w:fill="D9D9D9"/>
            <w:vAlign w:val="center"/>
            <w:hideMark/>
          </w:tcPr>
          <w:p w:rsidR="00F37572" w:rsidRPr="003A07FF" w:rsidRDefault="00F37572" w:rsidP="00F37572">
            <w:pPr>
              <w:ind w:left="0"/>
              <w:jc w:val="center"/>
              <w:rPr>
                <w:rFonts w:ascii="Bookman Old Style" w:hAnsi="Bookman Old Style"/>
                <w:b/>
                <w:bCs/>
                <w:color w:val="000000"/>
                <w:sz w:val="22"/>
                <w:szCs w:val="22"/>
                <w:lang w:val="es-CO" w:eastAsia="es-CO"/>
              </w:rPr>
            </w:pPr>
            <w:r w:rsidRPr="003A07FF">
              <w:rPr>
                <w:rFonts w:ascii="Bookman Old Style" w:hAnsi="Bookman Old Style" w:cs="Arial"/>
                <w:b/>
                <w:bCs/>
                <w:color w:val="000000"/>
                <w:sz w:val="22"/>
                <w:szCs w:val="22"/>
                <w:lang w:eastAsia="es-CO"/>
              </w:rPr>
              <w:t>2019-2020-2021</w:t>
            </w:r>
          </w:p>
        </w:tc>
      </w:tr>
      <w:tr w:rsidR="00705514" w:rsidRPr="003A07FF" w:rsidTr="00705514">
        <w:trPr>
          <w:trHeight w:val="615"/>
        </w:trPr>
        <w:tc>
          <w:tcPr>
            <w:tcW w:w="1455" w:type="pct"/>
            <w:tcBorders>
              <w:top w:val="nil"/>
              <w:left w:val="single" w:sz="8" w:space="0" w:color="000000"/>
              <w:bottom w:val="single" w:sz="8" w:space="0" w:color="000000"/>
              <w:right w:val="single" w:sz="8" w:space="0" w:color="000000"/>
            </w:tcBorders>
            <w:shd w:val="clear" w:color="auto" w:fill="auto"/>
            <w:vAlign w:val="center"/>
            <w:hideMark/>
          </w:tcPr>
          <w:p w:rsidR="00705514" w:rsidRPr="003A07FF" w:rsidRDefault="00705514" w:rsidP="00705514">
            <w:pPr>
              <w:ind w:left="0"/>
              <w:jc w:val="both"/>
              <w:rPr>
                <w:rFonts w:ascii="Bookman Old Style" w:hAnsi="Bookman Old Style"/>
                <w:color w:val="000000"/>
                <w:sz w:val="22"/>
                <w:szCs w:val="22"/>
                <w:lang w:val="es-CO" w:eastAsia="es-CO"/>
              </w:rPr>
            </w:pPr>
            <w:r w:rsidRPr="003A07FF">
              <w:rPr>
                <w:rFonts w:ascii="Bookman Old Style" w:hAnsi="Bookman Old Style"/>
                <w:color w:val="000000"/>
                <w:sz w:val="22"/>
                <w:szCs w:val="22"/>
                <w:lang w:val="es-ES_tradnl" w:eastAsia="es-CO"/>
              </w:rPr>
              <w:t>Valor Presente AOM</w:t>
            </w:r>
            <w:r>
              <w:rPr>
                <w:rFonts w:ascii="Bookman Old Style" w:hAnsi="Bookman Old Style"/>
                <w:color w:val="000000"/>
                <w:sz w:val="22"/>
                <w:szCs w:val="22"/>
                <w:lang w:val="es-ES_tradnl" w:eastAsia="es-CO"/>
              </w:rPr>
              <w:t>.</w:t>
            </w:r>
            <w:r w:rsidRPr="003A07FF">
              <w:rPr>
                <w:rFonts w:ascii="Bookman Old Style" w:hAnsi="Bookman Old Style"/>
                <w:color w:val="000000"/>
                <w:sz w:val="22"/>
                <w:szCs w:val="22"/>
                <w:lang w:val="es-ES_tradnl" w:eastAsia="es-CO"/>
              </w:rPr>
              <w:t xml:space="preserve"> con nivel de eficiencia.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705514" w:rsidRPr="00705514" w:rsidRDefault="00705514" w:rsidP="00705514">
            <w:pPr>
              <w:ind w:left="0"/>
              <w:jc w:val="center"/>
              <w:rPr>
                <w:rFonts w:ascii="Bookman Old Style" w:hAnsi="Bookman Old Style"/>
                <w:color w:val="000000"/>
                <w:sz w:val="20"/>
                <w:szCs w:val="20"/>
              </w:rPr>
            </w:pPr>
            <w:r w:rsidRPr="00705514">
              <w:rPr>
                <w:rFonts w:ascii="Bookman Old Style" w:hAnsi="Bookman Old Style"/>
                <w:color w:val="000000"/>
                <w:sz w:val="20"/>
                <w:szCs w:val="20"/>
              </w:rPr>
              <w:t>266</w:t>
            </w:r>
            <w:r>
              <w:rPr>
                <w:rFonts w:ascii="Bookman Old Style" w:hAnsi="Bookman Old Style"/>
                <w:color w:val="000000"/>
                <w:sz w:val="20"/>
                <w:szCs w:val="20"/>
              </w:rPr>
              <w:t>.</w:t>
            </w:r>
            <w:r w:rsidRPr="00705514">
              <w:rPr>
                <w:rFonts w:ascii="Bookman Old Style" w:hAnsi="Bookman Old Style"/>
                <w:color w:val="000000"/>
                <w:sz w:val="20"/>
                <w:szCs w:val="20"/>
              </w:rPr>
              <w:t>610</w:t>
            </w:r>
            <w:r>
              <w:rPr>
                <w:rFonts w:ascii="Bookman Old Style" w:hAnsi="Bookman Old Style"/>
                <w:color w:val="000000"/>
                <w:sz w:val="20"/>
                <w:szCs w:val="20"/>
              </w:rPr>
              <w:t>.</w:t>
            </w:r>
            <w:r w:rsidRPr="00705514">
              <w:rPr>
                <w:rFonts w:ascii="Bookman Old Style" w:hAnsi="Bookman Old Style"/>
                <w:color w:val="000000"/>
                <w:sz w:val="20"/>
                <w:szCs w:val="20"/>
              </w:rPr>
              <w:t>848</w:t>
            </w:r>
          </w:p>
        </w:tc>
        <w:tc>
          <w:tcPr>
            <w:tcW w:w="1120" w:type="pct"/>
            <w:tcBorders>
              <w:top w:val="single" w:sz="4" w:space="0" w:color="auto"/>
              <w:left w:val="nil"/>
              <w:bottom w:val="single" w:sz="4" w:space="0" w:color="auto"/>
              <w:right w:val="single" w:sz="4" w:space="0" w:color="auto"/>
            </w:tcBorders>
            <w:shd w:val="clear" w:color="auto" w:fill="auto"/>
            <w:vAlign w:val="center"/>
          </w:tcPr>
          <w:p w:rsidR="00705514" w:rsidRPr="00705514" w:rsidRDefault="00705514" w:rsidP="00705514">
            <w:pPr>
              <w:jc w:val="center"/>
              <w:rPr>
                <w:rFonts w:ascii="Bookman Old Style" w:hAnsi="Bookman Old Style"/>
                <w:color w:val="000000"/>
                <w:sz w:val="20"/>
                <w:szCs w:val="20"/>
              </w:rPr>
            </w:pPr>
            <w:r w:rsidRPr="00705514">
              <w:rPr>
                <w:rFonts w:ascii="Bookman Old Style" w:hAnsi="Bookman Old Style"/>
                <w:color w:val="000000"/>
                <w:sz w:val="20"/>
                <w:szCs w:val="20"/>
              </w:rPr>
              <w:t>263</w:t>
            </w:r>
            <w:r>
              <w:rPr>
                <w:rFonts w:ascii="Bookman Old Style" w:hAnsi="Bookman Old Style"/>
                <w:color w:val="000000"/>
                <w:sz w:val="20"/>
                <w:szCs w:val="20"/>
              </w:rPr>
              <w:t>.</w:t>
            </w:r>
            <w:r w:rsidRPr="00705514">
              <w:rPr>
                <w:rFonts w:ascii="Bookman Old Style" w:hAnsi="Bookman Old Style"/>
                <w:color w:val="000000"/>
                <w:sz w:val="20"/>
                <w:szCs w:val="20"/>
              </w:rPr>
              <w:t>050</w:t>
            </w:r>
            <w:r>
              <w:rPr>
                <w:rFonts w:ascii="Bookman Old Style" w:hAnsi="Bookman Old Style"/>
                <w:color w:val="000000"/>
                <w:sz w:val="20"/>
                <w:szCs w:val="20"/>
              </w:rPr>
              <w:t>.</w:t>
            </w:r>
            <w:r w:rsidRPr="00705514">
              <w:rPr>
                <w:rFonts w:ascii="Bookman Old Style" w:hAnsi="Bookman Old Style"/>
                <w:color w:val="000000"/>
                <w:sz w:val="20"/>
                <w:szCs w:val="20"/>
              </w:rPr>
              <w:t>488</w:t>
            </w:r>
          </w:p>
        </w:tc>
        <w:tc>
          <w:tcPr>
            <w:tcW w:w="1157" w:type="pct"/>
            <w:tcBorders>
              <w:top w:val="single" w:sz="4" w:space="0" w:color="auto"/>
              <w:left w:val="nil"/>
              <w:bottom w:val="single" w:sz="4" w:space="0" w:color="auto"/>
              <w:right w:val="single" w:sz="4" w:space="0" w:color="auto"/>
            </w:tcBorders>
            <w:shd w:val="clear" w:color="auto" w:fill="auto"/>
            <w:vAlign w:val="center"/>
          </w:tcPr>
          <w:p w:rsidR="00705514" w:rsidRPr="00705514" w:rsidRDefault="00705514" w:rsidP="00705514">
            <w:pPr>
              <w:jc w:val="center"/>
              <w:rPr>
                <w:rFonts w:ascii="Bookman Old Style" w:hAnsi="Bookman Old Style"/>
                <w:color w:val="000000"/>
                <w:sz w:val="20"/>
                <w:szCs w:val="20"/>
              </w:rPr>
            </w:pPr>
            <w:r w:rsidRPr="00705514">
              <w:rPr>
                <w:rFonts w:ascii="Bookman Old Style" w:hAnsi="Bookman Old Style"/>
                <w:color w:val="000000"/>
                <w:sz w:val="20"/>
                <w:szCs w:val="20"/>
              </w:rPr>
              <w:t>288</w:t>
            </w:r>
            <w:r>
              <w:rPr>
                <w:rFonts w:ascii="Bookman Old Style" w:hAnsi="Bookman Old Style"/>
                <w:color w:val="000000"/>
                <w:sz w:val="20"/>
                <w:szCs w:val="20"/>
              </w:rPr>
              <w:t>.</w:t>
            </w:r>
            <w:r w:rsidRPr="00705514">
              <w:rPr>
                <w:rFonts w:ascii="Bookman Old Style" w:hAnsi="Bookman Old Style"/>
                <w:color w:val="000000"/>
                <w:sz w:val="20"/>
                <w:szCs w:val="20"/>
              </w:rPr>
              <w:t>966</w:t>
            </w:r>
            <w:r>
              <w:rPr>
                <w:rFonts w:ascii="Bookman Old Style" w:hAnsi="Bookman Old Style"/>
                <w:color w:val="000000"/>
                <w:sz w:val="20"/>
                <w:szCs w:val="20"/>
              </w:rPr>
              <w:t>.</w:t>
            </w:r>
            <w:r w:rsidRPr="00705514">
              <w:rPr>
                <w:rFonts w:ascii="Bookman Old Style" w:hAnsi="Bookman Old Style"/>
                <w:color w:val="000000"/>
                <w:sz w:val="20"/>
                <w:szCs w:val="20"/>
              </w:rPr>
              <w:t>080</w:t>
            </w:r>
          </w:p>
        </w:tc>
      </w:tr>
    </w:tbl>
    <w:p w:rsidR="00AB12AD" w:rsidRPr="002442D8" w:rsidRDefault="00AB12AD" w:rsidP="00AB12AD">
      <w:pPr>
        <w:widowControl w:val="0"/>
        <w:adjustRightInd w:val="0"/>
        <w:ind w:left="0" w:right="20"/>
        <w:jc w:val="both"/>
        <w:rPr>
          <w:rFonts w:ascii="Bookman Old Style" w:hAnsi="Bookman Old Style" w:cs="Arial"/>
          <w:sz w:val="18"/>
        </w:rPr>
      </w:pPr>
      <w:r w:rsidRPr="003A07FF">
        <w:rPr>
          <w:rFonts w:ascii="Bookman Old Style" w:hAnsi="Bookman Old Style" w:cs="Arial"/>
          <w:sz w:val="16"/>
        </w:rPr>
        <w:t xml:space="preserve">Cifras en pesos del 31 de </w:t>
      </w:r>
      <w:r w:rsidR="00E60E59" w:rsidRPr="003A07FF">
        <w:rPr>
          <w:rFonts w:ascii="Bookman Old Style" w:hAnsi="Bookman Old Style" w:cs="Arial"/>
          <w:sz w:val="16"/>
        </w:rPr>
        <w:t>diciembre</w:t>
      </w:r>
      <w:r w:rsidRPr="003A07FF">
        <w:rPr>
          <w:rFonts w:ascii="Bookman Old Style" w:hAnsi="Bookman Old Style" w:cs="Arial"/>
          <w:sz w:val="16"/>
        </w:rPr>
        <w:t xml:space="preserve"> de 201</w:t>
      </w:r>
      <w:r w:rsidR="00C72BA5" w:rsidRPr="003A07FF">
        <w:rPr>
          <w:rFonts w:ascii="Bookman Old Style" w:hAnsi="Bookman Old Style" w:cs="Arial"/>
          <w:sz w:val="16"/>
        </w:rPr>
        <w:t>6</w:t>
      </w:r>
      <w:r w:rsidRPr="003A07FF">
        <w:rPr>
          <w:rFonts w:ascii="Bookman Old Style" w:hAnsi="Bookman Old Style" w:cs="Arial"/>
          <w:sz w:val="16"/>
        </w:rPr>
        <w:t>.</w:t>
      </w:r>
    </w:p>
    <w:p w:rsidR="00C159F0" w:rsidRPr="001954E9" w:rsidRDefault="00C159F0" w:rsidP="00341E8F">
      <w:pPr>
        <w:widowControl w:val="0"/>
        <w:adjustRightInd w:val="0"/>
        <w:ind w:left="0" w:right="20"/>
        <w:jc w:val="both"/>
        <w:rPr>
          <w:rFonts w:ascii="Bookman Old Style" w:hAnsi="Bookman Old Style" w:cs="Arial"/>
        </w:rPr>
      </w:pPr>
    </w:p>
    <w:p w:rsidR="00A0161E" w:rsidRDefault="00A0161E"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2B34EB" w:rsidRPr="001954E9">
        <w:rPr>
          <w:rFonts w:ascii="Bookman Old Style" w:hAnsi="Bookman Old Style" w:cs="Arial"/>
        </w:rPr>
        <w:t>sus modificaciones y adiciones</w:t>
      </w:r>
      <w:r w:rsidR="000D1E6E">
        <w:rPr>
          <w:rFonts w:ascii="Bookman Old Style" w:hAnsi="Bookman Old Style" w:cs="Arial"/>
        </w:rPr>
        <w:t>.</w:t>
      </w:r>
      <w:r w:rsidRPr="001954E9">
        <w:rPr>
          <w:rFonts w:ascii="Bookman Old Style" w:hAnsi="Bookman Old Style" w:cs="Arial"/>
        </w:rPr>
        <w:t xml:space="preserve"> se calcularon </w:t>
      </w:r>
      <w:r w:rsidR="002B34EB"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los gastos de AOM</w:t>
      </w:r>
      <w:r w:rsidR="000D1E6E">
        <w:rPr>
          <w:rFonts w:ascii="Bookman Old Style" w:hAnsi="Bookman Old Style" w:cs="Arial"/>
        </w:rPr>
        <w:t>.</w:t>
      </w:r>
      <w:r w:rsidRPr="001954E9">
        <w:rPr>
          <w:rFonts w:ascii="Bookman Old Style" w:hAnsi="Bookman Old Style" w:cs="Arial"/>
        </w:rPr>
        <w:t xml:space="preserve"> aplicable a usuarios de uso residencial y a usuarios diferentes a los de uso residencial</w:t>
      </w:r>
      <w:r w:rsidR="000D1E6E">
        <w:rPr>
          <w:rFonts w:ascii="Bookman Old Style" w:hAnsi="Bookman Old Style" w:cs="Arial"/>
        </w:rPr>
        <w:t>.</w:t>
      </w:r>
      <w:r w:rsidRPr="001954E9">
        <w:rPr>
          <w:rFonts w:ascii="Bookman Old Style" w:hAnsi="Bookman Old Style" w:cs="Arial"/>
        </w:rPr>
        <w:t xml:space="preserve"> las siguientes variables principales:</w:t>
      </w:r>
    </w:p>
    <w:p w:rsidR="000E41E3" w:rsidRPr="00615B0A" w:rsidRDefault="000E41E3" w:rsidP="00634642">
      <w:pPr>
        <w:widowControl w:val="0"/>
        <w:adjustRightInd w:val="0"/>
        <w:ind w:left="0" w:right="20"/>
        <w:jc w:val="both"/>
        <w:rPr>
          <w:rFonts w:ascii="Bookman Old Style" w:hAnsi="Bookman Old Style" w:cs="Arial"/>
        </w:rPr>
      </w:pPr>
    </w:p>
    <w:tbl>
      <w:tblPr>
        <w:tblW w:w="5000" w:type="pct"/>
        <w:tblCellMar>
          <w:left w:w="70" w:type="dxa"/>
          <w:right w:w="70" w:type="dxa"/>
        </w:tblCellMar>
        <w:tblLook w:val="04A0" w:firstRow="1" w:lastRow="0" w:firstColumn="1" w:lastColumn="0" w:noHBand="0" w:noVBand="1"/>
      </w:tblPr>
      <w:tblGrid>
        <w:gridCol w:w="2441"/>
        <w:gridCol w:w="2369"/>
        <w:gridCol w:w="2369"/>
        <w:gridCol w:w="2157"/>
      </w:tblGrid>
      <w:tr w:rsidR="003A09AA" w:rsidRPr="003A09AA" w:rsidTr="004333D1">
        <w:trPr>
          <w:trHeight w:val="300"/>
          <w:tblHead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b/>
                <w:bCs/>
                <w:color w:val="000000"/>
                <w:sz w:val="22"/>
                <w:szCs w:val="22"/>
                <w:lang w:eastAsia="es-CO"/>
              </w:rPr>
              <w:t>Usuarios de Uso Residencial</w:t>
            </w:r>
          </w:p>
        </w:tc>
      </w:tr>
      <w:tr w:rsidR="003A09AA" w:rsidRPr="003A09AA" w:rsidTr="004333D1">
        <w:trPr>
          <w:trHeight w:val="258"/>
          <w:tblHead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r>
      <w:tr w:rsidR="003A09AA" w:rsidRPr="003A09AA" w:rsidTr="004333D1">
        <w:trPr>
          <w:trHeight w:val="315"/>
          <w:tblHeader/>
        </w:trPr>
        <w:tc>
          <w:tcPr>
            <w:tcW w:w="1306" w:type="pct"/>
            <w:vMerge w:val="restart"/>
            <w:tcBorders>
              <w:top w:val="nil"/>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Variable</w:t>
            </w:r>
          </w:p>
        </w:tc>
        <w:tc>
          <w:tcPr>
            <w:tcW w:w="3694" w:type="pct"/>
            <w:gridSpan w:val="3"/>
            <w:tcBorders>
              <w:top w:val="single" w:sz="8" w:space="0" w:color="000000"/>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AÑO</w:t>
            </w:r>
          </w:p>
        </w:tc>
      </w:tr>
      <w:tr w:rsidR="00975962" w:rsidRPr="003A09AA" w:rsidTr="004333D1">
        <w:trPr>
          <w:trHeight w:val="390"/>
          <w:tblHeader/>
        </w:trPr>
        <w:tc>
          <w:tcPr>
            <w:tcW w:w="1306" w:type="pct"/>
            <w:vMerge/>
            <w:tcBorders>
              <w:top w:val="nil"/>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c>
          <w:tcPr>
            <w:tcW w:w="1269"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2017</w:t>
            </w:r>
          </w:p>
        </w:tc>
        <w:tc>
          <w:tcPr>
            <w:tcW w:w="1269"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2018</w:t>
            </w:r>
          </w:p>
        </w:tc>
        <w:tc>
          <w:tcPr>
            <w:tcW w:w="1156" w:type="pct"/>
            <w:tcBorders>
              <w:top w:val="nil"/>
              <w:left w:val="nil"/>
              <w:bottom w:val="single" w:sz="8" w:space="0" w:color="000000"/>
              <w:right w:val="single" w:sz="8" w:space="0" w:color="auto"/>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2019-2020-2021</w:t>
            </w:r>
          </w:p>
        </w:tc>
      </w:tr>
      <w:tr w:rsidR="00705514" w:rsidRPr="003A09AA" w:rsidTr="00D16787">
        <w:trPr>
          <w:trHeight w:val="315"/>
        </w:trPr>
        <w:tc>
          <w:tcPr>
            <w:tcW w:w="1306" w:type="pct"/>
            <w:tcBorders>
              <w:top w:val="nil"/>
              <w:left w:val="single" w:sz="8" w:space="0" w:color="auto"/>
              <w:bottom w:val="single" w:sz="8" w:space="0" w:color="000000"/>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71BED594" wp14:editId="41149437">
                  <wp:extent cx="1031240" cy="153670"/>
                  <wp:effectExtent l="0" t="0" r="0" b="0"/>
                  <wp:docPr id="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1240" cy="153670"/>
                          </a:xfrm>
                          <a:prstGeom prst="rect">
                            <a:avLst/>
                          </a:prstGeom>
                          <a:noFill/>
                          <a:ln>
                            <a:noFill/>
                          </a:ln>
                        </pic:spPr>
                      </pic:pic>
                    </a:graphicData>
                  </a:graphic>
                </wp:inline>
              </w:drawing>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27</w:t>
            </w:r>
            <w:r>
              <w:rPr>
                <w:rFonts w:ascii="Bookman Old Style" w:hAnsi="Bookman Old Style"/>
                <w:color w:val="000000"/>
                <w:sz w:val="20"/>
                <w:szCs w:val="20"/>
              </w:rPr>
              <w:t>.</w:t>
            </w:r>
            <w:r w:rsidRPr="00705514">
              <w:rPr>
                <w:rFonts w:ascii="Bookman Old Style" w:hAnsi="Bookman Old Style"/>
                <w:color w:val="000000"/>
                <w:sz w:val="20"/>
                <w:szCs w:val="20"/>
              </w:rPr>
              <w:t>244</w:t>
            </w:r>
            <w:r>
              <w:rPr>
                <w:rFonts w:ascii="Bookman Old Style" w:hAnsi="Bookman Old Style"/>
                <w:color w:val="000000"/>
                <w:sz w:val="20"/>
                <w:szCs w:val="20"/>
              </w:rPr>
              <w:t>.</w:t>
            </w:r>
            <w:r w:rsidRPr="00705514">
              <w:rPr>
                <w:rFonts w:ascii="Bookman Old Style" w:hAnsi="Bookman Old Style"/>
                <w:color w:val="000000"/>
                <w:sz w:val="20"/>
                <w:szCs w:val="20"/>
              </w:rPr>
              <w:t>625</w:t>
            </w:r>
          </w:p>
        </w:tc>
        <w:tc>
          <w:tcPr>
            <w:tcW w:w="1269" w:type="pct"/>
            <w:tcBorders>
              <w:top w:val="single" w:sz="4" w:space="0" w:color="auto"/>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26</w:t>
            </w:r>
            <w:r>
              <w:rPr>
                <w:rFonts w:ascii="Bookman Old Style" w:hAnsi="Bookman Old Style"/>
                <w:color w:val="000000"/>
                <w:sz w:val="20"/>
                <w:szCs w:val="20"/>
              </w:rPr>
              <w:t>.</w:t>
            </w:r>
            <w:r w:rsidRPr="00705514">
              <w:rPr>
                <w:rFonts w:ascii="Bookman Old Style" w:hAnsi="Bookman Old Style"/>
                <w:color w:val="000000"/>
                <w:sz w:val="20"/>
                <w:szCs w:val="20"/>
              </w:rPr>
              <w:t>880</w:t>
            </w:r>
            <w:r>
              <w:rPr>
                <w:rFonts w:ascii="Bookman Old Style" w:hAnsi="Bookman Old Style"/>
                <w:color w:val="000000"/>
                <w:sz w:val="20"/>
                <w:szCs w:val="20"/>
              </w:rPr>
              <w:t>.</w:t>
            </w:r>
            <w:r w:rsidRPr="00705514">
              <w:rPr>
                <w:rFonts w:ascii="Bookman Old Style" w:hAnsi="Bookman Old Style"/>
                <w:color w:val="000000"/>
                <w:sz w:val="20"/>
                <w:szCs w:val="20"/>
              </w:rPr>
              <w:t>797</w:t>
            </w:r>
          </w:p>
        </w:tc>
        <w:tc>
          <w:tcPr>
            <w:tcW w:w="1156" w:type="pct"/>
            <w:tcBorders>
              <w:top w:val="single" w:sz="4" w:space="0" w:color="auto"/>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29</w:t>
            </w:r>
            <w:r>
              <w:rPr>
                <w:rFonts w:ascii="Bookman Old Style" w:hAnsi="Bookman Old Style"/>
                <w:color w:val="000000"/>
                <w:sz w:val="20"/>
                <w:szCs w:val="20"/>
              </w:rPr>
              <w:t>.</w:t>
            </w:r>
            <w:r w:rsidRPr="00705514">
              <w:rPr>
                <w:rFonts w:ascii="Bookman Old Style" w:hAnsi="Bookman Old Style"/>
                <w:color w:val="000000"/>
                <w:sz w:val="20"/>
                <w:szCs w:val="20"/>
              </w:rPr>
              <w:t>529</w:t>
            </w:r>
            <w:r>
              <w:rPr>
                <w:rFonts w:ascii="Bookman Old Style" w:hAnsi="Bookman Old Style"/>
                <w:color w:val="000000"/>
                <w:sz w:val="20"/>
                <w:szCs w:val="20"/>
              </w:rPr>
              <w:t>.</w:t>
            </w:r>
            <w:r w:rsidRPr="00705514">
              <w:rPr>
                <w:rFonts w:ascii="Bookman Old Style" w:hAnsi="Bookman Old Style"/>
                <w:color w:val="000000"/>
                <w:sz w:val="20"/>
                <w:szCs w:val="20"/>
              </w:rPr>
              <w:t>078</w:t>
            </w:r>
          </w:p>
        </w:tc>
      </w:tr>
      <w:tr w:rsidR="00705514" w:rsidRPr="003A09AA" w:rsidTr="00705514">
        <w:trPr>
          <w:trHeight w:val="315"/>
        </w:trPr>
        <w:tc>
          <w:tcPr>
            <w:tcW w:w="1307" w:type="pct"/>
            <w:tcBorders>
              <w:top w:val="nil"/>
              <w:left w:val="single" w:sz="8" w:space="0" w:color="auto"/>
              <w:bottom w:val="single" w:sz="8" w:space="0" w:color="000000"/>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lastRenderedPageBreak/>
              <w:t> </w:t>
            </w:r>
            <w:r w:rsidRPr="003A09AA">
              <w:rPr>
                <w:noProof/>
                <w:lang w:val="es-CO" w:eastAsia="es-CO"/>
              </w:rPr>
              <w:drawing>
                <wp:inline distT="0" distB="0" distL="0" distR="0" wp14:anchorId="4D86C8CA" wp14:editId="46D1B9CF">
                  <wp:extent cx="1016635" cy="153670"/>
                  <wp:effectExtent l="0" t="0" r="0" b="0"/>
                  <wp:docPr id="6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6635" cy="153670"/>
                          </a:xfrm>
                          <a:prstGeom prst="rect">
                            <a:avLst/>
                          </a:prstGeom>
                          <a:noFill/>
                          <a:ln>
                            <a:noFill/>
                          </a:ln>
                        </pic:spPr>
                      </pic:pic>
                    </a:graphicData>
                  </a:graphic>
                </wp:inline>
              </w:drawing>
            </w:r>
          </w:p>
        </w:tc>
        <w:tc>
          <w:tcPr>
            <w:tcW w:w="1269" w:type="pct"/>
            <w:tcBorders>
              <w:top w:val="nil"/>
              <w:left w:val="single" w:sz="4" w:space="0" w:color="auto"/>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140</w:t>
            </w:r>
            <w:r>
              <w:rPr>
                <w:rFonts w:ascii="Bookman Old Style" w:hAnsi="Bookman Old Style"/>
                <w:color w:val="000000"/>
                <w:sz w:val="20"/>
                <w:szCs w:val="20"/>
              </w:rPr>
              <w:t>.</w:t>
            </w:r>
            <w:r w:rsidRPr="00705514">
              <w:rPr>
                <w:rFonts w:ascii="Bookman Old Style" w:hAnsi="Bookman Old Style"/>
                <w:color w:val="000000"/>
                <w:sz w:val="20"/>
                <w:szCs w:val="20"/>
              </w:rPr>
              <w:t>720</w:t>
            </w:r>
            <w:r>
              <w:rPr>
                <w:rFonts w:ascii="Bookman Old Style" w:hAnsi="Bookman Old Style"/>
                <w:color w:val="000000"/>
                <w:sz w:val="20"/>
                <w:szCs w:val="20"/>
              </w:rPr>
              <w:t>.</w:t>
            </w:r>
            <w:r w:rsidRPr="00705514">
              <w:rPr>
                <w:rFonts w:ascii="Bookman Old Style" w:hAnsi="Bookman Old Style"/>
                <w:color w:val="000000"/>
                <w:sz w:val="20"/>
                <w:szCs w:val="20"/>
              </w:rPr>
              <w:t>209</w:t>
            </w:r>
          </w:p>
        </w:tc>
        <w:tc>
          <w:tcPr>
            <w:tcW w:w="1269"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138</w:t>
            </w:r>
            <w:r>
              <w:rPr>
                <w:rFonts w:ascii="Bookman Old Style" w:hAnsi="Bookman Old Style"/>
                <w:color w:val="000000"/>
                <w:sz w:val="20"/>
                <w:szCs w:val="20"/>
              </w:rPr>
              <w:t>.</w:t>
            </w:r>
            <w:r w:rsidRPr="00705514">
              <w:rPr>
                <w:rFonts w:ascii="Bookman Old Style" w:hAnsi="Bookman Old Style"/>
                <w:color w:val="000000"/>
                <w:sz w:val="20"/>
                <w:szCs w:val="20"/>
              </w:rPr>
              <w:t>841</w:t>
            </w:r>
            <w:r>
              <w:rPr>
                <w:rFonts w:ascii="Bookman Old Style" w:hAnsi="Bookman Old Style"/>
                <w:color w:val="000000"/>
                <w:sz w:val="20"/>
                <w:szCs w:val="20"/>
              </w:rPr>
              <w:t>.</w:t>
            </w:r>
            <w:r w:rsidRPr="00705514">
              <w:rPr>
                <w:rFonts w:ascii="Bookman Old Style" w:hAnsi="Bookman Old Style"/>
                <w:color w:val="000000"/>
                <w:sz w:val="20"/>
                <w:szCs w:val="20"/>
              </w:rPr>
              <w:t>011</w:t>
            </w:r>
          </w:p>
        </w:tc>
        <w:tc>
          <w:tcPr>
            <w:tcW w:w="1156"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152</w:t>
            </w:r>
            <w:r>
              <w:rPr>
                <w:rFonts w:ascii="Bookman Old Style" w:hAnsi="Bookman Old Style"/>
                <w:color w:val="000000"/>
                <w:sz w:val="20"/>
                <w:szCs w:val="20"/>
              </w:rPr>
              <w:t>.</w:t>
            </w:r>
            <w:r w:rsidRPr="00705514">
              <w:rPr>
                <w:rFonts w:ascii="Bookman Old Style" w:hAnsi="Bookman Old Style"/>
                <w:color w:val="000000"/>
                <w:sz w:val="20"/>
                <w:szCs w:val="20"/>
              </w:rPr>
              <w:t>519</w:t>
            </w:r>
            <w:r>
              <w:rPr>
                <w:rFonts w:ascii="Bookman Old Style" w:hAnsi="Bookman Old Style"/>
                <w:color w:val="000000"/>
                <w:sz w:val="20"/>
                <w:szCs w:val="20"/>
              </w:rPr>
              <w:t>.</w:t>
            </w:r>
            <w:r w:rsidRPr="00705514">
              <w:rPr>
                <w:rFonts w:ascii="Bookman Old Style" w:hAnsi="Bookman Old Style"/>
                <w:color w:val="000000"/>
                <w:sz w:val="20"/>
                <w:szCs w:val="20"/>
              </w:rPr>
              <w:t>552</w:t>
            </w:r>
          </w:p>
        </w:tc>
      </w:tr>
      <w:tr w:rsidR="00705514" w:rsidRPr="003A09AA" w:rsidTr="00705514">
        <w:trPr>
          <w:trHeight w:val="315"/>
        </w:trPr>
        <w:tc>
          <w:tcPr>
            <w:tcW w:w="1307" w:type="pct"/>
            <w:tcBorders>
              <w:top w:val="nil"/>
              <w:left w:val="single" w:sz="8" w:space="0" w:color="auto"/>
              <w:bottom w:val="single" w:sz="8" w:space="0" w:color="000000"/>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76D21E86" wp14:editId="75EA0332">
                  <wp:extent cx="1126490" cy="153670"/>
                  <wp:effectExtent l="0" t="0" r="0" b="0"/>
                  <wp:docPr id="6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6490" cy="153670"/>
                          </a:xfrm>
                          <a:prstGeom prst="rect">
                            <a:avLst/>
                          </a:prstGeom>
                          <a:noFill/>
                          <a:ln>
                            <a:noFill/>
                          </a:ln>
                        </pic:spPr>
                      </pic:pic>
                    </a:graphicData>
                  </a:graphic>
                </wp:inline>
              </w:drawing>
            </w:r>
          </w:p>
        </w:tc>
        <w:tc>
          <w:tcPr>
            <w:tcW w:w="1269" w:type="pct"/>
            <w:tcBorders>
              <w:top w:val="nil"/>
              <w:left w:val="single" w:sz="4" w:space="0" w:color="auto"/>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673</w:t>
            </w:r>
            <w:r>
              <w:rPr>
                <w:rFonts w:ascii="Bookman Old Style" w:hAnsi="Bookman Old Style"/>
                <w:color w:val="000000"/>
                <w:sz w:val="20"/>
                <w:szCs w:val="20"/>
              </w:rPr>
              <w:t>.</w:t>
            </w:r>
            <w:r w:rsidRPr="00705514">
              <w:rPr>
                <w:rFonts w:ascii="Bookman Old Style" w:hAnsi="Bookman Old Style"/>
                <w:color w:val="000000"/>
                <w:sz w:val="20"/>
                <w:szCs w:val="20"/>
              </w:rPr>
              <w:t>395</w:t>
            </w:r>
          </w:p>
        </w:tc>
        <w:tc>
          <w:tcPr>
            <w:tcW w:w="1269"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663</w:t>
            </w:r>
            <w:r>
              <w:rPr>
                <w:rFonts w:ascii="Bookman Old Style" w:hAnsi="Bookman Old Style"/>
                <w:color w:val="000000"/>
                <w:sz w:val="20"/>
                <w:szCs w:val="20"/>
              </w:rPr>
              <w:t>.</w:t>
            </w:r>
            <w:r w:rsidRPr="00705514">
              <w:rPr>
                <w:rFonts w:ascii="Bookman Old Style" w:hAnsi="Bookman Old Style"/>
                <w:color w:val="000000"/>
                <w:sz w:val="20"/>
                <w:szCs w:val="20"/>
              </w:rPr>
              <w:t>326</w:t>
            </w:r>
          </w:p>
        </w:tc>
        <w:tc>
          <w:tcPr>
            <w:tcW w:w="1156"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736</w:t>
            </w:r>
            <w:r>
              <w:rPr>
                <w:rFonts w:ascii="Bookman Old Style" w:hAnsi="Bookman Old Style"/>
                <w:color w:val="000000"/>
                <w:sz w:val="20"/>
                <w:szCs w:val="20"/>
              </w:rPr>
              <w:t>.</w:t>
            </w:r>
            <w:r w:rsidRPr="00705514">
              <w:rPr>
                <w:rFonts w:ascii="Bookman Old Style" w:hAnsi="Bookman Old Style"/>
                <w:color w:val="000000"/>
                <w:sz w:val="20"/>
                <w:szCs w:val="20"/>
              </w:rPr>
              <w:t>931</w:t>
            </w:r>
          </w:p>
        </w:tc>
      </w:tr>
      <w:tr w:rsidR="00705514" w:rsidRPr="003A09AA" w:rsidTr="00705514">
        <w:trPr>
          <w:trHeight w:val="315"/>
        </w:trPr>
        <w:tc>
          <w:tcPr>
            <w:tcW w:w="1307" w:type="pct"/>
            <w:tcBorders>
              <w:top w:val="nil"/>
              <w:left w:val="single" w:sz="8" w:space="0" w:color="auto"/>
              <w:bottom w:val="single" w:sz="8" w:space="0" w:color="auto"/>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2D899392" wp14:editId="11EF0C01">
                  <wp:extent cx="746125" cy="153670"/>
                  <wp:effectExtent l="0" t="0" r="0" b="0"/>
                  <wp:docPr id="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6125" cy="153670"/>
                          </a:xfrm>
                          <a:prstGeom prst="rect">
                            <a:avLst/>
                          </a:prstGeom>
                          <a:noFill/>
                          <a:ln>
                            <a:noFill/>
                          </a:ln>
                        </pic:spPr>
                      </pic:pic>
                    </a:graphicData>
                  </a:graphic>
                </wp:inline>
              </w:drawing>
            </w:r>
          </w:p>
        </w:tc>
        <w:tc>
          <w:tcPr>
            <w:tcW w:w="1269" w:type="pct"/>
            <w:tcBorders>
              <w:top w:val="nil"/>
              <w:left w:val="single" w:sz="4" w:space="0" w:color="auto"/>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673</w:t>
            </w:r>
            <w:r>
              <w:rPr>
                <w:rFonts w:ascii="Bookman Old Style" w:hAnsi="Bookman Old Style"/>
                <w:color w:val="000000"/>
                <w:sz w:val="20"/>
                <w:szCs w:val="20"/>
              </w:rPr>
              <w:t>.</w:t>
            </w:r>
            <w:r w:rsidRPr="00705514">
              <w:rPr>
                <w:rFonts w:ascii="Bookman Old Style" w:hAnsi="Bookman Old Style"/>
                <w:color w:val="000000"/>
                <w:sz w:val="20"/>
                <w:szCs w:val="20"/>
              </w:rPr>
              <w:t>395</w:t>
            </w:r>
          </w:p>
        </w:tc>
        <w:tc>
          <w:tcPr>
            <w:tcW w:w="1269"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663</w:t>
            </w:r>
            <w:r>
              <w:rPr>
                <w:rFonts w:ascii="Bookman Old Style" w:hAnsi="Bookman Old Style"/>
                <w:color w:val="000000"/>
                <w:sz w:val="20"/>
                <w:szCs w:val="20"/>
              </w:rPr>
              <w:t>.</w:t>
            </w:r>
            <w:r w:rsidRPr="00705514">
              <w:rPr>
                <w:rFonts w:ascii="Bookman Old Style" w:hAnsi="Bookman Old Style"/>
                <w:color w:val="000000"/>
                <w:sz w:val="20"/>
                <w:szCs w:val="20"/>
              </w:rPr>
              <w:t>326</w:t>
            </w:r>
          </w:p>
        </w:tc>
        <w:tc>
          <w:tcPr>
            <w:tcW w:w="1156"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736</w:t>
            </w:r>
            <w:r>
              <w:rPr>
                <w:rFonts w:ascii="Bookman Old Style" w:hAnsi="Bookman Old Style"/>
                <w:color w:val="000000"/>
                <w:sz w:val="20"/>
                <w:szCs w:val="20"/>
              </w:rPr>
              <w:t>.</w:t>
            </w:r>
            <w:r w:rsidRPr="00705514">
              <w:rPr>
                <w:rFonts w:ascii="Bookman Old Style" w:hAnsi="Bookman Old Style"/>
                <w:color w:val="000000"/>
                <w:sz w:val="20"/>
                <w:szCs w:val="20"/>
              </w:rPr>
              <w:t>931</w:t>
            </w:r>
          </w:p>
        </w:tc>
      </w:tr>
    </w:tbl>
    <w:p w:rsidR="003A09AA" w:rsidRDefault="00660F54" w:rsidP="00634642">
      <w:pPr>
        <w:widowControl w:val="0"/>
        <w:adjustRightInd w:val="0"/>
        <w:ind w:left="0" w:right="20"/>
        <w:jc w:val="both"/>
        <w:rPr>
          <w:rFonts w:ascii="Bookman Old Style" w:hAnsi="Bookman Old Style" w:cs="Arial"/>
          <w:sz w:val="16"/>
        </w:rPr>
      </w:pPr>
      <w:r w:rsidRPr="007B0D3E">
        <w:rPr>
          <w:rFonts w:ascii="Bookman Old Style" w:hAnsi="Bookman Old Style" w:cs="Arial"/>
          <w:sz w:val="16"/>
        </w:rPr>
        <w:t xml:space="preserve">Cifras en pesos del 31 de </w:t>
      </w:r>
      <w:r>
        <w:rPr>
          <w:rFonts w:ascii="Bookman Old Style" w:hAnsi="Bookman Old Style" w:cs="Arial"/>
          <w:sz w:val="16"/>
        </w:rPr>
        <w:t>d</w:t>
      </w:r>
      <w:r w:rsidRPr="007B0D3E">
        <w:rPr>
          <w:rFonts w:ascii="Bookman Old Style" w:hAnsi="Bookman Old Style" w:cs="Arial"/>
          <w:sz w:val="16"/>
        </w:rPr>
        <w:t>iciembre de 201</w:t>
      </w:r>
      <w:r>
        <w:rPr>
          <w:rFonts w:ascii="Bookman Old Style" w:hAnsi="Bookman Old Style" w:cs="Arial"/>
          <w:sz w:val="16"/>
        </w:rPr>
        <w:t>6</w:t>
      </w:r>
    </w:p>
    <w:p w:rsidR="003A09AA" w:rsidRDefault="003A09AA" w:rsidP="00634642">
      <w:pPr>
        <w:widowControl w:val="0"/>
        <w:adjustRightInd w:val="0"/>
        <w:ind w:left="0" w:right="20"/>
        <w:jc w:val="both"/>
        <w:rPr>
          <w:rFonts w:ascii="Bookman Old Style" w:hAnsi="Bookman Old Style" w:cs="Arial"/>
          <w:sz w:val="16"/>
        </w:rPr>
      </w:pPr>
    </w:p>
    <w:tbl>
      <w:tblPr>
        <w:tblW w:w="5000" w:type="pct"/>
        <w:tblCellMar>
          <w:left w:w="70" w:type="dxa"/>
          <w:right w:w="70" w:type="dxa"/>
        </w:tblCellMar>
        <w:tblLook w:val="04A0" w:firstRow="1" w:lastRow="0" w:firstColumn="1" w:lastColumn="0" w:noHBand="0" w:noVBand="1"/>
      </w:tblPr>
      <w:tblGrid>
        <w:gridCol w:w="2298"/>
        <w:gridCol w:w="2510"/>
        <w:gridCol w:w="2368"/>
        <w:gridCol w:w="2160"/>
      </w:tblGrid>
      <w:tr w:rsidR="003A09AA" w:rsidRPr="003A09AA" w:rsidTr="007842C3">
        <w:trPr>
          <w:trHeight w:val="300"/>
          <w:tblHead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b/>
                <w:bCs/>
                <w:color w:val="000000"/>
                <w:sz w:val="22"/>
                <w:szCs w:val="22"/>
                <w:lang w:eastAsia="es-CO"/>
              </w:rPr>
              <w:t>Usuarios Diferentes a los de Uso Residencial</w:t>
            </w:r>
          </w:p>
        </w:tc>
      </w:tr>
      <w:tr w:rsidR="003A09AA" w:rsidRPr="003A09AA" w:rsidTr="007842C3">
        <w:trPr>
          <w:trHeight w:val="258"/>
          <w:tblHead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r>
      <w:tr w:rsidR="003A09AA" w:rsidRPr="003A09AA" w:rsidTr="006B3F20">
        <w:trPr>
          <w:trHeight w:val="315"/>
          <w:tblHeader/>
        </w:trPr>
        <w:tc>
          <w:tcPr>
            <w:tcW w:w="1216" w:type="pct"/>
            <w:vMerge w:val="restart"/>
            <w:tcBorders>
              <w:top w:val="nil"/>
              <w:left w:val="single" w:sz="8" w:space="0" w:color="auto"/>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Variable</w:t>
            </w:r>
          </w:p>
        </w:tc>
        <w:tc>
          <w:tcPr>
            <w:tcW w:w="3784" w:type="pct"/>
            <w:gridSpan w:val="3"/>
            <w:tcBorders>
              <w:top w:val="single" w:sz="8" w:space="0" w:color="000000"/>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AÑO</w:t>
            </w:r>
          </w:p>
        </w:tc>
      </w:tr>
      <w:tr w:rsidR="00B808E9" w:rsidRPr="003A09AA" w:rsidTr="007842C3">
        <w:trPr>
          <w:trHeight w:val="293"/>
          <w:tblHeader/>
        </w:trPr>
        <w:tc>
          <w:tcPr>
            <w:tcW w:w="1231" w:type="pct"/>
            <w:vMerge/>
            <w:tcBorders>
              <w:top w:val="nil"/>
              <w:left w:val="single" w:sz="8" w:space="0" w:color="auto"/>
              <w:bottom w:val="single" w:sz="8" w:space="0" w:color="000000"/>
              <w:right w:val="single" w:sz="8" w:space="0" w:color="000000"/>
            </w:tcBorders>
            <w:vAlign w:val="center"/>
            <w:hideMark/>
          </w:tcPr>
          <w:p w:rsidR="003A09AA" w:rsidRPr="003A09AA" w:rsidRDefault="003A09AA" w:rsidP="003A09AA">
            <w:pPr>
              <w:ind w:left="0"/>
              <w:rPr>
                <w:rFonts w:ascii="Bookman Old Style" w:hAnsi="Bookman Old Style"/>
                <w:b/>
                <w:bCs/>
                <w:color w:val="000000"/>
                <w:sz w:val="22"/>
                <w:szCs w:val="22"/>
                <w:lang w:val="es-CO" w:eastAsia="es-CO"/>
              </w:rPr>
            </w:pPr>
          </w:p>
        </w:tc>
        <w:tc>
          <w:tcPr>
            <w:tcW w:w="1344"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2017</w:t>
            </w:r>
          </w:p>
        </w:tc>
        <w:tc>
          <w:tcPr>
            <w:tcW w:w="1268" w:type="pct"/>
            <w:tcBorders>
              <w:top w:val="nil"/>
              <w:left w:val="nil"/>
              <w:bottom w:val="single" w:sz="8" w:space="0" w:color="000000"/>
              <w:right w:val="single" w:sz="8" w:space="0" w:color="000000"/>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2018</w:t>
            </w:r>
          </w:p>
        </w:tc>
        <w:tc>
          <w:tcPr>
            <w:tcW w:w="1157" w:type="pct"/>
            <w:tcBorders>
              <w:top w:val="nil"/>
              <w:left w:val="nil"/>
              <w:bottom w:val="single" w:sz="8" w:space="0" w:color="000000"/>
              <w:right w:val="single" w:sz="8" w:space="0" w:color="auto"/>
            </w:tcBorders>
            <w:shd w:val="clear" w:color="000000" w:fill="D9D9D9"/>
            <w:vAlign w:val="center"/>
            <w:hideMark/>
          </w:tcPr>
          <w:p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2019-2020-2021</w:t>
            </w:r>
          </w:p>
        </w:tc>
      </w:tr>
      <w:tr w:rsidR="00705514" w:rsidRPr="003A09AA" w:rsidTr="00D16787">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61C9E616" wp14:editId="198CB3FC">
                  <wp:extent cx="753745" cy="153670"/>
                  <wp:effectExtent l="0" t="0" r="0" b="0"/>
                  <wp:docPr id="6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3745" cy="153670"/>
                          </a:xfrm>
                          <a:prstGeom prst="rect">
                            <a:avLst/>
                          </a:prstGeom>
                          <a:noFill/>
                          <a:ln>
                            <a:noFill/>
                          </a:ln>
                        </pic:spPr>
                      </pic:pic>
                    </a:graphicData>
                  </a:graphic>
                </wp:inline>
              </w:drawing>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rsidR="00705514" w:rsidRPr="00705514" w:rsidRDefault="00705514" w:rsidP="00705514">
            <w:pPr>
              <w:ind w:left="0"/>
              <w:jc w:val="right"/>
              <w:rPr>
                <w:rFonts w:ascii="Bookman Old Style" w:hAnsi="Bookman Old Style"/>
                <w:color w:val="000000"/>
                <w:sz w:val="20"/>
                <w:szCs w:val="20"/>
              </w:rPr>
            </w:pPr>
            <w:r w:rsidRPr="00705514">
              <w:rPr>
                <w:rFonts w:ascii="Bookman Old Style" w:hAnsi="Bookman Old Style"/>
                <w:color w:val="000000"/>
                <w:sz w:val="20"/>
                <w:szCs w:val="20"/>
              </w:rPr>
              <w:t>27</w:t>
            </w:r>
            <w:r>
              <w:rPr>
                <w:rFonts w:ascii="Bookman Old Style" w:hAnsi="Bookman Old Style"/>
                <w:color w:val="000000"/>
                <w:sz w:val="20"/>
                <w:szCs w:val="20"/>
              </w:rPr>
              <w:t>.</w:t>
            </w:r>
            <w:r w:rsidRPr="00705514">
              <w:rPr>
                <w:rFonts w:ascii="Bookman Old Style" w:hAnsi="Bookman Old Style"/>
                <w:color w:val="000000"/>
                <w:sz w:val="20"/>
                <w:szCs w:val="20"/>
              </w:rPr>
              <w:t>244</w:t>
            </w:r>
            <w:r>
              <w:rPr>
                <w:rFonts w:ascii="Bookman Old Style" w:hAnsi="Bookman Old Style"/>
                <w:color w:val="000000"/>
                <w:sz w:val="20"/>
                <w:szCs w:val="20"/>
              </w:rPr>
              <w:t>.</w:t>
            </w:r>
            <w:r w:rsidRPr="00705514">
              <w:rPr>
                <w:rFonts w:ascii="Bookman Old Style" w:hAnsi="Bookman Old Style"/>
                <w:color w:val="000000"/>
                <w:sz w:val="20"/>
                <w:szCs w:val="20"/>
              </w:rPr>
              <w:t>625</w:t>
            </w:r>
          </w:p>
        </w:tc>
        <w:tc>
          <w:tcPr>
            <w:tcW w:w="1268" w:type="pct"/>
            <w:tcBorders>
              <w:top w:val="single" w:sz="4" w:space="0" w:color="auto"/>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26</w:t>
            </w:r>
            <w:r>
              <w:rPr>
                <w:rFonts w:ascii="Bookman Old Style" w:hAnsi="Bookman Old Style"/>
                <w:color w:val="000000"/>
                <w:sz w:val="20"/>
                <w:szCs w:val="20"/>
              </w:rPr>
              <w:t>.</w:t>
            </w:r>
            <w:r w:rsidRPr="00705514">
              <w:rPr>
                <w:rFonts w:ascii="Bookman Old Style" w:hAnsi="Bookman Old Style"/>
                <w:color w:val="000000"/>
                <w:sz w:val="20"/>
                <w:szCs w:val="20"/>
              </w:rPr>
              <w:t>880</w:t>
            </w:r>
            <w:r>
              <w:rPr>
                <w:rFonts w:ascii="Bookman Old Style" w:hAnsi="Bookman Old Style"/>
                <w:color w:val="000000"/>
                <w:sz w:val="20"/>
                <w:szCs w:val="20"/>
              </w:rPr>
              <w:t>.</w:t>
            </w:r>
            <w:r w:rsidRPr="00705514">
              <w:rPr>
                <w:rFonts w:ascii="Bookman Old Style" w:hAnsi="Bookman Old Style"/>
                <w:color w:val="000000"/>
                <w:sz w:val="20"/>
                <w:szCs w:val="20"/>
              </w:rPr>
              <w:t>797</w:t>
            </w:r>
          </w:p>
        </w:tc>
        <w:tc>
          <w:tcPr>
            <w:tcW w:w="1157" w:type="pct"/>
            <w:tcBorders>
              <w:top w:val="single" w:sz="4" w:space="0" w:color="auto"/>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29</w:t>
            </w:r>
            <w:r>
              <w:rPr>
                <w:rFonts w:ascii="Bookman Old Style" w:hAnsi="Bookman Old Style"/>
                <w:color w:val="000000"/>
                <w:sz w:val="20"/>
                <w:szCs w:val="20"/>
              </w:rPr>
              <w:t>.</w:t>
            </w:r>
            <w:r w:rsidRPr="00705514">
              <w:rPr>
                <w:rFonts w:ascii="Bookman Old Style" w:hAnsi="Bookman Old Style"/>
                <w:color w:val="000000"/>
                <w:sz w:val="20"/>
                <w:szCs w:val="20"/>
              </w:rPr>
              <w:t>529</w:t>
            </w:r>
            <w:r>
              <w:rPr>
                <w:rFonts w:ascii="Bookman Old Style" w:hAnsi="Bookman Old Style"/>
                <w:color w:val="000000"/>
                <w:sz w:val="20"/>
                <w:szCs w:val="20"/>
              </w:rPr>
              <w:t>.</w:t>
            </w:r>
            <w:r w:rsidRPr="00705514">
              <w:rPr>
                <w:rFonts w:ascii="Bookman Old Style" w:hAnsi="Bookman Old Style"/>
                <w:color w:val="000000"/>
                <w:sz w:val="20"/>
                <w:szCs w:val="20"/>
              </w:rPr>
              <w:t>078</w:t>
            </w:r>
          </w:p>
        </w:tc>
      </w:tr>
      <w:tr w:rsidR="00705514" w:rsidRPr="003A09AA" w:rsidTr="003C46A3">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45E183CB" wp14:editId="7789D3E4">
                  <wp:extent cx="1068070" cy="168275"/>
                  <wp:effectExtent l="0" t="0" r="0" b="0"/>
                  <wp:docPr id="6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8070" cy="168275"/>
                          </a:xfrm>
                          <a:prstGeom prst="rect">
                            <a:avLst/>
                          </a:prstGeom>
                          <a:noFill/>
                          <a:ln>
                            <a:noFill/>
                          </a:ln>
                        </pic:spPr>
                      </pic:pic>
                    </a:graphicData>
                  </a:graphic>
                </wp:inline>
              </w:drawing>
            </w:r>
          </w:p>
        </w:tc>
        <w:tc>
          <w:tcPr>
            <w:tcW w:w="1344" w:type="pct"/>
            <w:tcBorders>
              <w:top w:val="nil"/>
              <w:left w:val="single" w:sz="4" w:space="0" w:color="auto"/>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1</w:t>
            </w:r>
            <w:r>
              <w:rPr>
                <w:rFonts w:ascii="Bookman Old Style" w:hAnsi="Bookman Old Style"/>
                <w:color w:val="000000"/>
                <w:sz w:val="20"/>
                <w:szCs w:val="20"/>
              </w:rPr>
              <w:t>.</w:t>
            </w:r>
            <w:r w:rsidRPr="00705514">
              <w:rPr>
                <w:rFonts w:ascii="Bookman Old Style" w:hAnsi="Bookman Old Style"/>
                <w:color w:val="000000"/>
                <w:sz w:val="20"/>
                <w:szCs w:val="20"/>
              </w:rPr>
              <w:t>593</w:t>
            </w:r>
            <w:r>
              <w:rPr>
                <w:rFonts w:ascii="Bookman Old Style" w:hAnsi="Bookman Old Style"/>
                <w:color w:val="000000"/>
                <w:sz w:val="20"/>
                <w:szCs w:val="20"/>
              </w:rPr>
              <w:t>.</w:t>
            </w:r>
            <w:r w:rsidRPr="00705514">
              <w:rPr>
                <w:rFonts w:ascii="Bookman Old Style" w:hAnsi="Bookman Old Style"/>
                <w:color w:val="000000"/>
                <w:sz w:val="20"/>
                <w:szCs w:val="20"/>
              </w:rPr>
              <w:t>629</w:t>
            </w:r>
          </w:p>
        </w:tc>
        <w:tc>
          <w:tcPr>
            <w:tcW w:w="1268"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1</w:t>
            </w:r>
            <w:r>
              <w:rPr>
                <w:rFonts w:ascii="Bookman Old Style" w:hAnsi="Bookman Old Style"/>
                <w:color w:val="000000"/>
                <w:sz w:val="20"/>
                <w:szCs w:val="20"/>
              </w:rPr>
              <w:t>.</w:t>
            </w:r>
            <w:r w:rsidRPr="00705514">
              <w:rPr>
                <w:rFonts w:ascii="Bookman Old Style" w:hAnsi="Bookman Old Style"/>
                <w:color w:val="000000"/>
                <w:sz w:val="20"/>
                <w:szCs w:val="20"/>
              </w:rPr>
              <w:t>570</w:t>
            </w:r>
            <w:r>
              <w:rPr>
                <w:rFonts w:ascii="Bookman Old Style" w:hAnsi="Bookman Old Style"/>
                <w:color w:val="000000"/>
                <w:sz w:val="20"/>
                <w:szCs w:val="20"/>
              </w:rPr>
              <w:t>.</w:t>
            </w:r>
            <w:r w:rsidRPr="00705514">
              <w:rPr>
                <w:rFonts w:ascii="Bookman Old Style" w:hAnsi="Bookman Old Style"/>
                <w:color w:val="000000"/>
                <w:sz w:val="20"/>
                <w:szCs w:val="20"/>
              </w:rPr>
              <w:t>562</w:t>
            </w:r>
          </w:p>
        </w:tc>
        <w:tc>
          <w:tcPr>
            <w:tcW w:w="1157"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1</w:t>
            </w:r>
            <w:r>
              <w:rPr>
                <w:rFonts w:ascii="Bookman Old Style" w:hAnsi="Bookman Old Style"/>
                <w:color w:val="000000"/>
                <w:sz w:val="20"/>
                <w:szCs w:val="20"/>
              </w:rPr>
              <w:t>.</w:t>
            </w:r>
            <w:r w:rsidRPr="00705514">
              <w:rPr>
                <w:rFonts w:ascii="Bookman Old Style" w:hAnsi="Bookman Old Style"/>
                <w:color w:val="000000"/>
                <w:sz w:val="20"/>
                <w:szCs w:val="20"/>
              </w:rPr>
              <w:t>739</w:t>
            </w:r>
            <w:r>
              <w:rPr>
                <w:rFonts w:ascii="Bookman Old Style" w:hAnsi="Bookman Old Style"/>
                <w:color w:val="000000"/>
                <w:sz w:val="20"/>
                <w:szCs w:val="20"/>
              </w:rPr>
              <w:t>.</w:t>
            </w:r>
            <w:r w:rsidRPr="00705514">
              <w:rPr>
                <w:rFonts w:ascii="Bookman Old Style" w:hAnsi="Bookman Old Style"/>
                <w:color w:val="000000"/>
                <w:sz w:val="20"/>
                <w:szCs w:val="20"/>
              </w:rPr>
              <w:t>015</w:t>
            </w:r>
          </w:p>
        </w:tc>
      </w:tr>
      <w:tr w:rsidR="00705514" w:rsidRPr="003A09AA" w:rsidTr="003C46A3">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7D92C72A" wp14:editId="02EF817C">
                  <wp:extent cx="694690" cy="153670"/>
                  <wp:effectExtent l="0" t="0" r="0" b="0"/>
                  <wp:docPr id="6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4690" cy="153670"/>
                          </a:xfrm>
                          <a:prstGeom prst="rect">
                            <a:avLst/>
                          </a:prstGeom>
                          <a:noFill/>
                          <a:ln>
                            <a:noFill/>
                          </a:ln>
                        </pic:spPr>
                      </pic:pic>
                    </a:graphicData>
                  </a:graphic>
                </wp:inline>
              </w:drawing>
            </w:r>
          </w:p>
        </w:tc>
        <w:tc>
          <w:tcPr>
            <w:tcW w:w="1344" w:type="pct"/>
            <w:tcBorders>
              <w:top w:val="nil"/>
              <w:left w:val="single" w:sz="4" w:space="0" w:color="auto"/>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673</w:t>
            </w:r>
            <w:r>
              <w:rPr>
                <w:rFonts w:ascii="Bookman Old Style" w:hAnsi="Bookman Old Style"/>
                <w:color w:val="000000"/>
                <w:sz w:val="20"/>
                <w:szCs w:val="20"/>
              </w:rPr>
              <w:t>.</w:t>
            </w:r>
            <w:r w:rsidRPr="00705514">
              <w:rPr>
                <w:rFonts w:ascii="Bookman Old Style" w:hAnsi="Bookman Old Style"/>
                <w:color w:val="000000"/>
                <w:sz w:val="20"/>
                <w:szCs w:val="20"/>
              </w:rPr>
              <w:t>395</w:t>
            </w:r>
          </w:p>
        </w:tc>
        <w:tc>
          <w:tcPr>
            <w:tcW w:w="1268"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663</w:t>
            </w:r>
            <w:r>
              <w:rPr>
                <w:rFonts w:ascii="Bookman Old Style" w:hAnsi="Bookman Old Style"/>
                <w:color w:val="000000"/>
                <w:sz w:val="20"/>
                <w:szCs w:val="20"/>
              </w:rPr>
              <w:t>.</w:t>
            </w:r>
            <w:r w:rsidRPr="00705514">
              <w:rPr>
                <w:rFonts w:ascii="Bookman Old Style" w:hAnsi="Bookman Old Style"/>
                <w:color w:val="000000"/>
                <w:sz w:val="20"/>
                <w:szCs w:val="20"/>
              </w:rPr>
              <w:t>326</w:t>
            </w:r>
          </w:p>
        </w:tc>
        <w:tc>
          <w:tcPr>
            <w:tcW w:w="1157"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736</w:t>
            </w:r>
            <w:r>
              <w:rPr>
                <w:rFonts w:ascii="Bookman Old Style" w:hAnsi="Bookman Old Style"/>
                <w:color w:val="000000"/>
                <w:sz w:val="20"/>
                <w:szCs w:val="20"/>
              </w:rPr>
              <w:t>.</w:t>
            </w:r>
            <w:r w:rsidRPr="00705514">
              <w:rPr>
                <w:rFonts w:ascii="Bookman Old Style" w:hAnsi="Bookman Old Style"/>
                <w:color w:val="000000"/>
                <w:sz w:val="20"/>
                <w:szCs w:val="20"/>
              </w:rPr>
              <w:t>931</w:t>
            </w:r>
          </w:p>
        </w:tc>
      </w:tr>
      <w:tr w:rsidR="00705514" w:rsidRPr="003A09AA" w:rsidTr="00705514">
        <w:trPr>
          <w:trHeight w:val="315"/>
        </w:trPr>
        <w:tc>
          <w:tcPr>
            <w:tcW w:w="1231" w:type="pct"/>
            <w:tcBorders>
              <w:top w:val="nil"/>
              <w:left w:val="single" w:sz="8" w:space="0" w:color="auto"/>
              <w:bottom w:val="single" w:sz="8" w:space="0" w:color="auto"/>
              <w:right w:val="single" w:sz="8" w:space="0" w:color="000000"/>
            </w:tcBorders>
            <w:shd w:val="clear" w:color="auto" w:fill="auto"/>
            <w:hideMark/>
          </w:tcPr>
          <w:p w:rsidR="00705514" w:rsidRPr="003A09AA" w:rsidRDefault="00705514" w:rsidP="00705514">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394722D3" wp14:editId="790FDC02">
                  <wp:extent cx="841375" cy="153670"/>
                  <wp:effectExtent l="0" t="0" r="0" b="0"/>
                  <wp:docPr id="6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1375" cy="153670"/>
                          </a:xfrm>
                          <a:prstGeom prst="rect">
                            <a:avLst/>
                          </a:prstGeom>
                          <a:noFill/>
                          <a:ln>
                            <a:noFill/>
                          </a:ln>
                        </pic:spPr>
                      </pic:pic>
                    </a:graphicData>
                  </a:graphic>
                </wp:inline>
              </w:drawing>
            </w:r>
          </w:p>
        </w:tc>
        <w:tc>
          <w:tcPr>
            <w:tcW w:w="1344" w:type="pct"/>
            <w:tcBorders>
              <w:top w:val="nil"/>
              <w:left w:val="single" w:sz="4" w:space="0" w:color="auto"/>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665</w:t>
            </w:r>
            <w:r>
              <w:rPr>
                <w:rFonts w:ascii="Bookman Old Style" w:hAnsi="Bookman Old Style"/>
                <w:color w:val="000000"/>
                <w:sz w:val="20"/>
                <w:szCs w:val="20"/>
              </w:rPr>
              <w:t>.</w:t>
            </w:r>
            <w:r w:rsidRPr="00705514">
              <w:rPr>
                <w:rFonts w:ascii="Bookman Old Style" w:hAnsi="Bookman Old Style"/>
                <w:color w:val="000000"/>
                <w:sz w:val="20"/>
                <w:szCs w:val="20"/>
              </w:rPr>
              <w:t>769</w:t>
            </w:r>
          </w:p>
        </w:tc>
        <w:tc>
          <w:tcPr>
            <w:tcW w:w="1268"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655</w:t>
            </w:r>
            <w:r>
              <w:rPr>
                <w:rFonts w:ascii="Bookman Old Style" w:hAnsi="Bookman Old Style"/>
                <w:color w:val="000000"/>
                <w:sz w:val="20"/>
                <w:szCs w:val="20"/>
              </w:rPr>
              <w:t>.</w:t>
            </w:r>
            <w:r w:rsidRPr="00705514">
              <w:rPr>
                <w:rFonts w:ascii="Bookman Old Style" w:hAnsi="Bookman Old Style"/>
                <w:color w:val="000000"/>
                <w:sz w:val="20"/>
                <w:szCs w:val="20"/>
              </w:rPr>
              <w:t>822</w:t>
            </w:r>
          </w:p>
        </w:tc>
        <w:tc>
          <w:tcPr>
            <w:tcW w:w="1157" w:type="pct"/>
            <w:tcBorders>
              <w:top w:val="nil"/>
              <w:left w:val="nil"/>
              <w:bottom w:val="single" w:sz="4" w:space="0" w:color="auto"/>
              <w:right w:val="single" w:sz="4" w:space="0" w:color="auto"/>
            </w:tcBorders>
            <w:shd w:val="clear" w:color="auto" w:fill="auto"/>
            <w:vAlign w:val="center"/>
          </w:tcPr>
          <w:p w:rsidR="00705514" w:rsidRPr="00705514" w:rsidRDefault="00705514" w:rsidP="00705514">
            <w:pPr>
              <w:jc w:val="right"/>
              <w:rPr>
                <w:rFonts w:ascii="Bookman Old Style" w:hAnsi="Bookman Old Style"/>
                <w:color w:val="000000"/>
                <w:sz w:val="20"/>
                <w:szCs w:val="20"/>
              </w:rPr>
            </w:pPr>
            <w:r w:rsidRPr="00705514">
              <w:rPr>
                <w:rFonts w:ascii="Bookman Old Style" w:hAnsi="Bookman Old Style"/>
                <w:color w:val="000000"/>
                <w:sz w:val="20"/>
                <w:szCs w:val="20"/>
              </w:rPr>
              <w:t>728</w:t>
            </w:r>
            <w:r>
              <w:rPr>
                <w:rFonts w:ascii="Bookman Old Style" w:hAnsi="Bookman Old Style"/>
                <w:color w:val="000000"/>
                <w:sz w:val="20"/>
                <w:szCs w:val="20"/>
              </w:rPr>
              <w:t>.</w:t>
            </w:r>
            <w:r w:rsidRPr="00705514">
              <w:rPr>
                <w:rFonts w:ascii="Bookman Old Style" w:hAnsi="Bookman Old Style"/>
                <w:color w:val="000000"/>
                <w:sz w:val="20"/>
                <w:szCs w:val="20"/>
              </w:rPr>
              <w:t>529</w:t>
            </w:r>
          </w:p>
        </w:tc>
      </w:tr>
    </w:tbl>
    <w:p w:rsidR="00634642" w:rsidRPr="007B0D3E" w:rsidRDefault="00634642" w:rsidP="00634642">
      <w:pPr>
        <w:widowControl w:val="0"/>
        <w:adjustRightInd w:val="0"/>
        <w:ind w:left="0" w:right="20"/>
        <w:jc w:val="both"/>
        <w:rPr>
          <w:rFonts w:ascii="Bookman Old Style" w:hAnsi="Bookman Old Style" w:cs="Arial"/>
          <w:sz w:val="16"/>
        </w:rPr>
      </w:pPr>
      <w:r w:rsidRPr="007B0D3E">
        <w:rPr>
          <w:rFonts w:ascii="Bookman Old Style" w:hAnsi="Bookman Old Style" w:cs="Arial"/>
          <w:sz w:val="16"/>
        </w:rPr>
        <w:t xml:space="preserve">Cifras en pesos del 31 de </w:t>
      </w:r>
      <w:r w:rsidR="00BC4ED4">
        <w:rPr>
          <w:rFonts w:ascii="Bookman Old Style" w:hAnsi="Bookman Old Style" w:cs="Arial"/>
          <w:sz w:val="16"/>
        </w:rPr>
        <w:t>d</w:t>
      </w:r>
      <w:r w:rsidRPr="007B0D3E">
        <w:rPr>
          <w:rFonts w:ascii="Bookman Old Style" w:hAnsi="Bookman Old Style" w:cs="Arial"/>
          <w:sz w:val="16"/>
        </w:rPr>
        <w:t>iciembre de 201</w:t>
      </w:r>
      <w:r w:rsidR="00C72BA5">
        <w:rPr>
          <w:rFonts w:ascii="Bookman Old Style" w:hAnsi="Bookman Old Style" w:cs="Arial"/>
          <w:sz w:val="16"/>
        </w:rPr>
        <w:t>6</w:t>
      </w:r>
      <w:r w:rsidRPr="007B0D3E">
        <w:rPr>
          <w:rFonts w:ascii="Bookman Old Style" w:hAnsi="Bookman Old Style" w:cs="Arial"/>
          <w:sz w:val="16"/>
        </w:rPr>
        <w:t>.</w:t>
      </w:r>
    </w:p>
    <w:p w:rsidR="007A439E" w:rsidRPr="007A439E" w:rsidRDefault="007A439E" w:rsidP="00341E8F">
      <w:pPr>
        <w:widowControl w:val="0"/>
        <w:adjustRightInd w:val="0"/>
        <w:ind w:left="0" w:right="20"/>
        <w:jc w:val="center"/>
        <w:rPr>
          <w:rFonts w:ascii="Bookman Old Style" w:hAnsi="Bookman Old Style" w:cs="Arial"/>
        </w:rPr>
      </w:pPr>
    </w:p>
    <w:p w:rsidR="001870B7" w:rsidRDefault="001870B7" w:rsidP="00CE2259">
      <w:pPr>
        <w:widowControl w:val="0"/>
        <w:adjustRightInd w:val="0"/>
        <w:ind w:left="0" w:right="20"/>
        <w:jc w:val="both"/>
        <w:rPr>
          <w:rFonts w:ascii="Bookman Old Style" w:hAnsi="Bookman Old Style" w:cs="Arial"/>
          <w:b/>
        </w:rPr>
      </w:pPr>
    </w:p>
    <w:p w:rsidR="001870B7" w:rsidRDefault="001870B7" w:rsidP="001870B7">
      <w:pPr>
        <w:ind w:left="0"/>
        <w:jc w:val="center"/>
        <w:rPr>
          <w:rFonts w:ascii="Bookman Old Style" w:hAnsi="Bookman Old Style" w:cs="Arial"/>
          <w:b/>
          <w:spacing w:val="80"/>
        </w:rPr>
      </w:pPr>
      <w:r w:rsidRPr="001954E9">
        <w:rPr>
          <w:rFonts w:ascii="Bookman Old Style" w:hAnsi="Bookman Old Style" w:cs="Arial"/>
          <w:b/>
          <w:spacing w:val="80"/>
        </w:rPr>
        <w:t>CAPÍTULOI.</w:t>
      </w:r>
    </w:p>
    <w:p w:rsidR="001870B7" w:rsidRPr="001954E9" w:rsidRDefault="001870B7" w:rsidP="001870B7">
      <w:pPr>
        <w:ind w:left="0"/>
        <w:jc w:val="center"/>
        <w:rPr>
          <w:rFonts w:ascii="Bookman Old Style" w:hAnsi="Bookman Old Style" w:cs="Arial"/>
          <w:b/>
          <w:spacing w:val="80"/>
        </w:rPr>
      </w:pPr>
    </w:p>
    <w:p w:rsidR="001870B7" w:rsidRPr="001954E9" w:rsidRDefault="001870B7" w:rsidP="001870B7">
      <w:pPr>
        <w:ind w:left="0"/>
        <w:jc w:val="center"/>
        <w:rPr>
          <w:rFonts w:ascii="Bookman Old Style" w:hAnsi="Bookman Old Style" w:cs="Arial"/>
          <w:b/>
          <w:spacing w:val="80"/>
        </w:rPr>
      </w:pPr>
      <w:r w:rsidRPr="001954E9">
        <w:rPr>
          <w:rFonts w:ascii="Bookman Old Style" w:hAnsi="Bookman Old Style" w:cs="Arial"/>
          <w:b/>
          <w:spacing w:val="80"/>
        </w:rPr>
        <w:t xml:space="preserve"> </w:t>
      </w:r>
      <w:r>
        <w:rPr>
          <w:rFonts w:ascii="Bookman Old Style" w:hAnsi="Bookman Old Style" w:cs="Arial"/>
          <w:b/>
          <w:spacing w:val="80"/>
        </w:rPr>
        <w:t xml:space="preserve">CARGOS DE DISTRIBUCIÓN TRANSITORIOS </w:t>
      </w:r>
    </w:p>
    <w:p w:rsidR="001870B7" w:rsidRDefault="001870B7" w:rsidP="00CE2259">
      <w:pPr>
        <w:widowControl w:val="0"/>
        <w:adjustRightInd w:val="0"/>
        <w:ind w:left="0" w:right="20"/>
        <w:jc w:val="both"/>
        <w:rPr>
          <w:rFonts w:ascii="Bookman Old Style" w:hAnsi="Bookman Old Style" w:cs="Arial"/>
          <w:b/>
        </w:rPr>
      </w:pPr>
    </w:p>
    <w:p w:rsidR="00CE2259" w:rsidRDefault="00CE2259" w:rsidP="00CE2259">
      <w:pPr>
        <w:widowControl w:val="0"/>
        <w:adjustRightInd w:val="0"/>
        <w:ind w:left="0" w:right="20"/>
        <w:jc w:val="both"/>
        <w:rPr>
          <w:rFonts w:ascii="Bookman Old Style" w:hAnsi="Bookman Old Style" w:cs="Arial"/>
        </w:rPr>
      </w:pPr>
      <w:r w:rsidRPr="001954E9">
        <w:rPr>
          <w:rFonts w:ascii="Bookman Old Style" w:hAnsi="Bookman Old Style" w:cs="Arial"/>
          <w:b/>
        </w:rPr>
        <w:t>ARTÍCULO 5. Cargo de distribución aplicable a los usuarios de Uso Residencial.</w:t>
      </w:r>
      <w:r w:rsidRPr="001954E9">
        <w:rPr>
          <w:rFonts w:ascii="Bookman Old Style" w:hAnsi="Bookman Old Style" w:cs="Arial"/>
        </w:rPr>
        <w:t xml:space="preserve"> A partir de la vigencia de la presente Resolución</w:t>
      </w:r>
      <w:r w:rsidR="000C7B34">
        <w:rPr>
          <w:rFonts w:ascii="Bookman Old Style" w:hAnsi="Bookman Old Style" w:cs="Arial"/>
        </w:rPr>
        <w:t>.</w:t>
      </w:r>
      <w:r w:rsidRPr="001954E9">
        <w:rPr>
          <w:rFonts w:ascii="Bookman Old Style" w:hAnsi="Bookman Old Style" w:cs="Arial"/>
        </w:rPr>
        <w:t xml:space="preserve"> el cargo de distribución aplicable a los usuarios de uso residencial aplicable en el Mercado Relevante definido en el artículo 1°</w:t>
      </w:r>
      <w:r w:rsidR="000C7B34">
        <w:rPr>
          <w:rFonts w:ascii="Bookman Old Style" w:hAnsi="Bookman Old Style" w:cs="Arial"/>
        </w:rPr>
        <w:t>.</w:t>
      </w:r>
      <w:r w:rsidRPr="001954E9">
        <w:rPr>
          <w:rFonts w:ascii="Bookman Old Style" w:hAnsi="Bookman Old Style" w:cs="Arial"/>
        </w:rPr>
        <w:t xml:space="preserve"> para recuperar los costos de inversión y los gastos de AOM para la distribución domiciliaria de gas combustible por red se fija </w:t>
      </w:r>
      <w:r>
        <w:rPr>
          <w:rFonts w:ascii="Bookman Old Style" w:hAnsi="Bookman Old Style" w:cs="Arial"/>
        </w:rPr>
        <w:t xml:space="preserve">transitoriamente </w:t>
      </w:r>
      <w:r w:rsidRPr="001954E9">
        <w:rPr>
          <w:rFonts w:ascii="Bookman Old Style" w:hAnsi="Bookman Old Style" w:cs="Arial"/>
        </w:rPr>
        <w:t>de la siguiente manera:</w:t>
      </w:r>
    </w:p>
    <w:p w:rsidR="007A439E" w:rsidRPr="001954E9" w:rsidRDefault="007A439E" w:rsidP="00CE2259">
      <w:pPr>
        <w:widowControl w:val="0"/>
        <w:adjustRightInd w:val="0"/>
        <w:ind w:left="0" w:right="20"/>
        <w:jc w:val="both"/>
        <w:rPr>
          <w:rFonts w:ascii="Bookman Old Style" w:hAnsi="Bookman Old Style" w:cs="Arial"/>
        </w:rPr>
      </w:pPr>
    </w:p>
    <w:p w:rsidR="0083352E" w:rsidRDefault="0083352E" w:rsidP="00CE2259">
      <w:pPr>
        <w:widowControl w:val="0"/>
        <w:adjustRightInd w:val="0"/>
        <w:ind w:left="0" w:right="20"/>
        <w:jc w:val="both"/>
        <w:rPr>
          <w:rFonts w:ascii="Bookman Old Style" w:hAnsi="Bookman Old Style" w:cs="Arial"/>
          <w:sz w:val="16"/>
          <w:lang w:val="x-none" w:eastAsia="x-none"/>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850"/>
        <w:gridCol w:w="1560"/>
        <w:gridCol w:w="1559"/>
        <w:gridCol w:w="1771"/>
      </w:tblGrid>
      <w:tr w:rsidR="009C510C" w:rsidRPr="009C510C" w:rsidTr="0015744C">
        <w:trPr>
          <w:trHeight w:val="330"/>
          <w:jc w:val="center"/>
        </w:trPr>
        <w:tc>
          <w:tcPr>
            <w:tcW w:w="9426" w:type="dxa"/>
            <w:gridSpan w:val="5"/>
            <w:shd w:val="clear" w:color="000000" w:fill="BFBFBF"/>
            <w:noWrap/>
            <w:vAlign w:val="center"/>
            <w:hideMark/>
          </w:tcPr>
          <w:p w:rsidR="009C510C" w:rsidRPr="009C510C" w:rsidRDefault="009C510C" w:rsidP="009C510C">
            <w:pPr>
              <w:ind w:left="0"/>
              <w:jc w:val="center"/>
              <w:rPr>
                <w:rFonts w:ascii="Bookman Old Style" w:hAnsi="Bookman Old Style"/>
                <w:b/>
                <w:bCs/>
                <w:color w:val="000000"/>
                <w:lang w:val="es-CO" w:eastAsia="es-CO"/>
              </w:rPr>
            </w:pPr>
            <w:r w:rsidRPr="009C510C">
              <w:rPr>
                <w:rFonts w:ascii="Bookman Old Style" w:hAnsi="Bookman Old Style" w:cs="Arial"/>
                <w:b/>
                <w:bCs/>
                <w:color w:val="000000"/>
                <w:lang w:eastAsia="es-CO"/>
              </w:rPr>
              <w:t>Usuarios de Uso Residencial.</w:t>
            </w:r>
          </w:p>
        </w:tc>
      </w:tr>
      <w:tr w:rsidR="009C510C" w:rsidRPr="009C510C" w:rsidTr="0015744C">
        <w:trPr>
          <w:trHeight w:val="349"/>
          <w:jc w:val="center"/>
        </w:trPr>
        <w:tc>
          <w:tcPr>
            <w:tcW w:w="3686" w:type="dxa"/>
            <w:shd w:val="clear" w:color="000000" w:fill="BFBFBF"/>
            <w:noWrap/>
            <w:vAlign w:val="center"/>
            <w:hideMark/>
          </w:tcPr>
          <w:p w:rsidR="009C510C" w:rsidRPr="009C510C" w:rsidRDefault="009C510C" w:rsidP="009C510C">
            <w:pPr>
              <w:ind w:left="0"/>
              <w:jc w:val="center"/>
              <w:rPr>
                <w:rFonts w:ascii="Bookman Old Style" w:hAnsi="Bookman Old Style"/>
                <w:b/>
                <w:bCs/>
                <w:color w:val="000000"/>
                <w:sz w:val="22"/>
                <w:szCs w:val="22"/>
                <w:lang w:val="es-CO" w:eastAsia="es-CO"/>
              </w:rPr>
            </w:pPr>
            <w:r w:rsidRPr="009C510C">
              <w:rPr>
                <w:rFonts w:ascii="Bookman Old Style" w:hAnsi="Bookman Old Style"/>
                <w:b/>
                <w:bCs/>
                <w:color w:val="000000"/>
                <w:sz w:val="22"/>
                <w:szCs w:val="22"/>
                <w:lang w:val="es-ES_tradnl" w:eastAsia="es-CO"/>
              </w:rPr>
              <w:t>Componente</w:t>
            </w:r>
          </w:p>
        </w:tc>
        <w:tc>
          <w:tcPr>
            <w:tcW w:w="850" w:type="dxa"/>
            <w:shd w:val="clear" w:color="000000" w:fill="BFBFBF"/>
            <w:vAlign w:val="center"/>
            <w:hideMark/>
          </w:tcPr>
          <w:p w:rsidR="009C510C" w:rsidRPr="009C510C" w:rsidRDefault="009C510C" w:rsidP="009C510C">
            <w:pPr>
              <w:ind w:left="0"/>
              <w:jc w:val="center"/>
              <w:rPr>
                <w:rFonts w:ascii="Bookman Old Style" w:hAnsi="Bookman Old Style"/>
                <w:b/>
                <w:bCs/>
                <w:color w:val="000000"/>
                <w:lang w:val="es-CO" w:eastAsia="es-CO"/>
              </w:rPr>
            </w:pPr>
            <w:r w:rsidRPr="009C510C">
              <w:rPr>
                <w:rFonts w:ascii="Bookman Old Style" w:hAnsi="Bookman Old Style" w:cs="Arial"/>
                <w:b/>
                <w:bCs/>
                <w:color w:val="000000"/>
                <w:lang w:eastAsia="es-CO"/>
              </w:rPr>
              <w:t> </w:t>
            </w:r>
          </w:p>
        </w:tc>
        <w:tc>
          <w:tcPr>
            <w:tcW w:w="1560" w:type="dxa"/>
            <w:shd w:val="clear" w:color="000000" w:fill="BFBFBF"/>
            <w:vAlign w:val="center"/>
            <w:hideMark/>
          </w:tcPr>
          <w:p w:rsidR="009C510C" w:rsidRPr="009C510C" w:rsidRDefault="009C510C" w:rsidP="009C510C">
            <w:pPr>
              <w:ind w:left="0"/>
              <w:jc w:val="center"/>
              <w:rPr>
                <w:rFonts w:ascii="Bookman Old Style" w:hAnsi="Bookman Old Style"/>
                <w:b/>
                <w:bCs/>
                <w:color w:val="000000"/>
                <w:sz w:val="22"/>
                <w:szCs w:val="22"/>
                <w:lang w:val="es-CO" w:eastAsia="es-CO"/>
              </w:rPr>
            </w:pPr>
            <w:r w:rsidRPr="009C510C">
              <w:rPr>
                <w:rFonts w:ascii="Bookman Old Style" w:hAnsi="Bookman Old Style"/>
                <w:b/>
                <w:bCs/>
                <w:color w:val="000000"/>
                <w:sz w:val="22"/>
                <w:szCs w:val="22"/>
                <w:lang w:eastAsia="es-CO"/>
              </w:rPr>
              <w:t>2017</w:t>
            </w:r>
          </w:p>
        </w:tc>
        <w:tc>
          <w:tcPr>
            <w:tcW w:w="1559" w:type="dxa"/>
            <w:shd w:val="clear" w:color="000000" w:fill="BFBFBF"/>
            <w:vAlign w:val="center"/>
            <w:hideMark/>
          </w:tcPr>
          <w:p w:rsidR="009C510C" w:rsidRPr="009C510C" w:rsidRDefault="009C510C" w:rsidP="009C510C">
            <w:pPr>
              <w:ind w:left="0"/>
              <w:jc w:val="center"/>
              <w:rPr>
                <w:rFonts w:ascii="Bookman Old Style" w:hAnsi="Bookman Old Style"/>
                <w:b/>
                <w:bCs/>
                <w:color w:val="000000"/>
                <w:sz w:val="22"/>
                <w:szCs w:val="22"/>
                <w:lang w:val="es-CO" w:eastAsia="es-CO"/>
              </w:rPr>
            </w:pPr>
            <w:r w:rsidRPr="009C510C">
              <w:rPr>
                <w:rFonts w:ascii="Bookman Old Style" w:hAnsi="Bookman Old Style"/>
                <w:b/>
                <w:bCs/>
                <w:color w:val="000000"/>
                <w:sz w:val="22"/>
                <w:szCs w:val="22"/>
                <w:lang w:eastAsia="es-CO"/>
              </w:rPr>
              <w:t>2018</w:t>
            </w:r>
          </w:p>
        </w:tc>
        <w:tc>
          <w:tcPr>
            <w:tcW w:w="1771" w:type="dxa"/>
            <w:shd w:val="clear" w:color="000000" w:fill="BFBFBF"/>
            <w:vAlign w:val="center"/>
            <w:hideMark/>
          </w:tcPr>
          <w:p w:rsidR="009C510C" w:rsidRPr="009C510C" w:rsidRDefault="009C510C" w:rsidP="009C510C">
            <w:pPr>
              <w:ind w:left="0"/>
              <w:jc w:val="center"/>
              <w:rPr>
                <w:rFonts w:ascii="Bookman Old Style" w:hAnsi="Bookman Old Style"/>
                <w:b/>
                <w:bCs/>
                <w:color w:val="000000"/>
                <w:sz w:val="22"/>
                <w:szCs w:val="22"/>
                <w:lang w:val="es-CO" w:eastAsia="es-CO"/>
              </w:rPr>
            </w:pPr>
            <w:r w:rsidRPr="009C510C">
              <w:rPr>
                <w:rFonts w:ascii="Bookman Old Style" w:hAnsi="Bookman Old Style" w:cs="Arial"/>
                <w:b/>
                <w:bCs/>
                <w:color w:val="000000"/>
                <w:sz w:val="22"/>
                <w:szCs w:val="22"/>
                <w:lang w:eastAsia="es-CO"/>
              </w:rPr>
              <w:t>2019-2020-2021</w:t>
            </w:r>
          </w:p>
        </w:tc>
      </w:tr>
      <w:tr w:rsidR="0090056A" w:rsidRPr="009C510C" w:rsidTr="00D16787">
        <w:trPr>
          <w:trHeight w:val="600"/>
          <w:jc w:val="center"/>
        </w:trPr>
        <w:tc>
          <w:tcPr>
            <w:tcW w:w="3686" w:type="dxa"/>
            <w:shd w:val="clear" w:color="auto" w:fill="auto"/>
            <w:noWrap/>
            <w:vAlign w:val="center"/>
          </w:tcPr>
          <w:p w:rsidR="0090056A" w:rsidRPr="009C510C" w:rsidRDefault="0090056A" w:rsidP="0090056A">
            <w:pPr>
              <w:ind w:left="0"/>
              <w:rPr>
                <w:rFonts w:ascii="Bookman Old Style" w:hAnsi="Bookman Old Style"/>
                <w:b/>
                <w:bCs/>
                <w:color w:val="000000"/>
                <w:sz w:val="20"/>
                <w:szCs w:val="20"/>
                <w:lang w:val="es-CO" w:eastAsia="es-CO"/>
              </w:rPr>
            </w:pPr>
            <w:r w:rsidRPr="009C510C">
              <w:rPr>
                <w:rFonts w:ascii="Bookman Old Style" w:hAnsi="Bookman Old Style"/>
                <w:b/>
                <w:bCs/>
                <w:color w:val="000000"/>
                <w:sz w:val="20"/>
                <w:szCs w:val="20"/>
                <w:lang w:val="es-ES_tradnl" w:eastAsia="es-CO"/>
              </w:rPr>
              <w:t>Cargo de distribución Total</w:t>
            </w:r>
          </w:p>
        </w:tc>
        <w:tc>
          <w:tcPr>
            <w:tcW w:w="850" w:type="dxa"/>
            <w:shd w:val="clear" w:color="auto" w:fill="auto"/>
            <w:vAlign w:val="center"/>
            <w:hideMark/>
          </w:tcPr>
          <w:p w:rsidR="0090056A" w:rsidRPr="009C510C" w:rsidRDefault="0090056A" w:rsidP="0090056A">
            <w:pPr>
              <w:ind w:left="0"/>
              <w:jc w:val="center"/>
              <w:rPr>
                <w:rFonts w:ascii="Bookman Old Style" w:hAnsi="Bookman Old Style"/>
                <w:b/>
                <w:bCs/>
                <w:color w:val="000000"/>
                <w:sz w:val="20"/>
                <w:szCs w:val="20"/>
                <w:lang w:val="es-CO" w:eastAsia="es-CO"/>
              </w:rPr>
            </w:pPr>
            <w:r w:rsidRPr="009C510C">
              <w:rPr>
                <w:rFonts w:ascii="Bookman Old Style" w:hAnsi="Bookman Old Style"/>
                <w:b/>
                <w:bCs/>
                <w:color w:val="000000"/>
                <w:sz w:val="20"/>
                <w:szCs w:val="20"/>
                <w:lang w:val="es-ES_tradnl" w:eastAsia="es-CO"/>
              </w:rPr>
              <w:t>$/m</w:t>
            </w:r>
            <w:r w:rsidRPr="009C510C">
              <w:rPr>
                <w:rFonts w:ascii="Bookman Old Style" w:hAnsi="Bookman Old Style"/>
                <w:b/>
                <w:bCs/>
                <w:color w:val="000000"/>
                <w:sz w:val="20"/>
                <w:szCs w:val="20"/>
                <w:vertAlign w:val="superscript"/>
                <w:lang w:val="es-ES_tradnl" w:eastAsia="es-CO"/>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b/>
                <w:color w:val="000000"/>
                <w:sz w:val="20"/>
                <w:szCs w:val="20"/>
              </w:rPr>
            </w:pPr>
            <w:r w:rsidRPr="0090056A">
              <w:rPr>
                <w:rFonts w:ascii="Bookman Old Style" w:hAnsi="Bookman Old Style"/>
                <w:b/>
                <w:color w:val="000000"/>
                <w:sz w:val="20"/>
                <w:szCs w:val="20"/>
              </w:rPr>
              <w:t>2</w:t>
            </w:r>
            <w:r>
              <w:rPr>
                <w:rFonts w:ascii="Bookman Old Style" w:hAnsi="Bookman Old Style"/>
                <w:b/>
                <w:color w:val="000000"/>
                <w:sz w:val="20"/>
                <w:szCs w:val="20"/>
              </w:rPr>
              <w:t>.148,</w:t>
            </w:r>
            <w:r w:rsidRPr="0090056A">
              <w:rPr>
                <w:rFonts w:ascii="Bookman Old Style" w:hAnsi="Bookman Old Style"/>
                <w:b/>
                <w:color w:val="000000"/>
                <w:sz w:val="20"/>
                <w:szCs w:val="20"/>
              </w:rPr>
              <w:t>24</w:t>
            </w:r>
          </w:p>
        </w:tc>
        <w:tc>
          <w:tcPr>
            <w:tcW w:w="1559" w:type="dxa"/>
            <w:tcBorders>
              <w:top w:val="single" w:sz="4" w:space="0" w:color="auto"/>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b/>
                <w:color w:val="000000"/>
                <w:sz w:val="20"/>
                <w:szCs w:val="20"/>
              </w:rPr>
            </w:pPr>
            <w:r w:rsidRPr="0090056A">
              <w:rPr>
                <w:rFonts w:ascii="Bookman Old Style" w:hAnsi="Bookman Old Style"/>
                <w:b/>
                <w:color w:val="000000"/>
                <w:sz w:val="20"/>
                <w:szCs w:val="20"/>
              </w:rPr>
              <w:t>2</w:t>
            </w:r>
            <w:r>
              <w:rPr>
                <w:rFonts w:ascii="Bookman Old Style" w:hAnsi="Bookman Old Style"/>
                <w:b/>
                <w:color w:val="000000"/>
                <w:sz w:val="20"/>
                <w:szCs w:val="20"/>
              </w:rPr>
              <w:t>.173,</w:t>
            </w:r>
            <w:r w:rsidRPr="0090056A">
              <w:rPr>
                <w:rFonts w:ascii="Bookman Old Style" w:hAnsi="Bookman Old Style"/>
                <w:b/>
                <w:color w:val="000000"/>
                <w:sz w:val="20"/>
                <w:szCs w:val="20"/>
              </w:rPr>
              <w:t>09</w:t>
            </w:r>
          </w:p>
        </w:tc>
        <w:tc>
          <w:tcPr>
            <w:tcW w:w="1771" w:type="dxa"/>
            <w:tcBorders>
              <w:top w:val="single" w:sz="4" w:space="0" w:color="auto"/>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b/>
                <w:color w:val="000000"/>
                <w:sz w:val="20"/>
                <w:szCs w:val="20"/>
              </w:rPr>
            </w:pPr>
            <w:r w:rsidRPr="0090056A">
              <w:rPr>
                <w:rFonts w:ascii="Bookman Old Style" w:hAnsi="Bookman Old Style"/>
                <w:b/>
                <w:color w:val="000000"/>
                <w:sz w:val="20"/>
                <w:szCs w:val="20"/>
              </w:rPr>
              <w:t>2</w:t>
            </w:r>
            <w:r>
              <w:rPr>
                <w:rFonts w:ascii="Bookman Old Style" w:hAnsi="Bookman Old Style"/>
                <w:b/>
                <w:color w:val="000000"/>
                <w:sz w:val="20"/>
                <w:szCs w:val="20"/>
              </w:rPr>
              <w:t>.005,</w:t>
            </w:r>
            <w:r w:rsidRPr="0090056A">
              <w:rPr>
                <w:rFonts w:ascii="Bookman Old Style" w:hAnsi="Bookman Old Style"/>
                <w:b/>
                <w:color w:val="000000"/>
                <w:sz w:val="20"/>
                <w:szCs w:val="20"/>
              </w:rPr>
              <w:t>28</w:t>
            </w:r>
          </w:p>
        </w:tc>
      </w:tr>
      <w:tr w:rsidR="0090056A" w:rsidRPr="009C510C" w:rsidTr="00D16787">
        <w:trPr>
          <w:trHeight w:val="345"/>
          <w:jc w:val="center"/>
        </w:trPr>
        <w:tc>
          <w:tcPr>
            <w:tcW w:w="3686" w:type="dxa"/>
            <w:shd w:val="clear" w:color="auto" w:fill="auto"/>
            <w:noWrap/>
            <w:vAlign w:val="bottom"/>
            <w:hideMark/>
          </w:tcPr>
          <w:p w:rsidR="0090056A" w:rsidRPr="009C510C" w:rsidRDefault="0090056A" w:rsidP="0090056A">
            <w:pPr>
              <w:ind w:left="0"/>
              <w:rPr>
                <w:rFonts w:ascii="Bookman Old Style" w:hAnsi="Bookman Old Style"/>
                <w:color w:val="000000"/>
                <w:sz w:val="22"/>
                <w:szCs w:val="22"/>
                <w:lang w:val="es-CO" w:eastAsia="es-CO"/>
              </w:rPr>
            </w:pPr>
            <w:r w:rsidRPr="009C510C">
              <w:rPr>
                <w:rFonts w:ascii="Bookman Old Style" w:hAnsi="Bookman Old Style"/>
                <w:color w:val="000000"/>
                <w:sz w:val="22"/>
                <w:szCs w:val="22"/>
                <w:lang w:val="es-CO" w:eastAsia="es-CO"/>
              </w:rPr>
              <w:t xml:space="preserve">Componente de inversión pagada con recursos </w:t>
            </w:r>
            <w:r>
              <w:rPr>
                <w:rFonts w:ascii="Bookman Old Style" w:hAnsi="Bookman Old Style"/>
                <w:color w:val="000000"/>
                <w:sz w:val="22"/>
                <w:szCs w:val="22"/>
                <w:lang w:val="es-CO" w:eastAsia="es-CO"/>
              </w:rPr>
              <w:t>públicos.</w:t>
            </w:r>
          </w:p>
        </w:tc>
        <w:tc>
          <w:tcPr>
            <w:tcW w:w="850" w:type="dxa"/>
            <w:shd w:val="clear" w:color="auto" w:fill="auto"/>
            <w:vAlign w:val="center"/>
            <w:hideMark/>
          </w:tcPr>
          <w:p w:rsidR="0090056A" w:rsidRPr="009C510C" w:rsidRDefault="0090056A" w:rsidP="0090056A">
            <w:pPr>
              <w:ind w:left="0"/>
              <w:jc w:val="center"/>
              <w:rPr>
                <w:rFonts w:ascii="Bookman Old Style" w:hAnsi="Bookman Old Style"/>
                <w:color w:val="000000"/>
                <w:sz w:val="20"/>
                <w:szCs w:val="20"/>
                <w:lang w:val="es-CO" w:eastAsia="es-CO"/>
              </w:rPr>
            </w:pPr>
            <w:r w:rsidRPr="009C510C">
              <w:rPr>
                <w:rFonts w:ascii="Bookman Old Style" w:hAnsi="Bookman Old Style"/>
                <w:color w:val="000000"/>
                <w:sz w:val="20"/>
                <w:szCs w:val="20"/>
                <w:lang w:val="es-ES_tradnl" w:eastAsia="es-CO"/>
              </w:rPr>
              <w:t>$/m</w:t>
            </w:r>
            <w:r w:rsidRPr="009C510C">
              <w:rPr>
                <w:rFonts w:ascii="Bookman Old Style" w:hAnsi="Bookman Old Style"/>
                <w:color w:val="000000"/>
                <w:sz w:val="20"/>
                <w:szCs w:val="20"/>
                <w:vertAlign w:val="superscript"/>
                <w:lang w:val="es-ES_tradnl" w:eastAsia="es-CO"/>
              </w:rPr>
              <w:t>3</w:t>
            </w:r>
          </w:p>
        </w:tc>
        <w:tc>
          <w:tcPr>
            <w:tcW w:w="1560" w:type="dxa"/>
            <w:tcBorders>
              <w:top w:val="nil"/>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sidRPr="0090056A">
              <w:rPr>
                <w:rFonts w:ascii="Bookman Old Style" w:hAnsi="Bookman Old Style"/>
                <w:color w:val="000000"/>
                <w:sz w:val="20"/>
                <w:szCs w:val="20"/>
              </w:rPr>
              <w:t>1</w:t>
            </w:r>
            <w:r>
              <w:rPr>
                <w:rFonts w:ascii="Bookman Old Style" w:hAnsi="Bookman Old Style"/>
                <w:color w:val="000000"/>
                <w:sz w:val="20"/>
                <w:szCs w:val="20"/>
              </w:rPr>
              <w:t>.465,</w:t>
            </w:r>
            <w:r w:rsidRPr="0090056A">
              <w:rPr>
                <w:rFonts w:ascii="Bookman Old Style" w:hAnsi="Bookman Old Style"/>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sidRPr="0090056A">
              <w:rPr>
                <w:rFonts w:ascii="Bookman Old Style" w:hAnsi="Bookman Old Style"/>
                <w:color w:val="000000"/>
                <w:sz w:val="20"/>
                <w:szCs w:val="20"/>
              </w:rPr>
              <w:t>1</w:t>
            </w:r>
            <w:r>
              <w:rPr>
                <w:rFonts w:ascii="Bookman Old Style" w:hAnsi="Bookman Old Style"/>
                <w:color w:val="000000"/>
                <w:sz w:val="20"/>
                <w:szCs w:val="20"/>
              </w:rPr>
              <w:t>.484,</w:t>
            </w:r>
            <w:r w:rsidRPr="0090056A">
              <w:rPr>
                <w:rFonts w:ascii="Bookman Old Style" w:hAnsi="Bookman Old Style"/>
                <w:color w:val="000000"/>
                <w:sz w:val="20"/>
                <w:szCs w:val="20"/>
              </w:rPr>
              <w:t>01</w:t>
            </w:r>
          </w:p>
        </w:tc>
        <w:tc>
          <w:tcPr>
            <w:tcW w:w="1771"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sidRPr="0090056A">
              <w:rPr>
                <w:rFonts w:ascii="Bookman Old Style" w:hAnsi="Bookman Old Style"/>
                <w:color w:val="000000"/>
                <w:sz w:val="20"/>
                <w:szCs w:val="20"/>
              </w:rPr>
              <w:t>1</w:t>
            </w:r>
            <w:r>
              <w:rPr>
                <w:rFonts w:ascii="Bookman Old Style" w:hAnsi="Bookman Old Style"/>
                <w:color w:val="000000"/>
                <w:sz w:val="20"/>
                <w:szCs w:val="20"/>
              </w:rPr>
              <w:t>.356,</w:t>
            </w:r>
            <w:r w:rsidRPr="0090056A">
              <w:rPr>
                <w:rFonts w:ascii="Bookman Old Style" w:hAnsi="Bookman Old Style"/>
                <w:color w:val="000000"/>
                <w:sz w:val="20"/>
                <w:szCs w:val="20"/>
              </w:rPr>
              <w:t>69</w:t>
            </w:r>
          </w:p>
        </w:tc>
      </w:tr>
      <w:tr w:rsidR="0090056A" w:rsidRPr="009C510C" w:rsidTr="00D16787">
        <w:trPr>
          <w:trHeight w:val="345"/>
          <w:jc w:val="center"/>
        </w:trPr>
        <w:tc>
          <w:tcPr>
            <w:tcW w:w="3686" w:type="dxa"/>
            <w:shd w:val="clear" w:color="auto" w:fill="auto"/>
            <w:noWrap/>
            <w:vAlign w:val="bottom"/>
          </w:tcPr>
          <w:p w:rsidR="0090056A" w:rsidRPr="009C510C" w:rsidRDefault="0090056A" w:rsidP="0090056A">
            <w:pPr>
              <w:ind w:left="0"/>
              <w:rPr>
                <w:rFonts w:ascii="Bookman Old Style" w:hAnsi="Bookman Old Style"/>
                <w:color w:val="000000"/>
                <w:sz w:val="22"/>
                <w:szCs w:val="22"/>
                <w:lang w:val="es-CO" w:eastAsia="es-CO"/>
              </w:rPr>
            </w:pPr>
            <w:r w:rsidRPr="009C510C">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INGENIERIA Y SERVICIOS S.A. E.S.P.</w:t>
            </w:r>
          </w:p>
        </w:tc>
        <w:tc>
          <w:tcPr>
            <w:tcW w:w="850" w:type="dxa"/>
            <w:shd w:val="clear" w:color="auto" w:fill="auto"/>
            <w:vAlign w:val="center"/>
          </w:tcPr>
          <w:p w:rsidR="0090056A" w:rsidRPr="009C510C" w:rsidRDefault="0090056A" w:rsidP="0090056A">
            <w:pPr>
              <w:ind w:left="0"/>
              <w:jc w:val="center"/>
              <w:rPr>
                <w:rFonts w:ascii="Bookman Old Style" w:hAnsi="Bookman Old Style"/>
                <w:color w:val="000000"/>
                <w:sz w:val="20"/>
                <w:szCs w:val="20"/>
                <w:lang w:val="es-ES_tradnl" w:eastAsia="es-CO"/>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433,</w:t>
            </w:r>
            <w:r w:rsidRPr="0090056A">
              <w:rPr>
                <w:rFonts w:ascii="Bookman Old Style" w:hAnsi="Bookman Old Style"/>
                <w:color w:val="000000"/>
                <w:sz w:val="20"/>
                <w:szCs w:val="20"/>
              </w:rPr>
              <w:t>66</w:t>
            </w:r>
          </w:p>
        </w:tc>
        <w:tc>
          <w:tcPr>
            <w:tcW w:w="1559"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439,</w:t>
            </w:r>
            <w:r w:rsidRPr="0090056A">
              <w:rPr>
                <w:rFonts w:ascii="Bookman Old Style" w:hAnsi="Bookman Old Style"/>
                <w:color w:val="000000"/>
                <w:sz w:val="20"/>
                <w:szCs w:val="20"/>
              </w:rPr>
              <w:t>24</w:t>
            </w:r>
          </w:p>
        </w:tc>
        <w:tc>
          <w:tcPr>
            <w:tcW w:w="1771"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401,</w:t>
            </w:r>
            <w:r w:rsidRPr="0090056A">
              <w:rPr>
                <w:rFonts w:ascii="Bookman Old Style" w:hAnsi="Bookman Old Style"/>
                <w:color w:val="000000"/>
                <w:sz w:val="20"/>
                <w:szCs w:val="20"/>
              </w:rPr>
              <w:t>56</w:t>
            </w:r>
          </w:p>
        </w:tc>
      </w:tr>
      <w:tr w:rsidR="0090056A" w:rsidRPr="009C510C" w:rsidTr="00D16787">
        <w:trPr>
          <w:trHeight w:val="518"/>
          <w:jc w:val="center"/>
        </w:trPr>
        <w:tc>
          <w:tcPr>
            <w:tcW w:w="3686" w:type="dxa"/>
            <w:shd w:val="clear" w:color="auto" w:fill="auto"/>
            <w:noWrap/>
            <w:vAlign w:val="center"/>
            <w:hideMark/>
          </w:tcPr>
          <w:p w:rsidR="0090056A" w:rsidRPr="009C510C" w:rsidRDefault="0090056A" w:rsidP="0090056A">
            <w:pPr>
              <w:ind w:left="0"/>
              <w:rPr>
                <w:rFonts w:ascii="Bookman Old Style" w:hAnsi="Bookman Old Style"/>
                <w:color w:val="000000"/>
                <w:sz w:val="22"/>
                <w:szCs w:val="22"/>
                <w:lang w:val="es-CO" w:eastAsia="es-CO"/>
              </w:rPr>
            </w:pPr>
            <w:r w:rsidRPr="009C510C">
              <w:rPr>
                <w:rFonts w:ascii="Bookman Old Style" w:hAnsi="Bookman Old Style"/>
                <w:color w:val="000000"/>
                <w:sz w:val="22"/>
                <w:szCs w:val="22"/>
                <w:lang w:val="es-CO" w:eastAsia="es-CO"/>
              </w:rPr>
              <w:t>Componente Gastos AOM</w:t>
            </w:r>
          </w:p>
        </w:tc>
        <w:tc>
          <w:tcPr>
            <w:tcW w:w="850" w:type="dxa"/>
            <w:shd w:val="clear" w:color="auto" w:fill="auto"/>
            <w:vAlign w:val="center"/>
            <w:hideMark/>
          </w:tcPr>
          <w:p w:rsidR="0090056A" w:rsidRPr="009C510C" w:rsidRDefault="0090056A" w:rsidP="0090056A">
            <w:pPr>
              <w:ind w:left="0"/>
              <w:jc w:val="center"/>
              <w:rPr>
                <w:rFonts w:ascii="Bookman Old Style" w:hAnsi="Bookman Old Style"/>
                <w:color w:val="000000"/>
                <w:sz w:val="20"/>
                <w:szCs w:val="20"/>
                <w:lang w:val="es-CO" w:eastAsia="es-CO"/>
              </w:rPr>
            </w:pPr>
            <w:r w:rsidRPr="009C510C">
              <w:rPr>
                <w:rFonts w:ascii="Bookman Old Style" w:hAnsi="Bookman Old Style"/>
                <w:color w:val="000000"/>
                <w:sz w:val="20"/>
                <w:szCs w:val="20"/>
                <w:lang w:val="es-ES_tradnl" w:eastAsia="es-CO"/>
              </w:rPr>
              <w:t>$/m</w:t>
            </w:r>
            <w:r w:rsidRPr="009C510C">
              <w:rPr>
                <w:rFonts w:ascii="Bookman Old Style" w:hAnsi="Bookman Old Style"/>
                <w:color w:val="000000"/>
                <w:sz w:val="20"/>
                <w:szCs w:val="20"/>
                <w:vertAlign w:val="superscript"/>
                <w:lang w:val="es-ES_tradnl" w:eastAsia="es-CO"/>
              </w:rPr>
              <w:t>3</w:t>
            </w:r>
          </w:p>
        </w:tc>
        <w:tc>
          <w:tcPr>
            <w:tcW w:w="1560" w:type="dxa"/>
            <w:tcBorders>
              <w:top w:val="nil"/>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249,</w:t>
            </w:r>
            <w:r w:rsidRPr="0090056A">
              <w:rPr>
                <w:rFonts w:ascii="Bookman Old Style" w:hAnsi="Bookman Old Style"/>
                <w:color w:val="000000"/>
                <w:sz w:val="20"/>
                <w:szCs w:val="20"/>
              </w:rPr>
              <w:t>43</w:t>
            </w:r>
          </w:p>
        </w:tc>
        <w:tc>
          <w:tcPr>
            <w:tcW w:w="1559"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249,</w:t>
            </w:r>
            <w:r w:rsidRPr="0090056A">
              <w:rPr>
                <w:rFonts w:ascii="Bookman Old Style" w:hAnsi="Bookman Old Style"/>
                <w:color w:val="000000"/>
                <w:sz w:val="20"/>
                <w:szCs w:val="20"/>
              </w:rPr>
              <w:t>83</w:t>
            </w:r>
          </w:p>
        </w:tc>
        <w:tc>
          <w:tcPr>
            <w:tcW w:w="1771"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247,</w:t>
            </w:r>
            <w:r w:rsidRPr="0090056A">
              <w:rPr>
                <w:rFonts w:ascii="Bookman Old Style" w:hAnsi="Bookman Old Style"/>
                <w:color w:val="000000"/>
                <w:sz w:val="20"/>
                <w:szCs w:val="20"/>
              </w:rPr>
              <w:t>04</w:t>
            </w:r>
          </w:p>
        </w:tc>
      </w:tr>
    </w:tbl>
    <w:p w:rsidR="00CE2259" w:rsidRPr="007B0D3E" w:rsidRDefault="00CE2259" w:rsidP="00CE2259">
      <w:pPr>
        <w:widowControl w:val="0"/>
        <w:adjustRightInd w:val="0"/>
        <w:ind w:left="0" w:right="20"/>
        <w:jc w:val="both"/>
        <w:rPr>
          <w:rFonts w:ascii="Bookman Old Style" w:hAnsi="Bookman Old Style" w:cs="Arial"/>
          <w:b/>
          <w:bCs/>
          <w:sz w:val="22"/>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72BA5">
        <w:rPr>
          <w:rFonts w:ascii="Bookman Old Style" w:hAnsi="Bookman Old Style" w:cs="Arial"/>
          <w:sz w:val="16"/>
          <w:lang w:val="es-CO" w:eastAsia="x-none"/>
        </w:rPr>
        <w:t>6</w:t>
      </w:r>
    </w:p>
    <w:p w:rsidR="00CE2259" w:rsidRDefault="00CE2259" w:rsidP="00CE2259">
      <w:pPr>
        <w:ind w:left="0"/>
        <w:jc w:val="both"/>
        <w:rPr>
          <w:rFonts w:ascii="Bookman Old Style" w:hAnsi="Bookman Old Style" w:cs="Arial"/>
          <w:b/>
          <w:bCs/>
        </w:rPr>
      </w:pPr>
    </w:p>
    <w:p w:rsidR="004333D1" w:rsidRDefault="004333D1" w:rsidP="005B7290">
      <w:pPr>
        <w:widowControl w:val="0"/>
        <w:adjustRightInd w:val="0"/>
        <w:ind w:left="0" w:right="20"/>
        <w:jc w:val="both"/>
        <w:rPr>
          <w:rFonts w:ascii="Bookman Old Style" w:hAnsi="Bookman Old Style" w:cs="Arial"/>
          <w:b/>
          <w:bCs/>
        </w:rPr>
      </w:pPr>
    </w:p>
    <w:p w:rsidR="004333D1" w:rsidRDefault="004333D1" w:rsidP="005B7290">
      <w:pPr>
        <w:widowControl w:val="0"/>
        <w:adjustRightInd w:val="0"/>
        <w:ind w:left="0" w:right="20"/>
        <w:jc w:val="both"/>
        <w:rPr>
          <w:rFonts w:ascii="Bookman Old Style" w:hAnsi="Bookman Old Style" w:cs="Arial"/>
          <w:b/>
          <w:bCs/>
        </w:rPr>
      </w:pPr>
    </w:p>
    <w:p w:rsidR="005B7290" w:rsidRPr="001954E9" w:rsidRDefault="00CE2259" w:rsidP="005B7290">
      <w:pPr>
        <w:widowControl w:val="0"/>
        <w:adjustRightInd w:val="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artículo 12 de la Resolución CREG 202 de 2013</w:t>
      </w:r>
      <w:r w:rsidR="005B7290">
        <w:rPr>
          <w:rFonts w:ascii="Bookman Old Style" w:hAnsi="Bookman Old Style" w:cs="Arial"/>
        </w:rPr>
        <w:t xml:space="preserve"> </w:t>
      </w:r>
      <w:r w:rsidR="005B7290" w:rsidRPr="001954E9">
        <w:rPr>
          <w:rFonts w:ascii="Bookman Old Style" w:hAnsi="Bookman Old Style" w:cs="Arial"/>
        </w:rPr>
        <w:t>y aquellas que la adicionan y modifican</w:t>
      </w:r>
      <w:r w:rsidR="005B7290">
        <w:rPr>
          <w:rFonts w:ascii="Bookman Old Style" w:hAnsi="Bookman Old Style" w:cs="Arial"/>
        </w:rPr>
        <w:t>.</w:t>
      </w:r>
    </w:p>
    <w:p w:rsidR="00CE2259" w:rsidRPr="001954E9" w:rsidRDefault="00CE2259" w:rsidP="00CE2259">
      <w:pPr>
        <w:widowControl w:val="0"/>
        <w:adjustRightInd w:val="0"/>
        <w:ind w:left="0" w:right="20"/>
        <w:jc w:val="both"/>
        <w:rPr>
          <w:rFonts w:ascii="Bookman Old Style" w:hAnsi="Bookman Old Style" w:cs="Arial"/>
        </w:rPr>
      </w:pPr>
    </w:p>
    <w:p w:rsidR="00CE2259" w:rsidRPr="001954E9" w:rsidRDefault="00CE2259" w:rsidP="00CE2259">
      <w:pPr>
        <w:widowControl w:val="0"/>
        <w:adjustRightInd w:val="0"/>
        <w:ind w:left="0" w:right="20"/>
        <w:jc w:val="both"/>
        <w:rPr>
          <w:rFonts w:ascii="Bookman Old Style" w:hAnsi="Bookman Old Style" w:cs="Arial"/>
        </w:rPr>
      </w:pPr>
      <w:r w:rsidRPr="001954E9">
        <w:rPr>
          <w:rFonts w:ascii="Bookman Old Style" w:hAnsi="Bookman Old Style" w:cs="Arial"/>
          <w:b/>
        </w:rPr>
        <w:t>ARTÍCULO 6. Cargo de distribución aplicable a los usuarios diferentes a los de Uso Residencial.</w:t>
      </w:r>
      <w:r w:rsidRPr="001954E9">
        <w:rPr>
          <w:rFonts w:ascii="Bookman Old Style" w:hAnsi="Bookman Old Style" w:cs="Arial"/>
        </w:rPr>
        <w:t xml:space="preserve"> A partir de la vigencia de la presente Resolución</w:t>
      </w:r>
      <w:r w:rsidR="000C7B34">
        <w:rPr>
          <w:rFonts w:ascii="Bookman Old Style" w:hAnsi="Bookman Old Style" w:cs="Arial"/>
        </w:rPr>
        <w:t>.</w:t>
      </w:r>
      <w:r w:rsidRPr="001954E9">
        <w:rPr>
          <w:rFonts w:ascii="Bookman Old Style" w:hAnsi="Bookman Old Style" w:cs="Arial"/>
        </w:rPr>
        <w:t xml:space="preserve"> el cargo de distribución aplicable a los usuarios diferentes a los de uso residencial aplicable en el Mercado Relevante definido en el artículo 1°</w:t>
      </w:r>
      <w:r w:rsidR="000C7B34">
        <w:rPr>
          <w:rFonts w:ascii="Bookman Old Style" w:hAnsi="Bookman Old Style" w:cs="Arial"/>
        </w:rPr>
        <w:t>.</w:t>
      </w:r>
      <w:r w:rsidRPr="001954E9">
        <w:rPr>
          <w:rFonts w:ascii="Bookman Old Style" w:hAnsi="Bookman Old Style" w:cs="Arial"/>
        </w:rPr>
        <w:t xml:space="preserve"> para recuperar los costos de inversión y los gastos de AOM para la distribución domiciliaria de gas combustible por red se fija</w:t>
      </w:r>
      <w:r>
        <w:rPr>
          <w:rFonts w:ascii="Bookman Old Style" w:hAnsi="Bookman Old Style" w:cs="Arial"/>
        </w:rPr>
        <w:t xml:space="preserve"> transitoriamente</w:t>
      </w:r>
      <w:r w:rsidRPr="001954E9">
        <w:rPr>
          <w:rFonts w:ascii="Bookman Old Style" w:hAnsi="Bookman Old Style" w:cs="Arial"/>
        </w:rPr>
        <w:t xml:space="preserve"> de la siguiente manera:</w:t>
      </w:r>
    </w:p>
    <w:p w:rsidR="00154FAB" w:rsidRPr="00A1006B" w:rsidRDefault="00154FAB" w:rsidP="00CE2259">
      <w:pPr>
        <w:widowControl w:val="0"/>
        <w:adjustRightInd w:val="0"/>
        <w:ind w:left="0" w:right="20"/>
        <w:jc w:val="both"/>
        <w:rPr>
          <w:rFonts w:ascii="Bookman Old Style" w:hAnsi="Bookman Old Style" w:cs="Arial"/>
          <w:lang w:val="x-none" w:eastAsia="x-none"/>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850"/>
        <w:gridCol w:w="1560"/>
        <w:gridCol w:w="1559"/>
        <w:gridCol w:w="1771"/>
      </w:tblGrid>
      <w:tr w:rsidR="003B1F1B" w:rsidRPr="009C510C" w:rsidTr="0049406D">
        <w:trPr>
          <w:trHeight w:val="330"/>
          <w:tblHeader/>
          <w:jc w:val="center"/>
        </w:trPr>
        <w:tc>
          <w:tcPr>
            <w:tcW w:w="9426" w:type="dxa"/>
            <w:gridSpan w:val="5"/>
            <w:shd w:val="clear" w:color="000000" w:fill="BFBFBF"/>
            <w:noWrap/>
            <w:vAlign w:val="center"/>
            <w:hideMark/>
          </w:tcPr>
          <w:p w:rsidR="003B1F1B" w:rsidRPr="009C510C" w:rsidRDefault="003B1F1B" w:rsidP="00D44625">
            <w:pPr>
              <w:ind w:left="0"/>
              <w:jc w:val="center"/>
              <w:rPr>
                <w:rFonts w:ascii="Bookman Old Style" w:hAnsi="Bookman Old Style"/>
                <w:b/>
                <w:bCs/>
                <w:color w:val="000000"/>
                <w:lang w:val="es-CO" w:eastAsia="es-CO"/>
              </w:rPr>
            </w:pPr>
            <w:r w:rsidRPr="009C510C">
              <w:rPr>
                <w:rFonts w:ascii="Bookman Old Style" w:hAnsi="Bookman Old Style" w:cs="Arial"/>
                <w:b/>
                <w:bCs/>
                <w:color w:val="000000"/>
                <w:lang w:eastAsia="es-CO"/>
              </w:rPr>
              <w:t xml:space="preserve">Usuarios </w:t>
            </w:r>
            <w:r>
              <w:rPr>
                <w:rFonts w:ascii="Bookman Old Style" w:hAnsi="Bookman Old Style" w:cs="Arial"/>
                <w:b/>
                <w:bCs/>
                <w:color w:val="000000"/>
                <w:lang w:eastAsia="es-CO"/>
              </w:rPr>
              <w:t xml:space="preserve">Diferentes a los </w:t>
            </w:r>
            <w:r w:rsidRPr="009C510C">
              <w:rPr>
                <w:rFonts w:ascii="Bookman Old Style" w:hAnsi="Bookman Old Style" w:cs="Arial"/>
                <w:b/>
                <w:bCs/>
                <w:color w:val="000000"/>
                <w:lang w:eastAsia="es-CO"/>
              </w:rPr>
              <w:t>de Uso Residencial.</w:t>
            </w:r>
          </w:p>
        </w:tc>
      </w:tr>
      <w:tr w:rsidR="003B1F1B" w:rsidRPr="009C510C" w:rsidTr="0049406D">
        <w:trPr>
          <w:trHeight w:val="349"/>
          <w:tblHeader/>
          <w:jc w:val="center"/>
        </w:trPr>
        <w:tc>
          <w:tcPr>
            <w:tcW w:w="3686" w:type="dxa"/>
            <w:shd w:val="clear" w:color="000000" w:fill="BFBFBF"/>
            <w:noWrap/>
            <w:vAlign w:val="center"/>
            <w:hideMark/>
          </w:tcPr>
          <w:p w:rsidR="003B1F1B" w:rsidRPr="009C510C" w:rsidRDefault="003B1F1B" w:rsidP="00D44625">
            <w:pPr>
              <w:ind w:left="0"/>
              <w:jc w:val="center"/>
              <w:rPr>
                <w:rFonts w:ascii="Bookman Old Style" w:hAnsi="Bookman Old Style"/>
                <w:b/>
                <w:bCs/>
                <w:color w:val="000000"/>
                <w:sz w:val="22"/>
                <w:szCs w:val="22"/>
                <w:lang w:val="es-CO" w:eastAsia="es-CO"/>
              </w:rPr>
            </w:pPr>
            <w:r w:rsidRPr="009C510C">
              <w:rPr>
                <w:rFonts w:ascii="Bookman Old Style" w:hAnsi="Bookman Old Style"/>
                <w:b/>
                <w:bCs/>
                <w:color w:val="000000"/>
                <w:sz w:val="22"/>
                <w:szCs w:val="22"/>
                <w:lang w:val="es-ES_tradnl" w:eastAsia="es-CO"/>
              </w:rPr>
              <w:t>Componente</w:t>
            </w:r>
          </w:p>
        </w:tc>
        <w:tc>
          <w:tcPr>
            <w:tcW w:w="850" w:type="dxa"/>
            <w:shd w:val="clear" w:color="000000" w:fill="BFBFBF"/>
            <w:vAlign w:val="center"/>
            <w:hideMark/>
          </w:tcPr>
          <w:p w:rsidR="003B1F1B" w:rsidRPr="009C510C" w:rsidRDefault="003B1F1B" w:rsidP="00D44625">
            <w:pPr>
              <w:ind w:left="0"/>
              <w:jc w:val="center"/>
              <w:rPr>
                <w:rFonts w:ascii="Bookman Old Style" w:hAnsi="Bookman Old Style"/>
                <w:b/>
                <w:bCs/>
                <w:color w:val="000000"/>
                <w:lang w:val="es-CO" w:eastAsia="es-CO"/>
              </w:rPr>
            </w:pPr>
            <w:r w:rsidRPr="009C510C">
              <w:rPr>
                <w:rFonts w:ascii="Bookman Old Style" w:hAnsi="Bookman Old Style" w:cs="Arial"/>
                <w:b/>
                <w:bCs/>
                <w:color w:val="000000"/>
                <w:lang w:eastAsia="es-CO"/>
              </w:rPr>
              <w:t> </w:t>
            </w:r>
          </w:p>
        </w:tc>
        <w:tc>
          <w:tcPr>
            <w:tcW w:w="1560" w:type="dxa"/>
            <w:shd w:val="clear" w:color="000000" w:fill="BFBFBF"/>
            <w:vAlign w:val="center"/>
            <w:hideMark/>
          </w:tcPr>
          <w:p w:rsidR="003B1F1B" w:rsidRPr="009C510C" w:rsidRDefault="003B1F1B" w:rsidP="00D44625">
            <w:pPr>
              <w:ind w:left="0"/>
              <w:jc w:val="center"/>
              <w:rPr>
                <w:rFonts w:ascii="Bookman Old Style" w:hAnsi="Bookman Old Style"/>
                <w:b/>
                <w:bCs/>
                <w:color w:val="000000"/>
                <w:sz w:val="22"/>
                <w:szCs w:val="22"/>
                <w:lang w:val="es-CO" w:eastAsia="es-CO"/>
              </w:rPr>
            </w:pPr>
            <w:r w:rsidRPr="009C510C">
              <w:rPr>
                <w:rFonts w:ascii="Bookman Old Style" w:hAnsi="Bookman Old Style"/>
                <w:b/>
                <w:bCs/>
                <w:color w:val="000000"/>
                <w:sz w:val="22"/>
                <w:szCs w:val="22"/>
                <w:lang w:eastAsia="es-CO"/>
              </w:rPr>
              <w:t>2017</w:t>
            </w:r>
          </w:p>
        </w:tc>
        <w:tc>
          <w:tcPr>
            <w:tcW w:w="1559" w:type="dxa"/>
            <w:shd w:val="clear" w:color="000000" w:fill="BFBFBF"/>
            <w:vAlign w:val="center"/>
            <w:hideMark/>
          </w:tcPr>
          <w:p w:rsidR="003B1F1B" w:rsidRPr="009C510C" w:rsidRDefault="003B1F1B" w:rsidP="00D44625">
            <w:pPr>
              <w:ind w:left="0"/>
              <w:jc w:val="center"/>
              <w:rPr>
                <w:rFonts w:ascii="Bookman Old Style" w:hAnsi="Bookman Old Style"/>
                <w:b/>
                <w:bCs/>
                <w:color w:val="000000"/>
                <w:sz w:val="22"/>
                <w:szCs w:val="22"/>
                <w:lang w:val="es-CO" w:eastAsia="es-CO"/>
              </w:rPr>
            </w:pPr>
            <w:r w:rsidRPr="009C510C">
              <w:rPr>
                <w:rFonts w:ascii="Bookman Old Style" w:hAnsi="Bookman Old Style"/>
                <w:b/>
                <w:bCs/>
                <w:color w:val="000000"/>
                <w:sz w:val="22"/>
                <w:szCs w:val="22"/>
                <w:lang w:eastAsia="es-CO"/>
              </w:rPr>
              <w:t>2018</w:t>
            </w:r>
          </w:p>
        </w:tc>
        <w:tc>
          <w:tcPr>
            <w:tcW w:w="1771" w:type="dxa"/>
            <w:shd w:val="clear" w:color="000000" w:fill="BFBFBF"/>
            <w:vAlign w:val="center"/>
            <w:hideMark/>
          </w:tcPr>
          <w:p w:rsidR="003B1F1B" w:rsidRPr="009C510C" w:rsidRDefault="003B1F1B" w:rsidP="00D44625">
            <w:pPr>
              <w:ind w:left="0"/>
              <w:jc w:val="center"/>
              <w:rPr>
                <w:rFonts w:ascii="Bookman Old Style" w:hAnsi="Bookman Old Style"/>
                <w:b/>
                <w:bCs/>
                <w:color w:val="000000"/>
                <w:sz w:val="22"/>
                <w:szCs w:val="22"/>
                <w:lang w:val="es-CO" w:eastAsia="es-CO"/>
              </w:rPr>
            </w:pPr>
            <w:r w:rsidRPr="009C510C">
              <w:rPr>
                <w:rFonts w:ascii="Bookman Old Style" w:hAnsi="Bookman Old Style" w:cs="Arial"/>
                <w:b/>
                <w:bCs/>
                <w:color w:val="000000"/>
                <w:sz w:val="22"/>
                <w:szCs w:val="22"/>
                <w:lang w:eastAsia="es-CO"/>
              </w:rPr>
              <w:t>2019-2020-2021</w:t>
            </w:r>
          </w:p>
        </w:tc>
      </w:tr>
      <w:tr w:rsidR="0090056A" w:rsidRPr="009C510C" w:rsidTr="00A77587">
        <w:trPr>
          <w:trHeight w:val="600"/>
          <w:tblHeader/>
          <w:jc w:val="center"/>
        </w:trPr>
        <w:tc>
          <w:tcPr>
            <w:tcW w:w="3686" w:type="dxa"/>
            <w:shd w:val="clear" w:color="auto" w:fill="auto"/>
            <w:noWrap/>
            <w:vAlign w:val="center"/>
          </w:tcPr>
          <w:p w:rsidR="0090056A" w:rsidRPr="009C510C" w:rsidRDefault="0090056A" w:rsidP="0090056A">
            <w:pPr>
              <w:ind w:left="0"/>
              <w:rPr>
                <w:rFonts w:ascii="Bookman Old Style" w:hAnsi="Bookman Old Style"/>
                <w:b/>
                <w:bCs/>
                <w:color w:val="000000"/>
                <w:sz w:val="20"/>
                <w:szCs w:val="20"/>
                <w:lang w:val="es-CO" w:eastAsia="es-CO"/>
              </w:rPr>
            </w:pPr>
            <w:r w:rsidRPr="009C510C">
              <w:rPr>
                <w:rFonts w:ascii="Bookman Old Style" w:hAnsi="Bookman Old Style"/>
                <w:b/>
                <w:bCs/>
                <w:color w:val="000000"/>
                <w:sz w:val="20"/>
                <w:szCs w:val="20"/>
                <w:lang w:val="es-ES_tradnl" w:eastAsia="es-CO"/>
              </w:rPr>
              <w:t>Cargo de distribución Total</w:t>
            </w:r>
          </w:p>
        </w:tc>
        <w:tc>
          <w:tcPr>
            <w:tcW w:w="850" w:type="dxa"/>
            <w:shd w:val="clear" w:color="auto" w:fill="auto"/>
            <w:vAlign w:val="center"/>
            <w:hideMark/>
          </w:tcPr>
          <w:p w:rsidR="0090056A" w:rsidRPr="009C510C" w:rsidRDefault="0090056A" w:rsidP="0090056A">
            <w:pPr>
              <w:ind w:left="0"/>
              <w:jc w:val="center"/>
              <w:rPr>
                <w:rFonts w:ascii="Bookman Old Style" w:hAnsi="Bookman Old Style"/>
                <w:b/>
                <w:bCs/>
                <w:color w:val="000000"/>
                <w:sz w:val="20"/>
                <w:szCs w:val="20"/>
                <w:lang w:val="es-CO" w:eastAsia="es-CO"/>
              </w:rPr>
            </w:pPr>
            <w:r w:rsidRPr="009C510C">
              <w:rPr>
                <w:rFonts w:ascii="Bookman Old Style" w:hAnsi="Bookman Old Style"/>
                <w:b/>
                <w:bCs/>
                <w:color w:val="000000"/>
                <w:sz w:val="20"/>
                <w:szCs w:val="20"/>
                <w:lang w:val="es-ES_tradnl" w:eastAsia="es-CO"/>
              </w:rPr>
              <w:t>$/m</w:t>
            </w:r>
            <w:r w:rsidRPr="009C510C">
              <w:rPr>
                <w:rFonts w:ascii="Bookman Old Style" w:hAnsi="Bookman Old Style"/>
                <w:b/>
                <w:bCs/>
                <w:color w:val="000000"/>
                <w:sz w:val="20"/>
                <w:szCs w:val="20"/>
                <w:vertAlign w:val="superscript"/>
                <w:lang w:val="es-ES_tradnl" w:eastAsia="es-CO"/>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b/>
                <w:color w:val="000000"/>
                <w:sz w:val="20"/>
                <w:szCs w:val="20"/>
              </w:rPr>
            </w:pPr>
            <w:r w:rsidRPr="0090056A">
              <w:rPr>
                <w:rFonts w:ascii="Bookman Old Style" w:hAnsi="Bookman Old Style"/>
                <w:b/>
                <w:color w:val="000000"/>
                <w:sz w:val="20"/>
                <w:szCs w:val="20"/>
              </w:rPr>
              <w:t>2</w:t>
            </w:r>
            <w:r>
              <w:rPr>
                <w:rFonts w:ascii="Bookman Old Style" w:hAnsi="Bookman Old Style"/>
                <w:b/>
                <w:color w:val="000000"/>
                <w:sz w:val="20"/>
                <w:szCs w:val="20"/>
              </w:rPr>
              <w:t>.148,</w:t>
            </w:r>
            <w:r w:rsidRPr="0090056A">
              <w:rPr>
                <w:rFonts w:ascii="Bookman Old Style" w:hAnsi="Bookman Old Style"/>
                <w:b/>
                <w:color w:val="000000"/>
                <w:sz w:val="20"/>
                <w:szCs w:val="20"/>
              </w:rPr>
              <w:t>24</w:t>
            </w:r>
          </w:p>
        </w:tc>
        <w:tc>
          <w:tcPr>
            <w:tcW w:w="1559" w:type="dxa"/>
            <w:tcBorders>
              <w:top w:val="single" w:sz="4" w:space="0" w:color="auto"/>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b/>
                <w:color w:val="000000"/>
                <w:sz w:val="20"/>
                <w:szCs w:val="20"/>
              </w:rPr>
            </w:pPr>
            <w:r w:rsidRPr="0090056A">
              <w:rPr>
                <w:rFonts w:ascii="Bookman Old Style" w:hAnsi="Bookman Old Style"/>
                <w:b/>
                <w:color w:val="000000"/>
                <w:sz w:val="20"/>
                <w:szCs w:val="20"/>
              </w:rPr>
              <w:t>2</w:t>
            </w:r>
            <w:r>
              <w:rPr>
                <w:rFonts w:ascii="Bookman Old Style" w:hAnsi="Bookman Old Style"/>
                <w:b/>
                <w:color w:val="000000"/>
                <w:sz w:val="20"/>
                <w:szCs w:val="20"/>
              </w:rPr>
              <w:t>.173,</w:t>
            </w:r>
            <w:r w:rsidRPr="0090056A">
              <w:rPr>
                <w:rFonts w:ascii="Bookman Old Style" w:hAnsi="Bookman Old Style"/>
                <w:b/>
                <w:color w:val="000000"/>
                <w:sz w:val="20"/>
                <w:szCs w:val="20"/>
              </w:rPr>
              <w:t>09</w:t>
            </w:r>
          </w:p>
        </w:tc>
        <w:tc>
          <w:tcPr>
            <w:tcW w:w="1771" w:type="dxa"/>
            <w:tcBorders>
              <w:top w:val="single" w:sz="4" w:space="0" w:color="auto"/>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b/>
                <w:color w:val="000000"/>
                <w:sz w:val="20"/>
                <w:szCs w:val="20"/>
              </w:rPr>
            </w:pPr>
            <w:r w:rsidRPr="0090056A">
              <w:rPr>
                <w:rFonts w:ascii="Bookman Old Style" w:hAnsi="Bookman Old Style"/>
                <w:b/>
                <w:color w:val="000000"/>
                <w:sz w:val="20"/>
                <w:szCs w:val="20"/>
              </w:rPr>
              <w:t>2</w:t>
            </w:r>
            <w:r>
              <w:rPr>
                <w:rFonts w:ascii="Bookman Old Style" w:hAnsi="Bookman Old Style"/>
                <w:b/>
                <w:color w:val="000000"/>
                <w:sz w:val="20"/>
                <w:szCs w:val="20"/>
              </w:rPr>
              <w:t>.005,</w:t>
            </w:r>
            <w:r w:rsidRPr="0090056A">
              <w:rPr>
                <w:rFonts w:ascii="Bookman Old Style" w:hAnsi="Bookman Old Style"/>
                <w:b/>
                <w:color w:val="000000"/>
                <w:sz w:val="20"/>
                <w:szCs w:val="20"/>
              </w:rPr>
              <w:t>28</w:t>
            </w:r>
          </w:p>
        </w:tc>
      </w:tr>
      <w:tr w:rsidR="0090056A" w:rsidRPr="009C510C" w:rsidTr="00A77587">
        <w:trPr>
          <w:trHeight w:val="345"/>
          <w:tblHeader/>
          <w:jc w:val="center"/>
        </w:trPr>
        <w:tc>
          <w:tcPr>
            <w:tcW w:w="3686" w:type="dxa"/>
            <w:shd w:val="clear" w:color="auto" w:fill="auto"/>
            <w:noWrap/>
            <w:vAlign w:val="bottom"/>
            <w:hideMark/>
          </w:tcPr>
          <w:p w:rsidR="0090056A" w:rsidRPr="009C510C" w:rsidRDefault="0090056A" w:rsidP="0090056A">
            <w:pPr>
              <w:ind w:left="0"/>
              <w:rPr>
                <w:rFonts w:ascii="Bookman Old Style" w:hAnsi="Bookman Old Style"/>
                <w:color w:val="000000"/>
                <w:sz w:val="22"/>
                <w:szCs w:val="22"/>
                <w:lang w:val="es-CO" w:eastAsia="es-CO"/>
              </w:rPr>
            </w:pPr>
            <w:r w:rsidRPr="009C510C">
              <w:rPr>
                <w:rFonts w:ascii="Bookman Old Style" w:hAnsi="Bookman Old Style"/>
                <w:color w:val="000000"/>
                <w:sz w:val="22"/>
                <w:szCs w:val="22"/>
                <w:lang w:val="es-CO" w:eastAsia="es-CO"/>
              </w:rPr>
              <w:t xml:space="preserve">Componente de inversión pagada con recursos </w:t>
            </w:r>
            <w:r>
              <w:rPr>
                <w:rFonts w:ascii="Bookman Old Style" w:hAnsi="Bookman Old Style"/>
                <w:color w:val="000000"/>
                <w:sz w:val="22"/>
                <w:szCs w:val="22"/>
                <w:lang w:val="es-CO" w:eastAsia="es-CO"/>
              </w:rPr>
              <w:t>públicos.</w:t>
            </w:r>
          </w:p>
        </w:tc>
        <w:tc>
          <w:tcPr>
            <w:tcW w:w="850" w:type="dxa"/>
            <w:shd w:val="clear" w:color="auto" w:fill="auto"/>
            <w:vAlign w:val="center"/>
            <w:hideMark/>
          </w:tcPr>
          <w:p w:rsidR="0090056A" w:rsidRPr="009C510C" w:rsidRDefault="0090056A" w:rsidP="0090056A">
            <w:pPr>
              <w:ind w:left="0"/>
              <w:jc w:val="center"/>
              <w:rPr>
                <w:rFonts w:ascii="Bookman Old Style" w:hAnsi="Bookman Old Style"/>
                <w:color w:val="000000"/>
                <w:sz w:val="20"/>
                <w:szCs w:val="20"/>
                <w:lang w:val="es-CO" w:eastAsia="es-CO"/>
              </w:rPr>
            </w:pPr>
            <w:r w:rsidRPr="009C510C">
              <w:rPr>
                <w:rFonts w:ascii="Bookman Old Style" w:hAnsi="Bookman Old Style"/>
                <w:color w:val="000000"/>
                <w:sz w:val="20"/>
                <w:szCs w:val="20"/>
                <w:lang w:val="es-ES_tradnl" w:eastAsia="es-CO"/>
              </w:rPr>
              <w:t>$/m</w:t>
            </w:r>
            <w:r w:rsidRPr="009C510C">
              <w:rPr>
                <w:rFonts w:ascii="Bookman Old Style" w:hAnsi="Bookman Old Style"/>
                <w:color w:val="000000"/>
                <w:sz w:val="20"/>
                <w:szCs w:val="20"/>
                <w:vertAlign w:val="superscript"/>
                <w:lang w:val="es-ES_tradnl" w:eastAsia="es-CO"/>
              </w:rPr>
              <w:t>3</w:t>
            </w:r>
          </w:p>
        </w:tc>
        <w:tc>
          <w:tcPr>
            <w:tcW w:w="1560" w:type="dxa"/>
            <w:tcBorders>
              <w:top w:val="nil"/>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sidRPr="0090056A">
              <w:rPr>
                <w:rFonts w:ascii="Bookman Old Style" w:hAnsi="Bookman Old Style"/>
                <w:color w:val="000000"/>
                <w:sz w:val="20"/>
                <w:szCs w:val="20"/>
              </w:rPr>
              <w:t>1</w:t>
            </w:r>
            <w:r>
              <w:rPr>
                <w:rFonts w:ascii="Bookman Old Style" w:hAnsi="Bookman Old Style"/>
                <w:color w:val="000000"/>
                <w:sz w:val="20"/>
                <w:szCs w:val="20"/>
              </w:rPr>
              <w:t>.465,</w:t>
            </w:r>
            <w:r w:rsidRPr="0090056A">
              <w:rPr>
                <w:rFonts w:ascii="Bookman Old Style" w:hAnsi="Bookman Old Style"/>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sidRPr="0090056A">
              <w:rPr>
                <w:rFonts w:ascii="Bookman Old Style" w:hAnsi="Bookman Old Style"/>
                <w:color w:val="000000"/>
                <w:sz w:val="20"/>
                <w:szCs w:val="20"/>
              </w:rPr>
              <w:t>1</w:t>
            </w:r>
            <w:r>
              <w:rPr>
                <w:rFonts w:ascii="Bookman Old Style" w:hAnsi="Bookman Old Style"/>
                <w:color w:val="000000"/>
                <w:sz w:val="20"/>
                <w:szCs w:val="20"/>
              </w:rPr>
              <w:t>.484,</w:t>
            </w:r>
            <w:r w:rsidRPr="0090056A">
              <w:rPr>
                <w:rFonts w:ascii="Bookman Old Style" w:hAnsi="Bookman Old Style"/>
                <w:color w:val="000000"/>
                <w:sz w:val="20"/>
                <w:szCs w:val="20"/>
              </w:rPr>
              <w:t>01</w:t>
            </w:r>
          </w:p>
        </w:tc>
        <w:tc>
          <w:tcPr>
            <w:tcW w:w="1771"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sidRPr="0090056A">
              <w:rPr>
                <w:rFonts w:ascii="Bookman Old Style" w:hAnsi="Bookman Old Style"/>
                <w:color w:val="000000"/>
                <w:sz w:val="20"/>
                <w:szCs w:val="20"/>
              </w:rPr>
              <w:t>1</w:t>
            </w:r>
            <w:r>
              <w:rPr>
                <w:rFonts w:ascii="Bookman Old Style" w:hAnsi="Bookman Old Style"/>
                <w:color w:val="000000"/>
                <w:sz w:val="20"/>
                <w:szCs w:val="20"/>
              </w:rPr>
              <w:t>.356,</w:t>
            </w:r>
            <w:r w:rsidRPr="0090056A">
              <w:rPr>
                <w:rFonts w:ascii="Bookman Old Style" w:hAnsi="Bookman Old Style"/>
                <w:color w:val="000000"/>
                <w:sz w:val="20"/>
                <w:szCs w:val="20"/>
              </w:rPr>
              <w:t>69</w:t>
            </w:r>
          </w:p>
        </w:tc>
      </w:tr>
      <w:tr w:rsidR="0090056A" w:rsidRPr="009C510C" w:rsidTr="00A77587">
        <w:trPr>
          <w:trHeight w:val="345"/>
          <w:tblHeader/>
          <w:jc w:val="center"/>
        </w:trPr>
        <w:tc>
          <w:tcPr>
            <w:tcW w:w="3686" w:type="dxa"/>
            <w:shd w:val="clear" w:color="auto" w:fill="auto"/>
            <w:noWrap/>
            <w:vAlign w:val="bottom"/>
          </w:tcPr>
          <w:p w:rsidR="0090056A" w:rsidRPr="009C510C" w:rsidRDefault="0090056A" w:rsidP="0090056A">
            <w:pPr>
              <w:ind w:left="0"/>
              <w:rPr>
                <w:rFonts w:ascii="Bookman Old Style" w:hAnsi="Bookman Old Style"/>
                <w:color w:val="000000"/>
                <w:sz w:val="22"/>
                <w:szCs w:val="22"/>
                <w:lang w:val="es-CO" w:eastAsia="es-CO"/>
              </w:rPr>
            </w:pPr>
            <w:r w:rsidRPr="009C510C">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INGENIERIA Y SERVICIOS S.A. E.S.P.</w:t>
            </w:r>
          </w:p>
        </w:tc>
        <w:tc>
          <w:tcPr>
            <w:tcW w:w="850" w:type="dxa"/>
            <w:shd w:val="clear" w:color="auto" w:fill="auto"/>
            <w:vAlign w:val="center"/>
          </w:tcPr>
          <w:p w:rsidR="0090056A" w:rsidRPr="009C510C" w:rsidRDefault="0090056A" w:rsidP="0090056A">
            <w:pPr>
              <w:ind w:left="0"/>
              <w:jc w:val="center"/>
              <w:rPr>
                <w:rFonts w:ascii="Bookman Old Style" w:hAnsi="Bookman Old Style"/>
                <w:color w:val="000000"/>
                <w:sz w:val="20"/>
                <w:szCs w:val="20"/>
                <w:lang w:val="es-ES_tradnl" w:eastAsia="es-CO"/>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433,</w:t>
            </w:r>
            <w:r w:rsidRPr="0090056A">
              <w:rPr>
                <w:rFonts w:ascii="Bookman Old Style" w:hAnsi="Bookman Old Style"/>
                <w:color w:val="000000"/>
                <w:sz w:val="20"/>
                <w:szCs w:val="20"/>
              </w:rPr>
              <w:t>66</w:t>
            </w:r>
          </w:p>
        </w:tc>
        <w:tc>
          <w:tcPr>
            <w:tcW w:w="1559"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439,</w:t>
            </w:r>
            <w:r w:rsidRPr="0090056A">
              <w:rPr>
                <w:rFonts w:ascii="Bookman Old Style" w:hAnsi="Bookman Old Style"/>
                <w:color w:val="000000"/>
                <w:sz w:val="20"/>
                <w:szCs w:val="20"/>
              </w:rPr>
              <w:t>24</w:t>
            </w:r>
          </w:p>
        </w:tc>
        <w:tc>
          <w:tcPr>
            <w:tcW w:w="1771"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401,</w:t>
            </w:r>
            <w:r w:rsidRPr="0090056A">
              <w:rPr>
                <w:rFonts w:ascii="Bookman Old Style" w:hAnsi="Bookman Old Style"/>
                <w:color w:val="000000"/>
                <w:sz w:val="20"/>
                <w:szCs w:val="20"/>
              </w:rPr>
              <w:t>56</w:t>
            </w:r>
          </w:p>
        </w:tc>
      </w:tr>
      <w:tr w:rsidR="0090056A" w:rsidRPr="009C510C" w:rsidTr="00A77587">
        <w:trPr>
          <w:trHeight w:val="518"/>
          <w:tblHeader/>
          <w:jc w:val="center"/>
        </w:trPr>
        <w:tc>
          <w:tcPr>
            <w:tcW w:w="3686" w:type="dxa"/>
            <w:shd w:val="clear" w:color="auto" w:fill="auto"/>
            <w:noWrap/>
            <w:vAlign w:val="center"/>
            <w:hideMark/>
          </w:tcPr>
          <w:p w:rsidR="0090056A" w:rsidRPr="009C510C" w:rsidRDefault="0090056A" w:rsidP="0090056A">
            <w:pPr>
              <w:ind w:left="0"/>
              <w:rPr>
                <w:rFonts w:ascii="Bookman Old Style" w:hAnsi="Bookman Old Style"/>
                <w:color w:val="000000"/>
                <w:sz w:val="22"/>
                <w:szCs w:val="22"/>
                <w:lang w:val="es-CO" w:eastAsia="es-CO"/>
              </w:rPr>
            </w:pPr>
            <w:r w:rsidRPr="009C510C">
              <w:rPr>
                <w:rFonts w:ascii="Bookman Old Style" w:hAnsi="Bookman Old Style"/>
                <w:color w:val="000000"/>
                <w:sz w:val="22"/>
                <w:szCs w:val="22"/>
                <w:lang w:val="es-CO" w:eastAsia="es-CO"/>
              </w:rPr>
              <w:t>Componente Gastos AOM</w:t>
            </w:r>
          </w:p>
        </w:tc>
        <w:tc>
          <w:tcPr>
            <w:tcW w:w="850" w:type="dxa"/>
            <w:shd w:val="clear" w:color="auto" w:fill="auto"/>
            <w:vAlign w:val="center"/>
            <w:hideMark/>
          </w:tcPr>
          <w:p w:rsidR="0090056A" w:rsidRPr="009C510C" w:rsidRDefault="0090056A" w:rsidP="0090056A">
            <w:pPr>
              <w:ind w:left="0"/>
              <w:jc w:val="center"/>
              <w:rPr>
                <w:rFonts w:ascii="Bookman Old Style" w:hAnsi="Bookman Old Style"/>
                <w:color w:val="000000"/>
                <w:sz w:val="20"/>
                <w:szCs w:val="20"/>
                <w:lang w:val="es-CO" w:eastAsia="es-CO"/>
              </w:rPr>
            </w:pPr>
            <w:r w:rsidRPr="009C510C">
              <w:rPr>
                <w:rFonts w:ascii="Bookman Old Style" w:hAnsi="Bookman Old Style"/>
                <w:color w:val="000000"/>
                <w:sz w:val="20"/>
                <w:szCs w:val="20"/>
                <w:lang w:val="es-ES_tradnl" w:eastAsia="es-CO"/>
              </w:rPr>
              <w:t>$/m</w:t>
            </w:r>
            <w:r w:rsidRPr="009C510C">
              <w:rPr>
                <w:rFonts w:ascii="Bookman Old Style" w:hAnsi="Bookman Old Style"/>
                <w:color w:val="000000"/>
                <w:sz w:val="20"/>
                <w:szCs w:val="20"/>
                <w:vertAlign w:val="superscript"/>
                <w:lang w:val="es-ES_tradnl" w:eastAsia="es-CO"/>
              </w:rPr>
              <w:t>3</w:t>
            </w:r>
          </w:p>
        </w:tc>
        <w:tc>
          <w:tcPr>
            <w:tcW w:w="1560" w:type="dxa"/>
            <w:tcBorders>
              <w:top w:val="nil"/>
              <w:left w:val="single" w:sz="4" w:space="0" w:color="auto"/>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249,</w:t>
            </w:r>
            <w:r w:rsidRPr="0090056A">
              <w:rPr>
                <w:rFonts w:ascii="Bookman Old Style" w:hAnsi="Bookman Old Style"/>
                <w:color w:val="000000"/>
                <w:sz w:val="20"/>
                <w:szCs w:val="20"/>
              </w:rPr>
              <w:t>43</w:t>
            </w:r>
          </w:p>
        </w:tc>
        <w:tc>
          <w:tcPr>
            <w:tcW w:w="1559"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249,</w:t>
            </w:r>
            <w:r w:rsidRPr="0090056A">
              <w:rPr>
                <w:rFonts w:ascii="Bookman Old Style" w:hAnsi="Bookman Old Style"/>
                <w:color w:val="000000"/>
                <w:sz w:val="20"/>
                <w:szCs w:val="20"/>
              </w:rPr>
              <w:t>83</w:t>
            </w:r>
          </w:p>
        </w:tc>
        <w:tc>
          <w:tcPr>
            <w:tcW w:w="1771" w:type="dxa"/>
            <w:tcBorders>
              <w:top w:val="nil"/>
              <w:left w:val="nil"/>
              <w:bottom w:val="single" w:sz="4" w:space="0" w:color="auto"/>
              <w:right w:val="single" w:sz="4" w:space="0" w:color="auto"/>
            </w:tcBorders>
            <w:shd w:val="clear" w:color="auto" w:fill="auto"/>
            <w:vAlign w:val="center"/>
          </w:tcPr>
          <w:p w:rsidR="0090056A" w:rsidRPr="0090056A" w:rsidRDefault="0090056A" w:rsidP="0090056A">
            <w:pPr>
              <w:ind w:left="356"/>
              <w:jc w:val="right"/>
              <w:rPr>
                <w:rFonts w:ascii="Bookman Old Style" w:hAnsi="Bookman Old Style"/>
                <w:color w:val="000000"/>
                <w:sz w:val="20"/>
                <w:szCs w:val="20"/>
              </w:rPr>
            </w:pPr>
            <w:r>
              <w:rPr>
                <w:rFonts w:ascii="Bookman Old Style" w:hAnsi="Bookman Old Style"/>
                <w:color w:val="000000"/>
                <w:sz w:val="20"/>
                <w:szCs w:val="20"/>
              </w:rPr>
              <w:t>247,</w:t>
            </w:r>
            <w:r w:rsidRPr="0090056A">
              <w:rPr>
                <w:rFonts w:ascii="Bookman Old Style" w:hAnsi="Bookman Old Style"/>
                <w:color w:val="000000"/>
                <w:sz w:val="20"/>
                <w:szCs w:val="20"/>
              </w:rPr>
              <w:t>04</w:t>
            </w:r>
          </w:p>
        </w:tc>
      </w:tr>
    </w:tbl>
    <w:p w:rsidR="00CE2259" w:rsidRPr="007B0D3E" w:rsidRDefault="00CE2259" w:rsidP="00CE2259">
      <w:pPr>
        <w:widowControl w:val="0"/>
        <w:adjustRightInd w:val="0"/>
        <w:ind w:left="0" w:right="20"/>
        <w:jc w:val="both"/>
        <w:rPr>
          <w:rFonts w:ascii="Bookman Old Style" w:hAnsi="Bookman Old Style" w:cs="Arial"/>
          <w:sz w:val="16"/>
          <w:lang w:val="es-CO" w:eastAsia="x-none"/>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72BA5">
        <w:rPr>
          <w:rFonts w:ascii="Bookman Old Style" w:hAnsi="Bookman Old Style" w:cs="Arial"/>
          <w:sz w:val="16"/>
          <w:lang w:val="es-CO" w:eastAsia="x-none"/>
        </w:rPr>
        <w:t>6</w:t>
      </w:r>
    </w:p>
    <w:p w:rsidR="00CE2259" w:rsidRPr="001954E9" w:rsidRDefault="00CE2259" w:rsidP="00CE2259">
      <w:pPr>
        <w:widowControl w:val="0"/>
        <w:adjustRightInd w:val="0"/>
        <w:ind w:left="0" w:right="20"/>
        <w:jc w:val="both"/>
        <w:rPr>
          <w:rFonts w:ascii="Bookman Old Style" w:hAnsi="Bookman Old Style" w:cs="Arial"/>
          <w:sz w:val="20"/>
          <w:lang w:val="es-CO" w:eastAsia="x-none"/>
        </w:rPr>
      </w:pPr>
    </w:p>
    <w:p w:rsidR="00CE2259" w:rsidRPr="001954E9" w:rsidRDefault="00CE2259" w:rsidP="00CE2259">
      <w:pPr>
        <w:widowControl w:val="0"/>
        <w:adjustRightInd w:val="0"/>
        <w:ind w:left="0" w:right="20"/>
        <w:jc w:val="both"/>
        <w:rPr>
          <w:rFonts w:ascii="Bookman Old Style" w:hAnsi="Bookman Old Style" w:cs="Arial"/>
        </w:rPr>
      </w:pPr>
      <w:r w:rsidRPr="001954E9">
        <w:rPr>
          <w:rFonts w:ascii="Bookman Old Style" w:hAnsi="Bookman Old Style" w:cs="Arial"/>
          <w:b/>
          <w:bCs/>
        </w:rPr>
        <w:t>Parágrafo</w:t>
      </w:r>
      <w:r w:rsidR="00C72BA5">
        <w:rPr>
          <w:rFonts w:ascii="Bookman Old Style" w:hAnsi="Bookman Old Style" w:cs="Arial"/>
          <w:b/>
          <w:bCs/>
        </w:rPr>
        <w:t>.</w:t>
      </w:r>
      <w:r w:rsidRPr="001954E9">
        <w:rPr>
          <w:rFonts w:ascii="Bookman Old Style" w:hAnsi="Bookman Old Style" w:cs="Arial"/>
          <w:b/>
          <w:bCs/>
        </w:rPr>
        <w:t xml:space="preserve"> </w:t>
      </w:r>
      <w:r w:rsidRPr="001954E9">
        <w:rPr>
          <w:rFonts w:ascii="Bookman Old Style" w:hAnsi="Bookman Old Style" w:cs="Arial"/>
        </w:rPr>
        <w:t xml:space="preserve"> Estos Cargos de Distribución se actualizarán de conformidad con lo establecido en el artículo 12 de la Resolución CREG 202 de 2013 y aquellas que la adicionan y modifican</w:t>
      </w:r>
    </w:p>
    <w:p w:rsidR="00C87369" w:rsidRPr="001954E9" w:rsidRDefault="00C87369" w:rsidP="00341E8F">
      <w:pPr>
        <w:widowControl w:val="0"/>
        <w:adjustRightInd w:val="0"/>
        <w:ind w:left="0" w:right="20"/>
        <w:jc w:val="both"/>
        <w:rPr>
          <w:rFonts w:ascii="Bookman Old Style" w:hAnsi="Bookman Old Style" w:cs="Arial"/>
        </w:rPr>
      </w:pPr>
    </w:p>
    <w:p w:rsidR="005E6E20" w:rsidRPr="001954E9" w:rsidRDefault="00035D47" w:rsidP="005E6E20">
      <w:pPr>
        <w:keepNext/>
        <w:ind w:left="0"/>
        <w:jc w:val="both"/>
        <w:outlineLvl w:val="0"/>
        <w:rPr>
          <w:rFonts w:ascii="Bookman Old Style" w:hAnsi="Bookman Old Style"/>
          <w:bCs/>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usuarios de Uso Residencial y </w:t>
      </w:r>
      <w:r w:rsidR="00FE3B4D" w:rsidRPr="001954E9">
        <w:rPr>
          <w:rFonts w:ascii="Bookman Old Style" w:hAnsi="Bookman Old Style" w:cs="Arial"/>
          <w:b/>
        </w:rPr>
        <w:t xml:space="preserve">a </w:t>
      </w:r>
      <w:r w:rsidRPr="001954E9">
        <w:rPr>
          <w:rFonts w:ascii="Bookman Old Style" w:hAnsi="Bookman Old Style" w:cs="Arial"/>
          <w:b/>
        </w:rPr>
        <w:t xml:space="preserve">usuarios diferentes a los de uso residencial. </w:t>
      </w:r>
      <w:r w:rsidR="005E6E20" w:rsidRPr="005B2DAF">
        <w:rPr>
          <w:rFonts w:ascii="Bookman Old Style" w:hAnsi="Bookman Old Style" w:cs="Arial"/>
        </w:rPr>
        <w:t>Los Cargos de Distribución aplicables a los usuarios de uso residencial y a los usuarios diferentes a los de uso residencial</w:t>
      </w:r>
      <w:r w:rsidR="000C7B34">
        <w:rPr>
          <w:rFonts w:ascii="Bookman Old Style" w:hAnsi="Bookman Old Style" w:cs="Arial"/>
        </w:rPr>
        <w:t>.</w:t>
      </w:r>
      <w:r w:rsidR="005E6E20" w:rsidRPr="005B2DAF">
        <w:rPr>
          <w:rFonts w:ascii="Bookman Old Style" w:hAnsi="Bookman Old Style" w:cs="Arial"/>
        </w:rPr>
        <w:t xml:space="preserve"> </w:t>
      </w:r>
      <w:r w:rsidR="005E6E20" w:rsidRPr="005B2DAF">
        <w:rPr>
          <w:rFonts w:ascii="Bookman Old Style" w:hAnsi="Bookman Old Style"/>
          <w:bCs/>
        </w:rPr>
        <w:t xml:space="preserve">estarán vigentes desde la fecha en que quede en firme la presente resolución y hasta tanto se definan los cargos definitivos para un periodo de cinco años calculados con los parámetros de AOM y Otros </w:t>
      </w:r>
      <w:r w:rsidR="005E6E20">
        <w:rPr>
          <w:rFonts w:ascii="Bookman Old Style" w:hAnsi="Bookman Old Style"/>
          <w:bCs/>
        </w:rPr>
        <w:t>A</w:t>
      </w:r>
      <w:r w:rsidR="005E6E20" w:rsidRPr="005B2DAF">
        <w:rPr>
          <w:rFonts w:ascii="Bookman Old Style" w:hAnsi="Bookman Old Style"/>
          <w:bCs/>
        </w:rPr>
        <w:t xml:space="preserve">ctivos </w:t>
      </w:r>
      <w:r w:rsidR="00A13C50">
        <w:rPr>
          <w:rFonts w:ascii="Bookman Old Style" w:hAnsi="Bookman Old Style"/>
          <w:bCs/>
        </w:rPr>
        <w:t>que definirá la Comisión mediante resolución de carácter general.</w:t>
      </w:r>
    </w:p>
    <w:p w:rsidR="00C06B4B" w:rsidRPr="001954E9" w:rsidRDefault="00C06B4B" w:rsidP="00341E8F">
      <w:pPr>
        <w:ind w:left="0"/>
        <w:jc w:val="both"/>
        <w:rPr>
          <w:rFonts w:ascii="Bookman Old Style" w:hAnsi="Bookman Old Style" w:cs="Arial"/>
          <w:b/>
          <w:bCs/>
        </w:rPr>
      </w:pPr>
    </w:p>
    <w:p w:rsidR="00035D47" w:rsidRPr="001954E9" w:rsidRDefault="00035D47" w:rsidP="00341E8F">
      <w:pPr>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De acuerdo con lo dispuesto en el parágrafo del Artículo 7 de la Resolución CREG 202 de 2013 y sus modificaciones y adiciones</w:t>
      </w:r>
      <w:r w:rsidR="000C7B34">
        <w:rPr>
          <w:rFonts w:ascii="Bookman Old Style" w:hAnsi="Bookman Old Style" w:cs="Arial"/>
        </w:rPr>
        <w:t>.</w:t>
      </w:r>
      <w:r w:rsidR="003C3004" w:rsidRPr="001954E9">
        <w:rPr>
          <w:rFonts w:ascii="Bookman Old Style" w:hAnsi="Bookman Old Style" w:cs="Arial"/>
        </w:rPr>
        <w:t xml:space="preserve"> s</w:t>
      </w:r>
      <w:r w:rsidRPr="001954E9">
        <w:rPr>
          <w:rFonts w:ascii="Bookman Old Style" w:hAnsi="Bookman Old Style"/>
        </w:rPr>
        <w:t>i transcurridos doce (12) meses desde que haya quedado en firme la presente Resolución</w:t>
      </w:r>
      <w:r w:rsidR="000C7B34">
        <w:rPr>
          <w:rFonts w:ascii="Bookman Old Style" w:hAnsi="Bookman Old Style"/>
        </w:rPr>
        <w:t>.</w:t>
      </w:r>
      <w:r w:rsidRPr="001954E9">
        <w:rPr>
          <w:rFonts w:ascii="Bookman Old Style" w:hAnsi="Bookman Old Style"/>
        </w:rPr>
        <w:t xml:space="preserve"> el Distribuidor no ha iniciado la construcción del respectivo Sistema de Distribución</w:t>
      </w:r>
      <w:r w:rsidR="000C7B34">
        <w:rPr>
          <w:rFonts w:ascii="Bookman Old Style" w:hAnsi="Bookman Old Style"/>
        </w:rPr>
        <w:t>.</w:t>
      </w:r>
      <w:r w:rsidRPr="001954E9">
        <w:rPr>
          <w:rFonts w:ascii="Bookman Old Style" w:hAnsi="Bookman Old Style"/>
        </w:rPr>
        <w:t xml:space="preserve"> los cargos aquí </w:t>
      </w:r>
      <w:r w:rsidR="00660F54" w:rsidRPr="001954E9">
        <w:rPr>
          <w:rFonts w:ascii="Bookman Old Style" w:hAnsi="Bookman Old Style"/>
        </w:rPr>
        <w:t>aprobados</w:t>
      </w:r>
      <w:r w:rsidR="000C7B34">
        <w:rPr>
          <w:rFonts w:ascii="Bookman Old Style" w:hAnsi="Bookman Old Style"/>
        </w:rPr>
        <w:t>.</w:t>
      </w:r>
      <w:r w:rsidRPr="001954E9">
        <w:rPr>
          <w:rFonts w:ascii="Bookman Old Style" w:hAnsi="Bookman Old Style"/>
        </w:rPr>
        <w:t xml:space="preserve"> </w:t>
      </w:r>
      <w:r w:rsidR="003C3004" w:rsidRPr="001954E9">
        <w:rPr>
          <w:rFonts w:ascii="Bookman Old Style" w:hAnsi="Bookman Old Style"/>
        </w:rPr>
        <w:t xml:space="preserve">así como la totalidad delo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Pr="001954E9" w:rsidRDefault="00035D47" w:rsidP="00341E8F">
      <w:pPr>
        <w:ind w:left="0"/>
        <w:jc w:val="both"/>
        <w:rPr>
          <w:rFonts w:ascii="Bookman Old Style" w:hAnsi="Bookman Old Style"/>
        </w:rPr>
      </w:pPr>
    </w:p>
    <w:p w:rsidR="00035D47" w:rsidRPr="001954E9" w:rsidRDefault="00035D47" w:rsidP="00341E8F">
      <w:pPr>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w:t>
      </w:r>
      <w:r w:rsidR="000C7B34">
        <w:rPr>
          <w:rFonts w:ascii="Bookman Old Style" w:hAnsi="Bookman Old Style"/>
        </w:rPr>
        <w:t>.</w:t>
      </w:r>
      <w:r w:rsidRPr="001954E9">
        <w:rPr>
          <w:rFonts w:ascii="Bookman Old Style" w:hAnsi="Bookman Old Style"/>
        </w:rPr>
        <w:t xml:space="preserve"> sí doce (12) meses después de que haya quedado en firme los cargos aprobados en la presente resolución</w:t>
      </w:r>
      <w:r w:rsidR="000C7B34">
        <w:rPr>
          <w:rFonts w:ascii="Bookman Old Style" w:hAnsi="Bookman Old Style"/>
        </w:rPr>
        <w:t>.</w:t>
      </w:r>
      <w:r w:rsidRPr="001954E9">
        <w:rPr>
          <w:rFonts w:ascii="Bookman Old Style" w:hAnsi="Bookman Old Style"/>
        </w:rPr>
        <w:t xml:space="preserve"> no ha ejecutado al menos un 50% las inversiones propuestas para el primer año de inversión.</w:t>
      </w:r>
    </w:p>
    <w:p w:rsidR="00035D47" w:rsidRPr="001954E9" w:rsidRDefault="00035D47" w:rsidP="00341E8F">
      <w:pPr>
        <w:widowControl w:val="0"/>
        <w:adjustRightInd w:val="0"/>
        <w:ind w:left="0" w:right="20"/>
        <w:jc w:val="both"/>
        <w:rPr>
          <w:rFonts w:ascii="Bookman Old Style" w:hAnsi="Bookman Old Style" w:cs="Arial"/>
        </w:rPr>
      </w:pPr>
    </w:p>
    <w:p w:rsidR="00035D47" w:rsidRPr="001954E9" w:rsidRDefault="00035D47" w:rsidP="00341E8F">
      <w:pPr>
        <w:ind w:left="0"/>
        <w:jc w:val="center"/>
        <w:rPr>
          <w:rFonts w:ascii="Bookman Old Style" w:hAnsi="Bookman Old Style" w:cs="Arial"/>
          <w:b/>
          <w:spacing w:val="80"/>
        </w:rPr>
      </w:pPr>
      <w:r w:rsidRPr="001954E9">
        <w:rPr>
          <w:rFonts w:ascii="Bookman Old Style" w:hAnsi="Bookman Old Style" w:cs="Arial"/>
          <w:b/>
          <w:spacing w:val="80"/>
        </w:rPr>
        <w:t>CAPÍTULOII.</w:t>
      </w:r>
    </w:p>
    <w:p w:rsidR="00035D47" w:rsidRPr="001954E9" w:rsidRDefault="00035D47" w:rsidP="00341E8F">
      <w:pPr>
        <w:ind w:left="0"/>
        <w:jc w:val="center"/>
        <w:rPr>
          <w:rFonts w:ascii="Bookman Old Style" w:hAnsi="Bookman Old Style" w:cs="Arial"/>
          <w:b/>
          <w:spacing w:val="80"/>
        </w:rPr>
      </w:pPr>
    </w:p>
    <w:p w:rsidR="00327FC7" w:rsidRPr="001954E9" w:rsidRDefault="00327FC7" w:rsidP="00341E8F">
      <w:pPr>
        <w:ind w:left="0"/>
        <w:jc w:val="center"/>
        <w:rPr>
          <w:rFonts w:ascii="Bookman Old Style" w:hAnsi="Bookman Old Style" w:cs="Arial"/>
          <w:b/>
          <w:spacing w:val="80"/>
        </w:rPr>
      </w:pPr>
      <w:r w:rsidRPr="001954E9">
        <w:rPr>
          <w:rFonts w:ascii="Bookman Old Style" w:hAnsi="Bookman Old Style" w:cs="Arial"/>
          <w:b/>
          <w:spacing w:val="80"/>
        </w:rPr>
        <w:t xml:space="preserve"> FÓRMULA TARIFARIA</w:t>
      </w:r>
    </w:p>
    <w:p w:rsidR="00327FC7" w:rsidRPr="001954E9" w:rsidRDefault="00327FC7" w:rsidP="00341E8F">
      <w:pPr>
        <w:widowControl w:val="0"/>
        <w:adjustRightInd w:val="0"/>
        <w:ind w:left="0" w:right="20"/>
        <w:jc w:val="both"/>
        <w:rPr>
          <w:rFonts w:ascii="Bookman Old Style" w:hAnsi="Bookman Old Style" w:cs="Arial"/>
          <w:b/>
        </w:rPr>
      </w:pPr>
    </w:p>
    <w:p w:rsidR="00327FC7" w:rsidRPr="001954E9" w:rsidRDefault="00327FC7" w:rsidP="00341E8F">
      <w:pPr>
        <w:widowControl w:val="0"/>
        <w:adjustRightInd w:val="0"/>
        <w:ind w:left="0" w:right="20"/>
        <w:jc w:val="both"/>
        <w:rPr>
          <w:rFonts w:ascii="Bookman Old Style" w:hAnsi="Bookman Old Style" w:cs="Arial"/>
          <w:b/>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273C2C" w:rsidRPr="001954E9" w:rsidRDefault="00273C2C" w:rsidP="00341E8F">
      <w:pPr>
        <w:widowControl w:val="0"/>
        <w:adjustRightInd w:val="0"/>
        <w:ind w:left="0" w:right="20"/>
        <w:jc w:val="both"/>
        <w:rPr>
          <w:rFonts w:ascii="Bookman Old Style" w:hAnsi="Bookman Old Style" w:cs="Arial"/>
          <w:b/>
        </w:rPr>
      </w:pPr>
    </w:p>
    <w:p w:rsidR="00327FC7" w:rsidRPr="001954E9" w:rsidRDefault="00327FC7" w:rsidP="00341E8F">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w:t>
      </w:r>
      <w:r w:rsidR="000C7B34">
        <w:rPr>
          <w:rFonts w:ascii="Bookman Old Style" w:hAnsi="Bookman Old Style" w:cs="Arial"/>
        </w:rPr>
        <w:t>.</w:t>
      </w:r>
      <w:r w:rsidRPr="001954E9">
        <w:rPr>
          <w:rFonts w:ascii="Bookman Old Style" w:hAnsi="Bookman Old Style" w:cs="Arial"/>
        </w:rPr>
        <w:t xml:space="preserve">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w:t>
      </w:r>
      <w:r w:rsidR="000C7B34">
        <w:rPr>
          <w:rFonts w:ascii="Bookman Old Style" w:hAnsi="Bookman Old Style" w:cs="Arial"/>
        </w:rPr>
        <w:t>.</w:t>
      </w:r>
      <w:r w:rsidRPr="001954E9">
        <w:rPr>
          <w:rFonts w:ascii="Bookman Old Style" w:hAnsi="Bookman Old Style" w:cs="Arial"/>
        </w:rPr>
        <w:t xml:space="preserve"> tal como está previsto en el Artículo 126 de la Ley 142 de 1994.</w:t>
      </w:r>
    </w:p>
    <w:p w:rsidR="00327FC7" w:rsidRPr="001954E9" w:rsidRDefault="00327FC7" w:rsidP="00341E8F">
      <w:pPr>
        <w:widowControl w:val="0"/>
        <w:adjustRightInd w:val="0"/>
        <w:ind w:left="0" w:right="20"/>
        <w:jc w:val="both"/>
        <w:rPr>
          <w:rFonts w:ascii="Bookman Old Style" w:hAnsi="Bookman Old Style" w:cs="Arial"/>
          <w:b/>
        </w:rPr>
      </w:pPr>
    </w:p>
    <w:p w:rsidR="00327FC7" w:rsidRPr="001954E9" w:rsidRDefault="00327FC7" w:rsidP="00341E8F">
      <w:pPr>
        <w:ind w:left="0"/>
        <w:jc w:val="center"/>
        <w:rPr>
          <w:rFonts w:ascii="Bookman Old Style" w:hAnsi="Bookman Old Style" w:cs="Arial"/>
          <w:b/>
          <w:spacing w:val="80"/>
        </w:rPr>
      </w:pPr>
      <w:r w:rsidRPr="001954E9">
        <w:rPr>
          <w:rFonts w:ascii="Bookman Old Style" w:hAnsi="Bookman Old Style" w:cs="Arial"/>
          <w:b/>
          <w:spacing w:val="80"/>
        </w:rPr>
        <w:t>CAPÍTULOI</w:t>
      </w:r>
      <w:r w:rsidR="00A766E2" w:rsidRPr="001954E9">
        <w:rPr>
          <w:rFonts w:ascii="Bookman Old Style" w:hAnsi="Bookman Old Style" w:cs="Arial"/>
          <w:b/>
          <w:spacing w:val="80"/>
        </w:rPr>
        <w:t>II</w:t>
      </w:r>
      <w:r w:rsidRPr="001954E9">
        <w:rPr>
          <w:rFonts w:ascii="Bookman Old Style" w:hAnsi="Bookman Old Style" w:cs="Arial"/>
          <w:b/>
          <w:spacing w:val="80"/>
        </w:rPr>
        <w:t>.</w:t>
      </w:r>
    </w:p>
    <w:p w:rsidR="00327FC7" w:rsidRPr="001954E9" w:rsidRDefault="00327FC7" w:rsidP="00341E8F">
      <w:pPr>
        <w:ind w:left="0"/>
        <w:jc w:val="center"/>
        <w:rPr>
          <w:rFonts w:ascii="Bookman Old Style" w:hAnsi="Bookman Old Style" w:cs="Arial"/>
          <w:b/>
          <w:spacing w:val="80"/>
        </w:rPr>
      </w:pPr>
    </w:p>
    <w:p w:rsidR="00327FC7" w:rsidRPr="001954E9" w:rsidRDefault="00327FC7" w:rsidP="00341E8F">
      <w:pPr>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rsidR="00327FC7" w:rsidRPr="001954E9" w:rsidRDefault="00327FC7" w:rsidP="00341E8F">
      <w:pPr>
        <w:widowControl w:val="0"/>
        <w:adjustRightInd w:val="0"/>
        <w:ind w:left="0" w:right="20"/>
        <w:jc w:val="both"/>
        <w:rPr>
          <w:rFonts w:ascii="Bookman Old Style" w:hAnsi="Bookman Old Style" w:cs="Arial"/>
          <w:b/>
        </w:rPr>
      </w:pPr>
    </w:p>
    <w:p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w:t>
      </w:r>
      <w:r w:rsidR="00316D76" w:rsidRPr="000F2F87">
        <w:rPr>
          <w:rFonts w:ascii="Bookman Old Style" w:hAnsi="Bookman Old Style" w:cs="Arial"/>
          <w:spacing w:val="-4"/>
        </w:rPr>
        <w:t xml:space="preserve">empresa </w:t>
      </w:r>
      <w:r w:rsidR="001B0F48" w:rsidRPr="000F2F87">
        <w:rPr>
          <w:rFonts w:ascii="Bookman Old Style" w:hAnsi="Bookman Old Style" w:cs="Arial"/>
          <w:lang w:val="es-ES_tradnl"/>
        </w:rPr>
        <w:t>INGENIERIA Y SERVICIOS S.A. E.S.P</w:t>
      </w:r>
      <w:r w:rsidR="001B0F48" w:rsidRPr="008F367C">
        <w:rPr>
          <w:rFonts w:ascii="Bookman Old Style" w:hAnsi="Bookman Old Style" w:cs="Arial"/>
          <w:lang w:val="es-ES_tradnl"/>
        </w:rPr>
        <w:t>.</w:t>
      </w:r>
      <w:r w:rsidR="00316D76" w:rsidRPr="008F367C">
        <w:rPr>
          <w:rFonts w:ascii="Bookman Old Style" w:hAnsi="Bookman Old Style" w:cs="Arial"/>
          <w:spacing w:val="-4"/>
        </w:rPr>
        <w:t xml:space="preserve"> y publicarse</w:t>
      </w:r>
      <w:r w:rsidR="00316D76" w:rsidRPr="00341E8F">
        <w:rPr>
          <w:rFonts w:ascii="Bookman Old Style" w:hAnsi="Bookman Old Style" w:cs="Arial"/>
          <w:spacing w:val="-4"/>
        </w:rPr>
        <w:t xml:space="preserv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w:t>
      </w:r>
      <w:r w:rsidR="000C7B34">
        <w:rPr>
          <w:rFonts w:ascii="Bookman Old Style" w:hAnsi="Bookman Old Style" w:cs="Arial"/>
          <w:spacing w:val="-4"/>
        </w:rPr>
        <w:t>.</w:t>
      </w:r>
      <w:r w:rsidR="00316D76" w:rsidRPr="00341E8F">
        <w:rPr>
          <w:rFonts w:ascii="Bookman Old Style" w:hAnsi="Bookman Old Style" w:cs="Arial"/>
          <w:spacing w:val="-4"/>
        </w:rPr>
        <w:t xml:space="preserve">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273C2C" w:rsidRPr="001954E9" w:rsidRDefault="00273C2C"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w:t>
      </w:r>
      <w:r w:rsidR="000C7B34">
        <w:rPr>
          <w:rFonts w:ascii="Bookman Old Style" w:hAnsi="Bookman Old Style" w:cs="Arial"/>
          <w:b/>
        </w:rPr>
        <w:t>.</w:t>
      </w:r>
      <w:r w:rsidRPr="001954E9">
        <w:rPr>
          <w:rFonts w:ascii="Bookman Old Style" w:hAnsi="Bookman Old Style" w:cs="Arial"/>
          <w:b/>
        </w:rPr>
        <w:t xml:space="preserve"> PUBLÍQUESE Y CÚMPLASE</w:t>
      </w:r>
    </w:p>
    <w:p w:rsidR="00273C2C" w:rsidRPr="001954E9" w:rsidRDefault="00273C2C"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w:t>
      </w:r>
      <w:r w:rsidR="000C7B34">
        <w:rPr>
          <w:rFonts w:ascii="Bookman Old Style" w:hAnsi="Bookman Old Style" w:cs="Arial"/>
        </w:rPr>
        <w:t>.</w:t>
      </w:r>
      <w:r w:rsidRPr="001954E9">
        <w:rPr>
          <w:rFonts w:ascii="Bookman Old Style" w:hAnsi="Bookman Old Style" w:cs="Arial"/>
        </w:rPr>
        <w:t xml:space="preserve"> D.C.  </w:t>
      </w:r>
    </w:p>
    <w:p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rsidR="00984132" w:rsidRDefault="00984132" w:rsidP="00341E8F">
      <w:pPr>
        <w:widowControl w:val="0"/>
        <w:tabs>
          <w:tab w:val="left" w:pos="-720"/>
        </w:tabs>
        <w:suppressAutoHyphens/>
        <w:adjustRightInd w:val="0"/>
        <w:ind w:left="0" w:right="20"/>
        <w:jc w:val="both"/>
        <w:rPr>
          <w:rFonts w:ascii="Bookman Old Style" w:hAnsi="Bookman Old Style" w:cs="Arial"/>
          <w:spacing w:val="-3"/>
        </w:rPr>
      </w:pPr>
    </w:p>
    <w:p w:rsidR="00D926FF" w:rsidRDefault="00D926FF" w:rsidP="00341E8F">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4333D1" w:rsidTr="004333D1">
        <w:trPr>
          <w:tblCellSpacing w:w="0" w:type="dxa"/>
          <w:jc w:val="center"/>
        </w:trPr>
        <w:tc>
          <w:tcPr>
            <w:tcW w:w="5033" w:type="dxa"/>
          </w:tcPr>
          <w:p w:rsidR="004333D1" w:rsidRDefault="004333D1">
            <w:pPr>
              <w:jc w:val="both"/>
              <w:rPr>
                <w:rFonts w:ascii="Bookman Old Style" w:hAnsi="Bookman Old Style" w:cs="Arial"/>
                <w:b/>
                <w:spacing w:val="-3"/>
              </w:rPr>
            </w:pPr>
          </w:p>
          <w:p w:rsidR="004333D1" w:rsidRDefault="004333D1">
            <w:pPr>
              <w:ind w:left="66"/>
              <w:jc w:val="center"/>
              <w:rPr>
                <w:rFonts w:ascii="Bookman Old Style" w:hAnsi="Bookman Old Style" w:cs="Arial"/>
                <w:b/>
                <w:spacing w:val="-3"/>
              </w:rPr>
            </w:pPr>
          </w:p>
          <w:p w:rsidR="004333D1" w:rsidRDefault="004333D1">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4333D1" w:rsidRDefault="004333D1">
            <w:pPr>
              <w:ind w:left="0"/>
              <w:jc w:val="both"/>
              <w:rPr>
                <w:rFonts w:ascii="Bookman Old Style" w:hAnsi="Bookman Old Style" w:cs="Arial"/>
                <w:b/>
                <w:spacing w:val="-3"/>
              </w:rPr>
            </w:pPr>
          </w:p>
          <w:p w:rsidR="004333D1" w:rsidRDefault="004333D1">
            <w:pPr>
              <w:ind w:left="89"/>
              <w:jc w:val="center"/>
              <w:rPr>
                <w:rFonts w:ascii="Bookman Old Style" w:hAnsi="Bookman Old Style" w:cs="Arial"/>
                <w:b/>
                <w:spacing w:val="-3"/>
              </w:rPr>
            </w:pPr>
          </w:p>
          <w:p w:rsidR="004333D1" w:rsidRDefault="004333D1">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4333D1" w:rsidTr="004333D1">
        <w:trPr>
          <w:tblCellSpacing w:w="0" w:type="dxa"/>
          <w:jc w:val="center"/>
        </w:trPr>
        <w:tc>
          <w:tcPr>
            <w:tcW w:w="5033" w:type="dxa"/>
            <w:hideMark/>
          </w:tcPr>
          <w:p w:rsidR="004333D1" w:rsidRDefault="004333D1">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4333D1" w:rsidRDefault="004333D1">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4333D1" w:rsidTr="004333D1">
        <w:trPr>
          <w:tblCellSpacing w:w="0" w:type="dxa"/>
          <w:jc w:val="center"/>
        </w:trPr>
        <w:tc>
          <w:tcPr>
            <w:tcW w:w="5033" w:type="dxa"/>
            <w:hideMark/>
          </w:tcPr>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4333D1" w:rsidRDefault="004333D1">
            <w:pPr>
              <w:ind w:left="0"/>
              <w:jc w:val="both"/>
              <w:rPr>
                <w:rFonts w:ascii="Bookman Old Style" w:eastAsia="Arial Unicode MS" w:hAnsi="Bookman Old Style" w:cs="Arial"/>
                <w:color w:val="000000"/>
              </w:rPr>
            </w:pPr>
          </w:p>
        </w:tc>
      </w:tr>
    </w:tbl>
    <w:p w:rsidR="00D926FF" w:rsidRDefault="00D926FF" w:rsidP="00341E8F">
      <w:pPr>
        <w:widowControl w:val="0"/>
        <w:tabs>
          <w:tab w:val="left" w:pos="-720"/>
        </w:tabs>
        <w:suppressAutoHyphens/>
        <w:adjustRightInd w:val="0"/>
        <w:ind w:left="0" w:right="20"/>
        <w:jc w:val="both"/>
        <w:rPr>
          <w:rFonts w:ascii="Bookman Old Style" w:hAnsi="Bookman Old Style" w:cs="Arial"/>
          <w:spacing w:val="-3"/>
        </w:rPr>
      </w:pPr>
    </w:p>
    <w:p w:rsidR="00D926FF" w:rsidRDefault="00D926FF" w:rsidP="00341E8F">
      <w:pPr>
        <w:widowControl w:val="0"/>
        <w:tabs>
          <w:tab w:val="left" w:pos="-720"/>
        </w:tabs>
        <w:suppressAutoHyphens/>
        <w:adjustRightInd w:val="0"/>
        <w:ind w:left="0" w:right="20"/>
        <w:jc w:val="both"/>
        <w:rPr>
          <w:rFonts w:ascii="Bookman Old Style" w:hAnsi="Bookman Old Style" w:cs="Arial"/>
          <w:spacing w:val="-3"/>
        </w:rPr>
      </w:pPr>
    </w:p>
    <w:p w:rsidR="00D926FF" w:rsidRDefault="00D926FF" w:rsidP="00341E8F">
      <w:pPr>
        <w:widowControl w:val="0"/>
        <w:tabs>
          <w:tab w:val="left" w:pos="-720"/>
        </w:tabs>
        <w:suppressAutoHyphens/>
        <w:adjustRightInd w:val="0"/>
        <w:ind w:left="0" w:right="20"/>
        <w:jc w:val="both"/>
        <w:rPr>
          <w:rFonts w:ascii="Bookman Old Style" w:hAnsi="Bookman Old Style" w:cs="Arial"/>
          <w:spacing w:val="-3"/>
        </w:rPr>
      </w:pPr>
    </w:p>
    <w:p w:rsidR="00560B56" w:rsidRPr="001954E9" w:rsidRDefault="00560B56" w:rsidP="004257C0">
      <w:pPr>
        <w:widowControl w:val="0"/>
        <w:tabs>
          <w:tab w:val="left" w:pos="-720"/>
        </w:tabs>
        <w:suppressAutoHyphens/>
        <w:adjustRightInd w:val="0"/>
        <w:ind w:left="0" w:right="20"/>
        <w:jc w:val="center"/>
        <w:rPr>
          <w:rFonts w:ascii="Bookman Old Style" w:hAnsi="Bookman Old Style" w:cs="Arial"/>
          <w:spacing w:val="-3"/>
        </w:rPr>
      </w:pPr>
    </w:p>
    <w:p w:rsidR="00273C2C" w:rsidRDefault="00273C2C" w:rsidP="00341E8F">
      <w:pPr>
        <w:widowControl w:val="0"/>
        <w:adjustRightInd w:val="0"/>
        <w:ind w:left="0"/>
        <w:jc w:val="center"/>
        <w:rPr>
          <w:rFonts w:ascii="Bookman Old Style" w:hAnsi="Bookman Old Style" w:cs="Arial"/>
          <w:b/>
          <w:bCs/>
        </w:rPr>
      </w:pPr>
    </w:p>
    <w:p w:rsidR="00D329CC" w:rsidRDefault="00D329CC" w:rsidP="00341E8F">
      <w:pPr>
        <w:widowControl w:val="0"/>
        <w:adjustRightInd w:val="0"/>
        <w:ind w:left="0"/>
        <w:jc w:val="center"/>
        <w:rPr>
          <w:rFonts w:ascii="Bookman Old Style" w:hAnsi="Bookman Old Style" w:cs="Arial"/>
          <w:b/>
          <w:bCs/>
        </w:rPr>
      </w:pPr>
    </w:p>
    <w:p w:rsidR="00033184" w:rsidRDefault="00033184"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rsidR="00010201" w:rsidRDefault="00010201" w:rsidP="00341E8F">
      <w:pPr>
        <w:widowControl w:val="0"/>
        <w:adjustRightInd w:val="0"/>
        <w:ind w:left="0"/>
        <w:jc w:val="center"/>
        <w:rPr>
          <w:rFonts w:ascii="Bookman Old Style" w:hAnsi="Bookman Old Style" w:cs="Arial"/>
          <w:b/>
          <w:bCs/>
        </w:rPr>
      </w:pPr>
    </w:p>
    <w:p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rsidR="00273C2C" w:rsidRDefault="00273C2C" w:rsidP="00341E8F">
      <w:pPr>
        <w:keepNext/>
        <w:widowControl w:val="0"/>
        <w:adjustRightInd w:val="0"/>
        <w:ind w:left="0"/>
        <w:jc w:val="center"/>
        <w:outlineLvl w:val="0"/>
        <w:rPr>
          <w:rFonts w:ascii="Bookman Old Style" w:hAnsi="Bookman Old Style"/>
          <w:b/>
          <w:bCs/>
        </w:rPr>
      </w:pPr>
    </w:p>
    <w:p w:rsidR="00DC331E" w:rsidRPr="001954E9" w:rsidRDefault="00DC331E"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A77587" w:rsidRDefault="00A77587" w:rsidP="00341E8F">
      <w:pPr>
        <w:keepNext/>
        <w:widowControl w:val="0"/>
        <w:adjustRightInd w:val="0"/>
        <w:ind w:left="0"/>
        <w:jc w:val="center"/>
        <w:outlineLvl w:val="0"/>
        <w:rPr>
          <w:rFonts w:ascii="Bookman Old Style" w:hAnsi="Bookman Old Style"/>
          <w:b/>
          <w:bCs/>
        </w:rPr>
      </w:pPr>
    </w:p>
    <w:tbl>
      <w:tblPr>
        <w:tblW w:w="9537" w:type="dxa"/>
        <w:jc w:val="center"/>
        <w:tblLayout w:type="fixed"/>
        <w:tblCellMar>
          <w:left w:w="70" w:type="dxa"/>
          <w:right w:w="70" w:type="dxa"/>
        </w:tblCellMar>
        <w:tblLook w:val="04A0" w:firstRow="1" w:lastRow="0" w:firstColumn="1" w:lastColumn="0" w:noHBand="0" w:noVBand="1"/>
      </w:tblPr>
      <w:tblGrid>
        <w:gridCol w:w="1555"/>
        <w:gridCol w:w="1559"/>
        <w:gridCol w:w="850"/>
        <w:gridCol w:w="851"/>
        <w:gridCol w:w="992"/>
        <w:gridCol w:w="709"/>
        <w:gridCol w:w="425"/>
        <w:gridCol w:w="426"/>
        <w:gridCol w:w="425"/>
        <w:gridCol w:w="425"/>
        <w:gridCol w:w="425"/>
        <w:gridCol w:w="895"/>
      </w:tblGrid>
      <w:tr w:rsidR="000427D8" w:rsidRPr="00A77587" w:rsidTr="00A8392D">
        <w:trPr>
          <w:trHeight w:val="375"/>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 </w:t>
            </w:r>
          </w:p>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Municipio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 </w:t>
            </w:r>
          </w:p>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Unidad Constructiva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 </w:t>
            </w:r>
          </w:p>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Código UC</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 </w:t>
            </w:r>
          </w:p>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Costo</w:t>
            </w:r>
            <w:r>
              <w:rPr>
                <w:rFonts w:ascii="Bookman Old Style" w:hAnsi="Bookman Old Style"/>
                <w:b/>
                <w:color w:val="000000"/>
                <w:sz w:val="10"/>
                <w:szCs w:val="10"/>
                <w:lang w:val="es-CO" w:eastAsia="es-CO"/>
              </w:rPr>
              <w:t xml:space="preserve"> Unitario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 </w:t>
            </w:r>
          </w:p>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Tipo de Inversión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 </w:t>
            </w:r>
          </w:p>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Red</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Cantidad</w:t>
            </w:r>
          </w:p>
        </w:tc>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0427D8" w:rsidRPr="000427D8" w:rsidRDefault="000427D8" w:rsidP="00A77587">
            <w:pPr>
              <w:ind w:left="0"/>
              <w:jc w:val="center"/>
              <w:rPr>
                <w:rFonts w:ascii="Bookman Old Style" w:hAnsi="Bookman Old Style"/>
                <w:b/>
                <w:color w:val="000000"/>
                <w:sz w:val="10"/>
                <w:szCs w:val="10"/>
                <w:lang w:val="es-CO" w:eastAsia="es-CO"/>
              </w:rPr>
            </w:pPr>
            <w:r w:rsidRPr="000427D8">
              <w:rPr>
                <w:rFonts w:ascii="Bookman Old Style" w:hAnsi="Bookman Old Style"/>
                <w:b/>
                <w:color w:val="000000"/>
                <w:sz w:val="10"/>
                <w:szCs w:val="10"/>
                <w:lang w:val="es-CO" w:eastAsia="es-CO"/>
              </w:rPr>
              <w:t>Costo Total</w:t>
            </w:r>
          </w:p>
        </w:tc>
      </w:tr>
      <w:tr w:rsidR="000427D8" w:rsidRPr="00A77587" w:rsidTr="00A8392D">
        <w:trPr>
          <w:trHeight w:val="270"/>
          <w:jc w:val="center"/>
        </w:trPr>
        <w:tc>
          <w:tcPr>
            <w:tcW w:w="1555" w:type="dxa"/>
            <w:vMerge/>
            <w:tcBorders>
              <w:top w:val="single" w:sz="4" w:space="0" w:color="auto"/>
              <w:left w:val="single" w:sz="4" w:space="0" w:color="auto"/>
              <w:bottom w:val="single" w:sz="4" w:space="0" w:color="auto"/>
              <w:right w:val="nil"/>
            </w:tcBorders>
            <w:shd w:val="clear" w:color="auto" w:fill="auto"/>
            <w:noWrap/>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c>
          <w:tcPr>
            <w:tcW w:w="1559" w:type="dxa"/>
            <w:vMerge/>
            <w:tcBorders>
              <w:top w:val="single" w:sz="4" w:space="0" w:color="auto"/>
              <w:left w:val="nil"/>
              <w:bottom w:val="single" w:sz="4" w:space="0" w:color="auto"/>
              <w:right w:val="single" w:sz="4" w:space="0" w:color="auto"/>
            </w:tcBorders>
            <w:shd w:val="clear" w:color="auto" w:fill="auto"/>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c>
          <w:tcPr>
            <w:tcW w:w="992" w:type="dxa"/>
            <w:vMerge/>
            <w:tcBorders>
              <w:top w:val="single" w:sz="4" w:space="0" w:color="auto"/>
              <w:left w:val="nil"/>
              <w:bottom w:val="single" w:sz="4" w:space="0" w:color="auto"/>
              <w:right w:val="nil"/>
            </w:tcBorders>
            <w:shd w:val="clear" w:color="auto" w:fill="auto"/>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c>
          <w:tcPr>
            <w:tcW w:w="709" w:type="dxa"/>
            <w:vMerge/>
            <w:tcBorders>
              <w:top w:val="single" w:sz="4" w:space="0" w:color="auto"/>
              <w:left w:val="nil"/>
              <w:bottom w:val="single" w:sz="4" w:space="0" w:color="auto"/>
              <w:right w:val="nil"/>
            </w:tcBorders>
            <w:shd w:val="clear" w:color="auto" w:fill="auto"/>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Año 1</w:t>
            </w:r>
          </w:p>
        </w:tc>
        <w:tc>
          <w:tcPr>
            <w:tcW w:w="4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Año 2</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Año 3</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Año 4</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Año 5</w:t>
            </w:r>
          </w:p>
        </w:tc>
        <w:tc>
          <w:tcPr>
            <w:tcW w:w="895" w:type="dxa"/>
            <w:vMerge/>
            <w:tcBorders>
              <w:left w:val="single" w:sz="4" w:space="0" w:color="auto"/>
              <w:bottom w:val="nil"/>
              <w:right w:val="single" w:sz="4" w:space="0" w:color="auto"/>
            </w:tcBorders>
            <w:shd w:val="clear" w:color="auto" w:fill="auto"/>
            <w:vAlign w:val="center"/>
            <w:hideMark/>
          </w:tcPr>
          <w:p w:rsidR="000427D8" w:rsidRPr="00A77587" w:rsidRDefault="000427D8" w:rsidP="00A77587">
            <w:pPr>
              <w:ind w:left="0"/>
              <w:jc w:val="center"/>
              <w:rPr>
                <w:rFonts w:ascii="Bookman Old Style" w:hAnsi="Bookman Old Style"/>
                <w:color w:val="000000"/>
                <w:sz w:val="10"/>
                <w:szCs w:val="10"/>
                <w:lang w:val="es-CO" w:eastAsia="es-CO"/>
              </w:rPr>
            </w:pP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3/4 pulg. en Anden Concreto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TPE3/4ACO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128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161</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483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022</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3 pulg. en Anden Concreto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TPE3ACO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99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070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595</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520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071</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3/4 pulg. en Zona Verde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TPE3/4ZV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062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143</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6</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02</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114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754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099</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1 pulg. en Zona Verde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TPE1ZV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713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974</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68</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128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310</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3 pulg. en Zona Verde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TPE3ZV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647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062</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49</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135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907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244</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Perforacion Horizontal PE Ø3/4" luz 8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994</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994</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Perforacion Horizontal PE Ø1" Luz 8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667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501</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667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501</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Ø3/4" luz 8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6</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838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406</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6</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838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406</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 xml:space="preserve">MINI ESTACIÓN DE MEDICIÓN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150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000</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150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000</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Ø3" y Ø3/4" luz 12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642</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642</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Perforacion Horizontal PE Ø3/4" luz 6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973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174</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973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174</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Taravita-Fuquene-Cundinamarca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Ø1" luz 37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198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960</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198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960</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3/4 pulg. en Zona Verde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TPE3/4ZV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062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143</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32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47</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618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947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773</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Tubería de Polietileno de 1 pulg. en Zona Verde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TPE1ZV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713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974</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77</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16</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719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760</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Data Logger o Manógrafo de 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PLI01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510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459</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510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459</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Detector Portátil de Odorizante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IO02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619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411</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619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411</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Ø3/4" luz 15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762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790</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525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580</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Subfluvial PE Ø3/4" luz 4ml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243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562</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24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845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488</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Perforacion Horizontal PE Ø3/4" luz 8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994</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104</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689</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886</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Perforacion Horizontal PE Ø1" Luz 8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667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501</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667</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501</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Ø3/4" luz 12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555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854</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555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854</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Ø1" y Ø3/4" luz 15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291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753</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291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753</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Ø3" y Ø3/4" luz 12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642</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Primaria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15</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093</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642</w:t>
            </w:r>
          </w:p>
        </w:tc>
      </w:tr>
      <w:tr w:rsidR="00A77587" w:rsidRPr="00A77587" w:rsidTr="00A8392D">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Vda  Ticha, Nengua y Miña-Guacheta-Cundinamarca</w:t>
            </w:r>
          </w:p>
        </w:tc>
        <w:tc>
          <w:tcPr>
            <w:tcW w:w="155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Cruce Especial Aereo PE Ø3/4" luz 8 ml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7587" w:rsidRPr="00A77587" w:rsidRDefault="00A77587" w:rsidP="000427D8">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TMP-3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6</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838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406</w:t>
            </w:r>
          </w:p>
        </w:tc>
        <w:tc>
          <w:tcPr>
            <w:tcW w:w="992"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center"/>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Secundaria</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1</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6"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42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0</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00</w:t>
            </w:r>
          </w:p>
        </w:tc>
        <w:tc>
          <w:tcPr>
            <w:tcW w:w="895" w:type="dxa"/>
            <w:tcBorders>
              <w:top w:val="nil"/>
              <w:left w:val="nil"/>
              <w:bottom w:val="single" w:sz="4" w:space="0" w:color="auto"/>
              <w:right w:val="single" w:sz="4" w:space="0" w:color="auto"/>
            </w:tcBorders>
            <w:shd w:val="clear" w:color="auto" w:fill="auto"/>
            <w:noWrap/>
            <w:vAlign w:val="center"/>
            <w:hideMark/>
          </w:tcPr>
          <w:p w:rsidR="00A77587" w:rsidRPr="00A77587" w:rsidRDefault="00A77587" w:rsidP="00A77587">
            <w:pPr>
              <w:ind w:left="0"/>
              <w:jc w:val="right"/>
              <w:rPr>
                <w:rFonts w:ascii="Bookman Old Style" w:hAnsi="Bookman Old Style"/>
                <w:color w:val="000000"/>
                <w:sz w:val="10"/>
                <w:szCs w:val="10"/>
                <w:lang w:val="es-CO" w:eastAsia="es-CO"/>
              </w:rPr>
            </w:pPr>
            <w:r w:rsidRPr="00A77587">
              <w:rPr>
                <w:rFonts w:ascii="Bookman Old Style" w:hAnsi="Bookman Old Style"/>
                <w:color w:val="000000"/>
                <w:sz w:val="10"/>
                <w:szCs w:val="10"/>
                <w:lang w:val="es-CO" w:eastAsia="es-CO"/>
              </w:rPr>
              <w:t>6</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838</w:t>
            </w:r>
            <w:r w:rsidR="000427D8">
              <w:rPr>
                <w:rFonts w:ascii="Bookman Old Style" w:hAnsi="Bookman Old Style"/>
                <w:color w:val="000000"/>
                <w:sz w:val="10"/>
                <w:szCs w:val="10"/>
                <w:lang w:val="es-CO" w:eastAsia="es-CO"/>
              </w:rPr>
              <w:t>.</w:t>
            </w:r>
            <w:r w:rsidRPr="00A77587">
              <w:rPr>
                <w:rFonts w:ascii="Bookman Old Style" w:hAnsi="Bookman Old Style"/>
                <w:color w:val="000000"/>
                <w:sz w:val="10"/>
                <w:szCs w:val="10"/>
                <w:lang w:val="es-CO" w:eastAsia="es-CO"/>
              </w:rPr>
              <w:t>406</w:t>
            </w:r>
          </w:p>
        </w:tc>
      </w:tr>
    </w:tbl>
    <w:p w:rsidR="00BD0874" w:rsidRPr="00BD0874" w:rsidRDefault="00BD0874" w:rsidP="00E54CA5">
      <w:pPr>
        <w:ind w:left="0"/>
        <w:rPr>
          <w:rFonts w:ascii="Bookman Old Style" w:hAnsi="Bookman Old Style"/>
          <w:color w:val="000000"/>
          <w:sz w:val="10"/>
          <w:szCs w:val="10"/>
          <w:lang w:val="es-CO" w:eastAsia="es-CO"/>
        </w:rPr>
      </w:pPr>
    </w:p>
    <w:p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(Valores expresados en de pesos del 31 de diciembre de 201</w:t>
      </w:r>
      <w:r w:rsidR="00C72BA5">
        <w:rPr>
          <w:rFonts w:ascii="Bookman Old Style" w:hAnsi="Bookman Old Style" w:cs="Arial"/>
          <w:bCs/>
          <w:sz w:val="14"/>
        </w:rPr>
        <w:t>6</w:t>
      </w:r>
      <w:r w:rsidRPr="00CF6508">
        <w:rPr>
          <w:rFonts w:ascii="Bookman Old Style" w:hAnsi="Bookman Old Style" w:cs="Arial"/>
          <w:bCs/>
          <w:sz w:val="14"/>
        </w:rPr>
        <w:t>)</w:t>
      </w:r>
    </w:p>
    <w:p w:rsidR="00273C2C" w:rsidRPr="001954E9" w:rsidRDefault="00273C2C" w:rsidP="00341E8F">
      <w:pPr>
        <w:widowControl w:val="0"/>
        <w:adjustRightInd w:val="0"/>
        <w:ind w:left="0"/>
        <w:jc w:val="center"/>
        <w:rPr>
          <w:rFonts w:ascii="Bookman Old Style" w:hAnsi="Bookman Old Style" w:cs="Arial"/>
          <w:bCs/>
          <w:sz w:val="20"/>
        </w:rPr>
      </w:pPr>
    </w:p>
    <w:p w:rsidR="00273C2C" w:rsidRPr="001954E9" w:rsidRDefault="00273C2C" w:rsidP="00341E8F">
      <w:pPr>
        <w:widowControl w:val="0"/>
        <w:adjustRightInd w:val="0"/>
        <w:ind w:left="0"/>
        <w:jc w:val="center"/>
        <w:rPr>
          <w:rFonts w:ascii="Bookman Old Style" w:hAnsi="Bookman Old Style" w:cs="Arial"/>
          <w:bCs/>
          <w:sz w:val="20"/>
        </w:rPr>
      </w:pPr>
    </w:p>
    <w:p w:rsidR="00273C2C" w:rsidRDefault="00273C2C" w:rsidP="00341E8F">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4333D1" w:rsidTr="004333D1">
        <w:trPr>
          <w:tblCellSpacing w:w="0" w:type="dxa"/>
          <w:jc w:val="center"/>
        </w:trPr>
        <w:tc>
          <w:tcPr>
            <w:tcW w:w="5033" w:type="dxa"/>
          </w:tcPr>
          <w:p w:rsidR="004333D1" w:rsidRDefault="004333D1">
            <w:pPr>
              <w:jc w:val="both"/>
              <w:rPr>
                <w:rFonts w:ascii="Bookman Old Style" w:hAnsi="Bookman Old Style" w:cs="Arial"/>
                <w:b/>
                <w:spacing w:val="-3"/>
              </w:rPr>
            </w:pPr>
          </w:p>
          <w:p w:rsidR="004333D1" w:rsidRDefault="004333D1">
            <w:pPr>
              <w:ind w:left="66"/>
              <w:jc w:val="center"/>
              <w:rPr>
                <w:rFonts w:ascii="Bookman Old Style" w:hAnsi="Bookman Old Style" w:cs="Arial"/>
                <w:b/>
                <w:spacing w:val="-3"/>
              </w:rPr>
            </w:pPr>
          </w:p>
          <w:p w:rsidR="004333D1" w:rsidRDefault="004333D1">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4333D1" w:rsidRDefault="004333D1">
            <w:pPr>
              <w:ind w:left="0"/>
              <w:jc w:val="both"/>
              <w:rPr>
                <w:rFonts w:ascii="Bookman Old Style" w:hAnsi="Bookman Old Style" w:cs="Arial"/>
                <w:b/>
                <w:spacing w:val="-3"/>
              </w:rPr>
            </w:pPr>
          </w:p>
          <w:p w:rsidR="004333D1" w:rsidRDefault="004333D1">
            <w:pPr>
              <w:ind w:left="89"/>
              <w:jc w:val="center"/>
              <w:rPr>
                <w:rFonts w:ascii="Bookman Old Style" w:hAnsi="Bookman Old Style" w:cs="Arial"/>
                <w:b/>
                <w:spacing w:val="-3"/>
              </w:rPr>
            </w:pPr>
          </w:p>
          <w:p w:rsidR="004333D1" w:rsidRDefault="004333D1">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4333D1" w:rsidTr="004333D1">
        <w:trPr>
          <w:tblCellSpacing w:w="0" w:type="dxa"/>
          <w:jc w:val="center"/>
        </w:trPr>
        <w:tc>
          <w:tcPr>
            <w:tcW w:w="5033" w:type="dxa"/>
            <w:hideMark/>
          </w:tcPr>
          <w:p w:rsidR="004333D1" w:rsidRDefault="004333D1">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4333D1" w:rsidRDefault="004333D1">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4333D1" w:rsidTr="004333D1">
        <w:trPr>
          <w:tblCellSpacing w:w="0" w:type="dxa"/>
          <w:jc w:val="center"/>
        </w:trPr>
        <w:tc>
          <w:tcPr>
            <w:tcW w:w="5033" w:type="dxa"/>
            <w:hideMark/>
          </w:tcPr>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4333D1" w:rsidRDefault="004333D1">
            <w:pPr>
              <w:ind w:left="0"/>
              <w:jc w:val="both"/>
              <w:rPr>
                <w:rFonts w:ascii="Bookman Old Style" w:eastAsia="Arial Unicode MS" w:hAnsi="Bookman Old Style" w:cs="Arial"/>
                <w:color w:val="000000"/>
              </w:rPr>
            </w:pPr>
          </w:p>
        </w:tc>
      </w:tr>
    </w:tbl>
    <w:p w:rsidR="00415FAD" w:rsidRDefault="00415FAD"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p w:rsidR="00984132" w:rsidRDefault="00984132" w:rsidP="00E54CA5">
      <w:pPr>
        <w:widowControl w:val="0"/>
        <w:adjustRightInd w:val="0"/>
        <w:ind w:left="0"/>
        <w:rPr>
          <w:rFonts w:ascii="Bookman Old Style" w:hAnsi="Bookman Old Style" w:cs="Arial"/>
          <w:bCs/>
          <w:sz w:val="20"/>
        </w:rPr>
      </w:pPr>
    </w:p>
    <w:p w:rsidR="00E27DA3" w:rsidRDefault="00E27DA3" w:rsidP="00341E8F">
      <w:pPr>
        <w:keepNext/>
        <w:widowControl w:val="0"/>
        <w:adjustRightInd w:val="0"/>
        <w:ind w:left="0"/>
        <w:jc w:val="center"/>
        <w:outlineLvl w:val="0"/>
        <w:rPr>
          <w:rFonts w:ascii="Bookman Old Style" w:hAnsi="Bookman Old Style" w:cs="Arial"/>
          <w:b/>
          <w:bCs/>
        </w:rPr>
      </w:pPr>
    </w:p>
    <w:p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t>ANEXO 2</w:t>
      </w:r>
    </w:p>
    <w:p w:rsidR="00273C2C" w:rsidRDefault="00273C2C" w:rsidP="00341E8F">
      <w:pPr>
        <w:keepNext/>
        <w:widowControl w:val="0"/>
        <w:adjustRightInd w:val="0"/>
        <w:ind w:left="0"/>
        <w:jc w:val="center"/>
        <w:outlineLvl w:val="0"/>
        <w:rPr>
          <w:rFonts w:ascii="Bookman Old Style" w:hAnsi="Bookman Old Style" w:cs="Arial"/>
          <w:b/>
          <w:bCs/>
        </w:rPr>
      </w:pPr>
    </w:p>
    <w:p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t>PROYECCIONES DE USUARIOS Y DEMANDA</w:t>
      </w:r>
    </w:p>
    <w:p w:rsidR="003E2FE2" w:rsidRDefault="003E2FE2" w:rsidP="00341E8F">
      <w:pPr>
        <w:widowControl w:val="0"/>
        <w:adjustRightInd w:val="0"/>
        <w:ind w:left="0"/>
        <w:jc w:val="center"/>
        <w:rPr>
          <w:rFonts w:ascii="Bookman Old Style" w:hAnsi="Bookman Old Style" w:cs="Arial"/>
          <w:b/>
        </w:rPr>
      </w:pP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633158" w:rsidRDefault="00633158" w:rsidP="00341E8F">
      <w:pPr>
        <w:widowControl w:val="0"/>
        <w:adjustRightInd w:val="0"/>
        <w:ind w:left="0"/>
        <w:jc w:val="center"/>
        <w:rPr>
          <w:rFonts w:ascii="Bookman Old Style" w:hAnsi="Bookman Old Style" w:cs="Arial"/>
          <w:b/>
          <w:sz w:val="20"/>
        </w:rPr>
      </w:pPr>
    </w:p>
    <w:tbl>
      <w:tblPr>
        <w:tblW w:w="9256" w:type="dxa"/>
        <w:tblCellMar>
          <w:left w:w="70" w:type="dxa"/>
          <w:right w:w="70" w:type="dxa"/>
        </w:tblCellMar>
        <w:tblLook w:val="04A0" w:firstRow="1" w:lastRow="0" w:firstColumn="1" w:lastColumn="0" w:noHBand="0" w:noVBand="1"/>
      </w:tblPr>
      <w:tblGrid>
        <w:gridCol w:w="2127"/>
        <w:gridCol w:w="844"/>
        <w:gridCol w:w="560"/>
        <w:gridCol w:w="697"/>
        <w:gridCol w:w="560"/>
        <w:gridCol w:w="697"/>
        <w:gridCol w:w="560"/>
        <w:gridCol w:w="697"/>
        <w:gridCol w:w="560"/>
        <w:gridCol w:w="697"/>
        <w:gridCol w:w="560"/>
        <w:gridCol w:w="697"/>
      </w:tblGrid>
      <w:tr w:rsidR="003D0070" w:rsidRPr="003D0070" w:rsidTr="00195338">
        <w:trPr>
          <w:trHeight w:val="212"/>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D0070" w:rsidRPr="003D0070" w:rsidRDefault="003D0070" w:rsidP="00195338">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Municipio</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D0070" w:rsidRPr="003D0070" w:rsidRDefault="003D0070" w:rsidP="00195338">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Usuario</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Año 1</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Año 2</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Año 3</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Año 4</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b/>
                <w:color w:val="000000"/>
                <w:sz w:val="12"/>
                <w:szCs w:val="12"/>
                <w:lang w:val="es-CO" w:eastAsia="es-CO"/>
              </w:rPr>
            </w:pPr>
            <w:r w:rsidRPr="003D0070">
              <w:rPr>
                <w:rFonts w:ascii="Bookman Old Style" w:hAnsi="Bookman Old Style"/>
                <w:b/>
                <w:color w:val="000000"/>
                <w:sz w:val="12"/>
                <w:szCs w:val="12"/>
                <w:lang w:val="es-CO" w:eastAsia="es-CO"/>
              </w:rPr>
              <w:t>Año 5</w:t>
            </w:r>
          </w:p>
        </w:tc>
      </w:tr>
      <w:tr w:rsidR="003D0070" w:rsidRPr="003D0070" w:rsidTr="00195338">
        <w:trPr>
          <w:trHeight w:val="129"/>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2"/>
                <w:szCs w:val="12"/>
                <w:lang w:val="es-CO" w:eastAsia="es-CO"/>
              </w:rPr>
            </w:pPr>
          </w:p>
        </w:tc>
        <w:tc>
          <w:tcPr>
            <w:tcW w:w="84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2"/>
                <w:szCs w:val="12"/>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0070" w:rsidRPr="003D0070" w:rsidRDefault="003D0070" w:rsidP="003D0070">
            <w:pPr>
              <w:ind w:left="0"/>
              <w:jc w:val="center"/>
              <w:rPr>
                <w:rFonts w:ascii="Bookman Old Style" w:hAnsi="Bookman Old Style"/>
                <w:color w:val="000000"/>
                <w:sz w:val="10"/>
                <w:szCs w:val="10"/>
                <w:lang w:val="es-CO" w:eastAsia="es-CO"/>
              </w:rPr>
            </w:pPr>
            <w:r w:rsidRPr="003D0070">
              <w:rPr>
                <w:rFonts w:ascii="Bookman Old Style" w:hAnsi="Bookman Old Style"/>
                <w:color w:val="000000"/>
                <w:sz w:val="10"/>
                <w:szCs w:val="10"/>
                <w:lang w:val="es-CO" w:eastAsia="es-CO"/>
              </w:rPr>
              <w:t>Secundaria</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98</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98</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99</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98</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98</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99</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Taravita-Fuquene-Cundinamarca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361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362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362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362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364</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101</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161</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162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162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162</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162</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101</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r>
      <w:tr w:rsidR="003D0070" w:rsidRPr="003D0070" w:rsidTr="00195338">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Vda  Ticha, Nengua y Miña-Guacheta-Cundinamarca</w:t>
            </w:r>
          </w:p>
        </w:tc>
        <w:tc>
          <w:tcPr>
            <w:tcW w:w="844" w:type="dxa"/>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3D0070" w:rsidRPr="003D0070" w:rsidRDefault="003D0070" w:rsidP="003D0070">
            <w:pPr>
              <w:ind w:left="0"/>
              <w:jc w:val="right"/>
              <w:rPr>
                <w:rFonts w:ascii="Bookman Old Style" w:hAnsi="Bookman Old Style"/>
                <w:color w:val="000000"/>
                <w:sz w:val="12"/>
                <w:szCs w:val="12"/>
                <w:lang w:val="es-CO" w:eastAsia="es-CO"/>
              </w:rPr>
            </w:pPr>
            <w:r w:rsidRPr="003D0070">
              <w:rPr>
                <w:rFonts w:ascii="Bookman Old Style" w:hAnsi="Bookman Old Style"/>
                <w:color w:val="000000"/>
                <w:sz w:val="12"/>
                <w:szCs w:val="12"/>
                <w:lang w:val="es-CO" w:eastAsia="es-CO"/>
              </w:rPr>
              <w:t>3</w:t>
            </w:r>
          </w:p>
        </w:tc>
      </w:tr>
    </w:tbl>
    <w:p w:rsidR="003D0070" w:rsidRDefault="003D0070" w:rsidP="00341E8F">
      <w:pPr>
        <w:widowControl w:val="0"/>
        <w:adjustRightInd w:val="0"/>
        <w:ind w:left="0"/>
        <w:jc w:val="center"/>
        <w:rPr>
          <w:rFonts w:ascii="Bookman Old Style" w:hAnsi="Bookman Old Style" w:cs="Arial"/>
          <w:b/>
          <w:sz w:val="20"/>
        </w:rPr>
      </w:pPr>
    </w:p>
    <w:tbl>
      <w:tblPr>
        <w:tblW w:w="0" w:type="auto"/>
        <w:shd w:val="clear" w:color="auto" w:fill="FFFFFF" w:themeFill="background1"/>
        <w:tblCellMar>
          <w:left w:w="70" w:type="dxa"/>
          <w:right w:w="70" w:type="dxa"/>
        </w:tblCellMar>
        <w:tblLook w:val="04A0" w:firstRow="1" w:lastRow="0" w:firstColumn="1" w:lastColumn="0" w:noHBand="0" w:noVBand="1"/>
      </w:tblPr>
      <w:tblGrid>
        <w:gridCol w:w="2127"/>
        <w:gridCol w:w="808"/>
        <w:gridCol w:w="560"/>
        <w:gridCol w:w="758"/>
        <w:gridCol w:w="560"/>
        <w:gridCol w:w="697"/>
        <w:gridCol w:w="560"/>
        <w:gridCol w:w="697"/>
        <w:gridCol w:w="560"/>
        <w:gridCol w:w="697"/>
        <w:gridCol w:w="560"/>
        <w:gridCol w:w="697"/>
        <w:gridCol w:w="7"/>
      </w:tblGrid>
      <w:tr w:rsidR="00195338" w:rsidRPr="00195338" w:rsidTr="004333D1">
        <w:trPr>
          <w:trHeight w:val="127"/>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95338" w:rsidRPr="00195338" w:rsidRDefault="00195338" w:rsidP="00195338">
            <w:pPr>
              <w:ind w:left="0"/>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 </w:t>
            </w:r>
          </w:p>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Municipio</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95338" w:rsidRPr="00195338" w:rsidRDefault="00195338" w:rsidP="00195338">
            <w:pPr>
              <w:ind w:left="0"/>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 </w:t>
            </w:r>
          </w:p>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Usuario</w:t>
            </w:r>
          </w:p>
        </w:tc>
        <w:tc>
          <w:tcPr>
            <w:tcW w:w="1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Año 6</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Año 7</w:t>
            </w:r>
          </w:p>
        </w:tc>
        <w:tc>
          <w:tcPr>
            <w:tcW w:w="0" w:type="auto"/>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Año 8</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Año 9</w:t>
            </w:r>
          </w:p>
        </w:tc>
        <w:tc>
          <w:tcPr>
            <w:tcW w:w="1264"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b/>
                <w:color w:val="000000"/>
                <w:sz w:val="12"/>
                <w:szCs w:val="12"/>
                <w:lang w:val="es-CO" w:eastAsia="es-CO"/>
              </w:rPr>
            </w:pPr>
            <w:r w:rsidRPr="00195338">
              <w:rPr>
                <w:rFonts w:ascii="Bookman Old Style" w:hAnsi="Bookman Old Style"/>
                <w:b/>
                <w:color w:val="000000"/>
                <w:sz w:val="12"/>
                <w:szCs w:val="12"/>
                <w:lang w:val="es-CO" w:eastAsia="es-CO"/>
              </w:rPr>
              <w:t>Año 10</w:t>
            </w:r>
          </w:p>
        </w:tc>
      </w:tr>
      <w:tr w:rsidR="00195338" w:rsidRPr="00195338" w:rsidTr="004333D1">
        <w:trPr>
          <w:gridAfter w:val="1"/>
          <w:wAfter w:w="7" w:type="dxa"/>
          <w:trHeight w:val="116"/>
          <w:tblHeader/>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2"/>
                <w:szCs w:val="12"/>
                <w:lang w:val="es-CO" w:eastAsia="es-CO"/>
              </w:rPr>
            </w:pPr>
          </w:p>
        </w:tc>
        <w:tc>
          <w:tcPr>
            <w:tcW w:w="8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2"/>
                <w:szCs w:val="12"/>
                <w:lang w:val="es-CO" w:eastAsia="es-CO"/>
              </w:rPr>
            </w:pP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Primaria</w:t>
            </w:r>
          </w:p>
        </w:tc>
        <w:tc>
          <w:tcPr>
            <w:tcW w:w="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Secundaria</w:t>
            </w:r>
          </w:p>
        </w:tc>
        <w:tc>
          <w:tcPr>
            <w:tcW w:w="560" w:type="dxa"/>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195338" w:rsidRPr="00195338" w:rsidRDefault="00195338" w:rsidP="00195338">
            <w:pPr>
              <w:ind w:left="0"/>
              <w:jc w:val="center"/>
              <w:rPr>
                <w:rFonts w:ascii="Bookman Old Style" w:hAnsi="Bookman Old Style"/>
                <w:color w:val="000000"/>
                <w:sz w:val="10"/>
                <w:szCs w:val="10"/>
                <w:lang w:val="es-CO" w:eastAsia="es-CO"/>
              </w:rPr>
            </w:pPr>
            <w:r w:rsidRPr="00195338">
              <w:rPr>
                <w:rFonts w:ascii="Bookman Old Style" w:hAnsi="Bookman Old Style"/>
                <w:color w:val="000000"/>
                <w:sz w:val="10"/>
                <w:szCs w:val="10"/>
                <w:lang w:val="es-CO" w:eastAsia="es-CO"/>
              </w:rPr>
              <w:t>Secundaria</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Residencial</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99</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1</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2</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99</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3</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4</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5</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6</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Comercial</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Industrial</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GNCV</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Otros</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Residencial</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365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365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366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368</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368</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1</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102</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102</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2</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163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163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164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164</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164</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3</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102</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102</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lastRenderedPageBreak/>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4</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5</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Estrato 6</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Comercial</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Industrial</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GNCV</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r>
      <w:tr w:rsidR="00195338" w:rsidRPr="00195338" w:rsidTr="00195338">
        <w:trPr>
          <w:gridAfter w:val="1"/>
          <w:wAfter w:w="7" w:type="dxa"/>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Otros</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4</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195338" w:rsidRPr="00195338" w:rsidRDefault="00195338" w:rsidP="00195338">
            <w:pPr>
              <w:ind w:left="0"/>
              <w:jc w:val="right"/>
              <w:rPr>
                <w:rFonts w:ascii="Bookman Old Style" w:hAnsi="Bookman Old Style"/>
                <w:color w:val="000000"/>
                <w:sz w:val="12"/>
                <w:szCs w:val="12"/>
                <w:lang w:val="es-CO" w:eastAsia="es-CO"/>
              </w:rPr>
            </w:pPr>
            <w:r w:rsidRPr="00195338">
              <w:rPr>
                <w:rFonts w:ascii="Bookman Old Style" w:hAnsi="Bookman Old Style"/>
                <w:color w:val="000000"/>
                <w:sz w:val="12"/>
                <w:szCs w:val="12"/>
                <w:lang w:val="es-CO" w:eastAsia="es-CO"/>
              </w:rPr>
              <w:t>4</w:t>
            </w:r>
          </w:p>
        </w:tc>
      </w:tr>
    </w:tbl>
    <w:p w:rsidR="003D0070" w:rsidRDefault="003D0070" w:rsidP="00341E8F">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122"/>
        <w:gridCol w:w="808"/>
        <w:gridCol w:w="560"/>
        <w:gridCol w:w="758"/>
        <w:gridCol w:w="560"/>
        <w:gridCol w:w="697"/>
        <w:gridCol w:w="560"/>
        <w:gridCol w:w="697"/>
        <w:gridCol w:w="560"/>
        <w:gridCol w:w="697"/>
        <w:gridCol w:w="560"/>
        <w:gridCol w:w="697"/>
      </w:tblGrid>
      <w:tr w:rsidR="006E47E2" w:rsidRPr="006E47E2" w:rsidTr="006E47E2">
        <w:trPr>
          <w:trHeight w:val="85"/>
        </w:trPr>
        <w:tc>
          <w:tcPr>
            <w:tcW w:w="21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E47E2" w:rsidRPr="006E47E2" w:rsidRDefault="006E47E2" w:rsidP="006E47E2">
            <w:pPr>
              <w:ind w:left="0"/>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 </w:t>
            </w:r>
          </w:p>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E47E2" w:rsidRPr="006E47E2" w:rsidRDefault="006E47E2" w:rsidP="006E47E2">
            <w:pPr>
              <w:ind w:left="0"/>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 </w:t>
            </w:r>
          </w:p>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Usuario</w:t>
            </w:r>
          </w:p>
        </w:tc>
        <w:tc>
          <w:tcPr>
            <w:tcW w:w="1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Año 11</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Año 12</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Año 13</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Año 14</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b/>
                <w:color w:val="000000"/>
                <w:sz w:val="12"/>
                <w:szCs w:val="12"/>
                <w:lang w:val="es-CO" w:eastAsia="es-CO"/>
              </w:rPr>
            </w:pPr>
            <w:r w:rsidRPr="006E47E2">
              <w:rPr>
                <w:rFonts w:ascii="Bookman Old Style" w:hAnsi="Bookman Old Style"/>
                <w:b/>
                <w:color w:val="000000"/>
                <w:sz w:val="12"/>
                <w:szCs w:val="12"/>
                <w:lang w:val="es-CO" w:eastAsia="es-CO"/>
              </w:rPr>
              <w:t>Año 15</w:t>
            </w:r>
          </w:p>
        </w:tc>
      </w:tr>
      <w:tr w:rsidR="006E47E2" w:rsidRPr="006E47E2" w:rsidTr="006E47E2">
        <w:trPr>
          <w:trHeight w:val="215"/>
        </w:trPr>
        <w:tc>
          <w:tcPr>
            <w:tcW w:w="212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2"/>
                <w:szCs w:val="12"/>
                <w:lang w:val="es-CO" w:eastAsia="es-CO"/>
              </w:rPr>
            </w:pPr>
          </w:p>
        </w:tc>
        <w:tc>
          <w:tcPr>
            <w:tcW w:w="0" w:type="auto"/>
            <w:vMerge/>
            <w:tcBorders>
              <w:top w:val="single" w:sz="4" w:space="0" w:color="auto"/>
              <w:left w:val="nil"/>
              <w:bottom w:val="single" w:sz="4" w:space="0" w:color="auto"/>
              <w:right w:val="nil"/>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2"/>
                <w:szCs w:val="12"/>
                <w:lang w:val="es-CO" w:eastAsia="es-CO"/>
              </w:rPr>
            </w:pPr>
          </w:p>
        </w:tc>
        <w:tc>
          <w:tcPr>
            <w:tcW w:w="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Primaria</w:t>
            </w:r>
          </w:p>
        </w:tc>
        <w:tc>
          <w:tcPr>
            <w:tcW w:w="7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Secundaria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Primaria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Secundaria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Primaria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Secundaria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Primaria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Secundaria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Primaria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E47E2" w:rsidRPr="006E47E2" w:rsidRDefault="006E47E2" w:rsidP="006E47E2">
            <w:pPr>
              <w:ind w:left="0"/>
              <w:jc w:val="center"/>
              <w:rPr>
                <w:rFonts w:ascii="Bookman Old Style" w:hAnsi="Bookman Old Style"/>
                <w:color w:val="000000"/>
                <w:sz w:val="10"/>
                <w:szCs w:val="10"/>
                <w:lang w:val="es-CO" w:eastAsia="es-CO"/>
              </w:rPr>
            </w:pPr>
            <w:r w:rsidRPr="006E47E2">
              <w:rPr>
                <w:rFonts w:ascii="Bookman Old Style" w:hAnsi="Bookman Old Style"/>
                <w:color w:val="000000"/>
                <w:sz w:val="10"/>
                <w:szCs w:val="10"/>
                <w:lang w:val="es-CO" w:eastAsia="es-CO"/>
              </w:rPr>
              <w:t>Secundaria</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Residencial</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1</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2</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101</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3</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4</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5</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6</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Comercial</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Industrial</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GNCV</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Otros</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Residencial</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369</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369</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370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372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372</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1</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103</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2</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165</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165</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166</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166</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166</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3</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103</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4</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5</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Estrato 6</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Comercial</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Industrial</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GNCV</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r>
      <w:tr w:rsidR="006E47E2" w:rsidRPr="006E47E2" w:rsidTr="006E47E2">
        <w:trPr>
          <w:trHeight w:val="2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Otros</w:t>
            </w:r>
          </w:p>
        </w:tc>
        <w:tc>
          <w:tcPr>
            <w:tcW w:w="560"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6E47E2" w:rsidRPr="006E47E2" w:rsidRDefault="006E47E2" w:rsidP="006E47E2">
            <w:pPr>
              <w:ind w:left="0"/>
              <w:jc w:val="right"/>
              <w:rPr>
                <w:rFonts w:ascii="Bookman Old Style" w:hAnsi="Bookman Old Style"/>
                <w:color w:val="000000"/>
                <w:sz w:val="12"/>
                <w:szCs w:val="12"/>
                <w:lang w:val="es-CO" w:eastAsia="es-CO"/>
              </w:rPr>
            </w:pPr>
            <w:r w:rsidRPr="006E47E2">
              <w:rPr>
                <w:rFonts w:ascii="Bookman Old Style" w:hAnsi="Bookman Old Style"/>
                <w:color w:val="000000"/>
                <w:sz w:val="12"/>
                <w:szCs w:val="12"/>
                <w:lang w:val="es-CO" w:eastAsia="es-CO"/>
              </w:rPr>
              <w:t>4</w:t>
            </w:r>
          </w:p>
        </w:tc>
      </w:tr>
    </w:tbl>
    <w:p w:rsidR="003D0070" w:rsidRDefault="003D0070" w:rsidP="00341E8F">
      <w:pPr>
        <w:widowControl w:val="0"/>
        <w:adjustRightInd w:val="0"/>
        <w:ind w:left="0"/>
        <w:jc w:val="center"/>
        <w:rPr>
          <w:rFonts w:ascii="Bookman Old Style" w:hAnsi="Bookman Old Style" w:cs="Arial"/>
          <w:b/>
          <w:sz w:val="20"/>
        </w:rPr>
      </w:pPr>
    </w:p>
    <w:tbl>
      <w:tblPr>
        <w:tblW w:w="0" w:type="auto"/>
        <w:shd w:val="clear" w:color="auto" w:fill="FFFFFF" w:themeFill="background1"/>
        <w:tblCellMar>
          <w:left w:w="70" w:type="dxa"/>
          <w:right w:w="70" w:type="dxa"/>
        </w:tblCellMar>
        <w:tblLook w:val="04A0" w:firstRow="1" w:lastRow="0" w:firstColumn="1" w:lastColumn="0" w:noHBand="0" w:noVBand="1"/>
      </w:tblPr>
      <w:tblGrid>
        <w:gridCol w:w="2127"/>
        <w:gridCol w:w="808"/>
        <w:gridCol w:w="560"/>
        <w:gridCol w:w="758"/>
        <w:gridCol w:w="560"/>
        <w:gridCol w:w="697"/>
        <w:gridCol w:w="560"/>
        <w:gridCol w:w="697"/>
        <w:gridCol w:w="560"/>
        <w:gridCol w:w="697"/>
        <w:gridCol w:w="560"/>
        <w:gridCol w:w="697"/>
      </w:tblGrid>
      <w:tr w:rsidR="0041167B" w:rsidRPr="0041167B" w:rsidTr="004333D1">
        <w:trPr>
          <w:trHeight w:val="13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Usuario</w:t>
            </w:r>
          </w:p>
        </w:tc>
        <w:tc>
          <w:tcPr>
            <w:tcW w:w="1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Año 16</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Año 17</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Año 18</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Año 19</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r w:rsidRPr="0041167B">
              <w:rPr>
                <w:rFonts w:ascii="Bookman Old Style" w:hAnsi="Bookman Old Style"/>
                <w:b/>
                <w:color w:val="000000"/>
                <w:sz w:val="12"/>
                <w:szCs w:val="12"/>
                <w:lang w:val="es-CO" w:eastAsia="es-CO"/>
              </w:rPr>
              <w:t>Año 20</w:t>
            </w:r>
          </w:p>
        </w:tc>
      </w:tr>
      <w:tr w:rsidR="002403C0" w:rsidRPr="0041167B" w:rsidTr="004333D1">
        <w:trPr>
          <w:trHeight w:val="118"/>
          <w:tblHeader/>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b/>
                <w:color w:val="000000"/>
                <w:sz w:val="12"/>
                <w:szCs w:val="12"/>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Primaria</w:t>
            </w:r>
          </w:p>
        </w:tc>
        <w:tc>
          <w:tcPr>
            <w:tcW w:w="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167B" w:rsidRPr="0041167B" w:rsidRDefault="0041167B" w:rsidP="0041167B">
            <w:pPr>
              <w:ind w:left="0"/>
              <w:jc w:val="center"/>
              <w:rPr>
                <w:rFonts w:ascii="Bookman Old Style" w:hAnsi="Bookman Old Style"/>
                <w:color w:val="000000"/>
                <w:sz w:val="10"/>
                <w:szCs w:val="10"/>
                <w:lang w:val="es-CO" w:eastAsia="es-CO"/>
              </w:rPr>
            </w:pPr>
            <w:r w:rsidRPr="0041167B">
              <w:rPr>
                <w:rFonts w:ascii="Bookman Old Style" w:hAnsi="Bookman Old Style"/>
                <w:color w:val="000000"/>
                <w:sz w:val="10"/>
                <w:szCs w:val="10"/>
                <w:lang w:val="es-CO" w:eastAsia="es-CO"/>
              </w:rPr>
              <w:t>Secundaria</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102</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373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373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374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376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376</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104</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lastRenderedPageBreak/>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167</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167</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168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168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168</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104</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r>
      <w:tr w:rsidR="0041167B" w:rsidRPr="0041167B" w:rsidTr="0041167B">
        <w:trPr>
          <w:trHeight w:val="27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758" w:type="dxa"/>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41167B" w:rsidRPr="0041167B" w:rsidRDefault="0041167B" w:rsidP="0041167B">
            <w:pPr>
              <w:ind w:left="0"/>
              <w:jc w:val="right"/>
              <w:rPr>
                <w:rFonts w:ascii="Bookman Old Style" w:hAnsi="Bookman Old Style"/>
                <w:color w:val="000000"/>
                <w:sz w:val="12"/>
                <w:szCs w:val="12"/>
                <w:lang w:val="es-CO" w:eastAsia="es-CO"/>
              </w:rPr>
            </w:pPr>
            <w:r w:rsidRPr="0041167B">
              <w:rPr>
                <w:rFonts w:ascii="Bookman Old Style" w:hAnsi="Bookman Old Style"/>
                <w:color w:val="000000"/>
                <w:sz w:val="12"/>
                <w:szCs w:val="12"/>
                <w:lang w:val="es-CO" w:eastAsia="es-CO"/>
              </w:rPr>
              <w:t>5</w:t>
            </w:r>
          </w:p>
        </w:tc>
      </w:tr>
    </w:tbl>
    <w:p w:rsidR="003B5489" w:rsidRDefault="003B5489" w:rsidP="00346460">
      <w:pPr>
        <w:widowControl w:val="0"/>
        <w:adjustRightInd w:val="0"/>
        <w:ind w:left="0"/>
        <w:rPr>
          <w:rFonts w:ascii="Bookman Old Style" w:hAnsi="Bookman Old Style" w:cs="Arial"/>
          <w:b/>
          <w:sz w:val="20"/>
        </w:rPr>
      </w:pPr>
    </w:p>
    <w:p w:rsidR="00346460" w:rsidRDefault="00346460" w:rsidP="00346460">
      <w:pPr>
        <w:widowControl w:val="0"/>
        <w:adjustRightInd w:val="0"/>
        <w:ind w:left="0"/>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(m3)</w:t>
      </w:r>
    </w:p>
    <w:p w:rsidR="000212BE" w:rsidRDefault="000212BE" w:rsidP="00341E8F">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127"/>
        <w:gridCol w:w="808"/>
        <w:gridCol w:w="560"/>
        <w:gridCol w:w="697"/>
        <w:gridCol w:w="560"/>
        <w:gridCol w:w="697"/>
        <w:gridCol w:w="560"/>
        <w:gridCol w:w="697"/>
        <w:gridCol w:w="560"/>
        <w:gridCol w:w="697"/>
        <w:gridCol w:w="560"/>
        <w:gridCol w:w="697"/>
      </w:tblGrid>
      <w:tr w:rsidR="007F4F88" w:rsidRPr="007F4F88" w:rsidTr="007F4F88">
        <w:trPr>
          <w:trHeight w:val="171"/>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Usuario</w:t>
            </w:r>
          </w:p>
        </w:tc>
        <w:tc>
          <w:tcPr>
            <w:tcW w:w="0" w:type="auto"/>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Año 1</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Año 2</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Año 3</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Año 4</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b/>
                <w:color w:val="000000"/>
                <w:sz w:val="12"/>
                <w:szCs w:val="12"/>
                <w:lang w:val="es-CO" w:eastAsia="es-CO"/>
              </w:rPr>
            </w:pPr>
            <w:r w:rsidRPr="007F4F88">
              <w:rPr>
                <w:rFonts w:ascii="Bookman Old Style" w:hAnsi="Bookman Old Style"/>
                <w:b/>
                <w:color w:val="000000"/>
                <w:sz w:val="12"/>
                <w:szCs w:val="12"/>
                <w:lang w:val="es-CO" w:eastAsia="es-CO"/>
              </w:rPr>
              <w:t>Año 5</w:t>
            </w:r>
          </w:p>
        </w:tc>
      </w:tr>
      <w:tr w:rsidR="007F4F88" w:rsidRPr="007F4F88" w:rsidTr="007F4F88">
        <w:trPr>
          <w:trHeight w:val="131"/>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2"/>
                <w:szCs w:val="12"/>
                <w:lang w:val="es-CO" w:eastAsia="es-CO"/>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7F4F88" w:rsidRPr="007F4F88" w:rsidRDefault="007F4F88" w:rsidP="007F4F88">
            <w:pPr>
              <w:ind w:left="0"/>
              <w:jc w:val="center"/>
              <w:rPr>
                <w:rFonts w:ascii="Bookman Old Style" w:hAnsi="Bookman Old Style"/>
                <w:color w:val="000000"/>
                <w:sz w:val="10"/>
                <w:szCs w:val="10"/>
                <w:lang w:val="es-CO" w:eastAsia="es-CO"/>
              </w:rPr>
            </w:pPr>
            <w:r w:rsidRPr="007F4F88">
              <w:rPr>
                <w:rFonts w:ascii="Bookman Old Style" w:hAnsi="Bookman Old Style"/>
                <w:color w:val="000000"/>
                <w:sz w:val="10"/>
                <w:szCs w:val="10"/>
                <w:lang w:val="es-CO" w:eastAsia="es-CO"/>
              </w:rPr>
              <w:t>Secundaria</w:t>
            </w:r>
          </w:p>
        </w:tc>
      </w:tr>
      <w:tr w:rsidR="007F4F88" w:rsidRPr="007F4F88" w:rsidTr="007F4F88">
        <w:trPr>
          <w:trHeight w:val="2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168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168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384</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384</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384</w:t>
            </w:r>
          </w:p>
        </w:tc>
      </w:tr>
      <w:tr w:rsidR="007F4F88" w:rsidRPr="007F4F88" w:rsidTr="007F4F88">
        <w:trPr>
          <w:trHeight w:val="2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168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168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384</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384</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384</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258</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77</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976</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78</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192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78</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192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78</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192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78</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624</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816</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34</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776</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34</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992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34</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992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34</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992</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34</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992</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21</w:t>
            </w:r>
            <w:r>
              <w:rPr>
                <w:rFonts w:ascii="Bookman Old Style" w:hAnsi="Bookman Old Style"/>
                <w:color w:val="000000"/>
                <w:sz w:val="12"/>
                <w:szCs w:val="12"/>
                <w:lang w:val="es-CO" w:eastAsia="es-CO"/>
              </w:rPr>
              <w:t>.</w:t>
            </w:r>
            <w:r w:rsidRPr="007F4F88">
              <w:rPr>
                <w:rFonts w:ascii="Bookman Old Style" w:hAnsi="Bookman Old Style"/>
                <w:color w:val="000000"/>
                <w:sz w:val="12"/>
                <w:szCs w:val="12"/>
                <w:lang w:val="es-CO" w:eastAsia="es-CO"/>
              </w:rPr>
              <w:t>816</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r>
      <w:tr w:rsidR="007F4F88" w:rsidRPr="007F4F88" w:rsidTr="007F4F8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775</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775</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775</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775</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7F4F88" w:rsidRPr="007F4F88" w:rsidRDefault="007F4F88" w:rsidP="007F4F88">
            <w:pPr>
              <w:ind w:left="0"/>
              <w:jc w:val="right"/>
              <w:rPr>
                <w:rFonts w:ascii="Bookman Old Style" w:hAnsi="Bookman Old Style"/>
                <w:color w:val="000000"/>
                <w:sz w:val="12"/>
                <w:szCs w:val="12"/>
                <w:lang w:val="es-CO" w:eastAsia="es-CO"/>
              </w:rPr>
            </w:pPr>
            <w:r w:rsidRPr="007F4F88">
              <w:rPr>
                <w:rFonts w:ascii="Bookman Old Style" w:hAnsi="Bookman Old Style"/>
                <w:color w:val="000000"/>
                <w:sz w:val="12"/>
                <w:szCs w:val="12"/>
                <w:lang w:val="es-CO" w:eastAsia="es-CO"/>
              </w:rPr>
              <w:t>775</w:t>
            </w:r>
          </w:p>
        </w:tc>
      </w:tr>
    </w:tbl>
    <w:p w:rsidR="000212BE" w:rsidRDefault="000212BE" w:rsidP="00341E8F">
      <w:pPr>
        <w:widowControl w:val="0"/>
        <w:adjustRightInd w:val="0"/>
        <w:ind w:left="0"/>
        <w:jc w:val="center"/>
        <w:rPr>
          <w:rFonts w:ascii="Bookman Old Style" w:hAnsi="Bookman Old Style" w:cs="Arial"/>
          <w:b/>
        </w:rPr>
      </w:pPr>
    </w:p>
    <w:tbl>
      <w:tblPr>
        <w:tblW w:w="0" w:type="auto"/>
        <w:shd w:val="clear" w:color="auto" w:fill="FFFFFF" w:themeFill="background1"/>
        <w:tblCellMar>
          <w:left w:w="70" w:type="dxa"/>
          <w:right w:w="70" w:type="dxa"/>
        </w:tblCellMar>
        <w:tblLook w:val="04A0" w:firstRow="1" w:lastRow="0" w:firstColumn="1" w:lastColumn="0" w:noHBand="0" w:noVBand="1"/>
      </w:tblPr>
      <w:tblGrid>
        <w:gridCol w:w="2127"/>
        <w:gridCol w:w="808"/>
        <w:gridCol w:w="560"/>
        <w:gridCol w:w="697"/>
        <w:gridCol w:w="560"/>
        <w:gridCol w:w="697"/>
        <w:gridCol w:w="560"/>
        <w:gridCol w:w="697"/>
        <w:gridCol w:w="560"/>
        <w:gridCol w:w="697"/>
        <w:gridCol w:w="560"/>
        <w:gridCol w:w="697"/>
      </w:tblGrid>
      <w:tr w:rsidR="00033861" w:rsidRPr="00033861" w:rsidTr="004333D1">
        <w:trPr>
          <w:trHeight w:val="15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33861" w:rsidRPr="00033861" w:rsidRDefault="00033861" w:rsidP="00963DC4">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33861" w:rsidRPr="00033861" w:rsidRDefault="00033861" w:rsidP="00963DC4">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Usuario</w:t>
            </w:r>
          </w:p>
        </w:tc>
        <w:tc>
          <w:tcPr>
            <w:tcW w:w="0" w:type="auto"/>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Año 6</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Año 7</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Año 8</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Año 9</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b/>
                <w:color w:val="000000"/>
                <w:sz w:val="12"/>
                <w:szCs w:val="12"/>
                <w:lang w:val="es-CO" w:eastAsia="es-CO"/>
              </w:rPr>
            </w:pPr>
            <w:r w:rsidRPr="00033861">
              <w:rPr>
                <w:rFonts w:ascii="Bookman Old Style" w:hAnsi="Bookman Old Style"/>
                <w:b/>
                <w:color w:val="000000"/>
                <w:sz w:val="12"/>
                <w:szCs w:val="12"/>
                <w:lang w:val="es-CO" w:eastAsia="es-CO"/>
              </w:rPr>
              <w:t>Año 10</w:t>
            </w:r>
          </w:p>
        </w:tc>
      </w:tr>
      <w:tr w:rsidR="00033861" w:rsidRPr="00033861" w:rsidTr="004333D1">
        <w:trPr>
          <w:trHeight w:val="137"/>
          <w:tblHeader/>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2"/>
                <w:szCs w:val="12"/>
                <w:lang w:val="es-CO" w:eastAsia="es-CO"/>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033861" w:rsidRPr="00033861" w:rsidRDefault="00033861" w:rsidP="00033861">
            <w:pPr>
              <w:ind w:left="0"/>
              <w:jc w:val="center"/>
              <w:rPr>
                <w:rFonts w:ascii="Bookman Old Style" w:hAnsi="Bookman Old Style"/>
                <w:color w:val="000000"/>
                <w:sz w:val="10"/>
                <w:szCs w:val="10"/>
                <w:lang w:val="es-CO" w:eastAsia="es-CO"/>
              </w:rPr>
            </w:pPr>
            <w:r w:rsidRPr="00033861">
              <w:rPr>
                <w:rFonts w:ascii="Bookman Old Style" w:hAnsi="Bookman Old Style"/>
                <w:color w:val="000000"/>
                <w:sz w:val="10"/>
                <w:szCs w:val="10"/>
                <w:lang w:val="es-CO" w:eastAsia="es-CO"/>
              </w:rPr>
              <w:t>Secundaria</w:t>
            </w:r>
          </w:p>
        </w:tc>
      </w:tr>
      <w:tr w:rsidR="00033861" w:rsidRPr="00033861" w:rsidTr="00033861">
        <w:trPr>
          <w:trHeight w:val="225"/>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384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r>
      <w:tr w:rsidR="00033861" w:rsidRPr="00033861" w:rsidTr="00033861">
        <w:trPr>
          <w:trHeight w:val="225"/>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384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600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lastRenderedPageBreak/>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Taravita-Fuquene-Cundinamarca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258</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78</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840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78</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840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79</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056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79</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488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79</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488</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22</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22</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032</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35</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208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35</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208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35</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424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35</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424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35</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424</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22</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22</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032</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r>
      <w:tr w:rsidR="00033861" w:rsidRPr="00033861" w:rsidTr="00033861">
        <w:trPr>
          <w:trHeight w:val="300"/>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Vda  Ticha, Nengua y Miña-Guacheta-Cundinamarca</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775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rsidR="00033861" w:rsidRPr="00033861" w:rsidRDefault="00033861" w:rsidP="00033861">
            <w:pPr>
              <w:ind w:left="0"/>
              <w:jc w:val="right"/>
              <w:rPr>
                <w:rFonts w:ascii="Bookman Old Style" w:hAnsi="Bookman Old Style"/>
                <w:color w:val="000000"/>
                <w:sz w:val="12"/>
                <w:szCs w:val="12"/>
                <w:lang w:val="es-CO" w:eastAsia="es-CO"/>
              </w:rPr>
            </w:pPr>
            <w:r w:rsidRPr="00033861">
              <w:rPr>
                <w:rFonts w:ascii="Bookman Old Style" w:hAnsi="Bookman Old Style"/>
                <w:color w:val="000000"/>
                <w:sz w:val="12"/>
                <w:szCs w:val="12"/>
                <w:lang w:val="es-CO" w:eastAsia="es-CO"/>
              </w:rPr>
              <w:t>1</w:t>
            </w:r>
            <w:r w:rsidR="00963DC4">
              <w:rPr>
                <w:rFonts w:ascii="Bookman Old Style" w:hAnsi="Bookman Old Style"/>
                <w:color w:val="000000"/>
                <w:sz w:val="12"/>
                <w:szCs w:val="12"/>
                <w:lang w:val="es-CO" w:eastAsia="es-CO"/>
              </w:rPr>
              <w:t>.</w:t>
            </w:r>
            <w:r w:rsidRPr="00033861">
              <w:rPr>
                <w:rFonts w:ascii="Bookman Old Style" w:hAnsi="Bookman Old Style"/>
                <w:color w:val="000000"/>
                <w:sz w:val="12"/>
                <w:szCs w:val="12"/>
                <w:lang w:val="es-CO" w:eastAsia="es-CO"/>
              </w:rPr>
              <w:t>033</w:t>
            </w:r>
          </w:p>
        </w:tc>
      </w:tr>
    </w:tbl>
    <w:p w:rsidR="00033861" w:rsidRDefault="00033861" w:rsidP="00341E8F">
      <w:pPr>
        <w:widowControl w:val="0"/>
        <w:adjustRightInd w:val="0"/>
        <w:ind w:left="0"/>
        <w:jc w:val="center"/>
        <w:rPr>
          <w:rFonts w:ascii="Bookman Old Style" w:hAnsi="Bookman Old Style" w:cs="Arial"/>
          <w:b/>
        </w:rPr>
      </w:pPr>
    </w:p>
    <w:tbl>
      <w:tblPr>
        <w:tblW w:w="0" w:type="auto"/>
        <w:tblCellMar>
          <w:left w:w="70" w:type="dxa"/>
          <w:right w:w="70" w:type="dxa"/>
        </w:tblCellMar>
        <w:tblLook w:val="04A0" w:firstRow="1" w:lastRow="0" w:firstColumn="1" w:lastColumn="0" w:noHBand="0" w:noVBand="1"/>
      </w:tblPr>
      <w:tblGrid>
        <w:gridCol w:w="2127"/>
        <w:gridCol w:w="808"/>
        <w:gridCol w:w="560"/>
        <w:gridCol w:w="697"/>
        <w:gridCol w:w="560"/>
        <w:gridCol w:w="697"/>
        <w:gridCol w:w="560"/>
        <w:gridCol w:w="697"/>
        <w:gridCol w:w="560"/>
        <w:gridCol w:w="697"/>
        <w:gridCol w:w="560"/>
        <w:gridCol w:w="697"/>
      </w:tblGrid>
      <w:tr w:rsidR="00963DC4" w:rsidRPr="00963DC4" w:rsidTr="00963DC4">
        <w:trPr>
          <w:trHeight w:val="158"/>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Municipio</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Usuario</w:t>
            </w:r>
          </w:p>
        </w:tc>
        <w:tc>
          <w:tcPr>
            <w:tcW w:w="0" w:type="auto"/>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Año 11</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Año 12</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Año 13</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Año 14</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b/>
                <w:color w:val="000000"/>
                <w:sz w:val="12"/>
                <w:szCs w:val="12"/>
                <w:lang w:val="es-CO" w:eastAsia="es-CO"/>
              </w:rPr>
            </w:pPr>
            <w:r w:rsidRPr="00963DC4">
              <w:rPr>
                <w:rFonts w:ascii="Bookman Old Style" w:hAnsi="Bookman Old Style"/>
                <w:b/>
                <w:color w:val="000000"/>
                <w:sz w:val="12"/>
                <w:szCs w:val="12"/>
                <w:lang w:val="es-CO" w:eastAsia="es-CO"/>
              </w:rPr>
              <w:t>Año 15</w:t>
            </w:r>
          </w:p>
        </w:tc>
      </w:tr>
      <w:tr w:rsidR="00963DC4" w:rsidRPr="00963DC4" w:rsidTr="00963DC4">
        <w:trPr>
          <w:trHeight w:val="132"/>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2"/>
                <w:szCs w:val="12"/>
                <w:lang w:val="es-CO" w:eastAsia="es-CO"/>
              </w:rPr>
            </w:pPr>
          </w:p>
        </w:tc>
        <w:tc>
          <w:tcPr>
            <w:tcW w:w="8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2"/>
                <w:szCs w:val="12"/>
                <w:lang w:val="es-CO" w:eastAsia="es-CO"/>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Secundaria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Primaria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963DC4" w:rsidRPr="00963DC4" w:rsidRDefault="00963DC4" w:rsidP="00963DC4">
            <w:pPr>
              <w:ind w:left="0"/>
              <w:jc w:val="center"/>
              <w:rPr>
                <w:rFonts w:ascii="Bookman Old Style" w:hAnsi="Bookman Old Style"/>
                <w:color w:val="000000"/>
                <w:sz w:val="10"/>
                <w:szCs w:val="10"/>
                <w:lang w:val="es-CO" w:eastAsia="es-CO"/>
              </w:rPr>
            </w:pPr>
            <w:r w:rsidRPr="00963DC4">
              <w:rPr>
                <w:rFonts w:ascii="Bookman Old Style" w:hAnsi="Bookman Old Style"/>
                <w:color w:val="000000"/>
                <w:sz w:val="10"/>
                <w:szCs w:val="10"/>
                <w:lang w:val="es-CO" w:eastAsia="es-CO"/>
              </w:rPr>
              <w:t>Secundaria</w:t>
            </w:r>
          </w:p>
        </w:tc>
      </w:tr>
      <w:tr w:rsidR="00963DC4" w:rsidRPr="00963DC4" w:rsidTr="00963DC4">
        <w:trPr>
          <w:trHeight w:val="2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r>
      <w:tr w:rsidR="00963DC4" w:rsidRPr="00963DC4" w:rsidTr="00963DC4">
        <w:trPr>
          <w:trHeight w:val="2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600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816</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258</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79</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704</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79</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704</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79</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920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80</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352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80</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352</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248</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35</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640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35</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640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35</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856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35</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856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35</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856</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22</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248</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r>
      <w:tr w:rsidR="00963DC4" w:rsidRPr="00963DC4" w:rsidTr="00963DC4">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963DC4" w:rsidRPr="00963DC4" w:rsidRDefault="00963DC4" w:rsidP="00963DC4">
            <w:pPr>
              <w:ind w:left="0"/>
              <w:jc w:val="right"/>
              <w:rPr>
                <w:rFonts w:ascii="Bookman Old Style" w:hAnsi="Bookman Old Style"/>
                <w:color w:val="000000"/>
                <w:sz w:val="12"/>
                <w:szCs w:val="12"/>
                <w:lang w:val="es-CO" w:eastAsia="es-CO"/>
              </w:rPr>
            </w:pPr>
            <w:r w:rsidRPr="00963DC4">
              <w:rPr>
                <w:rFonts w:ascii="Bookman Old Style" w:hAnsi="Bookman Old Style"/>
                <w:color w:val="000000"/>
                <w:sz w:val="12"/>
                <w:szCs w:val="12"/>
                <w:lang w:val="es-CO" w:eastAsia="es-CO"/>
              </w:rPr>
              <w:t>1</w:t>
            </w:r>
            <w:r w:rsidR="00B7619C">
              <w:rPr>
                <w:rFonts w:ascii="Bookman Old Style" w:hAnsi="Bookman Old Style"/>
                <w:color w:val="000000"/>
                <w:sz w:val="12"/>
                <w:szCs w:val="12"/>
                <w:lang w:val="es-CO" w:eastAsia="es-CO"/>
              </w:rPr>
              <w:t>.</w:t>
            </w:r>
            <w:r w:rsidRPr="00963DC4">
              <w:rPr>
                <w:rFonts w:ascii="Bookman Old Style" w:hAnsi="Bookman Old Style"/>
                <w:color w:val="000000"/>
                <w:sz w:val="12"/>
                <w:szCs w:val="12"/>
                <w:lang w:val="es-CO" w:eastAsia="es-CO"/>
              </w:rPr>
              <w:t>033</w:t>
            </w:r>
          </w:p>
        </w:tc>
      </w:tr>
    </w:tbl>
    <w:p w:rsidR="00963DC4" w:rsidRDefault="00963DC4" w:rsidP="00341E8F">
      <w:pPr>
        <w:widowControl w:val="0"/>
        <w:adjustRightInd w:val="0"/>
        <w:ind w:left="0"/>
        <w:jc w:val="center"/>
        <w:rPr>
          <w:rFonts w:ascii="Bookman Old Style" w:hAnsi="Bookman Old Style" w:cs="Arial"/>
          <w:b/>
        </w:rPr>
      </w:pPr>
    </w:p>
    <w:tbl>
      <w:tblPr>
        <w:tblW w:w="0" w:type="auto"/>
        <w:tblCellMar>
          <w:left w:w="70" w:type="dxa"/>
          <w:right w:w="70" w:type="dxa"/>
        </w:tblCellMar>
        <w:tblLook w:val="04A0" w:firstRow="1" w:lastRow="0" w:firstColumn="1" w:lastColumn="0" w:noHBand="0" w:noVBand="1"/>
      </w:tblPr>
      <w:tblGrid>
        <w:gridCol w:w="2127"/>
        <w:gridCol w:w="808"/>
        <w:gridCol w:w="560"/>
        <w:gridCol w:w="697"/>
        <w:gridCol w:w="560"/>
        <w:gridCol w:w="697"/>
        <w:gridCol w:w="560"/>
        <w:gridCol w:w="697"/>
        <w:gridCol w:w="560"/>
        <w:gridCol w:w="697"/>
        <w:gridCol w:w="560"/>
        <w:gridCol w:w="697"/>
      </w:tblGrid>
      <w:tr w:rsidR="00B7619C" w:rsidRPr="00B7619C" w:rsidTr="004333D1">
        <w:trPr>
          <w:trHeight w:val="15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Municipio</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Usuario</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Año 16</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Año 17</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Año 18</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Año 19</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b/>
                <w:color w:val="000000"/>
                <w:sz w:val="12"/>
                <w:szCs w:val="12"/>
                <w:lang w:val="es-CO" w:eastAsia="es-CO"/>
              </w:rPr>
            </w:pPr>
            <w:r w:rsidRPr="00B7619C">
              <w:rPr>
                <w:rFonts w:ascii="Bookman Old Style" w:hAnsi="Bookman Old Style"/>
                <w:b/>
                <w:color w:val="000000"/>
                <w:sz w:val="12"/>
                <w:szCs w:val="12"/>
                <w:lang w:val="es-CO" w:eastAsia="es-CO"/>
              </w:rPr>
              <w:t>Año 20</w:t>
            </w:r>
          </w:p>
        </w:tc>
      </w:tr>
      <w:tr w:rsidR="00B7619C" w:rsidRPr="00B7619C" w:rsidTr="004333D1">
        <w:trPr>
          <w:trHeight w:val="123"/>
          <w:tblHeader/>
        </w:trPr>
        <w:tc>
          <w:tcPr>
            <w:tcW w:w="21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2"/>
                <w:szCs w:val="12"/>
                <w:lang w:val="es-CO" w:eastAsia="es-CO"/>
              </w:rPr>
            </w:pPr>
          </w:p>
        </w:tc>
        <w:tc>
          <w:tcPr>
            <w:tcW w:w="8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2"/>
                <w:szCs w:val="12"/>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Secundaria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Primaria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9C" w:rsidRPr="00B7619C" w:rsidRDefault="00B7619C" w:rsidP="00B7619C">
            <w:pPr>
              <w:ind w:left="0"/>
              <w:jc w:val="center"/>
              <w:rPr>
                <w:rFonts w:ascii="Bookman Old Style" w:hAnsi="Bookman Old Style"/>
                <w:color w:val="000000"/>
                <w:sz w:val="10"/>
                <w:szCs w:val="10"/>
                <w:lang w:val="es-CO" w:eastAsia="es-CO"/>
              </w:rPr>
            </w:pPr>
            <w:r w:rsidRPr="00B7619C">
              <w:rPr>
                <w:rFonts w:ascii="Bookman Old Style" w:hAnsi="Bookman Old Style"/>
                <w:color w:val="000000"/>
                <w:sz w:val="10"/>
                <w:szCs w:val="10"/>
                <w:lang w:val="es-CO" w:eastAsia="es-CO"/>
              </w:rPr>
              <w:t>Secundaria</w:t>
            </w:r>
          </w:p>
        </w:tc>
      </w:tr>
      <w:tr w:rsidR="00B7619C" w:rsidRPr="00B7619C" w:rsidTr="00B7619C">
        <w:trPr>
          <w:trHeight w:val="2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r>
      <w:tr w:rsidR="00B7619C" w:rsidRPr="00B7619C" w:rsidTr="00B7619C">
        <w:trPr>
          <w:trHeight w:val="2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816</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032</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lastRenderedPageBreak/>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Taravita-Fuquene-Cundinamarca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258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258</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80</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568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80</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568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80</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784</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81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216</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81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216</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464</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464</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36</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072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36</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072</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36</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288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36</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288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36</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288</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248</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464</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22</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464</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r>
      <w:tr w:rsidR="00B7619C" w:rsidRPr="00B7619C" w:rsidTr="00B7619C">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Vda  Ticha, Nengua y Miña-Guacheta-Cundinamarca</w:t>
            </w:r>
          </w:p>
        </w:tc>
        <w:tc>
          <w:tcPr>
            <w:tcW w:w="808" w:type="dxa"/>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033</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291</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291</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rsidR="00B7619C" w:rsidRPr="00B7619C" w:rsidRDefault="00B7619C" w:rsidP="00B7619C">
            <w:pPr>
              <w:ind w:left="0"/>
              <w:jc w:val="right"/>
              <w:rPr>
                <w:rFonts w:ascii="Bookman Old Style" w:hAnsi="Bookman Old Style"/>
                <w:color w:val="000000"/>
                <w:sz w:val="12"/>
                <w:szCs w:val="12"/>
                <w:lang w:val="es-CO" w:eastAsia="es-CO"/>
              </w:rPr>
            </w:pPr>
            <w:r w:rsidRPr="00B7619C">
              <w:rPr>
                <w:rFonts w:ascii="Bookman Old Style" w:hAnsi="Bookman Old Style"/>
                <w:color w:val="000000"/>
                <w:sz w:val="12"/>
                <w:szCs w:val="12"/>
                <w:lang w:val="es-CO" w:eastAsia="es-CO"/>
              </w:rPr>
              <w:t>1</w:t>
            </w:r>
            <w:r w:rsidR="00AE7CA8">
              <w:rPr>
                <w:rFonts w:ascii="Bookman Old Style" w:hAnsi="Bookman Old Style"/>
                <w:color w:val="000000"/>
                <w:sz w:val="12"/>
                <w:szCs w:val="12"/>
                <w:lang w:val="es-CO" w:eastAsia="es-CO"/>
              </w:rPr>
              <w:t>.</w:t>
            </w:r>
            <w:r w:rsidRPr="00B7619C">
              <w:rPr>
                <w:rFonts w:ascii="Bookman Old Style" w:hAnsi="Bookman Old Style"/>
                <w:color w:val="000000"/>
                <w:sz w:val="12"/>
                <w:szCs w:val="12"/>
                <w:lang w:val="es-CO" w:eastAsia="es-CO"/>
              </w:rPr>
              <w:t>291</w:t>
            </w:r>
          </w:p>
        </w:tc>
      </w:tr>
    </w:tbl>
    <w:p w:rsidR="000A3599" w:rsidRDefault="000A3599" w:rsidP="00FE7F21">
      <w:pPr>
        <w:widowControl w:val="0"/>
        <w:adjustRightInd w:val="0"/>
        <w:ind w:left="0"/>
      </w:pPr>
    </w:p>
    <w:p w:rsidR="00521DE3" w:rsidRDefault="00521DE3" w:rsidP="00341E8F">
      <w:pPr>
        <w:widowControl w:val="0"/>
        <w:adjustRightInd w:val="0"/>
        <w:ind w:left="0"/>
        <w:jc w:val="center"/>
      </w:pPr>
    </w:p>
    <w:p w:rsidR="00A448A3" w:rsidRDefault="00A448A3" w:rsidP="000305F3">
      <w:pPr>
        <w:widowControl w:val="0"/>
        <w:adjustRightInd w:val="0"/>
        <w:ind w:left="0"/>
      </w:pPr>
    </w:p>
    <w:p w:rsidR="00A448A3" w:rsidRDefault="00A448A3" w:rsidP="00805BA5">
      <w:pPr>
        <w:widowControl w:val="0"/>
        <w:adjustRightInd w:val="0"/>
        <w:ind w:left="0"/>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4333D1" w:rsidTr="004333D1">
        <w:trPr>
          <w:tblCellSpacing w:w="0" w:type="dxa"/>
          <w:jc w:val="center"/>
        </w:trPr>
        <w:tc>
          <w:tcPr>
            <w:tcW w:w="5033" w:type="dxa"/>
          </w:tcPr>
          <w:p w:rsidR="004333D1" w:rsidRDefault="004333D1">
            <w:pPr>
              <w:jc w:val="both"/>
              <w:rPr>
                <w:rFonts w:ascii="Bookman Old Style" w:hAnsi="Bookman Old Style" w:cs="Arial"/>
                <w:b/>
                <w:spacing w:val="-3"/>
              </w:rPr>
            </w:pPr>
          </w:p>
          <w:p w:rsidR="004333D1" w:rsidRDefault="004333D1">
            <w:pPr>
              <w:ind w:left="66"/>
              <w:jc w:val="center"/>
              <w:rPr>
                <w:rFonts w:ascii="Bookman Old Style" w:hAnsi="Bookman Old Style" w:cs="Arial"/>
                <w:b/>
                <w:spacing w:val="-3"/>
              </w:rPr>
            </w:pPr>
          </w:p>
          <w:p w:rsidR="004333D1" w:rsidRDefault="004333D1">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4333D1" w:rsidRDefault="004333D1">
            <w:pPr>
              <w:ind w:left="0"/>
              <w:jc w:val="both"/>
              <w:rPr>
                <w:rFonts w:ascii="Bookman Old Style" w:hAnsi="Bookman Old Style" w:cs="Arial"/>
                <w:b/>
                <w:spacing w:val="-3"/>
              </w:rPr>
            </w:pPr>
          </w:p>
          <w:p w:rsidR="004333D1" w:rsidRDefault="004333D1">
            <w:pPr>
              <w:ind w:left="89"/>
              <w:jc w:val="center"/>
              <w:rPr>
                <w:rFonts w:ascii="Bookman Old Style" w:hAnsi="Bookman Old Style" w:cs="Arial"/>
                <w:b/>
                <w:spacing w:val="-3"/>
              </w:rPr>
            </w:pPr>
          </w:p>
          <w:p w:rsidR="004333D1" w:rsidRDefault="004333D1">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4333D1" w:rsidTr="004333D1">
        <w:trPr>
          <w:tblCellSpacing w:w="0" w:type="dxa"/>
          <w:jc w:val="center"/>
        </w:trPr>
        <w:tc>
          <w:tcPr>
            <w:tcW w:w="5033" w:type="dxa"/>
            <w:hideMark/>
          </w:tcPr>
          <w:p w:rsidR="004333D1" w:rsidRDefault="004333D1">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4333D1" w:rsidRDefault="004333D1">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4333D1" w:rsidTr="004333D1">
        <w:trPr>
          <w:tblCellSpacing w:w="0" w:type="dxa"/>
          <w:jc w:val="center"/>
        </w:trPr>
        <w:tc>
          <w:tcPr>
            <w:tcW w:w="5033" w:type="dxa"/>
            <w:hideMark/>
          </w:tcPr>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4333D1" w:rsidRDefault="004333D1">
            <w:pPr>
              <w:ind w:left="0"/>
              <w:jc w:val="both"/>
              <w:rPr>
                <w:rFonts w:ascii="Bookman Old Style" w:eastAsia="Arial Unicode MS" w:hAnsi="Bookman Old Style" w:cs="Arial"/>
                <w:color w:val="000000"/>
              </w:rPr>
            </w:pPr>
          </w:p>
        </w:tc>
      </w:tr>
    </w:tbl>
    <w:p w:rsidR="00CB745C" w:rsidRDefault="00CB745C" w:rsidP="00341E8F">
      <w:pPr>
        <w:widowControl w:val="0"/>
        <w:adjustRightInd w:val="0"/>
        <w:ind w:left="0"/>
        <w:jc w:val="center"/>
      </w:pPr>
    </w:p>
    <w:p w:rsidR="00633158" w:rsidRDefault="00633158" w:rsidP="00341E8F">
      <w:pPr>
        <w:widowControl w:val="0"/>
        <w:adjustRightInd w:val="0"/>
        <w:ind w:left="0"/>
        <w:jc w:val="center"/>
      </w:pPr>
    </w:p>
    <w:p w:rsidR="00633158" w:rsidRDefault="00633158" w:rsidP="00341E8F">
      <w:pPr>
        <w:widowControl w:val="0"/>
        <w:adjustRightInd w:val="0"/>
        <w:ind w:left="0"/>
        <w:jc w:val="center"/>
      </w:pPr>
    </w:p>
    <w:p w:rsidR="00615B0A" w:rsidRDefault="00544C17" w:rsidP="00341E8F">
      <w:pPr>
        <w:widowControl w:val="0"/>
        <w:adjustRightInd w:val="0"/>
        <w:ind w:left="0"/>
        <w:jc w:val="center"/>
        <w:rPr>
          <w:rFonts w:ascii="Bookman Old Style" w:hAnsi="Bookman Old Style" w:cs="Arial"/>
          <w:b/>
        </w:rPr>
      </w:pPr>
      <w:r>
        <w:rPr>
          <w:rFonts w:ascii="Bookman Old Style" w:hAnsi="Bookman Old Style" w:cs="Arial"/>
          <w:b/>
        </w:rPr>
        <w:br w:type="page"/>
      </w:r>
    </w:p>
    <w:p w:rsidR="00B41490" w:rsidRDefault="00B41490" w:rsidP="00341E8F">
      <w:pPr>
        <w:widowControl w:val="0"/>
        <w:adjustRightInd w:val="0"/>
        <w:ind w:left="0"/>
        <w:jc w:val="center"/>
        <w:rPr>
          <w:rFonts w:ascii="Bookman Old Style" w:hAnsi="Bookman Old Style" w:cs="Arial"/>
          <w:b/>
        </w:rPr>
      </w:pPr>
    </w:p>
    <w:p w:rsidR="00273C2C" w:rsidRDefault="00273C2C" w:rsidP="00341E8F">
      <w:pPr>
        <w:widowControl w:val="0"/>
        <w:adjustRightInd w:val="0"/>
        <w:ind w:left="0"/>
        <w:jc w:val="center"/>
        <w:rPr>
          <w:rFonts w:ascii="Bookman Old Style" w:hAnsi="Bookman Old Style" w:cs="Arial"/>
          <w:b/>
        </w:rPr>
      </w:pPr>
      <w:r w:rsidRPr="00606FF5">
        <w:rPr>
          <w:rFonts w:ascii="Bookman Old Style" w:hAnsi="Bookman Old Style" w:cs="Arial"/>
          <w:b/>
        </w:rPr>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w:t>
      </w:r>
      <w:r w:rsidR="000C7B34">
        <w:rPr>
          <w:rFonts w:ascii="Bookman Old Style" w:hAnsi="Bookman Old Style" w:cs="Arial"/>
          <w:b/>
        </w:rPr>
        <w:t>.</w:t>
      </w:r>
      <w:r w:rsidRPr="001954E9">
        <w:rPr>
          <w:rFonts w:ascii="Bookman Old Style" w:hAnsi="Bookman Old Style" w:cs="Arial"/>
          <w:b/>
        </w:rPr>
        <w:t xml:space="preserve"> OPERACIÓN Y MANTENIMIENTO </w:t>
      </w:r>
    </w:p>
    <w:p w:rsidR="00273C2C" w:rsidRPr="001954E9"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7842C3" w:rsidRDefault="00273C2C" w:rsidP="00341E8F">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7842C3" w:rsidRDefault="00273C2C" w:rsidP="00341E8F">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GASTOS AOM</w:t>
            </w:r>
          </w:p>
          <w:p w:rsidR="00273C2C" w:rsidRPr="007842C3" w:rsidRDefault="00273C2C" w:rsidP="00C72BA5">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 dic 201</w:t>
            </w:r>
            <w:r w:rsidR="00C72BA5" w:rsidRPr="007842C3">
              <w:rPr>
                <w:rFonts w:ascii="Bookman Old Style" w:hAnsi="Bookman Old Style" w:cs="Arial"/>
                <w:b/>
                <w:bCs/>
                <w:sz w:val="22"/>
                <w:lang w:val="es-CO" w:eastAsia="es-CO"/>
              </w:rPr>
              <w:t>6</w:t>
            </w:r>
            <w:r w:rsidRPr="007842C3">
              <w:rPr>
                <w:rFonts w:ascii="Bookman Old Style" w:hAnsi="Bookman Old Style" w:cs="Arial"/>
                <w:b/>
                <w:bCs/>
                <w:sz w:val="22"/>
                <w:lang w:val="es-CO" w:eastAsia="es-CO"/>
              </w:rPr>
              <w:t>)</w:t>
            </w:r>
          </w:p>
        </w:tc>
      </w:tr>
      <w:tr w:rsidR="00111F56" w:rsidRPr="001954E9" w:rsidTr="00D16787">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w:t>
            </w:r>
          </w:p>
        </w:tc>
        <w:tc>
          <w:tcPr>
            <w:tcW w:w="2300"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46</w:t>
            </w:r>
            <w:r>
              <w:rPr>
                <w:rFonts w:ascii="Bookman Old Style" w:hAnsi="Bookman Old Style"/>
                <w:color w:val="000000"/>
                <w:sz w:val="22"/>
              </w:rPr>
              <w:t>.</w:t>
            </w:r>
            <w:r w:rsidRPr="00111F56">
              <w:rPr>
                <w:rFonts w:ascii="Bookman Old Style" w:hAnsi="Bookman Old Style"/>
                <w:color w:val="000000"/>
                <w:sz w:val="22"/>
              </w:rPr>
              <w:t>021</w:t>
            </w:r>
            <w:r>
              <w:rPr>
                <w:rFonts w:ascii="Bookman Old Style" w:hAnsi="Bookman Old Style"/>
                <w:color w:val="000000"/>
                <w:sz w:val="22"/>
              </w:rPr>
              <w:t>.</w:t>
            </w:r>
            <w:r w:rsidRPr="00111F56">
              <w:rPr>
                <w:rFonts w:ascii="Bookman Old Style" w:hAnsi="Bookman Old Style"/>
                <w:color w:val="000000"/>
                <w:sz w:val="22"/>
              </w:rPr>
              <w:t>750</w:t>
            </w:r>
          </w:p>
        </w:tc>
      </w:tr>
      <w:tr w:rsidR="00111F56" w:rsidRPr="001954E9" w:rsidTr="00D16787">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2</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46</w:t>
            </w:r>
            <w:r>
              <w:rPr>
                <w:rFonts w:ascii="Bookman Old Style" w:hAnsi="Bookman Old Style"/>
                <w:color w:val="000000"/>
                <w:sz w:val="22"/>
              </w:rPr>
              <w:t>.</w:t>
            </w:r>
            <w:r w:rsidRPr="00111F56">
              <w:rPr>
                <w:rFonts w:ascii="Bookman Old Style" w:hAnsi="Bookman Old Style"/>
                <w:color w:val="000000"/>
                <w:sz w:val="22"/>
              </w:rPr>
              <w:t>120</w:t>
            </w:r>
            <w:r>
              <w:rPr>
                <w:rFonts w:ascii="Bookman Old Style" w:hAnsi="Bookman Old Style"/>
                <w:color w:val="000000"/>
                <w:sz w:val="22"/>
              </w:rPr>
              <w:t>.</w:t>
            </w:r>
            <w:r w:rsidRPr="00111F56">
              <w:rPr>
                <w:rFonts w:ascii="Bookman Old Style" w:hAnsi="Bookman Old Style"/>
                <w:color w:val="000000"/>
                <w:sz w:val="22"/>
              </w:rPr>
              <w:t>981</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3</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46</w:t>
            </w:r>
            <w:r>
              <w:rPr>
                <w:rFonts w:ascii="Bookman Old Style" w:hAnsi="Bookman Old Style"/>
                <w:color w:val="000000"/>
                <w:sz w:val="22"/>
              </w:rPr>
              <w:t>.</w:t>
            </w:r>
            <w:r w:rsidRPr="00111F56">
              <w:rPr>
                <w:rFonts w:ascii="Bookman Old Style" w:hAnsi="Bookman Old Style"/>
                <w:color w:val="000000"/>
                <w:sz w:val="22"/>
              </w:rPr>
              <w:t>220</w:t>
            </w:r>
            <w:r>
              <w:rPr>
                <w:rFonts w:ascii="Bookman Old Style" w:hAnsi="Bookman Old Style"/>
                <w:color w:val="000000"/>
                <w:sz w:val="22"/>
              </w:rPr>
              <w:t>.</w:t>
            </w:r>
            <w:r w:rsidRPr="00111F56">
              <w:rPr>
                <w:rFonts w:ascii="Bookman Old Style" w:hAnsi="Bookman Old Style"/>
                <w:color w:val="000000"/>
                <w:sz w:val="22"/>
              </w:rPr>
              <w:t>213</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4</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46</w:t>
            </w:r>
            <w:r>
              <w:rPr>
                <w:rFonts w:ascii="Bookman Old Style" w:hAnsi="Bookman Old Style"/>
                <w:color w:val="000000"/>
                <w:sz w:val="22"/>
              </w:rPr>
              <w:t>.</w:t>
            </w:r>
            <w:r w:rsidRPr="00111F56">
              <w:rPr>
                <w:rFonts w:ascii="Bookman Old Style" w:hAnsi="Bookman Old Style"/>
                <w:color w:val="000000"/>
                <w:sz w:val="22"/>
              </w:rPr>
              <w:t>220</w:t>
            </w:r>
            <w:r>
              <w:rPr>
                <w:rFonts w:ascii="Bookman Old Style" w:hAnsi="Bookman Old Style"/>
                <w:color w:val="000000"/>
                <w:sz w:val="22"/>
              </w:rPr>
              <w:t>.</w:t>
            </w:r>
            <w:r w:rsidRPr="00111F56">
              <w:rPr>
                <w:rFonts w:ascii="Bookman Old Style" w:hAnsi="Bookman Old Style"/>
                <w:color w:val="000000"/>
                <w:sz w:val="22"/>
              </w:rPr>
              <w:t>213</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5</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46</w:t>
            </w:r>
            <w:r>
              <w:rPr>
                <w:rFonts w:ascii="Bookman Old Style" w:hAnsi="Bookman Old Style"/>
                <w:color w:val="000000"/>
                <w:sz w:val="22"/>
              </w:rPr>
              <w:t>.</w:t>
            </w:r>
            <w:r w:rsidRPr="00111F56">
              <w:rPr>
                <w:rFonts w:ascii="Bookman Old Style" w:hAnsi="Bookman Old Style"/>
                <w:color w:val="000000"/>
                <w:sz w:val="22"/>
              </w:rPr>
              <w:t>405</w:t>
            </w:r>
            <w:r>
              <w:rPr>
                <w:rFonts w:ascii="Bookman Old Style" w:hAnsi="Bookman Old Style"/>
                <w:color w:val="000000"/>
                <w:sz w:val="22"/>
              </w:rPr>
              <w:t>.</w:t>
            </w:r>
            <w:r w:rsidRPr="00111F56">
              <w:rPr>
                <w:rFonts w:ascii="Bookman Old Style" w:hAnsi="Bookman Old Style"/>
                <w:color w:val="000000"/>
                <w:sz w:val="22"/>
              </w:rPr>
              <w:t>131</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6</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39</w:t>
            </w:r>
            <w:r>
              <w:rPr>
                <w:rFonts w:ascii="Bookman Old Style" w:hAnsi="Bookman Old Style"/>
                <w:color w:val="000000"/>
                <w:sz w:val="22"/>
              </w:rPr>
              <w:t>.</w:t>
            </w:r>
            <w:r w:rsidRPr="00111F56">
              <w:rPr>
                <w:rFonts w:ascii="Bookman Old Style" w:hAnsi="Bookman Old Style"/>
                <w:color w:val="000000"/>
                <w:sz w:val="22"/>
              </w:rPr>
              <w:t>301</w:t>
            </w:r>
            <w:r>
              <w:rPr>
                <w:rFonts w:ascii="Bookman Old Style" w:hAnsi="Bookman Old Style"/>
                <w:color w:val="000000"/>
                <w:sz w:val="22"/>
              </w:rPr>
              <w:t>.</w:t>
            </w:r>
            <w:r w:rsidRPr="00111F56">
              <w:rPr>
                <w:rFonts w:ascii="Bookman Old Style" w:hAnsi="Bookman Old Style"/>
                <w:color w:val="000000"/>
                <w:sz w:val="22"/>
              </w:rPr>
              <w:t>729</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7</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506</w:t>
            </w:r>
            <w:r>
              <w:rPr>
                <w:rFonts w:ascii="Bookman Old Style" w:hAnsi="Bookman Old Style"/>
                <w:color w:val="000000"/>
                <w:sz w:val="22"/>
              </w:rPr>
              <w:t>.</w:t>
            </w:r>
            <w:r w:rsidRPr="00111F56">
              <w:rPr>
                <w:rFonts w:ascii="Bookman Old Style" w:hAnsi="Bookman Old Style"/>
                <w:color w:val="000000"/>
                <w:sz w:val="22"/>
              </w:rPr>
              <w:t>671</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8</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575</w:t>
            </w:r>
            <w:r>
              <w:rPr>
                <w:rFonts w:ascii="Bookman Old Style" w:hAnsi="Bookman Old Style"/>
                <w:color w:val="000000"/>
                <w:sz w:val="22"/>
              </w:rPr>
              <w:t>.</w:t>
            </w:r>
            <w:r w:rsidRPr="00111F56">
              <w:rPr>
                <w:rFonts w:ascii="Bookman Old Style" w:hAnsi="Bookman Old Style"/>
                <w:color w:val="000000"/>
                <w:sz w:val="22"/>
              </w:rPr>
              <w:t>691</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9</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705</w:t>
            </w:r>
            <w:r>
              <w:rPr>
                <w:rFonts w:ascii="Bookman Old Style" w:hAnsi="Bookman Old Style"/>
                <w:color w:val="000000"/>
                <w:sz w:val="22"/>
              </w:rPr>
              <w:t>.</w:t>
            </w:r>
            <w:r w:rsidRPr="00111F56">
              <w:rPr>
                <w:rFonts w:ascii="Bookman Old Style" w:hAnsi="Bookman Old Style"/>
                <w:color w:val="000000"/>
                <w:sz w:val="22"/>
              </w:rPr>
              <w:t>994</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10</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705</w:t>
            </w:r>
            <w:r>
              <w:rPr>
                <w:rFonts w:ascii="Bookman Old Style" w:hAnsi="Bookman Old Style"/>
                <w:color w:val="000000"/>
                <w:sz w:val="22"/>
              </w:rPr>
              <w:t>.</w:t>
            </w:r>
            <w:r w:rsidRPr="00111F56">
              <w:rPr>
                <w:rFonts w:ascii="Bookman Old Style" w:hAnsi="Bookman Old Style"/>
                <w:color w:val="000000"/>
                <w:sz w:val="22"/>
              </w:rPr>
              <w:t>994</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11</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774</w:t>
            </w:r>
            <w:r>
              <w:rPr>
                <w:rFonts w:ascii="Bookman Old Style" w:hAnsi="Bookman Old Style"/>
                <w:color w:val="000000"/>
                <w:sz w:val="22"/>
              </w:rPr>
              <w:t>.</w:t>
            </w:r>
            <w:r w:rsidRPr="00111F56">
              <w:rPr>
                <w:rFonts w:ascii="Bookman Old Style" w:hAnsi="Bookman Old Style"/>
                <w:color w:val="000000"/>
                <w:sz w:val="22"/>
              </w:rPr>
              <w:t>998</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12</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844</w:t>
            </w:r>
            <w:r>
              <w:rPr>
                <w:rFonts w:ascii="Bookman Old Style" w:hAnsi="Bookman Old Style"/>
                <w:color w:val="000000"/>
                <w:sz w:val="22"/>
              </w:rPr>
              <w:t>.</w:t>
            </w:r>
            <w:r w:rsidRPr="00111F56">
              <w:rPr>
                <w:rFonts w:ascii="Bookman Old Style" w:hAnsi="Bookman Old Style"/>
                <w:color w:val="000000"/>
                <w:sz w:val="22"/>
              </w:rPr>
              <w:t>001</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13</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32</w:t>
            </w:r>
            <w:r>
              <w:rPr>
                <w:rFonts w:ascii="Bookman Old Style" w:hAnsi="Bookman Old Style"/>
                <w:color w:val="000000"/>
                <w:sz w:val="22"/>
              </w:rPr>
              <w:t>.</w:t>
            </w:r>
            <w:r w:rsidRPr="00111F56">
              <w:rPr>
                <w:rFonts w:ascii="Bookman Old Style" w:hAnsi="Bookman Old Style"/>
                <w:color w:val="000000"/>
                <w:sz w:val="22"/>
              </w:rPr>
              <w:t>913</w:t>
            </w:r>
            <w:r>
              <w:rPr>
                <w:rFonts w:ascii="Bookman Old Style" w:hAnsi="Bookman Old Style"/>
                <w:color w:val="000000"/>
                <w:sz w:val="22"/>
              </w:rPr>
              <w:t>.</w:t>
            </w:r>
            <w:r w:rsidRPr="00111F56">
              <w:rPr>
                <w:rFonts w:ascii="Bookman Old Style" w:hAnsi="Bookman Old Style"/>
                <w:color w:val="000000"/>
                <w:sz w:val="22"/>
              </w:rPr>
              <w:t>004</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14</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044</w:t>
            </w:r>
            <w:r>
              <w:rPr>
                <w:rFonts w:ascii="Bookman Old Style" w:hAnsi="Bookman Old Style"/>
                <w:color w:val="000000"/>
                <w:sz w:val="22"/>
              </w:rPr>
              <w:t>.</w:t>
            </w:r>
            <w:r w:rsidRPr="00111F56">
              <w:rPr>
                <w:rFonts w:ascii="Bookman Old Style" w:hAnsi="Bookman Old Style"/>
                <w:color w:val="000000"/>
                <w:sz w:val="22"/>
              </w:rPr>
              <w:t>656</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15</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044</w:t>
            </w:r>
            <w:r>
              <w:rPr>
                <w:rFonts w:ascii="Bookman Old Style" w:hAnsi="Bookman Old Style"/>
                <w:color w:val="000000"/>
                <w:sz w:val="22"/>
              </w:rPr>
              <w:t>.</w:t>
            </w:r>
            <w:r w:rsidRPr="00111F56">
              <w:rPr>
                <w:rFonts w:ascii="Bookman Old Style" w:hAnsi="Bookman Old Style"/>
                <w:color w:val="000000"/>
                <w:sz w:val="22"/>
              </w:rPr>
              <w:t>656</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16</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113</w:t>
            </w:r>
            <w:r>
              <w:rPr>
                <w:rFonts w:ascii="Bookman Old Style" w:hAnsi="Bookman Old Style"/>
                <w:color w:val="000000"/>
                <w:sz w:val="22"/>
              </w:rPr>
              <w:t>.</w:t>
            </w:r>
            <w:r w:rsidRPr="00111F56">
              <w:rPr>
                <w:rFonts w:ascii="Bookman Old Style" w:hAnsi="Bookman Old Style"/>
                <w:color w:val="000000"/>
                <w:sz w:val="22"/>
              </w:rPr>
              <w:t>646</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17</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182</w:t>
            </w:r>
            <w:r>
              <w:rPr>
                <w:rFonts w:ascii="Bookman Old Style" w:hAnsi="Bookman Old Style"/>
                <w:color w:val="000000"/>
                <w:sz w:val="22"/>
              </w:rPr>
              <w:t>.</w:t>
            </w:r>
            <w:r w:rsidRPr="00111F56">
              <w:rPr>
                <w:rFonts w:ascii="Bookman Old Style" w:hAnsi="Bookman Old Style"/>
                <w:color w:val="000000"/>
                <w:sz w:val="22"/>
              </w:rPr>
              <w:t>637</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18</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315</w:t>
            </w:r>
            <w:r>
              <w:rPr>
                <w:rFonts w:ascii="Bookman Old Style" w:hAnsi="Bookman Old Style"/>
                <w:color w:val="000000"/>
                <w:sz w:val="22"/>
              </w:rPr>
              <w:t>.</w:t>
            </w:r>
            <w:r w:rsidRPr="00111F56">
              <w:rPr>
                <w:rFonts w:ascii="Bookman Old Style" w:hAnsi="Bookman Old Style"/>
                <w:color w:val="000000"/>
                <w:sz w:val="22"/>
              </w:rPr>
              <w:t>369</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19</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448</w:t>
            </w:r>
            <w:r>
              <w:rPr>
                <w:rFonts w:ascii="Bookman Old Style" w:hAnsi="Bookman Old Style"/>
                <w:color w:val="000000"/>
                <w:sz w:val="22"/>
              </w:rPr>
              <w:t>.</w:t>
            </w:r>
            <w:r w:rsidRPr="00111F56">
              <w:rPr>
                <w:rFonts w:ascii="Bookman Old Style" w:hAnsi="Bookman Old Style"/>
                <w:color w:val="000000"/>
                <w:sz w:val="22"/>
              </w:rPr>
              <w:t>630</w:t>
            </w:r>
          </w:p>
        </w:tc>
      </w:tr>
      <w:tr w:rsidR="00111F56" w:rsidRPr="001954E9" w:rsidTr="00D16787">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111F56" w:rsidRPr="007842C3" w:rsidRDefault="00111F56" w:rsidP="00111F56">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20</w:t>
            </w:r>
          </w:p>
        </w:tc>
        <w:tc>
          <w:tcPr>
            <w:tcW w:w="2300" w:type="dxa"/>
            <w:tcBorders>
              <w:top w:val="nil"/>
              <w:left w:val="single" w:sz="4" w:space="0" w:color="auto"/>
              <w:bottom w:val="single" w:sz="4" w:space="0" w:color="auto"/>
              <w:right w:val="single" w:sz="4" w:space="0" w:color="auto"/>
            </w:tcBorders>
            <w:shd w:val="clear" w:color="FFFFFF" w:fill="FFFFFF"/>
            <w:noWrap/>
            <w:vAlign w:val="bottom"/>
          </w:tcPr>
          <w:p w:rsidR="00111F56" w:rsidRPr="00111F56" w:rsidRDefault="00111F56" w:rsidP="00111F56">
            <w:pPr>
              <w:ind w:left="0"/>
              <w:jc w:val="right"/>
              <w:rPr>
                <w:rFonts w:ascii="Bookman Old Style" w:hAnsi="Bookman Old Style"/>
                <w:color w:val="000000"/>
                <w:sz w:val="22"/>
              </w:rPr>
            </w:pPr>
            <w:r w:rsidRPr="00111F56">
              <w:rPr>
                <w:rFonts w:ascii="Bookman Old Style" w:hAnsi="Bookman Old Style"/>
                <w:color w:val="000000"/>
                <w:sz w:val="22"/>
              </w:rPr>
              <w:t>33</w:t>
            </w:r>
            <w:r>
              <w:rPr>
                <w:rFonts w:ascii="Bookman Old Style" w:hAnsi="Bookman Old Style"/>
                <w:color w:val="000000"/>
                <w:sz w:val="22"/>
              </w:rPr>
              <w:t>.</w:t>
            </w:r>
            <w:r w:rsidRPr="00111F56">
              <w:rPr>
                <w:rFonts w:ascii="Bookman Old Style" w:hAnsi="Bookman Old Style"/>
                <w:color w:val="000000"/>
                <w:sz w:val="22"/>
              </w:rPr>
              <w:t>448</w:t>
            </w:r>
            <w:r>
              <w:rPr>
                <w:rFonts w:ascii="Bookman Old Style" w:hAnsi="Bookman Old Style"/>
                <w:color w:val="000000"/>
                <w:sz w:val="22"/>
              </w:rPr>
              <w:t>.</w:t>
            </w:r>
            <w:r w:rsidRPr="00111F56">
              <w:rPr>
                <w:rFonts w:ascii="Bookman Old Style" w:hAnsi="Bookman Old Style"/>
                <w:color w:val="000000"/>
                <w:sz w:val="22"/>
              </w:rPr>
              <w:t>630</w:t>
            </w:r>
          </w:p>
        </w:tc>
      </w:tr>
      <w:tr w:rsidR="00DD5DF6"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DD5DF6" w:rsidRPr="007842C3" w:rsidRDefault="00DD5DF6" w:rsidP="00DD5DF6">
            <w:pPr>
              <w:ind w:left="-31"/>
              <w:jc w:val="center"/>
              <w:rPr>
                <w:rFonts w:ascii="Bookman Old Style" w:hAnsi="Bookman Old Style"/>
                <w:sz w:val="22"/>
              </w:rPr>
            </w:pPr>
            <w:r w:rsidRPr="007842C3">
              <w:rPr>
                <w:rFonts w:ascii="Bookman Old Style" w:hAnsi="Bookman Old Style" w:cs="Arial"/>
                <w:b/>
                <w:bCs/>
                <w:sz w:val="22"/>
                <w:lang w:val="es-CO" w:eastAsia="es-CO"/>
              </w:rPr>
              <w:t>VPN(2017)</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DD5DF6" w:rsidRPr="00CB745C" w:rsidRDefault="00111F56" w:rsidP="00CB745C">
            <w:pPr>
              <w:ind w:left="0"/>
              <w:jc w:val="right"/>
              <w:rPr>
                <w:rFonts w:ascii="Bookman Old Style" w:hAnsi="Bookman Old Style"/>
                <w:b/>
                <w:color w:val="000000"/>
                <w:sz w:val="22"/>
              </w:rPr>
            </w:pPr>
            <w:r w:rsidRPr="00111F56">
              <w:rPr>
                <w:rFonts w:ascii="Bookman Old Style" w:hAnsi="Bookman Old Style"/>
                <w:b/>
                <w:color w:val="000000"/>
                <w:sz w:val="22"/>
              </w:rPr>
              <w:t>266,610,848</w:t>
            </w:r>
          </w:p>
        </w:tc>
      </w:tr>
      <w:tr w:rsidR="009F5BAB" w:rsidRPr="00B11BB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7842C3" w:rsidRDefault="009F5BAB" w:rsidP="009F5BAB">
            <w:pPr>
              <w:ind w:left="-31"/>
              <w:jc w:val="center"/>
              <w:rPr>
                <w:rFonts w:ascii="Bookman Old Style" w:hAnsi="Bookman Old Style"/>
                <w:sz w:val="22"/>
              </w:rPr>
            </w:pPr>
            <w:r w:rsidRPr="007842C3">
              <w:rPr>
                <w:rFonts w:ascii="Bookman Old Style" w:hAnsi="Bookman Old Style" w:cs="Arial"/>
                <w:b/>
                <w:bCs/>
                <w:sz w:val="22"/>
                <w:lang w:val="es-CO" w:eastAsia="es-CO"/>
              </w:rPr>
              <w:t>VPN(2018)</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CB745C" w:rsidRDefault="00111F56" w:rsidP="00CB745C">
            <w:pPr>
              <w:ind w:left="0"/>
              <w:jc w:val="right"/>
              <w:rPr>
                <w:rFonts w:ascii="Bookman Old Style" w:hAnsi="Bookman Old Style"/>
                <w:b/>
                <w:color w:val="000000"/>
                <w:sz w:val="22"/>
              </w:rPr>
            </w:pPr>
            <w:r w:rsidRPr="00111F56">
              <w:rPr>
                <w:rFonts w:ascii="Bookman Old Style" w:hAnsi="Bookman Old Style"/>
                <w:b/>
                <w:color w:val="000000"/>
                <w:sz w:val="22"/>
              </w:rPr>
              <w:t>263,050,488</w:t>
            </w:r>
          </w:p>
        </w:tc>
      </w:tr>
      <w:tr w:rsidR="009F5BAB"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7842C3" w:rsidRDefault="009F5BAB" w:rsidP="009F5BAB">
            <w:pPr>
              <w:ind w:left="-31"/>
              <w:jc w:val="center"/>
              <w:rPr>
                <w:rFonts w:ascii="Bookman Old Style" w:hAnsi="Bookman Old Style"/>
                <w:sz w:val="22"/>
              </w:rPr>
            </w:pPr>
            <w:r w:rsidRPr="007842C3">
              <w:rPr>
                <w:rFonts w:ascii="Bookman Old Style" w:hAnsi="Bookman Old Style" w:cs="Arial"/>
                <w:b/>
                <w:bCs/>
                <w:sz w:val="22"/>
                <w:lang w:val="es-CO" w:eastAsia="es-CO"/>
              </w:rPr>
              <w:t>VPN(2019</w:t>
            </w:r>
            <w:r w:rsidR="004739C3" w:rsidRPr="007842C3">
              <w:rPr>
                <w:rFonts w:ascii="Bookman Old Style" w:hAnsi="Bookman Old Style" w:cs="Arial"/>
                <w:b/>
                <w:bCs/>
                <w:sz w:val="22"/>
                <w:lang w:val="es-CO" w:eastAsia="es-CO"/>
              </w:rPr>
              <w:t>-2020-2021</w:t>
            </w:r>
            <w:r w:rsidRPr="007842C3">
              <w:rPr>
                <w:rFonts w:ascii="Bookman Old Style" w:hAnsi="Bookman Old Style" w:cs="Arial"/>
                <w:b/>
                <w:bCs/>
                <w:sz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CB745C" w:rsidRDefault="00111F56" w:rsidP="00CB745C">
            <w:pPr>
              <w:ind w:left="0"/>
              <w:jc w:val="right"/>
              <w:rPr>
                <w:rFonts w:ascii="Bookman Old Style" w:hAnsi="Bookman Old Style"/>
                <w:b/>
                <w:color w:val="000000"/>
                <w:sz w:val="22"/>
              </w:rPr>
            </w:pPr>
            <w:r w:rsidRPr="00111F56">
              <w:rPr>
                <w:rFonts w:ascii="Bookman Old Style" w:hAnsi="Bookman Old Style"/>
                <w:b/>
                <w:color w:val="000000"/>
                <w:sz w:val="22"/>
              </w:rPr>
              <w:t>288,966,080</w:t>
            </w:r>
          </w:p>
        </w:tc>
      </w:tr>
    </w:tbl>
    <w:p w:rsidR="00273C2C" w:rsidRPr="001954E9" w:rsidRDefault="00273C2C" w:rsidP="00EF595A">
      <w:pPr>
        <w:widowControl w:val="0"/>
        <w:tabs>
          <w:tab w:val="left" w:pos="5489"/>
        </w:tabs>
        <w:adjustRightInd w:val="0"/>
        <w:ind w:left="0"/>
        <w:jc w:val="center"/>
        <w:rPr>
          <w:rFonts w:ascii="Bookman Old Style" w:hAnsi="Bookman Old Style" w:cs="Arial"/>
          <w:b/>
        </w:rPr>
      </w:pPr>
    </w:p>
    <w:p w:rsidR="00273C2C" w:rsidRDefault="00273C2C" w:rsidP="00341E8F">
      <w:pPr>
        <w:widowControl w:val="0"/>
        <w:adjustRightInd w:val="0"/>
        <w:ind w:left="0"/>
        <w:jc w:val="center"/>
        <w:rPr>
          <w:rFonts w:ascii="Bookman Old Style" w:hAnsi="Bookman Old Style" w:cs="Arial"/>
          <w:b/>
        </w:rPr>
      </w:pPr>
    </w:p>
    <w:p w:rsidR="00984132" w:rsidRDefault="00984132" w:rsidP="00341E8F">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4333D1" w:rsidTr="004333D1">
        <w:trPr>
          <w:tblCellSpacing w:w="0" w:type="dxa"/>
          <w:jc w:val="center"/>
        </w:trPr>
        <w:tc>
          <w:tcPr>
            <w:tcW w:w="5033" w:type="dxa"/>
          </w:tcPr>
          <w:p w:rsidR="004333D1" w:rsidRDefault="004333D1">
            <w:pPr>
              <w:jc w:val="both"/>
              <w:rPr>
                <w:rFonts w:ascii="Bookman Old Style" w:hAnsi="Bookman Old Style" w:cs="Arial"/>
                <w:b/>
                <w:spacing w:val="-3"/>
              </w:rPr>
            </w:pPr>
          </w:p>
          <w:p w:rsidR="004333D1" w:rsidRDefault="004333D1">
            <w:pPr>
              <w:ind w:left="66"/>
              <w:jc w:val="center"/>
              <w:rPr>
                <w:rFonts w:ascii="Bookman Old Style" w:hAnsi="Bookman Old Style" w:cs="Arial"/>
                <w:b/>
                <w:spacing w:val="-3"/>
              </w:rPr>
            </w:pPr>
          </w:p>
          <w:p w:rsidR="004333D1" w:rsidRDefault="004333D1">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4333D1" w:rsidRDefault="004333D1">
            <w:pPr>
              <w:ind w:left="0"/>
              <w:jc w:val="both"/>
              <w:rPr>
                <w:rFonts w:ascii="Bookman Old Style" w:hAnsi="Bookman Old Style" w:cs="Arial"/>
                <w:b/>
                <w:spacing w:val="-3"/>
              </w:rPr>
            </w:pPr>
          </w:p>
          <w:p w:rsidR="004333D1" w:rsidRDefault="004333D1">
            <w:pPr>
              <w:ind w:left="89"/>
              <w:jc w:val="center"/>
              <w:rPr>
                <w:rFonts w:ascii="Bookman Old Style" w:hAnsi="Bookman Old Style" w:cs="Arial"/>
                <w:b/>
                <w:spacing w:val="-3"/>
              </w:rPr>
            </w:pPr>
          </w:p>
          <w:p w:rsidR="004333D1" w:rsidRDefault="004333D1">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4333D1" w:rsidTr="004333D1">
        <w:trPr>
          <w:tblCellSpacing w:w="0" w:type="dxa"/>
          <w:jc w:val="center"/>
        </w:trPr>
        <w:tc>
          <w:tcPr>
            <w:tcW w:w="5033" w:type="dxa"/>
            <w:hideMark/>
          </w:tcPr>
          <w:p w:rsidR="004333D1" w:rsidRDefault="004333D1">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4333D1" w:rsidRDefault="004333D1">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4333D1" w:rsidTr="004333D1">
        <w:trPr>
          <w:tblCellSpacing w:w="0" w:type="dxa"/>
          <w:jc w:val="center"/>
        </w:trPr>
        <w:tc>
          <w:tcPr>
            <w:tcW w:w="5033" w:type="dxa"/>
            <w:hideMark/>
          </w:tcPr>
          <w:p w:rsidR="004333D1" w:rsidRDefault="004333D1">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4333D1" w:rsidRDefault="004333D1">
            <w:pPr>
              <w:ind w:left="0"/>
              <w:jc w:val="both"/>
              <w:rPr>
                <w:rFonts w:ascii="Bookman Old Style" w:eastAsia="Arial Unicode MS" w:hAnsi="Bookman Old Style" w:cs="Arial"/>
                <w:color w:val="000000"/>
              </w:rPr>
            </w:pPr>
          </w:p>
        </w:tc>
      </w:tr>
    </w:tbl>
    <w:p w:rsidR="00415FAD" w:rsidRDefault="00415FAD" w:rsidP="00805BA5">
      <w:pPr>
        <w:widowControl w:val="0"/>
        <w:adjustRightInd w:val="0"/>
        <w:ind w:left="0"/>
        <w:rPr>
          <w:rFonts w:ascii="Bookman Old Style" w:hAnsi="Bookman Old Style" w:cs="Arial"/>
          <w:b/>
        </w:rPr>
      </w:pPr>
    </w:p>
    <w:p w:rsidR="00A26E3C" w:rsidRDefault="00A26E3C" w:rsidP="00A26E3C">
      <w:pPr>
        <w:widowControl w:val="0"/>
        <w:adjustRightInd w:val="0"/>
        <w:ind w:left="0"/>
        <w:rPr>
          <w:rFonts w:ascii="Bookman Old Style" w:hAnsi="Bookman Old Style" w:cs="Arial"/>
          <w:b/>
        </w:rPr>
      </w:pPr>
    </w:p>
    <w:p w:rsidR="00A26E3C" w:rsidRDefault="00A26E3C" w:rsidP="00341E8F">
      <w:pPr>
        <w:widowControl w:val="0"/>
        <w:adjustRightInd w:val="0"/>
        <w:ind w:left="0"/>
        <w:jc w:val="center"/>
        <w:rPr>
          <w:rFonts w:ascii="Bookman Old Style" w:hAnsi="Bookman Old Style" w:cs="Arial"/>
          <w:b/>
        </w:rPr>
      </w:pPr>
    </w:p>
    <w:p w:rsidR="00A26E3C" w:rsidRDefault="00A26E3C" w:rsidP="00341E8F">
      <w:pPr>
        <w:widowControl w:val="0"/>
        <w:adjustRightInd w:val="0"/>
        <w:ind w:left="0"/>
        <w:jc w:val="center"/>
        <w:rPr>
          <w:rFonts w:ascii="Bookman Old Style" w:hAnsi="Bookman Old Style" w:cs="Arial"/>
          <w:b/>
        </w:rPr>
      </w:pPr>
    </w:p>
    <w:sectPr w:rsidR="00A26E3C" w:rsidSect="00273301">
      <w:headerReference w:type="default" r:id="rId23"/>
      <w:headerReference w:type="first" r:id="rId2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B3B" w:rsidRDefault="00AA4B3B">
      <w:r>
        <w:separator/>
      </w:r>
    </w:p>
  </w:endnote>
  <w:endnote w:type="continuationSeparator" w:id="0">
    <w:p w:rsidR="00AA4B3B" w:rsidRDefault="00AA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B3B" w:rsidRDefault="00AA4B3B">
      <w:r>
        <w:separator/>
      </w:r>
    </w:p>
  </w:footnote>
  <w:footnote w:type="continuationSeparator" w:id="0">
    <w:p w:rsidR="00AA4B3B" w:rsidRDefault="00AA4B3B">
      <w:r>
        <w:continuationSeparator/>
      </w:r>
    </w:p>
  </w:footnote>
  <w:footnote w:id="1">
    <w:p w:rsidR="00400FD6" w:rsidRPr="00665F22" w:rsidRDefault="00400FD6" w:rsidP="002F30E3">
      <w:pPr>
        <w:pStyle w:val="Textonotapie"/>
        <w:rPr>
          <w:rFonts w:ascii="Verdana" w:hAnsi="Verdana"/>
          <w:sz w:val="18"/>
          <w:szCs w:val="18"/>
          <w:lang w:val="pt-BR"/>
        </w:rPr>
      </w:pPr>
      <w:r w:rsidRPr="00665F22">
        <w:rPr>
          <w:rStyle w:val="Refdenotaalpie"/>
          <w:rFonts w:ascii="Verdana" w:hAnsi="Verdana"/>
          <w:sz w:val="18"/>
          <w:szCs w:val="18"/>
        </w:rPr>
        <w:footnoteRef/>
      </w:r>
      <w:r w:rsidRPr="00665F22">
        <w:rPr>
          <w:rFonts w:ascii="Verdana" w:hAnsi="Verdana"/>
          <w:sz w:val="18"/>
          <w:szCs w:val="18"/>
          <w:lang w:val="pt-BR"/>
        </w:rPr>
        <w:t xml:space="preserve"> Corte Constitucional. Sentencia C- 150 de 2003.</w:t>
      </w:r>
    </w:p>
  </w:footnote>
  <w:footnote w:id="2">
    <w:p w:rsidR="00400FD6" w:rsidRPr="002C0CE9" w:rsidRDefault="00400FD6" w:rsidP="002F30E3">
      <w:pPr>
        <w:pStyle w:val="Textonotapie"/>
        <w:rPr>
          <w:rFonts w:ascii="Verdana" w:hAnsi="Verdana"/>
          <w:sz w:val="16"/>
          <w:szCs w:val="16"/>
          <w:lang w:val="pt-BR"/>
        </w:rPr>
      </w:pPr>
      <w:r w:rsidRPr="00665F22">
        <w:rPr>
          <w:rStyle w:val="Refdenotaalpie"/>
          <w:rFonts w:ascii="Verdana" w:hAnsi="Verdana"/>
          <w:sz w:val="18"/>
          <w:szCs w:val="18"/>
        </w:rPr>
        <w:footnoteRef/>
      </w:r>
      <w:r w:rsidRPr="00665F22">
        <w:rPr>
          <w:rFonts w:ascii="Verdana" w:hAnsi="Verdana"/>
          <w:sz w:val="18"/>
          <w:szCs w:val="18"/>
          <w:lang w:val="pt-BR"/>
        </w:rPr>
        <w:t xml:space="preserve"> </w:t>
      </w:r>
      <w:r w:rsidRPr="002C0CE9">
        <w:rPr>
          <w:rFonts w:ascii="Verdana" w:hAnsi="Verdana"/>
          <w:sz w:val="16"/>
          <w:szCs w:val="16"/>
          <w:lang w:val="pt-BR"/>
        </w:rPr>
        <w:t>Corte Constitucional. Sentencia C- 150 de 2003.</w:t>
      </w:r>
    </w:p>
  </w:footnote>
  <w:footnote w:id="3">
    <w:p w:rsidR="00400FD6" w:rsidRPr="002C0CE9" w:rsidRDefault="00400FD6" w:rsidP="002F30E3">
      <w:pPr>
        <w:pStyle w:val="Textonotapie"/>
        <w:rPr>
          <w:rFonts w:ascii="Verdana" w:hAnsi="Verdana"/>
          <w:sz w:val="16"/>
          <w:szCs w:val="16"/>
          <w:lang w:val="pt-BR"/>
        </w:rPr>
      </w:pPr>
      <w:r w:rsidRPr="002C0CE9">
        <w:rPr>
          <w:rStyle w:val="Refdenotaalpie"/>
          <w:rFonts w:ascii="Verdana" w:hAnsi="Verdana"/>
          <w:sz w:val="16"/>
          <w:szCs w:val="16"/>
        </w:rPr>
        <w:footnoteRef/>
      </w:r>
      <w:r w:rsidRPr="002C0CE9">
        <w:rPr>
          <w:rFonts w:ascii="Verdana" w:hAnsi="Verdana"/>
          <w:sz w:val="16"/>
          <w:szCs w:val="16"/>
          <w:lang w:val="pt-BR"/>
        </w:rPr>
        <w:t xml:space="preserve"> Corte Constitucional. Sentencia T-551 de 1992.</w:t>
      </w:r>
    </w:p>
  </w:footnote>
  <w:footnote w:id="4">
    <w:p w:rsidR="00400FD6" w:rsidRPr="005C4942" w:rsidRDefault="00400FD6" w:rsidP="002F30E3">
      <w:pPr>
        <w:pStyle w:val="Textonotapie"/>
        <w:jc w:val="both"/>
        <w:rPr>
          <w:rFonts w:ascii="Verdana" w:hAnsi="Verdana"/>
          <w:sz w:val="18"/>
          <w:szCs w:val="18"/>
          <w:lang w:val="pt-BR"/>
        </w:rPr>
      </w:pPr>
      <w:r w:rsidRPr="002C0CE9">
        <w:rPr>
          <w:rStyle w:val="Refdenotaalpie"/>
          <w:sz w:val="16"/>
          <w:szCs w:val="16"/>
        </w:rPr>
        <w:footnoteRef/>
      </w:r>
      <w:r w:rsidRPr="002C0CE9">
        <w:rPr>
          <w:sz w:val="16"/>
          <w:szCs w:val="16"/>
          <w:lang w:val="pt-BR"/>
        </w:rPr>
        <w:t xml:space="preserve"> </w:t>
      </w:r>
      <w:r w:rsidRPr="002C0CE9">
        <w:rPr>
          <w:rFonts w:ascii="Verdana" w:hAnsi="Verdana"/>
          <w:sz w:val="16"/>
          <w:szCs w:val="16"/>
          <w:lang w:val="pt-BR"/>
        </w:rPr>
        <w:t>Corte Constitucional. Sentencia T- 551 de 2002.</w:t>
      </w:r>
    </w:p>
  </w:footnote>
  <w:footnote w:id="5">
    <w:p w:rsidR="00400FD6" w:rsidRPr="00EA2219" w:rsidRDefault="00400FD6" w:rsidP="009C5BF2">
      <w:pPr>
        <w:pStyle w:val="Textonotapie"/>
        <w:jc w:val="both"/>
        <w:rPr>
          <w:rFonts w:ascii="Bookman Old Style" w:hAnsi="Bookman Old Style" w:cs="Arial"/>
          <w:sz w:val="16"/>
          <w:szCs w:val="16"/>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vertAlign w:val="superscript"/>
        </w:rPr>
        <w:t xml:space="preserve"> </w:t>
      </w:r>
      <w:r w:rsidRPr="00EA2219">
        <w:rPr>
          <w:rFonts w:ascii="Bookman Old Style" w:hAnsi="Bookman Old Style" w:cs="Arial"/>
          <w:sz w:val="16"/>
          <w:szCs w:val="16"/>
        </w:rPr>
        <w:t>Ver entre otras las sentencias de la H. Corte Constitucional C-150 de 2003, C-1162 de 2000, C-186 de 2011.</w:t>
      </w:r>
    </w:p>
  </w:footnote>
  <w:footnote w:id="6">
    <w:p w:rsidR="00400FD6" w:rsidRPr="00EA2219" w:rsidRDefault="00400FD6"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C-075 de 2006.</w:t>
      </w:r>
    </w:p>
  </w:footnote>
  <w:footnote w:id="7">
    <w:p w:rsidR="00400FD6" w:rsidRPr="00EA2219" w:rsidRDefault="00400FD6"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8">
    <w:p w:rsidR="00400FD6" w:rsidRPr="00EA2219" w:rsidRDefault="00400FD6"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SU-2010 de 2008.</w:t>
      </w:r>
    </w:p>
  </w:footnote>
  <w:footnote w:id="9">
    <w:p w:rsidR="00400FD6" w:rsidRPr="00EA2219" w:rsidRDefault="00400FD6"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0">
    <w:p w:rsidR="00400FD6" w:rsidRPr="00EA2219" w:rsidRDefault="00400FD6"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rsidR="00400FD6" w:rsidRPr="00EA2219" w:rsidRDefault="00400FD6" w:rsidP="009C5BF2">
      <w:pPr>
        <w:pStyle w:val="Textonotapie"/>
        <w:jc w:val="both"/>
        <w:rPr>
          <w:rFonts w:ascii="Bookman Old Style" w:hAnsi="Bookman Old Style" w:cs="Arial"/>
          <w:sz w:val="16"/>
          <w:szCs w:val="16"/>
        </w:rPr>
      </w:pPr>
    </w:p>
    <w:p w:rsidR="00400FD6" w:rsidRPr="00EA2219" w:rsidRDefault="00400FD6"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rsidR="00400FD6" w:rsidRPr="00EA2219" w:rsidRDefault="00400FD6" w:rsidP="009C5BF2">
      <w:pPr>
        <w:pStyle w:val="Textonotapie"/>
        <w:jc w:val="both"/>
        <w:rPr>
          <w:rFonts w:ascii="Bookman Old Style" w:hAnsi="Bookman Old Style" w:cs="Arial"/>
          <w:sz w:val="16"/>
          <w:szCs w:val="16"/>
        </w:rPr>
      </w:pPr>
    </w:p>
    <w:p w:rsidR="00400FD6" w:rsidRPr="00EA2219" w:rsidRDefault="00400FD6"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p w:rsidR="00400FD6" w:rsidRPr="001F4E10" w:rsidRDefault="00400FD6" w:rsidP="009C5BF2">
      <w:pPr>
        <w:pStyle w:val="Textonotapie"/>
        <w:jc w:val="both"/>
        <w:rPr>
          <w:rFonts w:ascii="Arial" w:hAnsi="Arial" w:cs="Arial"/>
          <w:sz w:val="16"/>
          <w:szCs w:val="16"/>
        </w:rPr>
      </w:pPr>
    </w:p>
  </w:footnote>
  <w:footnote w:id="11">
    <w:p w:rsidR="00400FD6" w:rsidRPr="00EA2219" w:rsidRDefault="00400FD6"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p>
  </w:footnote>
  <w:footnote w:id="12">
    <w:p w:rsidR="00400FD6" w:rsidRPr="00EA2219" w:rsidRDefault="00400FD6"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13">
    <w:p w:rsidR="00400FD6" w:rsidRPr="00EA2219" w:rsidRDefault="00400FD6"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p>
  </w:footnote>
  <w:footnote w:id="14">
    <w:p w:rsidR="00400FD6" w:rsidRPr="00EA2219" w:rsidRDefault="00400FD6"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5">
    <w:p w:rsidR="00400FD6" w:rsidRPr="00EA2219" w:rsidRDefault="00400FD6" w:rsidP="009C5BF2">
      <w:pPr>
        <w:pStyle w:val="Textonotapie"/>
        <w:jc w:val="both"/>
        <w:rPr>
          <w:rFonts w:ascii="Bookman Old Style" w:hAnsi="Bookman Old Style"/>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Ibídem.</w:t>
      </w:r>
      <w:r w:rsidRPr="00EA2219">
        <w:rPr>
          <w:rFonts w:ascii="Bookman Old Style" w:hAnsi="Bookman Old Style"/>
        </w:rPr>
        <w:t xml:space="preserve"> </w:t>
      </w:r>
    </w:p>
  </w:footnote>
  <w:footnote w:id="16">
    <w:p w:rsidR="00400FD6" w:rsidRPr="00EA2219" w:rsidRDefault="00400FD6"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C-263 de 2013.</w:t>
      </w:r>
    </w:p>
  </w:footnote>
  <w:footnote w:id="17">
    <w:p w:rsidR="00400FD6" w:rsidRPr="0007653A" w:rsidRDefault="00400FD6" w:rsidP="009C5BF2">
      <w:pPr>
        <w:pStyle w:val="Textonotapie"/>
        <w:jc w:val="both"/>
        <w:rPr>
          <w:rFonts w:ascii="Arial" w:hAnsi="Arial" w:cs="Arial"/>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18">
    <w:p w:rsidR="00400FD6" w:rsidRDefault="00400FD6" w:rsidP="00575330">
      <w:pPr>
        <w:pStyle w:val="Textonotapie"/>
        <w:jc w:val="both"/>
        <w:rPr>
          <w:sz w:val="22"/>
        </w:rPr>
      </w:pPr>
      <w:r>
        <w:rPr>
          <w:rStyle w:val="Refdenotaalpie"/>
        </w:rPr>
        <w:footnoteRef/>
      </w:r>
      <w:r>
        <w:rPr>
          <w:rStyle w:val="Refdenotaalpie"/>
        </w:rPr>
        <w:t>[148]</w:t>
      </w:r>
      <w:r>
        <w:rPr>
          <w:sz w:val="22"/>
        </w:rPr>
        <w:t xml:space="preserve"> Sentencia C-389 de 2002; M.P. Clara Inés Vargas Hernández, precitada.</w:t>
      </w:r>
    </w:p>
  </w:footnote>
  <w:footnote w:id="19">
    <w:p w:rsidR="00400FD6" w:rsidRDefault="00400FD6">
      <w:pPr>
        <w:pStyle w:val="Textonotapie"/>
      </w:pPr>
      <w:r>
        <w:rPr>
          <w:rStyle w:val="Refdenotaalpie"/>
        </w:rPr>
        <w:footnoteRef/>
      </w:r>
      <w:r>
        <w:t xml:space="preserve"> Sentencia C-150 de 2003 M.P Manuel José Cepeda Espinosa.</w:t>
      </w:r>
    </w:p>
  </w:footnote>
  <w:footnote w:id="20">
    <w:p w:rsidR="00400FD6" w:rsidRPr="00FA0D0D" w:rsidRDefault="00400FD6" w:rsidP="00FA0D0D">
      <w:pPr>
        <w:pStyle w:val="Textonotapie"/>
        <w:jc w:val="both"/>
      </w:pPr>
      <w:r>
        <w:rPr>
          <w:rStyle w:val="Refdenotaalpie"/>
        </w:rPr>
        <w:footnoteRef/>
      </w:r>
      <w:r>
        <w:t xml:space="preserve"> Resolución CREG 202 de 2013, Artículo 9º. </w:t>
      </w:r>
      <w:r w:rsidRPr="00FA0D0D">
        <w:rPr>
          <w:bCs/>
          <w:lang w:val="es-ES"/>
        </w:rPr>
        <w:t>METODOLOGÍA PARA EL CÁLCULO DE LOS CARGOS DE DISTRIBUCION A PARTIR DE LOS COSTOS MEDIOS HISTÓRICOS O COSTOS MEDIOS DE MEDIANO PLAZO</w:t>
      </w:r>
      <w:r>
        <w:rPr>
          <w:bCs/>
          <w:lang w:val="es-ES"/>
        </w:rPr>
        <w:t>.</w:t>
      </w:r>
    </w:p>
  </w:footnote>
  <w:footnote w:id="21">
    <w:p w:rsidR="00400FD6" w:rsidRPr="00EA2219" w:rsidRDefault="00400FD6"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22">
    <w:p w:rsidR="00400FD6" w:rsidRPr="00EA2219" w:rsidRDefault="00400FD6"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Ver entre otros el Auto I-2013-</w:t>
      </w:r>
      <w:r>
        <w:rPr>
          <w:rFonts w:ascii="Bookman Old Style" w:hAnsi="Bookman Old Style"/>
          <w:sz w:val="16"/>
          <w:szCs w:val="16"/>
        </w:rPr>
        <w:t xml:space="preserve">002499 solución de conflictos </w:t>
      </w:r>
      <w:r w:rsidRPr="00EA2219">
        <w:rPr>
          <w:rFonts w:ascii="Bookman Old Style" w:hAnsi="Bookman Old Style"/>
          <w:sz w:val="16"/>
          <w:szCs w:val="16"/>
        </w:rPr>
        <w:t xml:space="preserve">entre EPM y TGI en materia de </w:t>
      </w:r>
      <w:r w:rsidRPr="006E1C54">
        <w:rPr>
          <w:rFonts w:ascii="Bookman Old Style" w:hAnsi="Bookman Old Style"/>
          <w:sz w:val="16"/>
          <w:szCs w:val="16"/>
        </w:rPr>
        <w:t>contratos</w:t>
      </w:r>
      <w:r w:rsidRPr="00EA2219">
        <w:rPr>
          <w:rFonts w:ascii="Bookman Old Style" w:hAnsi="Bookman Old Style"/>
          <w:sz w:val="16"/>
          <w:szCs w:val="16"/>
        </w:rPr>
        <w:t xml:space="preserve"> de </w:t>
      </w:r>
      <w:r w:rsidRPr="006E1C54">
        <w:rPr>
          <w:rFonts w:ascii="Bookman Old Style" w:hAnsi="Bookman Old Style"/>
          <w:sz w:val="16"/>
          <w:szCs w:val="16"/>
        </w:rPr>
        <w:t>transporte</w:t>
      </w:r>
      <w:r w:rsidRPr="00EA2219">
        <w:rPr>
          <w:rFonts w:ascii="Bookman Old Style" w:hAnsi="Bookman Old Style"/>
          <w:sz w:val="16"/>
          <w:szCs w:val="16"/>
        </w:rPr>
        <w:t xml:space="preserve"> de gas natural.</w:t>
      </w:r>
    </w:p>
  </w:footnote>
  <w:footnote w:id="23">
    <w:p w:rsidR="00400FD6" w:rsidRPr="00EA2219" w:rsidRDefault="00400FD6" w:rsidP="00EA2219">
      <w:pPr>
        <w:pStyle w:val="Textonotapie"/>
        <w:ind w:left="-142"/>
        <w:rPr>
          <w:rFonts w:ascii="Bookman Old Style" w:hAnsi="Bookman Old Style"/>
        </w:rPr>
      </w:pPr>
      <w:r w:rsidRPr="00EA2219">
        <w:rPr>
          <w:rFonts w:ascii="Bookman Old Style" w:hAnsi="Bookman Old Style" w:cs="Arial"/>
          <w:sz w:val="12"/>
          <w:szCs w:val="16"/>
        </w:rPr>
        <w:footnoteRef/>
      </w:r>
      <w:r w:rsidRPr="00EA2219">
        <w:rPr>
          <w:rFonts w:ascii="Bookman Old Style" w:hAnsi="Bookman Old Style" w:cs="Arial"/>
          <w:sz w:val="12"/>
          <w:szCs w:val="16"/>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24">
    <w:p w:rsidR="00400FD6" w:rsidRPr="008357F1" w:rsidRDefault="00400FD6" w:rsidP="009C5BF2">
      <w:pPr>
        <w:pStyle w:val="Textonotapie"/>
        <w:ind w:left="-142"/>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5">
    <w:p w:rsidR="00400FD6" w:rsidRPr="00EA2219" w:rsidRDefault="00400FD6"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Resolución CREG 087 de 2004 y Resolución CREG 121 de 2012.</w:t>
      </w:r>
    </w:p>
  </w:footnote>
  <w:footnote w:id="26">
    <w:p w:rsidR="00400FD6" w:rsidRPr="00EA2219" w:rsidRDefault="00400FD6"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7">
    <w:p w:rsidR="00400FD6" w:rsidRPr="00F134CB" w:rsidRDefault="00400FD6" w:rsidP="009C5BF2">
      <w:pPr>
        <w:pStyle w:val="Textonotapie"/>
        <w:rPr>
          <w:rFonts w:ascii="Bookman Old Style" w:hAnsi="Bookman Old Style"/>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8">
    <w:p w:rsidR="00400FD6" w:rsidRPr="00EA2219" w:rsidRDefault="00400FD6" w:rsidP="009C5BF2">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9">
    <w:p w:rsidR="00400FD6" w:rsidRPr="00EA2219" w:rsidRDefault="00400FD6" w:rsidP="00635BCB">
      <w:pPr>
        <w:pStyle w:val="Textonotapie"/>
        <w:rPr>
          <w:rFonts w:ascii="Bookman Old Style" w:hAnsi="Bookman Old Style" w:cs="Arial"/>
          <w:sz w:val="16"/>
          <w:szCs w:val="16"/>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rsidR="00400FD6" w:rsidRPr="00EA2219" w:rsidRDefault="00400FD6" w:rsidP="00635BCB">
      <w:pPr>
        <w:pStyle w:val="Textonotapie"/>
        <w:rPr>
          <w:rFonts w:ascii="Bookman Old Style" w:hAnsi="Bookman Old Style" w:cs="Arial"/>
          <w:sz w:val="16"/>
          <w:szCs w:val="16"/>
        </w:rPr>
      </w:pPr>
    </w:p>
    <w:p w:rsidR="00400FD6" w:rsidRPr="00EA2219" w:rsidRDefault="00400FD6" w:rsidP="00635BCB">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las posibilidad</w:t>
      </w:r>
      <w:r>
        <w:rPr>
          <w:rFonts w:ascii="Bookman Old Style" w:hAnsi="Bookman Old Style" w:cs="Arial"/>
          <w:sz w:val="16"/>
          <w:szCs w:val="16"/>
        </w:rPr>
        <w:t>es</w:t>
      </w:r>
      <w:r w:rsidRPr="00EA2219">
        <w:rPr>
          <w:rFonts w:ascii="Bookman Old Style" w:hAnsi="Bookman Old Style" w:cs="Arial"/>
          <w:sz w:val="16"/>
          <w:szCs w:val="16"/>
        </w:rPr>
        <w:t xml:space="preserve">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p w:rsidR="00400FD6" w:rsidRPr="00EA2219" w:rsidRDefault="00400FD6" w:rsidP="00635BCB">
      <w:pPr>
        <w:pStyle w:val="Textonotapie"/>
        <w:rPr>
          <w:rFonts w:ascii="Bookman Old Style" w:hAnsi="Bookman Old Style" w:cs="Arial"/>
          <w:sz w:val="16"/>
          <w:szCs w:val="16"/>
        </w:rPr>
      </w:pPr>
    </w:p>
  </w:footnote>
  <w:footnote w:id="30">
    <w:p w:rsidR="00400FD6" w:rsidRDefault="00400FD6" w:rsidP="00635BCB">
      <w:pPr>
        <w:pStyle w:val="Textonotapie"/>
        <w:jc w:val="both"/>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Este análisis no es nuevo y el mismo ha sido expuesto por la Comisión en otras actuaciones administrativas como parte del ejercicio de sus funciones regulatorias en materia tarifaria como ocurre para el caso de las revisiones tarifarias como fue el caso de la Resolución CREG 062 de 2015.</w:t>
      </w:r>
    </w:p>
  </w:footnote>
  <w:footnote w:id="31">
    <w:p w:rsidR="00400FD6" w:rsidRPr="00837ECA" w:rsidRDefault="00400FD6" w:rsidP="00AF1FB3">
      <w:pPr>
        <w:pStyle w:val="Textonotapie"/>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32">
    <w:p w:rsidR="00400FD6" w:rsidRDefault="00400FD6" w:rsidP="006D153F">
      <w:pPr>
        <w:pStyle w:val="Textonotapie"/>
        <w:jc w:val="both"/>
      </w:pPr>
      <w:r w:rsidRPr="00244322">
        <w:rPr>
          <w:rFonts w:ascii="Bookman Old Style" w:hAnsi="Bookman Old Style" w:cs="Arial"/>
          <w:sz w:val="16"/>
          <w:szCs w:val="16"/>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FD6" w:rsidRDefault="00400FD6" w:rsidP="00951F79">
    <w:pPr>
      <w:pStyle w:val="Ttulo1"/>
      <w:ind w:right="6"/>
      <w:jc w:val="left"/>
      <w:rPr>
        <w:rFonts w:ascii="Bookman Old Style" w:hAnsi="Bookman Old Style" w:cs="Arial"/>
        <w:b w:val="0"/>
        <w:sz w:val="22"/>
        <w:szCs w:val="22"/>
      </w:rPr>
    </w:pPr>
  </w:p>
  <w:p w:rsidR="00400FD6" w:rsidRPr="00951F79" w:rsidRDefault="00400FD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E42EC">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E42EC">
      <w:fldChar w:fldCharType="begin"/>
    </w:r>
    <w:r w:rsidR="003E42EC">
      <w:instrText xml:space="preserve"> NUMPAGES  \* MERGEFORMAT </w:instrText>
    </w:r>
    <w:r w:rsidR="003E42EC">
      <w:fldChar w:fldCharType="separate"/>
    </w:r>
    <w:r w:rsidR="003E42EC" w:rsidRPr="003E42EC">
      <w:rPr>
        <w:rFonts w:ascii="Bookman Old Style" w:hAnsi="Bookman Old Style" w:cs="Arial"/>
        <w:b w:val="0"/>
        <w:noProof/>
        <w:sz w:val="22"/>
        <w:szCs w:val="22"/>
      </w:rPr>
      <w:t>46</w:t>
    </w:r>
    <w:r w:rsidR="003E42EC">
      <w:rPr>
        <w:rFonts w:ascii="Bookman Old Style" w:hAnsi="Bookman Old Style" w:cs="Arial"/>
        <w:b w:val="0"/>
        <w:noProof/>
        <w:sz w:val="22"/>
        <w:szCs w:val="22"/>
      </w:rPr>
      <w:fldChar w:fldCharType="end"/>
    </w:r>
  </w:p>
  <w:p w:rsidR="00400FD6" w:rsidRDefault="00400FD6"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F15D"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00FD6" w:rsidRPr="00B67453" w:rsidRDefault="00400FD6" w:rsidP="00B67453">
    <w:pPr>
      <w:widowControl w:val="0"/>
      <w:adjustRightInd w:val="0"/>
      <w:ind w:left="0" w:right="20"/>
      <w:jc w:val="both"/>
      <w:rPr>
        <w:rFonts w:ascii="Bookman Old Style" w:hAnsi="Bookman Old Style" w:cs="Arial"/>
        <w:sz w:val="22"/>
        <w:szCs w:val="22"/>
        <w:lang w:val="es-ES_tradnl"/>
      </w:rPr>
    </w:pPr>
    <w:r w:rsidRPr="00B67453">
      <w:rPr>
        <w:rFonts w:ascii="Bookman Old Style" w:hAnsi="Bookman Old Style" w:cs="Arial"/>
        <w:sz w:val="22"/>
        <w:szCs w:val="22"/>
        <w:lang w:val="es-ES_tradnl"/>
      </w:rPr>
      <w:t xml:space="preserve">Por la cual se aprueba cargo de distribución transitorio por uso del sistema de distribución de gas combustible por redes de tubería para el mercado relevante conformado por los </w:t>
    </w:r>
    <w:r w:rsidRPr="000F2F87">
      <w:rPr>
        <w:rFonts w:ascii="Bookman Old Style" w:hAnsi="Bookman Old Style" w:cs="Arial"/>
        <w:sz w:val="22"/>
        <w:szCs w:val="22"/>
        <w:lang w:val="es-ES_tradnl"/>
      </w:rPr>
      <w:t xml:space="preserve">centros poblados de Taravita en el municipio de Fúquene, Ticha, Nengua y Miña en el municipio de Guachetá, </w:t>
    </w:r>
    <w:r w:rsidRPr="000F2F87">
      <w:rPr>
        <w:rFonts w:ascii="Bookman Old Style" w:hAnsi="Bookman Old Style" w:cs="Arial"/>
        <w:sz w:val="22"/>
        <w:szCs w:val="22"/>
      </w:rPr>
      <w:t>departamento de Cundinamarca</w:t>
    </w:r>
    <w:r w:rsidRPr="009575C5">
      <w:rPr>
        <w:rFonts w:ascii="Bookman Old Style" w:hAnsi="Bookman Old Style" w:cs="Arial"/>
        <w:sz w:val="22"/>
        <w:szCs w:val="22"/>
      </w:rPr>
      <w:t>,</w:t>
    </w:r>
    <w:r w:rsidRPr="009575C5">
      <w:rPr>
        <w:rFonts w:ascii="Bookman Old Style" w:hAnsi="Bookman Old Style" w:cs="Arial"/>
        <w:sz w:val="22"/>
        <w:szCs w:val="22"/>
        <w:lang w:val="es-ES_tradnl"/>
      </w:rPr>
      <w:t xml:space="preserve"> según solicitud tarifaria presentada por la empresa </w:t>
    </w:r>
    <w:r w:rsidRPr="000F2F87">
      <w:rPr>
        <w:rFonts w:ascii="Bookman Old Style" w:hAnsi="Bookman Old Style" w:cs="Arial"/>
        <w:sz w:val="22"/>
        <w:szCs w:val="22"/>
        <w:lang w:val="es-ES_tradnl"/>
      </w:rPr>
      <w:t>INGENIERIA Y SERVICIOS S.A. E.S.P.</w:t>
    </w:r>
  </w:p>
  <w:p w:rsidR="00400FD6" w:rsidRPr="00D036CD" w:rsidRDefault="00400FD6" w:rsidP="001B0F48">
    <w:pPr>
      <w:pBdr>
        <w:bottom w:val="single" w:sz="4" w:space="1" w:color="auto"/>
      </w:pBdr>
      <w:ind w:left="0"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FD6" w:rsidRDefault="00400FD6"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400FD6" w:rsidRDefault="00400FD6">
    <w:pPr>
      <w:pStyle w:val="Encabezado"/>
      <w:jc w:val="center"/>
      <w:rPr>
        <w:rFonts w:ascii="Arial" w:hAnsi="Arial" w:cs="Arial"/>
        <w:spacing w:val="20"/>
        <w:sz w:val="20"/>
      </w:rPr>
    </w:pPr>
  </w:p>
  <w:p w:rsidR="00400FD6" w:rsidRDefault="00400FD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96FA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70F"/>
    <w:rsid w:val="00005D8F"/>
    <w:rsid w:val="00005E67"/>
    <w:rsid w:val="0000682F"/>
    <w:rsid w:val="00006AE2"/>
    <w:rsid w:val="000076A1"/>
    <w:rsid w:val="00007A7A"/>
    <w:rsid w:val="00007FB7"/>
    <w:rsid w:val="00010201"/>
    <w:rsid w:val="00012259"/>
    <w:rsid w:val="00014E2E"/>
    <w:rsid w:val="00016BF0"/>
    <w:rsid w:val="00016C18"/>
    <w:rsid w:val="000175DD"/>
    <w:rsid w:val="000212BE"/>
    <w:rsid w:val="00025383"/>
    <w:rsid w:val="00025775"/>
    <w:rsid w:val="000275B9"/>
    <w:rsid w:val="000305F3"/>
    <w:rsid w:val="0003128C"/>
    <w:rsid w:val="0003161B"/>
    <w:rsid w:val="00031C20"/>
    <w:rsid w:val="000322A3"/>
    <w:rsid w:val="00032D9F"/>
    <w:rsid w:val="00033184"/>
    <w:rsid w:val="00033861"/>
    <w:rsid w:val="00033B17"/>
    <w:rsid w:val="00034210"/>
    <w:rsid w:val="00034816"/>
    <w:rsid w:val="00035B25"/>
    <w:rsid w:val="00035D47"/>
    <w:rsid w:val="00037D9D"/>
    <w:rsid w:val="00040A9E"/>
    <w:rsid w:val="00040F56"/>
    <w:rsid w:val="000427D8"/>
    <w:rsid w:val="0004655A"/>
    <w:rsid w:val="00050211"/>
    <w:rsid w:val="00050483"/>
    <w:rsid w:val="00050F7F"/>
    <w:rsid w:val="00053715"/>
    <w:rsid w:val="000537E8"/>
    <w:rsid w:val="0005493F"/>
    <w:rsid w:val="00055B77"/>
    <w:rsid w:val="00056C53"/>
    <w:rsid w:val="00060D57"/>
    <w:rsid w:val="0006208A"/>
    <w:rsid w:val="00063657"/>
    <w:rsid w:val="000664AE"/>
    <w:rsid w:val="00076680"/>
    <w:rsid w:val="00076A1D"/>
    <w:rsid w:val="00076DF2"/>
    <w:rsid w:val="0008073E"/>
    <w:rsid w:val="00082816"/>
    <w:rsid w:val="00082E50"/>
    <w:rsid w:val="000835E8"/>
    <w:rsid w:val="00084191"/>
    <w:rsid w:val="000873E1"/>
    <w:rsid w:val="0009160F"/>
    <w:rsid w:val="00091CDB"/>
    <w:rsid w:val="00092171"/>
    <w:rsid w:val="0009253D"/>
    <w:rsid w:val="000929BA"/>
    <w:rsid w:val="00093F01"/>
    <w:rsid w:val="00093F91"/>
    <w:rsid w:val="000963D8"/>
    <w:rsid w:val="00096E1F"/>
    <w:rsid w:val="000976D8"/>
    <w:rsid w:val="000A19AC"/>
    <w:rsid w:val="000A3172"/>
    <w:rsid w:val="000A3599"/>
    <w:rsid w:val="000A7E74"/>
    <w:rsid w:val="000B03C2"/>
    <w:rsid w:val="000B17F7"/>
    <w:rsid w:val="000B1B19"/>
    <w:rsid w:val="000B2345"/>
    <w:rsid w:val="000B3C29"/>
    <w:rsid w:val="000B6582"/>
    <w:rsid w:val="000B667A"/>
    <w:rsid w:val="000C1134"/>
    <w:rsid w:val="000C3239"/>
    <w:rsid w:val="000C4768"/>
    <w:rsid w:val="000C750F"/>
    <w:rsid w:val="000C7B34"/>
    <w:rsid w:val="000D1308"/>
    <w:rsid w:val="000D1E6E"/>
    <w:rsid w:val="000D26F8"/>
    <w:rsid w:val="000D5A4C"/>
    <w:rsid w:val="000E01B8"/>
    <w:rsid w:val="000E2037"/>
    <w:rsid w:val="000E40BB"/>
    <w:rsid w:val="000E41E3"/>
    <w:rsid w:val="000E5A0A"/>
    <w:rsid w:val="000E606B"/>
    <w:rsid w:val="000E644D"/>
    <w:rsid w:val="000E65FF"/>
    <w:rsid w:val="000E7A38"/>
    <w:rsid w:val="000E7F51"/>
    <w:rsid w:val="000F1132"/>
    <w:rsid w:val="000F18B2"/>
    <w:rsid w:val="000F2F87"/>
    <w:rsid w:val="000F3230"/>
    <w:rsid w:val="000F410B"/>
    <w:rsid w:val="000F7B5F"/>
    <w:rsid w:val="0010055F"/>
    <w:rsid w:val="00101A42"/>
    <w:rsid w:val="00104A91"/>
    <w:rsid w:val="00105372"/>
    <w:rsid w:val="0010707E"/>
    <w:rsid w:val="001072B9"/>
    <w:rsid w:val="00111F56"/>
    <w:rsid w:val="00113128"/>
    <w:rsid w:val="0011341F"/>
    <w:rsid w:val="00113949"/>
    <w:rsid w:val="001139FA"/>
    <w:rsid w:val="00113EC5"/>
    <w:rsid w:val="001202B9"/>
    <w:rsid w:val="00120580"/>
    <w:rsid w:val="0012200E"/>
    <w:rsid w:val="00122CFB"/>
    <w:rsid w:val="0012404A"/>
    <w:rsid w:val="00124A94"/>
    <w:rsid w:val="001279E4"/>
    <w:rsid w:val="00130B51"/>
    <w:rsid w:val="00131585"/>
    <w:rsid w:val="0013288F"/>
    <w:rsid w:val="001331B3"/>
    <w:rsid w:val="00135116"/>
    <w:rsid w:val="0014017F"/>
    <w:rsid w:val="001405C6"/>
    <w:rsid w:val="00141013"/>
    <w:rsid w:val="00143228"/>
    <w:rsid w:val="0014397D"/>
    <w:rsid w:val="00146A9D"/>
    <w:rsid w:val="00146C85"/>
    <w:rsid w:val="00153DC5"/>
    <w:rsid w:val="00154D61"/>
    <w:rsid w:val="00154FAB"/>
    <w:rsid w:val="00155EEB"/>
    <w:rsid w:val="00156E4C"/>
    <w:rsid w:val="0015744C"/>
    <w:rsid w:val="00160B5E"/>
    <w:rsid w:val="00170D7D"/>
    <w:rsid w:val="00171D08"/>
    <w:rsid w:val="001748A3"/>
    <w:rsid w:val="00175388"/>
    <w:rsid w:val="00175723"/>
    <w:rsid w:val="00175814"/>
    <w:rsid w:val="00177A83"/>
    <w:rsid w:val="001803B2"/>
    <w:rsid w:val="00182325"/>
    <w:rsid w:val="00184F26"/>
    <w:rsid w:val="0018547A"/>
    <w:rsid w:val="001870B7"/>
    <w:rsid w:val="001913C6"/>
    <w:rsid w:val="00192CBF"/>
    <w:rsid w:val="00192D21"/>
    <w:rsid w:val="00192F5B"/>
    <w:rsid w:val="00192FF1"/>
    <w:rsid w:val="001931A8"/>
    <w:rsid w:val="00193FF1"/>
    <w:rsid w:val="00194020"/>
    <w:rsid w:val="001946B2"/>
    <w:rsid w:val="001947CE"/>
    <w:rsid w:val="0019480C"/>
    <w:rsid w:val="00194AD4"/>
    <w:rsid w:val="00195338"/>
    <w:rsid w:val="001954E9"/>
    <w:rsid w:val="0019584B"/>
    <w:rsid w:val="00195E5B"/>
    <w:rsid w:val="00197B08"/>
    <w:rsid w:val="001A2C0E"/>
    <w:rsid w:val="001A5F1B"/>
    <w:rsid w:val="001A74E8"/>
    <w:rsid w:val="001B0D07"/>
    <w:rsid w:val="001B0F48"/>
    <w:rsid w:val="001B1484"/>
    <w:rsid w:val="001B1B20"/>
    <w:rsid w:val="001B1C22"/>
    <w:rsid w:val="001B29DD"/>
    <w:rsid w:val="001B34C6"/>
    <w:rsid w:val="001B363E"/>
    <w:rsid w:val="001B3C74"/>
    <w:rsid w:val="001B6003"/>
    <w:rsid w:val="001B61EB"/>
    <w:rsid w:val="001B63E5"/>
    <w:rsid w:val="001B6AC6"/>
    <w:rsid w:val="001B7932"/>
    <w:rsid w:val="001C1345"/>
    <w:rsid w:val="001C24F8"/>
    <w:rsid w:val="001C3895"/>
    <w:rsid w:val="001C3899"/>
    <w:rsid w:val="001C4977"/>
    <w:rsid w:val="001C6723"/>
    <w:rsid w:val="001C7B61"/>
    <w:rsid w:val="001D033A"/>
    <w:rsid w:val="001D61E6"/>
    <w:rsid w:val="001D643F"/>
    <w:rsid w:val="001D7832"/>
    <w:rsid w:val="001E121D"/>
    <w:rsid w:val="001E2BE7"/>
    <w:rsid w:val="001E2FAE"/>
    <w:rsid w:val="001E39D5"/>
    <w:rsid w:val="001E5476"/>
    <w:rsid w:val="001E738F"/>
    <w:rsid w:val="001F2709"/>
    <w:rsid w:val="001F3765"/>
    <w:rsid w:val="002014DB"/>
    <w:rsid w:val="00203B4C"/>
    <w:rsid w:val="00203B82"/>
    <w:rsid w:val="002041EA"/>
    <w:rsid w:val="00204330"/>
    <w:rsid w:val="002044C4"/>
    <w:rsid w:val="00204F46"/>
    <w:rsid w:val="0020732B"/>
    <w:rsid w:val="00207D64"/>
    <w:rsid w:val="0021065A"/>
    <w:rsid w:val="00210879"/>
    <w:rsid w:val="00211D34"/>
    <w:rsid w:val="00213668"/>
    <w:rsid w:val="00214F04"/>
    <w:rsid w:val="00215B3E"/>
    <w:rsid w:val="0021674F"/>
    <w:rsid w:val="00217525"/>
    <w:rsid w:val="00217844"/>
    <w:rsid w:val="00217C1B"/>
    <w:rsid w:val="002209C0"/>
    <w:rsid w:val="002217C7"/>
    <w:rsid w:val="00221F55"/>
    <w:rsid w:val="002223A2"/>
    <w:rsid w:val="00226ECF"/>
    <w:rsid w:val="002271C4"/>
    <w:rsid w:val="00227206"/>
    <w:rsid w:val="002300AF"/>
    <w:rsid w:val="00230611"/>
    <w:rsid w:val="00231F80"/>
    <w:rsid w:val="00234911"/>
    <w:rsid w:val="00237A3D"/>
    <w:rsid w:val="00237FDF"/>
    <w:rsid w:val="002403B4"/>
    <w:rsid w:val="002403C0"/>
    <w:rsid w:val="00240455"/>
    <w:rsid w:val="00240DDE"/>
    <w:rsid w:val="00241181"/>
    <w:rsid w:val="00241399"/>
    <w:rsid w:val="0024290F"/>
    <w:rsid w:val="00243DE3"/>
    <w:rsid w:val="002442D8"/>
    <w:rsid w:val="00244322"/>
    <w:rsid w:val="0024463C"/>
    <w:rsid w:val="00244BF2"/>
    <w:rsid w:val="00246AA1"/>
    <w:rsid w:val="00246C1A"/>
    <w:rsid w:val="00247880"/>
    <w:rsid w:val="00250C29"/>
    <w:rsid w:val="00252A8C"/>
    <w:rsid w:val="00254D85"/>
    <w:rsid w:val="00256E7D"/>
    <w:rsid w:val="00260569"/>
    <w:rsid w:val="002606F0"/>
    <w:rsid w:val="00261BF8"/>
    <w:rsid w:val="002643E9"/>
    <w:rsid w:val="0026623A"/>
    <w:rsid w:val="00266CD6"/>
    <w:rsid w:val="00273301"/>
    <w:rsid w:val="0027346B"/>
    <w:rsid w:val="00273C2C"/>
    <w:rsid w:val="00274246"/>
    <w:rsid w:val="00274885"/>
    <w:rsid w:val="0027595D"/>
    <w:rsid w:val="00275BAD"/>
    <w:rsid w:val="00275DAB"/>
    <w:rsid w:val="0027773E"/>
    <w:rsid w:val="0027774F"/>
    <w:rsid w:val="0028104F"/>
    <w:rsid w:val="002817D6"/>
    <w:rsid w:val="00281C19"/>
    <w:rsid w:val="00283BDF"/>
    <w:rsid w:val="002849F9"/>
    <w:rsid w:val="00284FB7"/>
    <w:rsid w:val="00285D62"/>
    <w:rsid w:val="002861B3"/>
    <w:rsid w:val="002872ED"/>
    <w:rsid w:val="002874D5"/>
    <w:rsid w:val="002919B7"/>
    <w:rsid w:val="00293D13"/>
    <w:rsid w:val="00294504"/>
    <w:rsid w:val="00295885"/>
    <w:rsid w:val="00296530"/>
    <w:rsid w:val="002967DB"/>
    <w:rsid w:val="00297A92"/>
    <w:rsid w:val="002A12EA"/>
    <w:rsid w:val="002A234D"/>
    <w:rsid w:val="002A345B"/>
    <w:rsid w:val="002A6ADA"/>
    <w:rsid w:val="002A782A"/>
    <w:rsid w:val="002B11E2"/>
    <w:rsid w:val="002B1B36"/>
    <w:rsid w:val="002B24B8"/>
    <w:rsid w:val="002B34EB"/>
    <w:rsid w:val="002C03E1"/>
    <w:rsid w:val="002C3839"/>
    <w:rsid w:val="002C5FDD"/>
    <w:rsid w:val="002C69FA"/>
    <w:rsid w:val="002D0016"/>
    <w:rsid w:val="002D0C0D"/>
    <w:rsid w:val="002D3AE9"/>
    <w:rsid w:val="002D4510"/>
    <w:rsid w:val="002D574B"/>
    <w:rsid w:val="002D6B88"/>
    <w:rsid w:val="002D747B"/>
    <w:rsid w:val="002E2392"/>
    <w:rsid w:val="002E41C0"/>
    <w:rsid w:val="002E4959"/>
    <w:rsid w:val="002E4DC3"/>
    <w:rsid w:val="002E5078"/>
    <w:rsid w:val="002E5905"/>
    <w:rsid w:val="002E7264"/>
    <w:rsid w:val="002F0734"/>
    <w:rsid w:val="002F0CC9"/>
    <w:rsid w:val="002F2CD9"/>
    <w:rsid w:val="002F30E3"/>
    <w:rsid w:val="002F3A87"/>
    <w:rsid w:val="002F46E7"/>
    <w:rsid w:val="002F5D62"/>
    <w:rsid w:val="002F5E3D"/>
    <w:rsid w:val="002F6394"/>
    <w:rsid w:val="002F66D0"/>
    <w:rsid w:val="002F7BC3"/>
    <w:rsid w:val="00302AF5"/>
    <w:rsid w:val="003034E2"/>
    <w:rsid w:val="00303C3C"/>
    <w:rsid w:val="00304DB9"/>
    <w:rsid w:val="003101DA"/>
    <w:rsid w:val="00310331"/>
    <w:rsid w:val="003106A1"/>
    <w:rsid w:val="003117F3"/>
    <w:rsid w:val="00311845"/>
    <w:rsid w:val="00312369"/>
    <w:rsid w:val="00314693"/>
    <w:rsid w:val="00314757"/>
    <w:rsid w:val="00316D76"/>
    <w:rsid w:val="00320809"/>
    <w:rsid w:val="00320A00"/>
    <w:rsid w:val="003211CE"/>
    <w:rsid w:val="00321766"/>
    <w:rsid w:val="00321E6C"/>
    <w:rsid w:val="0032669A"/>
    <w:rsid w:val="00327FC7"/>
    <w:rsid w:val="0033099C"/>
    <w:rsid w:val="0033191F"/>
    <w:rsid w:val="00341E8F"/>
    <w:rsid w:val="00344AE7"/>
    <w:rsid w:val="00345FA9"/>
    <w:rsid w:val="00346460"/>
    <w:rsid w:val="00346E50"/>
    <w:rsid w:val="00347C39"/>
    <w:rsid w:val="003518A4"/>
    <w:rsid w:val="003527AC"/>
    <w:rsid w:val="003539B0"/>
    <w:rsid w:val="0035403A"/>
    <w:rsid w:val="00354CE5"/>
    <w:rsid w:val="00355285"/>
    <w:rsid w:val="00356C1B"/>
    <w:rsid w:val="00357DAB"/>
    <w:rsid w:val="00360ADB"/>
    <w:rsid w:val="003628F2"/>
    <w:rsid w:val="0036394B"/>
    <w:rsid w:val="00364E6F"/>
    <w:rsid w:val="00364E90"/>
    <w:rsid w:val="0036751E"/>
    <w:rsid w:val="00367F57"/>
    <w:rsid w:val="003700B5"/>
    <w:rsid w:val="003709B5"/>
    <w:rsid w:val="003734BE"/>
    <w:rsid w:val="00373B71"/>
    <w:rsid w:val="003759C2"/>
    <w:rsid w:val="00384193"/>
    <w:rsid w:val="003846C6"/>
    <w:rsid w:val="00384BE4"/>
    <w:rsid w:val="00385984"/>
    <w:rsid w:val="00387A57"/>
    <w:rsid w:val="00390BF5"/>
    <w:rsid w:val="00391B3F"/>
    <w:rsid w:val="003943C4"/>
    <w:rsid w:val="003946B2"/>
    <w:rsid w:val="00397365"/>
    <w:rsid w:val="003A07FF"/>
    <w:rsid w:val="003A09AA"/>
    <w:rsid w:val="003A0D72"/>
    <w:rsid w:val="003A2CCD"/>
    <w:rsid w:val="003A31F6"/>
    <w:rsid w:val="003A3799"/>
    <w:rsid w:val="003A46CB"/>
    <w:rsid w:val="003A65DA"/>
    <w:rsid w:val="003A789A"/>
    <w:rsid w:val="003B10B9"/>
    <w:rsid w:val="003B1F1B"/>
    <w:rsid w:val="003B46A0"/>
    <w:rsid w:val="003B5489"/>
    <w:rsid w:val="003B68D9"/>
    <w:rsid w:val="003B6A60"/>
    <w:rsid w:val="003B75B5"/>
    <w:rsid w:val="003B769B"/>
    <w:rsid w:val="003C1B92"/>
    <w:rsid w:val="003C1DCC"/>
    <w:rsid w:val="003C24AD"/>
    <w:rsid w:val="003C3004"/>
    <w:rsid w:val="003C3447"/>
    <w:rsid w:val="003C46A3"/>
    <w:rsid w:val="003C7080"/>
    <w:rsid w:val="003C7783"/>
    <w:rsid w:val="003D0070"/>
    <w:rsid w:val="003D076C"/>
    <w:rsid w:val="003D0E92"/>
    <w:rsid w:val="003D1703"/>
    <w:rsid w:val="003D21D5"/>
    <w:rsid w:val="003D3597"/>
    <w:rsid w:val="003D36F1"/>
    <w:rsid w:val="003D5E91"/>
    <w:rsid w:val="003D730A"/>
    <w:rsid w:val="003D740F"/>
    <w:rsid w:val="003E0379"/>
    <w:rsid w:val="003E2B23"/>
    <w:rsid w:val="003E2FE2"/>
    <w:rsid w:val="003E42EC"/>
    <w:rsid w:val="003E78B5"/>
    <w:rsid w:val="003F0076"/>
    <w:rsid w:val="003F12F0"/>
    <w:rsid w:val="003F32E1"/>
    <w:rsid w:val="003F5A31"/>
    <w:rsid w:val="003F7FBF"/>
    <w:rsid w:val="004007B3"/>
    <w:rsid w:val="00400FD6"/>
    <w:rsid w:val="00403322"/>
    <w:rsid w:val="00404192"/>
    <w:rsid w:val="00404DA1"/>
    <w:rsid w:val="00407E99"/>
    <w:rsid w:val="00410015"/>
    <w:rsid w:val="0041167B"/>
    <w:rsid w:val="00411770"/>
    <w:rsid w:val="00411DFB"/>
    <w:rsid w:val="00413EF7"/>
    <w:rsid w:val="00415BAB"/>
    <w:rsid w:val="00415ED2"/>
    <w:rsid w:val="00415FAD"/>
    <w:rsid w:val="00416B74"/>
    <w:rsid w:val="0042068C"/>
    <w:rsid w:val="0042141F"/>
    <w:rsid w:val="00423751"/>
    <w:rsid w:val="00423E5C"/>
    <w:rsid w:val="004248D0"/>
    <w:rsid w:val="004257C0"/>
    <w:rsid w:val="004260E0"/>
    <w:rsid w:val="00426523"/>
    <w:rsid w:val="00427BF4"/>
    <w:rsid w:val="0043168B"/>
    <w:rsid w:val="00431A8E"/>
    <w:rsid w:val="004333D1"/>
    <w:rsid w:val="00434360"/>
    <w:rsid w:val="004355FC"/>
    <w:rsid w:val="00436CBA"/>
    <w:rsid w:val="00436F3F"/>
    <w:rsid w:val="004371A7"/>
    <w:rsid w:val="0044048C"/>
    <w:rsid w:val="00441C4E"/>
    <w:rsid w:val="00442762"/>
    <w:rsid w:val="00442FA4"/>
    <w:rsid w:val="00443A05"/>
    <w:rsid w:val="00443D9A"/>
    <w:rsid w:val="004460A6"/>
    <w:rsid w:val="00446B59"/>
    <w:rsid w:val="0045040D"/>
    <w:rsid w:val="00454347"/>
    <w:rsid w:val="004551B3"/>
    <w:rsid w:val="00456169"/>
    <w:rsid w:val="00456F63"/>
    <w:rsid w:val="00460916"/>
    <w:rsid w:val="0046176B"/>
    <w:rsid w:val="00462EE3"/>
    <w:rsid w:val="00463F18"/>
    <w:rsid w:val="004656CD"/>
    <w:rsid w:val="0047111B"/>
    <w:rsid w:val="0047122B"/>
    <w:rsid w:val="00473772"/>
    <w:rsid w:val="004739C3"/>
    <w:rsid w:val="00473B7A"/>
    <w:rsid w:val="004756EF"/>
    <w:rsid w:val="00476EFF"/>
    <w:rsid w:val="00480217"/>
    <w:rsid w:val="00480EF2"/>
    <w:rsid w:val="00480F76"/>
    <w:rsid w:val="00481CD4"/>
    <w:rsid w:val="00481F9A"/>
    <w:rsid w:val="00485413"/>
    <w:rsid w:val="00486F43"/>
    <w:rsid w:val="004872CE"/>
    <w:rsid w:val="004903EE"/>
    <w:rsid w:val="004926C2"/>
    <w:rsid w:val="0049406D"/>
    <w:rsid w:val="00494396"/>
    <w:rsid w:val="00495A52"/>
    <w:rsid w:val="004960E9"/>
    <w:rsid w:val="0049624D"/>
    <w:rsid w:val="004A0540"/>
    <w:rsid w:val="004A2E88"/>
    <w:rsid w:val="004A4961"/>
    <w:rsid w:val="004A52A2"/>
    <w:rsid w:val="004A5305"/>
    <w:rsid w:val="004A5E41"/>
    <w:rsid w:val="004A6280"/>
    <w:rsid w:val="004B0FDF"/>
    <w:rsid w:val="004B1840"/>
    <w:rsid w:val="004B18F3"/>
    <w:rsid w:val="004B460E"/>
    <w:rsid w:val="004B75FF"/>
    <w:rsid w:val="004C1C08"/>
    <w:rsid w:val="004C3AAC"/>
    <w:rsid w:val="004C4E22"/>
    <w:rsid w:val="004D0BC0"/>
    <w:rsid w:val="004D0C51"/>
    <w:rsid w:val="004D19FA"/>
    <w:rsid w:val="004D2FD2"/>
    <w:rsid w:val="004D5674"/>
    <w:rsid w:val="004D6EB8"/>
    <w:rsid w:val="004D721C"/>
    <w:rsid w:val="004D7634"/>
    <w:rsid w:val="004D77B5"/>
    <w:rsid w:val="004E1E32"/>
    <w:rsid w:val="004E2802"/>
    <w:rsid w:val="004E45FB"/>
    <w:rsid w:val="004E46B6"/>
    <w:rsid w:val="004E69D2"/>
    <w:rsid w:val="004F009B"/>
    <w:rsid w:val="004F371F"/>
    <w:rsid w:val="004F47A6"/>
    <w:rsid w:val="004F64E3"/>
    <w:rsid w:val="004F759A"/>
    <w:rsid w:val="0050015E"/>
    <w:rsid w:val="00500364"/>
    <w:rsid w:val="005016AB"/>
    <w:rsid w:val="005021DD"/>
    <w:rsid w:val="005027FE"/>
    <w:rsid w:val="00502BC7"/>
    <w:rsid w:val="005036A5"/>
    <w:rsid w:val="00504837"/>
    <w:rsid w:val="00504F36"/>
    <w:rsid w:val="00505258"/>
    <w:rsid w:val="00505B33"/>
    <w:rsid w:val="00507421"/>
    <w:rsid w:val="005113F8"/>
    <w:rsid w:val="00514F81"/>
    <w:rsid w:val="005151B8"/>
    <w:rsid w:val="00515932"/>
    <w:rsid w:val="00515F50"/>
    <w:rsid w:val="005203B4"/>
    <w:rsid w:val="0052141A"/>
    <w:rsid w:val="00521DE3"/>
    <w:rsid w:val="00521FB0"/>
    <w:rsid w:val="005235A7"/>
    <w:rsid w:val="00524A69"/>
    <w:rsid w:val="00527C4C"/>
    <w:rsid w:val="005300D3"/>
    <w:rsid w:val="00532229"/>
    <w:rsid w:val="00532B0C"/>
    <w:rsid w:val="00532E50"/>
    <w:rsid w:val="00535AB1"/>
    <w:rsid w:val="00535B16"/>
    <w:rsid w:val="00536323"/>
    <w:rsid w:val="00536D82"/>
    <w:rsid w:val="005376A6"/>
    <w:rsid w:val="00541722"/>
    <w:rsid w:val="00542B81"/>
    <w:rsid w:val="00542D0D"/>
    <w:rsid w:val="00544C17"/>
    <w:rsid w:val="00544F82"/>
    <w:rsid w:val="00547FA4"/>
    <w:rsid w:val="005516A0"/>
    <w:rsid w:val="00551DD6"/>
    <w:rsid w:val="005544E8"/>
    <w:rsid w:val="00554523"/>
    <w:rsid w:val="00554FFF"/>
    <w:rsid w:val="00560229"/>
    <w:rsid w:val="00560B56"/>
    <w:rsid w:val="00560D60"/>
    <w:rsid w:val="00562071"/>
    <w:rsid w:val="00562E64"/>
    <w:rsid w:val="00563C3D"/>
    <w:rsid w:val="00565F71"/>
    <w:rsid w:val="00566F5D"/>
    <w:rsid w:val="005713EE"/>
    <w:rsid w:val="005725BF"/>
    <w:rsid w:val="00574302"/>
    <w:rsid w:val="00574CA5"/>
    <w:rsid w:val="00575330"/>
    <w:rsid w:val="00581897"/>
    <w:rsid w:val="0058479F"/>
    <w:rsid w:val="005848AA"/>
    <w:rsid w:val="005861B7"/>
    <w:rsid w:val="005873FD"/>
    <w:rsid w:val="00592E8C"/>
    <w:rsid w:val="0059325B"/>
    <w:rsid w:val="00593C4F"/>
    <w:rsid w:val="005946A8"/>
    <w:rsid w:val="00594D62"/>
    <w:rsid w:val="00596E6F"/>
    <w:rsid w:val="00597564"/>
    <w:rsid w:val="0059774E"/>
    <w:rsid w:val="005A165B"/>
    <w:rsid w:val="005A2478"/>
    <w:rsid w:val="005A3FBF"/>
    <w:rsid w:val="005A4407"/>
    <w:rsid w:val="005A55ED"/>
    <w:rsid w:val="005A59EF"/>
    <w:rsid w:val="005A60DF"/>
    <w:rsid w:val="005A7D14"/>
    <w:rsid w:val="005B1223"/>
    <w:rsid w:val="005B1B2E"/>
    <w:rsid w:val="005B4CC4"/>
    <w:rsid w:val="005B7290"/>
    <w:rsid w:val="005B7D97"/>
    <w:rsid w:val="005C0CFA"/>
    <w:rsid w:val="005C1F10"/>
    <w:rsid w:val="005C41AF"/>
    <w:rsid w:val="005C5807"/>
    <w:rsid w:val="005C6165"/>
    <w:rsid w:val="005C6868"/>
    <w:rsid w:val="005C68F1"/>
    <w:rsid w:val="005C6F09"/>
    <w:rsid w:val="005C73EB"/>
    <w:rsid w:val="005C761A"/>
    <w:rsid w:val="005C7C67"/>
    <w:rsid w:val="005D235B"/>
    <w:rsid w:val="005D2C2F"/>
    <w:rsid w:val="005D3DD9"/>
    <w:rsid w:val="005D4178"/>
    <w:rsid w:val="005D4C62"/>
    <w:rsid w:val="005D7696"/>
    <w:rsid w:val="005D77A0"/>
    <w:rsid w:val="005D7E02"/>
    <w:rsid w:val="005E035F"/>
    <w:rsid w:val="005E260A"/>
    <w:rsid w:val="005E448B"/>
    <w:rsid w:val="005E44A9"/>
    <w:rsid w:val="005E66BA"/>
    <w:rsid w:val="005E6E20"/>
    <w:rsid w:val="005E783F"/>
    <w:rsid w:val="005F04C9"/>
    <w:rsid w:val="005F2A2E"/>
    <w:rsid w:val="005F30B6"/>
    <w:rsid w:val="005F5F07"/>
    <w:rsid w:val="005F6F41"/>
    <w:rsid w:val="00600248"/>
    <w:rsid w:val="006002C7"/>
    <w:rsid w:val="006005E4"/>
    <w:rsid w:val="006029DA"/>
    <w:rsid w:val="00605B40"/>
    <w:rsid w:val="00605F60"/>
    <w:rsid w:val="00606FF5"/>
    <w:rsid w:val="00612218"/>
    <w:rsid w:val="006125FF"/>
    <w:rsid w:val="006156F2"/>
    <w:rsid w:val="00615B0A"/>
    <w:rsid w:val="0061682D"/>
    <w:rsid w:val="00616E57"/>
    <w:rsid w:val="006200C5"/>
    <w:rsid w:val="006208BE"/>
    <w:rsid w:val="00621590"/>
    <w:rsid w:val="00622B37"/>
    <w:rsid w:val="00622B8D"/>
    <w:rsid w:val="00622FC1"/>
    <w:rsid w:val="00625DC6"/>
    <w:rsid w:val="00625DDC"/>
    <w:rsid w:val="0063024A"/>
    <w:rsid w:val="00631401"/>
    <w:rsid w:val="00631E8F"/>
    <w:rsid w:val="006328A4"/>
    <w:rsid w:val="00633158"/>
    <w:rsid w:val="00633B0C"/>
    <w:rsid w:val="00634642"/>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60F54"/>
    <w:rsid w:val="00661BDB"/>
    <w:rsid w:val="00662340"/>
    <w:rsid w:val="00662B20"/>
    <w:rsid w:val="006637E6"/>
    <w:rsid w:val="00663D4F"/>
    <w:rsid w:val="0066646A"/>
    <w:rsid w:val="006672F7"/>
    <w:rsid w:val="006675CD"/>
    <w:rsid w:val="00667C82"/>
    <w:rsid w:val="00670686"/>
    <w:rsid w:val="00672B47"/>
    <w:rsid w:val="00674C40"/>
    <w:rsid w:val="0067530D"/>
    <w:rsid w:val="00675DB2"/>
    <w:rsid w:val="0067736F"/>
    <w:rsid w:val="0068016A"/>
    <w:rsid w:val="00681AD8"/>
    <w:rsid w:val="006832C6"/>
    <w:rsid w:val="00684C67"/>
    <w:rsid w:val="00684D9B"/>
    <w:rsid w:val="00692AD7"/>
    <w:rsid w:val="00692D20"/>
    <w:rsid w:val="00697556"/>
    <w:rsid w:val="0069757F"/>
    <w:rsid w:val="006A01FE"/>
    <w:rsid w:val="006A0B76"/>
    <w:rsid w:val="006A154F"/>
    <w:rsid w:val="006A1C3B"/>
    <w:rsid w:val="006A4412"/>
    <w:rsid w:val="006A5307"/>
    <w:rsid w:val="006B1C64"/>
    <w:rsid w:val="006B381F"/>
    <w:rsid w:val="006B3F20"/>
    <w:rsid w:val="006B4647"/>
    <w:rsid w:val="006B4C2B"/>
    <w:rsid w:val="006B5916"/>
    <w:rsid w:val="006B5D87"/>
    <w:rsid w:val="006B60D3"/>
    <w:rsid w:val="006B6721"/>
    <w:rsid w:val="006B6D47"/>
    <w:rsid w:val="006C2674"/>
    <w:rsid w:val="006C2F36"/>
    <w:rsid w:val="006C3310"/>
    <w:rsid w:val="006C4A97"/>
    <w:rsid w:val="006C4B48"/>
    <w:rsid w:val="006C5AFE"/>
    <w:rsid w:val="006C709E"/>
    <w:rsid w:val="006D0D5B"/>
    <w:rsid w:val="006D12BE"/>
    <w:rsid w:val="006D153F"/>
    <w:rsid w:val="006D1878"/>
    <w:rsid w:val="006D305F"/>
    <w:rsid w:val="006D34CD"/>
    <w:rsid w:val="006D377F"/>
    <w:rsid w:val="006D4F2E"/>
    <w:rsid w:val="006D63C8"/>
    <w:rsid w:val="006D6809"/>
    <w:rsid w:val="006D6902"/>
    <w:rsid w:val="006E0C64"/>
    <w:rsid w:val="006E1C54"/>
    <w:rsid w:val="006E2A04"/>
    <w:rsid w:val="006E32C9"/>
    <w:rsid w:val="006E34FB"/>
    <w:rsid w:val="006E3D5F"/>
    <w:rsid w:val="006E42FB"/>
    <w:rsid w:val="006E47E2"/>
    <w:rsid w:val="006E65AE"/>
    <w:rsid w:val="006E78EE"/>
    <w:rsid w:val="006F3BDC"/>
    <w:rsid w:val="006F4101"/>
    <w:rsid w:val="006F505C"/>
    <w:rsid w:val="006F5797"/>
    <w:rsid w:val="006F5E31"/>
    <w:rsid w:val="006F6855"/>
    <w:rsid w:val="006F6D95"/>
    <w:rsid w:val="006F7330"/>
    <w:rsid w:val="006F7765"/>
    <w:rsid w:val="007009B9"/>
    <w:rsid w:val="007019FA"/>
    <w:rsid w:val="00702880"/>
    <w:rsid w:val="00702FC2"/>
    <w:rsid w:val="00704166"/>
    <w:rsid w:val="00704312"/>
    <w:rsid w:val="00704FB4"/>
    <w:rsid w:val="00705514"/>
    <w:rsid w:val="007065C4"/>
    <w:rsid w:val="00706D65"/>
    <w:rsid w:val="00706F13"/>
    <w:rsid w:val="007072E8"/>
    <w:rsid w:val="00707D58"/>
    <w:rsid w:val="007122C7"/>
    <w:rsid w:val="0071618D"/>
    <w:rsid w:val="00721CDC"/>
    <w:rsid w:val="00722464"/>
    <w:rsid w:val="007237B6"/>
    <w:rsid w:val="00725E1D"/>
    <w:rsid w:val="00725FA4"/>
    <w:rsid w:val="00726C0C"/>
    <w:rsid w:val="0073055C"/>
    <w:rsid w:val="00730825"/>
    <w:rsid w:val="0073086C"/>
    <w:rsid w:val="00730C9E"/>
    <w:rsid w:val="007315E6"/>
    <w:rsid w:val="00732179"/>
    <w:rsid w:val="00732A40"/>
    <w:rsid w:val="00733551"/>
    <w:rsid w:val="00735BD8"/>
    <w:rsid w:val="00736FC9"/>
    <w:rsid w:val="007401F7"/>
    <w:rsid w:val="00740446"/>
    <w:rsid w:val="0074082F"/>
    <w:rsid w:val="00740B56"/>
    <w:rsid w:val="00741853"/>
    <w:rsid w:val="007438A9"/>
    <w:rsid w:val="00743DB5"/>
    <w:rsid w:val="0074491E"/>
    <w:rsid w:val="0074568F"/>
    <w:rsid w:val="007467F1"/>
    <w:rsid w:val="00746862"/>
    <w:rsid w:val="00752A24"/>
    <w:rsid w:val="00755165"/>
    <w:rsid w:val="00757F03"/>
    <w:rsid w:val="0076247A"/>
    <w:rsid w:val="00762BAC"/>
    <w:rsid w:val="0076581E"/>
    <w:rsid w:val="00767414"/>
    <w:rsid w:val="00772807"/>
    <w:rsid w:val="00772DA8"/>
    <w:rsid w:val="00773BA2"/>
    <w:rsid w:val="00775964"/>
    <w:rsid w:val="007765FE"/>
    <w:rsid w:val="007814D0"/>
    <w:rsid w:val="007842C3"/>
    <w:rsid w:val="00784B67"/>
    <w:rsid w:val="0078760A"/>
    <w:rsid w:val="00787FC1"/>
    <w:rsid w:val="00793E29"/>
    <w:rsid w:val="00793F3E"/>
    <w:rsid w:val="00795BFB"/>
    <w:rsid w:val="0079614C"/>
    <w:rsid w:val="00796D44"/>
    <w:rsid w:val="00797044"/>
    <w:rsid w:val="00797093"/>
    <w:rsid w:val="007A375E"/>
    <w:rsid w:val="007A439E"/>
    <w:rsid w:val="007A4490"/>
    <w:rsid w:val="007A65FF"/>
    <w:rsid w:val="007A687C"/>
    <w:rsid w:val="007B0D3E"/>
    <w:rsid w:val="007B2760"/>
    <w:rsid w:val="007B3764"/>
    <w:rsid w:val="007B509E"/>
    <w:rsid w:val="007B50F0"/>
    <w:rsid w:val="007B6E55"/>
    <w:rsid w:val="007C0AC2"/>
    <w:rsid w:val="007C2022"/>
    <w:rsid w:val="007C54E6"/>
    <w:rsid w:val="007C6336"/>
    <w:rsid w:val="007C6C95"/>
    <w:rsid w:val="007D1EE9"/>
    <w:rsid w:val="007D2326"/>
    <w:rsid w:val="007D44E9"/>
    <w:rsid w:val="007D4A2B"/>
    <w:rsid w:val="007D6341"/>
    <w:rsid w:val="007E1D4C"/>
    <w:rsid w:val="007E1F80"/>
    <w:rsid w:val="007E44F9"/>
    <w:rsid w:val="007E5E96"/>
    <w:rsid w:val="007F0E7E"/>
    <w:rsid w:val="007F1934"/>
    <w:rsid w:val="007F1A26"/>
    <w:rsid w:val="007F3868"/>
    <w:rsid w:val="007F4922"/>
    <w:rsid w:val="007F4F88"/>
    <w:rsid w:val="007F7729"/>
    <w:rsid w:val="0080021C"/>
    <w:rsid w:val="00802A65"/>
    <w:rsid w:val="00805553"/>
    <w:rsid w:val="00805BA5"/>
    <w:rsid w:val="00805F76"/>
    <w:rsid w:val="00806C01"/>
    <w:rsid w:val="008112E8"/>
    <w:rsid w:val="0081130B"/>
    <w:rsid w:val="0081331D"/>
    <w:rsid w:val="008148CC"/>
    <w:rsid w:val="008150E7"/>
    <w:rsid w:val="008165E3"/>
    <w:rsid w:val="008173AB"/>
    <w:rsid w:val="00820B7F"/>
    <w:rsid w:val="008211A4"/>
    <w:rsid w:val="00823A07"/>
    <w:rsid w:val="00826208"/>
    <w:rsid w:val="00826675"/>
    <w:rsid w:val="00827924"/>
    <w:rsid w:val="00831285"/>
    <w:rsid w:val="00831A1E"/>
    <w:rsid w:val="00831F9C"/>
    <w:rsid w:val="008322A1"/>
    <w:rsid w:val="0083352E"/>
    <w:rsid w:val="008348CB"/>
    <w:rsid w:val="00837B9A"/>
    <w:rsid w:val="0084194F"/>
    <w:rsid w:val="00843746"/>
    <w:rsid w:val="00844381"/>
    <w:rsid w:val="00844D9E"/>
    <w:rsid w:val="00847443"/>
    <w:rsid w:val="008501D2"/>
    <w:rsid w:val="008540A0"/>
    <w:rsid w:val="0085467A"/>
    <w:rsid w:val="00854C37"/>
    <w:rsid w:val="008554C7"/>
    <w:rsid w:val="008563D3"/>
    <w:rsid w:val="0085706C"/>
    <w:rsid w:val="008577C6"/>
    <w:rsid w:val="0085797B"/>
    <w:rsid w:val="008611E7"/>
    <w:rsid w:val="008625F4"/>
    <w:rsid w:val="00864029"/>
    <w:rsid w:val="00864A92"/>
    <w:rsid w:val="0086614C"/>
    <w:rsid w:val="00867644"/>
    <w:rsid w:val="008712A7"/>
    <w:rsid w:val="0087140E"/>
    <w:rsid w:val="008727EA"/>
    <w:rsid w:val="00872D82"/>
    <w:rsid w:val="00873150"/>
    <w:rsid w:val="0087444C"/>
    <w:rsid w:val="008750E6"/>
    <w:rsid w:val="0087657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83"/>
    <w:rsid w:val="00890729"/>
    <w:rsid w:val="00893CDB"/>
    <w:rsid w:val="00894315"/>
    <w:rsid w:val="008963AD"/>
    <w:rsid w:val="00897C75"/>
    <w:rsid w:val="00897DD2"/>
    <w:rsid w:val="008A0684"/>
    <w:rsid w:val="008A1904"/>
    <w:rsid w:val="008A1E6B"/>
    <w:rsid w:val="008A39AC"/>
    <w:rsid w:val="008B0C3E"/>
    <w:rsid w:val="008B1DFE"/>
    <w:rsid w:val="008B2887"/>
    <w:rsid w:val="008B2B30"/>
    <w:rsid w:val="008B3D54"/>
    <w:rsid w:val="008C1130"/>
    <w:rsid w:val="008C1E83"/>
    <w:rsid w:val="008C2EDE"/>
    <w:rsid w:val="008C3D2D"/>
    <w:rsid w:val="008C4452"/>
    <w:rsid w:val="008D002E"/>
    <w:rsid w:val="008D0D93"/>
    <w:rsid w:val="008D18E6"/>
    <w:rsid w:val="008D2138"/>
    <w:rsid w:val="008D48E8"/>
    <w:rsid w:val="008D74F5"/>
    <w:rsid w:val="008D7A9B"/>
    <w:rsid w:val="008E3366"/>
    <w:rsid w:val="008E4AAD"/>
    <w:rsid w:val="008E56B1"/>
    <w:rsid w:val="008E61CB"/>
    <w:rsid w:val="008E76AC"/>
    <w:rsid w:val="008F073C"/>
    <w:rsid w:val="008F1713"/>
    <w:rsid w:val="008F21F6"/>
    <w:rsid w:val="008F22C2"/>
    <w:rsid w:val="008F367C"/>
    <w:rsid w:val="008F3972"/>
    <w:rsid w:val="0090056A"/>
    <w:rsid w:val="00902198"/>
    <w:rsid w:val="00903575"/>
    <w:rsid w:val="00906D10"/>
    <w:rsid w:val="009076C7"/>
    <w:rsid w:val="00910030"/>
    <w:rsid w:val="0091031A"/>
    <w:rsid w:val="00913695"/>
    <w:rsid w:val="009138F3"/>
    <w:rsid w:val="00913D26"/>
    <w:rsid w:val="009141C9"/>
    <w:rsid w:val="0091475B"/>
    <w:rsid w:val="00914D6C"/>
    <w:rsid w:val="00914E79"/>
    <w:rsid w:val="00920416"/>
    <w:rsid w:val="00920C3D"/>
    <w:rsid w:val="00921B3A"/>
    <w:rsid w:val="0092279E"/>
    <w:rsid w:val="0092412E"/>
    <w:rsid w:val="0092593B"/>
    <w:rsid w:val="00925DD4"/>
    <w:rsid w:val="00926AFE"/>
    <w:rsid w:val="00930B12"/>
    <w:rsid w:val="009314E6"/>
    <w:rsid w:val="00934FA6"/>
    <w:rsid w:val="00937565"/>
    <w:rsid w:val="00940FD7"/>
    <w:rsid w:val="0094252E"/>
    <w:rsid w:val="009427F0"/>
    <w:rsid w:val="00942841"/>
    <w:rsid w:val="009429E7"/>
    <w:rsid w:val="00942FC6"/>
    <w:rsid w:val="00944C79"/>
    <w:rsid w:val="00945A3C"/>
    <w:rsid w:val="0094658F"/>
    <w:rsid w:val="00946701"/>
    <w:rsid w:val="00946AB1"/>
    <w:rsid w:val="009474AD"/>
    <w:rsid w:val="00947B2C"/>
    <w:rsid w:val="00951123"/>
    <w:rsid w:val="009516B8"/>
    <w:rsid w:val="00951F79"/>
    <w:rsid w:val="0095363B"/>
    <w:rsid w:val="009537C2"/>
    <w:rsid w:val="00953C87"/>
    <w:rsid w:val="0095512C"/>
    <w:rsid w:val="00955D73"/>
    <w:rsid w:val="00955E0A"/>
    <w:rsid w:val="00956824"/>
    <w:rsid w:val="00956A84"/>
    <w:rsid w:val="009575C5"/>
    <w:rsid w:val="00961E1B"/>
    <w:rsid w:val="009637C0"/>
    <w:rsid w:val="00963DC4"/>
    <w:rsid w:val="00964158"/>
    <w:rsid w:val="00964303"/>
    <w:rsid w:val="00966EF9"/>
    <w:rsid w:val="00967121"/>
    <w:rsid w:val="00967DCA"/>
    <w:rsid w:val="009701E7"/>
    <w:rsid w:val="009714A1"/>
    <w:rsid w:val="0097361C"/>
    <w:rsid w:val="00974AB5"/>
    <w:rsid w:val="0097525B"/>
    <w:rsid w:val="00975962"/>
    <w:rsid w:val="00976D32"/>
    <w:rsid w:val="00980814"/>
    <w:rsid w:val="00980D18"/>
    <w:rsid w:val="00981184"/>
    <w:rsid w:val="009814D9"/>
    <w:rsid w:val="00984132"/>
    <w:rsid w:val="00984E57"/>
    <w:rsid w:val="0098706D"/>
    <w:rsid w:val="009904B6"/>
    <w:rsid w:val="0099332E"/>
    <w:rsid w:val="009935FB"/>
    <w:rsid w:val="00993D21"/>
    <w:rsid w:val="0099486C"/>
    <w:rsid w:val="00994981"/>
    <w:rsid w:val="00995733"/>
    <w:rsid w:val="00995AB9"/>
    <w:rsid w:val="00996628"/>
    <w:rsid w:val="009B0F29"/>
    <w:rsid w:val="009B133D"/>
    <w:rsid w:val="009B1BEB"/>
    <w:rsid w:val="009B2CA8"/>
    <w:rsid w:val="009B3836"/>
    <w:rsid w:val="009B7F09"/>
    <w:rsid w:val="009C2EEC"/>
    <w:rsid w:val="009C33A0"/>
    <w:rsid w:val="009C510C"/>
    <w:rsid w:val="009C5B8E"/>
    <w:rsid w:val="009C5BF2"/>
    <w:rsid w:val="009C6488"/>
    <w:rsid w:val="009D03C2"/>
    <w:rsid w:val="009D138E"/>
    <w:rsid w:val="009D1806"/>
    <w:rsid w:val="009D3BA7"/>
    <w:rsid w:val="009D3C89"/>
    <w:rsid w:val="009D409B"/>
    <w:rsid w:val="009D4A1A"/>
    <w:rsid w:val="009D65E7"/>
    <w:rsid w:val="009D692A"/>
    <w:rsid w:val="009D69D2"/>
    <w:rsid w:val="009E0C30"/>
    <w:rsid w:val="009E0D7E"/>
    <w:rsid w:val="009E11C8"/>
    <w:rsid w:val="009E1365"/>
    <w:rsid w:val="009E2F5E"/>
    <w:rsid w:val="009E494B"/>
    <w:rsid w:val="009E6C87"/>
    <w:rsid w:val="009F471E"/>
    <w:rsid w:val="009F492A"/>
    <w:rsid w:val="009F4A54"/>
    <w:rsid w:val="009F4BEC"/>
    <w:rsid w:val="009F5BAB"/>
    <w:rsid w:val="009F609F"/>
    <w:rsid w:val="009F7490"/>
    <w:rsid w:val="009F7D37"/>
    <w:rsid w:val="00A007B0"/>
    <w:rsid w:val="00A0161E"/>
    <w:rsid w:val="00A019F4"/>
    <w:rsid w:val="00A031DE"/>
    <w:rsid w:val="00A0489D"/>
    <w:rsid w:val="00A04D6F"/>
    <w:rsid w:val="00A06156"/>
    <w:rsid w:val="00A0795F"/>
    <w:rsid w:val="00A1006B"/>
    <w:rsid w:val="00A10908"/>
    <w:rsid w:val="00A11221"/>
    <w:rsid w:val="00A11391"/>
    <w:rsid w:val="00A13C50"/>
    <w:rsid w:val="00A16BA2"/>
    <w:rsid w:val="00A20331"/>
    <w:rsid w:val="00A21495"/>
    <w:rsid w:val="00A21A33"/>
    <w:rsid w:val="00A2226F"/>
    <w:rsid w:val="00A23A1B"/>
    <w:rsid w:val="00A25FD7"/>
    <w:rsid w:val="00A26496"/>
    <w:rsid w:val="00A264D2"/>
    <w:rsid w:val="00A26DBC"/>
    <w:rsid w:val="00A26E3C"/>
    <w:rsid w:val="00A27385"/>
    <w:rsid w:val="00A31776"/>
    <w:rsid w:val="00A3618A"/>
    <w:rsid w:val="00A36412"/>
    <w:rsid w:val="00A41FA4"/>
    <w:rsid w:val="00A4209D"/>
    <w:rsid w:val="00A43AFF"/>
    <w:rsid w:val="00A44502"/>
    <w:rsid w:val="00A448A3"/>
    <w:rsid w:val="00A45239"/>
    <w:rsid w:val="00A47AD0"/>
    <w:rsid w:val="00A50F04"/>
    <w:rsid w:val="00A51D8F"/>
    <w:rsid w:val="00A53402"/>
    <w:rsid w:val="00A540E3"/>
    <w:rsid w:val="00A55E42"/>
    <w:rsid w:val="00A6127C"/>
    <w:rsid w:val="00A62A9D"/>
    <w:rsid w:val="00A71343"/>
    <w:rsid w:val="00A716F6"/>
    <w:rsid w:val="00A71CC8"/>
    <w:rsid w:val="00A72AE2"/>
    <w:rsid w:val="00A75649"/>
    <w:rsid w:val="00A766E2"/>
    <w:rsid w:val="00A76D31"/>
    <w:rsid w:val="00A77587"/>
    <w:rsid w:val="00A7793A"/>
    <w:rsid w:val="00A81C1B"/>
    <w:rsid w:val="00A8392D"/>
    <w:rsid w:val="00A858FE"/>
    <w:rsid w:val="00A85A53"/>
    <w:rsid w:val="00A85E18"/>
    <w:rsid w:val="00A86149"/>
    <w:rsid w:val="00A87AAD"/>
    <w:rsid w:val="00A91BF5"/>
    <w:rsid w:val="00A92CF3"/>
    <w:rsid w:val="00A93759"/>
    <w:rsid w:val="00A93C35"/>
    <w:rsid w:val="00A948B5"/>
    <w:rsid w:val="00A949E7"/>
    <w:rsid w:val="00A96741"/>
    <w:rsid w:val="00AA00E0"/>
    <w:rsid w:val="00AA010D"/>
    <w:rsid w:val="00AA08CD"/>
    <w:rsid w:val="00AA0DF5"/>
    <w:rsid w:val="00AA3003"/>
    <w:rsid w:val="00AA44A7"/>
    <w:rsid w:val="00AA4B3B"/>
    <w:rsid w:val="00AA4CC7"/>
    <w:rsid w:val="00AA4E30"/>
    <w:rsid w:val="00AA5380"/>
    <w:rsid w:val="00AA5E8E"/>
    <w:rsid w:val="00AB12AD"/>
    <w:rsid w:val="00AB1F86"/>
    <w:rsid w:val="00AB6CA7"/>
    <w:rsid w:val="00AC2AA3"/>
    <w:rsid w:val="00AC2F42"/>
    <w:rsid w:val="00AC71A8"/>
    <w:rsid w:val="00AC71D9"/>
    <w:rsid w:val="00AC7EB5"/>
    <w:rsid w:val="00AD01E4"/>
    <w:rsid w:val="00AD0858"/>
    <w:rsid w:val="00AD1A5B"/>
    <w:rsid w:val="00AD4002"/>
    <w:rsid w:val="00AD552E"/>
    <w:rsid w:val="00AE12AF"/>
    <w:rsid w:val="00AE2302"/>
    <w:rsid w:val="00AE3354"/>
    <w:rsid w:val="00AE420F"/>
    <w:rsid w:val="00AE556C"/>
    <w:rsid w:val="00AE5B7B"/>
    <w:rsid w:val="00AE5C1B"/>
    <w:rsid w:val="00AE7206"/>
    <w:rsid w:val="00AE7340"/>
    <w:rsid w:val="00AE7627"/>
    <w:rsid w:val="00AE7CA8"/>
    <w:rsid w:val="00AF1BBD"/>
    <w:rsid w:val="00AF1FB3"/>
    <w:rsid w:val="00AF4099"/>
    <w:rsid w:val="00AF577E"/>
    <w:rsid w:val="00AF7DE1"/>
    <w:rsid w:val="00B003BA"/>
    <w:rsid w:val="00B0328B"/>
    <w:rsid w:val="00B03A76"/>
    <w:rsid w:val="00B04CFB"/>
    <w:rsid w:val="00B0588B"/>
    <w:rsid w:val="00B072E2"/>
    <w:rsid w:val="00B101D3"/>
    <w:rsid w:val="00B10207"/>
    <w:rsid w:val="00B11BB9"/>
    <w:rsid w:val="00B11FDF"/>
    <w:rsid w:val="00B1347E"/>
    <w:rsid w:val="00B141E7"/>
    <w:rsid w:val="00B1560C"/>
    <w:rsid w:val="00B16275"/>
    <w:rsid w:val="00B16819"/>
    <w:rsid w:val="00B16C3E"/>
    <w:rsid w:val="00B178E5"/>
    <w:rsid w:val="00B17FEB"/>
    <w:rsid w:val="00B204E6"/>
    <w:rsid w:val="00B21213"/>
    <w:rsid w:val="00B22226"/>
    <w:rsid w:val="00B24602"/>
    <w:rsid w:val="00B33934"/>
    <w:rsid w:val="00B34DCC"/>
    <w:rsid w:val="00B351B4"/>
    <w:rsid w:val="00B3710B"/>
    <w:rsid w:val="00B37A67"/>
    <w:rsid w:val="00B41490"/>
    <w:rsid w:val="00B46BCA"/>
    <w:rsid w:val="00B47F3A"/>
    <w:rsid w:val="00B51857"/>
    <w:rsid w:val="00B526A3"/>
    <w:rsid w:val="00B53781"/>
    <w:rsid w:val="00B540E0"/>
    <w:rsid w:val="00B55B92"/>
    <w:rsid w:val="00B565E2"/>
    <w:rsid w:val="00B60C8C"/>
    <w:rsid w:val="00B62919"/>
    <w:rsid w:val="00B639AD"/>
    <w:rsid w:val="00B63A16"/>
    <w:rsid w:val="00B67453"/>
    <w:rsid w:val="00B719AD"/>
    <w:rsid w:val="00B72378"/>
    <w:rsid w:val="00B724A1"/>
    <w:rsid w:val="00B7288A"/>
    <w:rsid w:val="00B72EC6"/>
    <w:rsid w:val="00B74F1F"/>
    <w:rsid w:val="00B756E7"/>
    <w:rsid w:val="00B75ED9"/>
    <w:rsid w:val="00B7619C"/>
    <w:rsid w:val="00B808E9"/>
    <w:rsid w:val="00B80A75"/>
    <w:rsid w:val="00B81BB4"/>
    <w:rsid w:val="00B81CD4"/>
    <w:rsid w:val="00B8446A"/>
    <w:rsid w:val="00B85045"/>
    <w:rsid w:val="00B86129"/>
    <w:rsid w:val="00B872EC"/>
    <w:rsid w:val="00B87806"/>
    <w:rsid w:val="00B87EC9"/>
    <w:rsid w:val="00B91123"/>
    <w:rsid w:val="00B92BC9"/>
    <w:rsid w:val="00B92EAC"/>
    <w:rsid w:val="00B948D7"/>
    <w:rsid w:val="00B94C06"/>
    <w:rsid w:val="00BA1FCF"/>
    <w:rsid w:val="00BA3B2F"/>
    <w:rsid w:val="00BA3D38"/>
    <w:rsid w:val="00BA5519"/>
    <w:rsid w:val="00BA72FD"/>
    <w:rsid w:val="00BA73E3"/>
    <w:rsid w:val="00BB25A2"/>
    <w:rsid w:val="00BB3638"/>
    <w:rsid w:val="00BB4983"/>
    <w:rsid w:val="00BC012F"/>
    <w:rsid w:val="00BC38FD"/>
    <w:rsid w:val="00BC4557"/>
    <w:rsid w:val="00BC4ED4"/>
    <w:rsid w:val="00BD0112"/>
    <w:rsid w:val="00BD0874"/>
    <w:rsid w:val="00BD283C"/>
    <w:rsid w:val="00BD2F7D"/>
    <w:rsid w:val="00BD3267"/>
    <w:rsid w:val="00BD3E8F"/>
    <w:rsid w:val="00BD5A2F"/>
    <w:rsid w:val="00BD7F14"/>
    <w:rsid w:val="00BE1547"/>
    <w:rsid w:val="00BE6338"/>
    <w:rsid w:val="00BE76E0"/>
    <w:rsid w:val="00BE7CAA"/>
    <w:rsid w:val="00BF02CE"/>
    <w:rsid w:val="00BF2120"/>
    <w:rsid w:val="00BF26B2"/>
    <w:rsid w:val="00BF35DB"/>
    <w:rsid w:val="00BF4008"/>
    <w:rsid w:val="00BF4946"/>
    <w:rsid w:val="00BF66D3"/>
    <w:rsid w:val="00BF6E67"/>
    <w:rsid w:val="00BF72A5"/>
    <w:rsid w:val="00BF77FD"/>
    <w:rsid w:val="00C018C2"/>
    <w:rsid w:val="00C034CB"/>
    <w:rsid w:val="00C03A1D"/>
    <w:rsid w:val="00C051A8"/>
    <w:rsid w:val="00C054BC"/>
    <w:rsid w:val="00C0632D"/>
    <w:rsid w:val="00C06B4B"/>
    <w:rsid w:val="00C0700B"/>
    <w:rsid w:val="00C07E9D"/>
    <w:rsid w:val="00C11B83"/>
    <w:rsid w:val="00C122C4"/>
    <w:rsid w:val="00C13C01"/>
    <w:rsid w:val="00C13FD7"/>
    <w:rsid w:val="00C142C1"/>
    <w:rsid w:val="00C14B7E"/>
    <w:rsid w:val="00C14B82"/>
    <w:rsid w:val="00C14C00"/>
    <w:rsid w:val="00C159F0"/>
    <w:rsid w:val="00C16242"/>
    <w:rsid w:val="00C17897"/>
    <w:rsid w:val="00C21AA2"/>
    <w:rsid w:val="00C2439E"/>
    <w:rsid w:val="00C246BA"/>
    <w:rsid w:val="00C261AE"/>
    <w:rsid w:val="00C3020A"/>
    <w:rsid w:val="00C34589"/>
    <w:rsid w:val="00C350E9"/>
    <w:rsid w:val="00C354DC"/>
    <w:rsid w:val="00C35B2B"/>
    <w:rsid w:val="00C374DC"/>
    <w:rsid w:val="00C409D5"/>
    <w:rsid w:val="00C424BA"/>
    <w:rsid w:val="00C42CB5"/>
    <w:rsid w:val="00C435C3"/>
    <w:rsid w:val="00C45BB1"/>
    <w:rsid w:val="00C507D0"/>
    <w:rsid w:val="00C518D5"/>
    <w:rsid w:val="00C5395D"/>
    <w:rsid w:val="00C54529"/>
    <w:rsid w:val="00C560FB"/>
    <w:rsid w:val="00C563BE"/>
    <w:rsid w:val="00C61767"/>
    <w:rsid w:val="00C61934"/>
    <w:rsid w:val="00C6234B"/>
    <w:rsid w:val="00C63EAE"/>
    <w:rsid w:val="00C65B88"/>
    <w:rsid w:val="00C65BF6"/>
    <w:rsid w:val="00C65F80"/>
    <w:rsid w:val="00C663AF"/>
    <w:rsid w:val="00C66E28"/>
    <w:rsid w:val="00C66FB9"/>
    <w:rsid w:val="00C67E09"/>
    <w:rsid w:val="00C72BA5"/>
    <w:rsid w:val="00C73667"/>
    <w:rsid w:val="00C73F82"/>
    <w:rsid w:val="00C74BD1"/>
    <w:rsid w:val="00C75533"/>
    <w:rsid w:val="00C7629F"/>
    <w:rsid w:val="00C76968"/>
    <w:rsid w:val="00C8372E"/>
    <w:rsid w:val="00C858E3"/>
    <w:rsid w:val="00C86165"/>
    <w:rsid w:val="00C86384"/>
    <w:rsid w:val="00C8661B"/>
    <w:rsid w:val="00C86F73"/>
    <w:rsid w:val="00C87369"/>
    <w:rsid w:val="00C879BD"/>
    <w:rsid w:val="00C87AC6"/>
    <w:rsid w:val="00C87CE5"/>
    <w:rsid w:val="00C90AB3"/>
    <w:rsid w:val="00C90C67"/>
    <w:rsid w:val="00C91DD9"/>
    <w:rsid w:val="00C92F93"/>
    <w:rsid w:val="00C93F39"/>
    <w:rsid w:val="00C96690"/>
    <w:rsid w:val="00CA139A"/>
    <w:rsid w:val="00CA227B"/>
    <w:rsid w:val="00CA2899"/>
    <w:rsid w:val="00CA2BB9"/>
    <w:rsid w:val="00CA2D7A"/>
    <w:rsid w:val="00CA3563"/>
    <w:rsid w:val="00CA3A3D"/>
    <w:rsid w:val="00CA6277"/>
    <w:rsid w:val="00CA67B1"/>
    <w:rsid w:val="00CA755B"/>
    <w:rsid w:val="00CA77FB"/>
    <w:rsid w:val="00CB1973"/>
    <w:rsid w:val="00CB287B"/>
    <w:rsid w:val="00CB2D0A"/>
    <w:rsid w:val="00CB379B"/>
    <w:rsid w:val="00CB4ACB"/>
    <w:rsid w:val="00CB5DD0"/>
    <w:rsid w:val="00CB5F61"/>
    <w:rsid w:val="00CB61F7"/>
    <w:rsid w:val="00CB745C"/>
    <w:rsid w:val="00CC0B0B"/>
    <w:rsid w:val="00CC0CFF"/>
    <w:rsid w:val="00CC2041"/>
    <w:rsid w:val="00CC276B"/>
    <w:rsid w:val="00CC3F0D"/>
    <w:rsid w:val="00CC51D4"/>
    <w:rsid w:val="00CC55AC"/>
    <w:rsid w:val="00CC607F"/>
    <w:rsid w:val="00CC65DA"/>
    <w:rsid w:val="00CC6F6C"/>
    <w:rsid w:val="00CC7294"/>
    <w:rsid w:val="00CD5206"/>
    <w:rsid w:val="00CD54BE"/>
    <w:rsid w:val="00CD75E7"/>
    <w:rsid w:val="00CE1ED5"/>
    <w:rsid w:val="00CE21E3"/>
    <w:rsid w:val="00CE2259"/>
    <w:rsid w:val="00CE2BD2"/>
    <w:rsid w:val="00CE5A69"/>
    <w:rsid w:val="00CE66CF"/>
    <w:rsid w:val="00CF0050"/>
    <w:rsid w:val="00CF207C"/>
    <w:rsid w:val="00CF21B9"/>
    <w:rsid w:val="00CF4580"/>
    <w:rsid w:val="00CF63CD"/>
    <w:rsid w:val="00CF6508"/>
    <w:rsid w:val="00CF6BF9"/>
    <w:rsid w:val="00CF7C0F"/>
    <w:rsid w:val="00D003E2"/>
    <w:rsid w:val="00D0082F"/>
    <w:rsid w:val="00D01F0A"/>
    <w:rsid w:val="00D036CD"/>
    <w:rsid w:val="00D03800"/>
    <w:rsid w:val="00D0393D"/>
    <w:rsid w:val="00D03E47"/>
    <w:rsid w:val="00D046C9"/>
    <w:rsid w:val="00D0649A"/>
    <w:rsid w:val="00D065D3"/>
    <w:rsid w:val="00D102CD"/>
    <w:rsid w:val="00D11963"/>
    <w:rsid w:val="00D1261B"/>
    <w:rsid w:val="00D13C46"/>
    <w:rsid w:val="00D14C94"/>
    <w:rsid w:val="00D14CA4"/>
    <w:rsid w:val="00D16787"/>
    <w:rsid w:val="00D2235F"/>
    <w:rsid w:val="00D2290A"/>
    <w:rsid w:val="00D23E87"/>
    <w:rsid w:val="00D24B72"/>
    <w:rsid w:val="00D258BF"/>
    <w:rsid w:val="00D26139"/>
    <w:rsid w:val="00D26F85"/>
    <w:rsid w:val="00D27114"/>
    <w:rsid w:val="00D313EC"/>
    <w:rsid w:val="00D31A83"/>
    <w:rsid w:val="00D329CC"/>
    <w:rsid w:val="00D339D4"/>
    <w:rsid w:val="00D342A6"/>
    <w:rsid w:val="00D359F1"/>
    <w:rsid w:val="00D36398"/>
    <w:rsid w:val="00D4137C"/>
    <w:rsid w:val="00D41A06"/>
    <w:rsid w:val="00D44625"/>
    <w:rsid w:val="00D464BF"/>
    <w:rsid w:val="00D46D42"/>
    <w:rsid w:val="00D516AA"/>
    <w:rsid w:val="00D538D5"/>
    <w:rsid w:val="00D53E26"/>
    <w:rsid w:val="00D54AA6"/>
    <w:rsid w:val="00D54D2B"/>
    <w:rsid w:val="00D55370"/>
    <w:rsid w:val="00D55800"/>
    <w:rsid w:val="00D56663"/>
    <w:rsid w:val="00D566A4"/>
    <w:rsid w:val="00D607B1"/>
    <w:rsid w:val="00D60AC7"/>
    <w:rsid w:val="00D62BCC"/>
    <w:rsid w:val="00D648EF"/>
    <w:rsid w:val="00D70019"/>
    <w:rsid w:val="00D715C2"/>
    <w:rsid w:val="00D72F09"/>
    <w:rsid w:val="00D73B47"/>
    <w:rsid w:val="00D80817"/>
    <w:rsid w:val="00D81AFD"/>
    <w:rsid w:val="00D828B9"/>
    <w:rsid w:val="00D8301D"/>
    <w:rsid w:val="00D8320E"/>
    <w:rsid w:val="00D84476"/>
    <w:rsid w:val="00D84A3D"/>
    <w:rsid w:val="00D85C27"/>
    <w:rsid w:val="00D9171F"/>
    <w:rsid w:val="00D918F3"/>
    <w:rsid w:val="00D91DED"/>
    <w:rsid w:val="00D926FF"/>
    <w:rsid w:val="00D92DE2"/>
    <w:rsid w:val="00D9320B"/>
    <w:rsid w:val="00D96545"/>
    <w:rsid w:val="00D96B7A"/>
    <w:rsid w:val="00DA2099"/>
    <w:rsid w:val="00DA239B"/>
    <w:rsid w:val="00DA5560"/>
    <w:rsid w:val="00DB0A72"/>
    <w:rsid w:val="00DB2DC9"/>
    <w:rsid w:val="00DB5DF4"/>
    <w:rsid w:val="00DB718C"/>
    <w:rsid w:val="00DB7E5C"/>
    <w:rsid w:val="00DC103F"/>
    <w:rsid w:val="00DC331E"/>
    <w:rsid w:val="00DC3EFD"/>
    <w:rsid w:val="00DC45BB"/>
    <w:rsid w:val="00DD0180"/>
    <w:rsid w:val="00DD13F2"/>
    <w:rsid w:val="00DD238F"/>
    <w:rsid w:val="00DD3077"/>
    <w:rsid w:val="00DD39A2"/>
    <w:rsid w:val="00DD3CE8"/>
    <w:rsid w:val="00DD4011"/>
    <w:rsid w:val="00DD4F0E"/>
    <w:rsid w:val="00DD5DF6"/>
    <w:rsid w:val="00DE018C"/>
    <w:rsid w:val="00DE4017"/>
    <w:rsid w:val="00DE4FF5"/>
    <w:rsid w:val="00DF00AE"/>
    <w:rsid w:val="00DF05A3"/>
    <w:rsid w:val="00DF070D"/>
    <w:rsid w:val="00DF0BF0"/>
    <w:rsid w:val="00DF11A8"/>
    <w:rsid w:val="00DF1900"/>
    <w:rsid w:val="00DF3F3C"/>
    <w:rsid w:val="00DF595D"/>
    <w:rsid w:val="00DF6411"/>
    <w:rsid w:val="00E01148"/>
    <w:rsid w:val="00E0158D"/>
    <w:rsid w:val="00E023CC"/>
    <w:rsid w:val="00E05E0A"/>
    <w:rsid w:val="00E116AC"/>
    <w:rsid w:val="00E11B98"/>
    <w:rsid w:val="00E12069"/>
    <w:rsid w:val="00E12D46"/>
    <w:rsid w:val="00E13617"/>
    <w:rsid w:val="00E147C2"/>
    <w:rsid w:val="00E14F33"/>
    <w:rsid w:val="00E21BC1"/>
    <w:rsid w:val="00E229B9"/>
    <w:rsid w:val="00E233B4"/>
    <w:rsid w:val="00E26221"/>
    <w:rsid w:val="00E26FDB"/>
    <w:rsid w:val="00E27DA3"/>
    <w:rsid w:val="00E3119D"/>
    <w:rsid w:val="00E31F85"/>
    <w:rsid w:val="00E32710"/>
    <w:rsid w:val="00E330DE"/>
    <w:rsid w:val="00E333F7"/>
    <w:rsid w:val="00E3464C"/>
    <w:rsid w:val="00E34AA6"/>
    <w:rsid w:val="00E35625"/>
    <w:rsid w:val="00E37AFB"/>
    <w:rsid w:val="00E404D6"/>
    <w:rsid w:val="00E406DD"/>
    <w:rsid w:val="00E40A62"/>
    <w:rsid w:val="00E414AC"/>
    <w:rsid w:val="00E418F9"/>
    <w:rsid w:val="00E41DFD"/>
    <w:rsid w:val="00E42C9A"/>
    <w:rsid w:val="00E436A8"/>
    <w:rsid w:val="00E43C80"/>
    <w:rsid w:val="00E46D16"/>
    <w:rsid w:val="00E47203"/>
    <w:rsid w:val="00E472D2"/>
    <w:rsid w:val="00E5193B"/>
    <w:rsid w:val="00E523CE"/>
    <w:rsid w:val="00E52FF5"/>
    <w:rsid w:val="00E534CF"/>
    <w:rsid w:val="00E5419A"/>
    <w:rsid w:val="00E54CA5"/>
    <w:rsid w:val="00E56BFE"/>
    <w:rsid w:val="00E57699"/>
    <w:rsid w:val="00E6049D"/>
    <w:rsid w:val="00E60E59"/>
    <w:rsid w:val="00E6146A"/>
    <w:rsid w:val="00E6452E"/>
    <w:rsid w:val="00E7062D"/>
    <w:rsid w:val="00E7107D"/>
    <w:rsid w:val="00E726EC"/>
    <w:rsid w:val="00E72C5E"/>
    <w:rsid w:val="00E7347E"/>
    <w:rsid w:val="00E7709E"/>
    <w:rsid w:val="00E77CBA"/>
    <w:rsid w:val="00E815A0"/>
    <w:rsid w:val="00E81CB4"/>
    <w:rsid w:val="00E8569C"/>
    <w:rsid w:val="00E8585B"/>
    <w:rsid w:val="00E91301"/>
    <w:rsid w:val="00E9202E"/>
    <w:rsid w:val="00E944DF"/>
    <w:rsid w:val="00E9460D"/>
    <w:rsid w:val="00E96001"/>
    <w:rsid w:val="00E9621C"/>
    <w:rsid w:val="00EA0AE5"/>
    <w:rsid w:val="00EA1805"/>
    <w:rsid w:val="00EA1EE1"/>
    <w:rsid w:val="00EA2219"/>
    <w:rsid w:val="00EA3452"/>
    <w:rsid w:val="00EA386A"/>
    <w:rsid w:val="00EA3F15"/>
    <w:rsid w:val="00EA61DF"/>
    <w:rsid w:val="00EA636D"/>
    <w:rsid w:val="00EA733B"/>
    <w:rsid w:val="00EA7813"/>
    <w:rsid w:val="00EA7847"/>
    <w:rsid w:val="00EB154D"/>
    <w:rsid w:val="00EB1DBC"/>
    <w:rsid w:val="00EB3879"/>
    <w:rsid w:val="00EB4128"/>
    <w:rsid w:val="00EB4BA1"/>
    <w:rsid w:val="00EB7CE7"/>
    <w:rsid w:val="00EC0B8D"/>
    <w:rsid w:val="00EC2F9C"/>
    <w:rsid w:val="00EC35B2"/>
    <w:rsid w:val="00EC4885"/>
    <w:rsid w:val="00EC4CEF"/>
    <w:rsid w:val="00EC5678"/>
    <w:rsid w:val="00EC69D7"/>
    <w:rsid w:val="00ED40DC"/>
    <w:rsid w:val="00ED596A"/>
    <w:rsid w:val="00ED6028"/>
    <w:rsid w:val="00EE0E3E"/>
    <w:rsid w:val="00EE1ED5"/>
    <w:rsid w:val="00EE2E6E"/>
    <w:rsid w:val="00EE3A9F"/>
    <w:rsid w:val="00EE493C"/>
    <w:rsid w:val="00EE49D4"/>
    <w:rsid w:val="00EE4C9E"/>
    <w:rsid w:val="00EF0291"/>
    <w:rsid w:val="00EF1746"/>
    <w:rsid w:val="00EF1836"/>
    <w:rsid w:val="00EF28E6"/>
    <w:rsid w:val="00EF4115"/>
    <w:rsid w:val="00EF4B06"/>
    <w:rsid w:val="00EF56A9"/>
    <w:rsid w:val="00EF595A"/>
    <w:rsid w:val="00EF605C"/>
    <w:rsid w:val="00EF6BDC"/>
    <w:rsid w:val="00F01459"/>
    <w:rsid w:val="00F01CA3"/>
    <w:rsid w:val="00F03154"/>
    <w:rsid w:val="00F0499E"/>
    <w:rsid w:val="00F04FA6"/>
    <w:rsid w:val="00F054F5"/>
    <w:rsid w:val="00F057E5"/>
    <w:rsid w:val="00F06BB2"/>
    <w:rsid w:val="00F0759E"/>
    <w:rsid w:val="00F07DA9"/>
    <w:rsid w:val="00F15CCA"/>
    <w:rsid w:val="00F16347"/>
    <w:rsid w:val="00F16FE3"/>
    <w:rsid w:val="00F22F1E"/>
    <w:rsid w:val="00F32865"/>
    <w:rsid w:val="00F32AEA"/>
    <w:rsid w:val="00F33360"/>
    <w:rsid w:val="00F3429C"/>
    <w:rsid w:val="00F35317"/>
    <w:rsid w:val="00F35523"/>
    <w:rsid w:val="00F35BA5"/>
    <w:rsid w:val="00F35E90"/>
    <w:rsid w:val="00F369CE"/>
    <w:rsid w:val="00F36B65"/>
    <w:rsid w:val="00F37572"/>
    <w:rsid w:val="00F4002F"/>
    <w:rsid w:val="00F417E3"/>
    <w:rsid w:val="00F4350B"/>
    <w:rsid w:val="00F43804"/>
    <w:rsid w:val="00F447DE"/>
    <w:rsid w:val="00F5143E"/>
    <w:rsid w:val="00F51FDC"/>
    <w:rsid w:val="00F52B69"/>
    <w:rsid w:val="00F55D33"/>
    <w:rsid w:val="00F564B3"/>
    <w:rsid w:val="00F63543"/>
    <w:rsid w:val="00F63E60"/>
    <w:rsid w:val="00F672AB"/>
    <w:rsid w:val="00F704B1"/>
    <w:rsid w:val="00F7160E"/>
    <w:rsid w:val="00F724F8"/>
    <w:rsid w:val="00F7490D"/>
    <w:rsid w:val="00F76E11"/>
    <w:rsid w:val="00F80421"/>
    <w:rsid w:val="00F80D64"/>
    <w:rsid w:val="00F81813"/>
    <w:rsid w:val="00F81E38"/>
    <w:rsid w:val="00F8217F"/>
    <w:rsid w:val="00F821A3"/>
    <w:rsid w:val="00F849B2"/>
    <w:rsid w:val="00F84FC9"/>
    <w:rsid w:val="00F851B4"/>
    <w:rsid w:val="00F877BF"/>
    <w:rsid w:val="00F9314A"/>
    <w:rsid w:val="00F94A53"/>
    <w:rsid w:val="00F95F5B"/>
    <w:rsid w:val="00F9623D"/>
    <w:rsid w:val="00F96312"/>
    <w:rsid w:val="00F96674"/>
    <w:rsid w:val="00F969FC"/>
    <w:rsid w:val="00FA0D0D"/>
    <w:rsid w:val="00FA29CD"/>
    <w:rsid w:val="00FA6A07"/>
    <w:rsid w:val="00FA7689"/>
    <w:rsid w:val="00FB061A"/>
    <w:rsid w:val="00FB277C"/>
    <w:rsid w:val="00FB2A39"/>
    <w:rsid w:val="00FB4124"/>
    <w:rsid w:val="00FB4372"/>
    <w:rsid w:val="00FB676E"/>
    <w:rsid w:val="00FC021D"/>
    <w:rsid w:val="00FC58EF"/>
    <w:rsid w:val="00FC590F"/>
    <w:rsid w:val="00FC74D1"/>
    <w:rsid w:val="00FD006D"/>
    <w:rsid w:val="00FD07A2"/>
    <w:rsid w:val="00FD09CA"/>
    <w:rsid w:val="00FD0E78"/>
    <w:rsid w:val="00FD0E98"/>
    <w:rsid w:val="00FD33DF"/>
    <w:rsid w:val="00FD3E8B"/>
    <w:rsid w:val="00FD3E9C"/>
    <w:rsid w:val="00FD426A"/>
    <w:rsid w:val="00FD5EC6"/>
    <w:rsid w:val="00FD6206"/>
    <w:rsid w:val="00FD662D"/>
    <w:rsid w:val="00FE1079"/>
    <w:rsid w:val="00FE2153"/>
    <w:rsid w:val="00FE32F8"/>
    <w:rsid w:val="00FE380E"/>
    <w:rsid w:val="00FE39D7"/>
    <w:rsid w:val="00FE3B4D"/>
    <w:rsid w:val="00FE3BD9"/>
    <w:rsid w:val="00FE5026"/>
    <w:rsid w:val="00FE656D"/>
    <w:rsid w:val="00FE751C"/>
    <w:rsid w:val="00FE7A62"/>
    <w:rsid w:val="00FE7F21"/>
    <w:rsid w:val="00FF03E8"/>
    <w:rsid w:val="00FF0F87"/>
    <w:rsid w:val="00FF12D7"/>
    <w:rsid w:val="00FF1CAD"/>
    <w:rsid w:val="00FF1CBF"/>
    <w:rsid w:val="00FF20B6"/>
    <w:rsid w:val="00FF3A24"/>
    <w:rsid w:val="00FF7495"/>
    <w:rsid w:val="00FF7A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6701C133-58C3-4435-942A-B46F16E3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8680332">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2287304">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100148087">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19539186">
      <w:bodyDiv w:val="1"/>
      <w:marLeft w:val="0"/>
      <w:marRight w:val="0"/>
      <w:marTop w:val="0"/>
      <w:marBottom w:val="0"/>
      <w:divBdr>
        <w:top w:val="none" w:sz="0" w:space="0" w:color="auto"/>
        <w:left w:val="none" w:sz="0" w:space="0" w:color="auto"/>
        <w:bottom w:val="none" w:sz="0" w:space="0" w:color="auto"/>
        <w:right w:val="none" w:sz="0" w:space="0" w:color="auto"/>
      </w:divBdr>
    </w:div>
    <w:div w:id="122505268">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7038717">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57230304">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84901740">
      <w:bodyDiv w:val="1"/>
      <w:marLeft w:val="0"/>
      <w:marRight w:val="0"/>
      <w:marTop w:val="0"/>
      <w:marBottom w:val="0"/>
      <w:divBdr>
        <w:top w:val="none" w:sz="0" w:space="0" w:color="auto"/>
        <w:left w:val="none" w:sz="0" w:space="0" w:color="auto"/>
        <w:bottom w:val="none" w:sz="0" w:space="0" w:color="auto"/>
        <w:right w:val="none" w:sz="0" w:space="0" w:color="auto"/>
      </w:divBdr>
    </w:div>
    <w:div w:id="194738973">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8787740">
      <w:bodyDiv w:val="1"/>
      <w:marLeft w:val="0"/>
      <w:marRight w:val="0"/>
      <w:marTop w:val="0"/>
      <w:marBottom w:val="0"/>
      <w:divBdr>
        <w:top w:val="none" w:sz="0" w:space="0" w:color="auto"/>
        <w:left w:val="none" w:sz="0" w:space="0" w:color="auto"/>
        <w:bottom w:val="none" w:sz="0" w:space="0" w:color="auto"/>
        <w:right w:val="none" w:sz="0" w:space="0" w:color="auto"/>
      </w:divBdr>
    </w:div>
    <w:div w:id="220136472">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4191206">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1719334">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2660201">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8567177">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878572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8469550">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218592">
      <w:bodyDiv w:val="1"/>
      <w:marLeft w:val="0"/>
      <w:marRight w:val="0"/>
      <w:marTop w:val="0"/>
      <w:marBottom w:val="0"/>
      <w:divBdr>
        <w:top w:val="none" w:sz="0" w:space="0" w:color="auto"/>
        <w:left w:val="none" w:sz="0" w:space="0" w:color="auto"/>
        <w:bottom w:val="none" w:sz="0" w:space="0" w:color="auto"/>
        <w:right w:val="none" w:sz="0" w:space="0" w:color="auto"/>
      </w:divBdr>
    </w:div>
    <w:div w:id="529491916">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181218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2840310">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5845161">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29212926">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00667061">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49684915">
      <w:bodyDiv w:val="1"/>
      <w:marLeft w:val="0"/>
      <w:marRight w:val="0"/>
      <w:marTop w:val="0"/>
      <w:marBottom w:val="0"/>
      <w:divBdr>
        <w:top w:val="none" w:sz="0" w:space="0" w:color="auto"/>
        <w:left w:val="none" w:sz="0" w:space="0" w:color="auto"/>
        <w:bottom w:val="none" w:sz="0" w:space="0" w:color="auto"/>
        <w:right w:val="none" w:sz="0" w:space="0" w:color="auto"/>
      </w:divBdr>
    </w:div>
    <w:div w:id="86016360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332658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1427006">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8628369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4543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4746098">
      <w:bodyDiv w:val="1"/>
      <w:marLeft w:val="0"/>
      <w:marRight w:val="0"/>
      <w:marTop w:val="0"/>
      <w:marBottom w:val="0"/>
      <w:divBdr>
        <w:top w:val="none" w:sz="0" w:space="0" w:color="auto"/>
        <w:left w:val="none" w:sz="0" w:space="0" w:color="auto"/>
        <w:bottom w:val="none" w:sz="0" w:space="0" w:color="auto"/>
        <w:right w:val="none" w:sz="0" w:space="0" w:color="auto"/>
      </w:divBdr>
    </w:div>
    <w:div w:id="1096679900">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30243916">
      <w:bodyDiv w:val="1"/>
      <w:marLeft w:val="0"/>
      <w:marRight w:val="0"/>
      <w:marTop w:val="0"/>
      <w:marBottom w:val="0"/>
      <w:divBdr>
        <w:top w:val="none" w:sz="0" w:space="0" w:color="auto"/>
        <w:left w:val="none" w:sz="0" w:space="0" w:color="auto"/>
        <w:bottom w:val="none" w:sz="0" w:space="0" w:color="auto"/>
        <w:right w:val="none" w:sz="0" w:space="0" w:color="auto"/>
      </w:divBdr>
    </w:div>
    <w:div w:id="113653300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0800918">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5069767">
      <w:bodyDiv w:val="1"/>
      <w:marLeft w:val="0"/>
      <w:marRight w:val="0"/>
      <w:marTop w:val="0"/>
      <w:marBottom w:val="0"/>
      <w:divBdr>
        <w:top w:val="none" w:sz="0" w:space="0" w:color="auto"/>
        <w:left w:val="none" w:sz="0" w:space="0" w:color="auto"/>
        <w:bottom w:val="none" w:sz="0" w:space="0" w:color="auto"/>
        <w:right w:val="none" w:sz="0" w:space="0" w:color="auto"/>
      </w:divBdr>
    </w:div>
    <w:div w:id="1175222031">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3879854">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1550680">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26713091">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90835602">
      <w:bodyDiv w:val="1"/>
      <w:marLeft w:val="0"/>
      <w:marRight w:val="0"/>
      <w:marTop w:val="0"/>
      <w:marBottom w:val="0"/>
      <w:divBdr>
        <w:top w:val="none" w:sz="0" w:space="0" w:color="auto"/>
        <w:left w:val="none" w:sz="0" w:space="0" w:color="auto"/>
        <w:bottom w:val="none" w:sz="0" w:space="0" w:color="auto"/>
        <w:right w:val="none" w:sz="0" w:space="0" w:color="auto"/>
      </w:divBdr>
    </w:div>
    <w:div w:id="1394505974">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5756455">
      <w:bodyDiv w:val="1"/>
      <w:marLeft w:val="0"/>
      <w:marRight w:val="0"/>
      <w:marTop w:val="0"/>
      <w:marBottom w:val="0"/>
      <w:divBdr>
        <w:top w:val="none" w:sz="0" w:space="0" w:color="auto"/>
        <w:left w:val="none" w:sz="0" w:space="0" w:color="auto"/>
        <w:bottom w:val="none" w:sz="0" w:space="0" w:color="auto"/>
        <w:right w:val="none" w:sz="0" w:space="0" w:color="auto"/>
      </w:divBdr>
    </w:div>
    <w:div w:id="145964618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68513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960946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19273154">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743719">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564520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089784">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72504882">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88811530">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7571828">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3489515">
      <w:bodyDiv w:val="1"/>
      <w:marLeft w:val="0"/>
      <w:marRight w:val="0"/>
      <w:marTop w:val="0"/>
      <w:marBottom w:val="0"/>
      <w:divBdr>
        <w:top w:val="none" w:sz="0" w:space="0" w:color="auto"/>
        <w:left w:val="none" w:sz="0" w:space="0" w:color="auto"/>
        <w:bottom w:val="none" w:sz="0" w:space="0" w:color="auto"/>
        <w:right w:val="none" w:sz="0" w:space="0" w:color="auto"/>
      </w:divBdr>
    </w:div>
    <w:div w:id="1964190195">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1520897">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1998335307">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62899550">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27196656">
      <w:bodyDiv w:val="1"/>
      <w:marLeft w:val="0"/>
      <w:marRight w:val="0"/>
      <w:marTop w:val="0"/>
      <w:marBottom w:val="0"/>
      <w:divBdr>
        <w:top w:val="none" w:sz="0" w:space="0" w:color="auto"/>
        <w:left w:val="none" w:sz="0" w:space="0" w:color="auto"/>
        <w:bottom w:val="none" w:sz="0" w:space="0" w:color="auto"/>
        <w:right w:val="none" w:sz="0" w:space="0" w:color="auto"/>
      </w:divBdr>
    </w:div>
    <w:div w:id="2131775425">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2003/c-150-03.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www.corteconstitucional.gov.co/relatoria/2003/c-150-03.ht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FDA6E-23BF-4AEE-9CA5-BA02451F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46</Pages>
  <Words>19721</Words>
  <Characters>103655</Characters>
  <Application>Microsoft Office Word</Application>
  <DocSecurity>0</DocSecurity>
  <Lines>863</Lines>
  <Paragraphs>246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123130</CharactersWithSpaces>
  <SharedDoc>false</SharedDoc>
  <HLinks>
    <vt:vector size="12" baseType="variant">
      <vt:variant>
        <vt:i4>8323074</vt:i4>
      </vt:variant>
      <vt:variant>
        <vt:i4>6</vt:i4>
      </vt:variant>
      <vt:variant>
        <vt:i4>0</vt:i4>
      </vt:variant>
      <vt:variant>
        <vt:i4>5</vt:i4>
      </vt:variant>
      <vt:variant>
        <vt:lpwstr>http://www.corteconstitucional.gov.co/relatoria/2003/c-150-03.htm</vt:lpwstr>
      </vt:variant>
      <vt:variant>
        <vt:lpwstr>_ftn88</vt:lpwstr>
      </vt:variant>
      <vt:variant>
        <vt:i4>7340034</vt:i4>
      </vt:variant>
      <vt:variant>
        <vt:i4>3</vt:i4>
      </vt:variant>
      <vt:variant>
        <vt:i4>0</vt:i4>
      </vt:variant>
      <vt:variant>
        <vt:i4>5</vt:i4>
      </vt:variant>
      <vt:variant>
        <vt:lpwstr>http://www.corteconstitucional.gov.co/relatoria/2003/c-150-03.htm</vt:lpwstr>
      </vt:variant>
      <vt:variant>
        <vt:lpwstr>_ftn87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2016-06-13T20:23:00Z</cp:lastPrinted>
  <dcterms:created xsi:type="dcterms:W3CDTF">2018-08-17T21:33:00Z</dcterms:created>
  <dcterms:modified xsi:type="dcterms:W3CDTF">2018-08-17T21:33:00Z</dcterms:modified>
</cp:coreProperties>
</file>