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37F1" w14:textId="77777777" w:rsidR="002A6A86" w:rsidRPr="005263BE" w:rsidRDefault="00000000" w:rsidP="002A6A86">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4EFF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0.4pt;margin-top:-48.55pt;width:38.2pt;height:39.05pt;z-index:251660288;mso-wrap-edited:f" fillcolor="#0c9">
            <v:imagedata r:id="rId11" o:title=""/>
          </v:shape>
          <o:OLEObject Type="Embed" ProgID="PBrush" ShapeID="_x0000_s2052" DrawAspect="Content" ObjectID="_1739686202" r:id="rId12"/>
        </w:object>
      </w:r>
    </w:p>
    <w:p w14:paraId="723F1B39" w14:textId="77777777" w:rsidR="002A6A86" w:rsidRPr="005263BE" w:rsidRDefault="002A6A86" w:rsidP="002A6A86">
      <w:pPr>
        <w:pStyle w:val="Ttulo4"/>
        <w:tabs>
          <w:tab w:val="left" w:pos="0"/>
          <w:tab w:val="right" w:pos="9356"/>
        </w:tabs>
        <w:ind w:left="0"/>
        <w:rPr>
          <w:rFonts w:ascii="Bookman Old Style" w:hAnsi="Bookman Old Style"/>
          <w:noProof/>
          <w:sz w:val="24"/>
          <w:szCs w:val="24"/>
          <w:lang w:val="es-ES"/>
        </w:rPr>
      </w:pPr>
      <w:r w:rsidRPr="005263BE">
        <w:rPr>
          <w:rFonts w:ascii="Bookman Old Style" w:hAnsi="Bookman Old Style"/>
          <w:sz w:val="24"/>
          <w:szCs w:val="24"/>
        </w:rPr>
        <w:t>Ministerio de Minas y Energía</w:t>
      </w:r>
    </w:p>
    <w:p w14:paraId="7A045184" w14:textId="77777777" w:rsidR="002A6A86" w:rsidRPr="005263BE" w:rsidRDefault="002A6A86" w:rsidP="002A6A86">
      <w:pPr>
        <w:rPr>
          <w:rFonts w:ascii="Bookman Old Style" w:hAnsi="Bookman Old Style"/>
        </w:rPr>
      </w:pPr>
    </w:p>
    <w:p w14:paraId="12B81FE1" w14:textId="77777777" w:rsidR="002A6A86" w:rsidRPr="005263BE" w:rsidRDefault="002A6A86" w:rsidP="002A6A86">
      <w:pPr>
        <w:pStyle w:val="Ttulo3"/>
        <w:tabs>
          <w:tab w:val="left" w:pos="0"/>
          <w:tab w:val="right" w:pos="9356"/>
        </w:tabs>
        <w:ind w:left="0"/>
        <w:rPr>
          <w:rFonts w:ascii="Bookman Old Style" w:hAnsi="Bookman Old Style" w:cs="Arial"/>
          <w:spacing w:val="20"/>
          <w:szCs w:val="24"/>
        </w:rPr>
      </w:pPr>
      <w:r w:rsidRPr="005263BE">
        <w:rPr>
          <w:rFonts w:ascii="Bookman Old Style" w:hAnsi="Bookman Old Style" w:cs="Arial"/>
          <w:spacing w:val="20"/>
          <w:szCs w:val="24"/>
        </w:rPr>
        <w:t>COMISIÓN DE REGULACIÓN DE ENERGÍA Y GAS</w:t>
      </w:r>
    </w:p>
    <w:p w14:paraId="3CABB602" w14:textId="77777777" w:rsidR="002A6A86" w:rsidRPr="005263BE" w:rsidRDefault="002A6A86" w:rsidP="002A6A86">
      <w:pPr>
        <w:pStyle w:val="Ttulo5"/>
        <w:tabs>
          <w:tab w:val="left" w:pos="0"/>
          <w:tab w:val="right" w:pos="9356"/>
        </w:tabs>
        <w:ind w:left="0"/>
        <w:rPr>
          <w:rFonts w:ascii="Bookman Old Style" w:hAnsi="Bookman Old Style"/>
          <w:sz w:val="24"/>
          <w:szCs w:val="24"/>
        </w:rPr>
      </w:pPr>
    </w:p>
    <w:p w14:paraId="22723834" w14:textId="5FD8D5CD" w:rsidR="002A6A86" w:rsidRPr="00504A57" w:rsidRDefault="005B1ACF" w:rsidP="002A6A86">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 xml:space="preserve">PROYECTO DE </w:t>
      </w:r>
      <w:r w:rsidR="002A6A86" w:rsidRPr="005263BE">
        <w:rPr>
          <w:rFonts w:ascii="Bookman Old Style" w:hAnsi="Bookman Old Style"/>
          <w:sz w:val="24"/>
          <w:szCs w:val="24"/>
        </w:rPr>
        <w:t>RESOLUCIÓN No</w:t>
      </w:r>
      <w:r w:rsidR="002A6A86" w:rsidRPr="00504A57">
        <w:rPr>
          <w:rFonts w:ascii="Bookman Old Style" w:hAnsi="Bookman Old Style"/>
          <w:sz w:val="24"/>
          <w:szCs w:val="24"/>
        </w:rPr>
        <w:t xml:space="preserve">. </w:t>
      </w:r>
      <w:r w:rsidR="007B7EDC" w:rsidRPr="00504A57">
        <w:rPr>
          <w:rFonts w:ascii="Bookman Old Style" w:hAnsi="Bookman Old Style"/>
          <w:sz w:val="32"/>
          <w:szCs w:val="32"/>
        </w:rPr>
        <w:t>702</w:t>
      </w:r>
      <w:r w:rsidR="003222E7" w:rsidRPr="00504A57">
        <w:rPr>
          <w:rFonts w:ascii="Bookman Old Style" w:hAnsi="Bookman Old Style"/>
          <w:sz w:val="32"/>
          <w:szCs w:val="32"/>
        </w:rPr>
        <w:t xml:space="preserve"> 0</w:t>
      </w:r>
      <w:r w:rsidR="00504A57">
        <w:rPr>
          <w:rFonts w:ascii="Bookman Old Style" w:hAnsi="Bookman Old Style"/>
          <w:sz w:val="32"/>
          <w:szCs w:val="32"/>
        </w:rPr>
        <w:t>11</w:t>
      </w:r>
      <w:r w:rsidR="00B73EFC" w:rsidRPr="00504A57">
        <w:rPr>
          <w:rFonts w:ascii="Bookman Old Style" w:hAnsi="Bookman Old Style"/>
          <w:sz w:val="32"/>
          <w:szCs w:val="32"/>
        </w:rPr>
        <w:t xml:space="preserve"> </w:t>
      </w:r>
      <w:r w:rsidR="00B73EFC" w:rsidRPr="00504A57">
        <w:rPr>
          <w:rFonts w:ascii="Bookman Old Style" w:hAnsi="Bookman Old Style"/>
          <w:sz w:val="24"/>
          <w:szCs w:val="24"/>
        </w:rPr>
        <w:t xml:space="preserve">  </w:t>
      </w:r>
    </w:p>
    <w:p w14:paraId="12E2F5B1" w14:textId="77777777" w:rsidR="002A6A86" w:rsidRPr="00504A57" w:rsidRDefault="002A6A86" w:rsidP="002A6A86">
      <w:pPr>
        <w:tabs>
          <w:tab w:val="left" w:pos="0"/>
          <w:tab w:val="right" w:pos="9356"/>
        </w:tabs>
        <w:ind w:left="0"/>
        <w:jc w:val="center"/>
        <w:rPr>
          <w:rFonts w:ascii="Bookman Old Style" w:hAnsi="Bookman Old Style" w:cs="Arial"/>
          <w:b/>
          <w:snapToGrid w:val="0"/>
          <w:color w:val="000000"/>
          <w:lang w:val="es-ES_tradnl"/>
        </w:rPr>
      </w:pPr>
    </w:p>
    <w:p w14:paraId="27F82FC4" w14:textId="321E3B34" w:rsidR="002A6A86" w:rsidRPr="005263BE" w:rsidRDefault="002A6A86" w:rsidP="002A6A86">
      <w:pPr>
        <w:pStyle w:val="Ttulo3"/>
        <w:tabs>
          <w:tab w:val="left" w:pos="0"/>
          <w:tab w:val="right" w:pos="9356"/>
        </w:tabs>
        <w:ind w:left="0"/>
        <w:rPr>
          <w:rFonts w:ascii="Bookman Old Style" w:hAnsi="Bookman Old Style"/>
          <w:b w:val="0"/>
          <w:szCs w:val="24"/>
        </w:rPr>
      </w:pPr>
      <w:proofErr w:type="gramStart"/>
      <w:r w:rsidRPr="00504A57">
        <w:rPr>
          <w:rFonts w:ascii="Bookman Old Style" w:hAnsi="Bookman Old Style"/>
          <w:b w:val="0"/>
          <w:szCs w:val="24"/>
        </w:rPr>
        <w:t xml:space="preserve">(  </w:t>
      </w:r>
      <w:proofErr w:type="gramEnd"/>
      <w:r w:rsidRPr="00504A57">
        <w:rPr>
          <w:rFonts w:ascii="Bookman Old Style" w:hAnsi="Bookman Old Style"/>
          <w:b w:val="0"/>
          <w:szCs w:val="24"/>
        </w:rPr>
        <w:t xml:space="preserve"> </w:t>
      </w:r>
      <w:r w:rsidR="00504A57">
        <w:rPr>
          <w:rFonts w:ascii="Bookman Old Style" w:hAnsi="Bookman Old Style"/>
          <w:bCs/>
          <w:sz w:val="32"/>
          <w:szCs w:val="32"/>
        </w:rPr>
        <w:t>2</w:t>
      </w:r>
      <w:r w:rsidR="00AF2608">
        <w:rPr>
          <w:rFonts w:ascii="Bookman Old Style" w:hAnsi="Bookman Old Style"/>
          <w:bCs/>
          <w:sz w:val="32"/>
          <w:szCs w:val="32"/>
        </w:rPr>
        <w:t>6</w:t>
      </w:r>
      <w:r w:rsidR="007100C6" w:rsidRPr="00504A57">
        <w:rPr>
          <w:rFonts w:ascii="Bookman Old Style" w:hAnsi="Bookman Old Style"/>
          <w:bCs/>
          <w:sz w:val="32"/>
          <w:szCs w:val="32"/>
        </w:rPr>
        <w:t xml:space="preserve"> </w:t>
      </w:r>
      <w:r w:rsidR="00205A01" w:rsidRPr="00504A57">
        <w:rPr>
          <w:rFonts w:ascii="Bookman Old Style" w:hAnsi="Bookman Old Style"/>
          <w:bCs/>
          <w:sz w:val="32"/>
          <w:szCs w:val="32"/>
        </w:rPr>
        <w:t>DIC</w:t>
      </w:r>
      <w:r w:rsidR="005B1ACF" w:rsidRPr="00504A57">
        <w:rPr>
          <w:rFonts w:ascii="Bookman Old Style" w:hAnsi="Bookman Old Style"/>
          <w:bCs/>
          <w:sz w:val="32"/>
          <w:szCs w:val="32"/>
        </w:rPr>
        <w:t>.</w:t>
      </w:r>
      <w:r w:rsidR="006F7F48" w:rsidRPr="00504A57">
        <w:rPr>
          <w:rFonts w:ascii="Bookman Old Style" w:hAnsi="Bookman Old Style"/>
          <w:bCs/>
          <w:sz w:val="32"/>
          <w:szCs w:val="32"/>
        </w:rPr>
        <w:t xml:space="preserve"> 2022</w:t>
      </w:r>
      <w:r w:rsidRPr="005263BE">
        <w:rPr>
          <w:rFonts w:ascii="Bookman Old Style" w:hAnsi="Bookman Old Style"/>
          <w:b w:val="0"/>
          <w:szCs w:val="24"/>
        </w:rPr>
        <w:t xml:space="preserve">  )</w:t>
      </w:r>
    </w:p>
    <w:p w14:paraId="774D28F9" w14:textId="77777777" w:rsidR="002A6A86" w:rsidRPr="005263BE" w:rsidRDefault="002A6A86" w:rsidP="002A6A86">
      <w:pPr>
        <w:ind w:left="0"/>
        <w:rPr>
          <w:rFonts w:ascii="Bookman Old Style" w:hAnsi="Bookman Old Style"/>
          <w:bCs/>
          <w:lang w:val="es-CO"/>
        </w:rPr>
      </w:pPr>
    </w:p>
    <w:p w14:paraId="6FBCEB80" w14:textId="59E23826" w:rsidR="00F52B8B" w:rsidRDefault="00F52B8B" w:rsidP="00532E11">
      <w:pPr>
        <w:ind w:left="0" w:right="51"/>
        <w:jc w:val="both"/>
        <w:rPr>
          <w:rFonts w:ascii="Bookman Old Style" w:hAnsi="Bookman Old Style"/>
          <w:bCs/>
          <w:lang w:val="es-CO"/>
        </w:rPr>
      </w:pPr>
      <w:r w:rsidRPr="00EB5078">
        <w:rPr>
          <w:rFonts w:ascii="Bookman Old Style" w:hAnsi="Bookman Old Style"/>
          <w:bCs/>
          <w:lang w:val="es-CO"/>
        </w:rPr>
        <w:t xml:space="preserve">La Comisión de Regulación de Energía y Gas, en su sesión </w:t>
      </w:r>
      <w:r w:rsidR="00205A01">
        <w:rPr>
          <w:rFonts w:ascii="Bookman Old Style" w:hAnsi="Bookman Old Style"/>
          <w:bCs/>
          <w:lang w:val="es-CO"/>
        </w:rPr>
        <w:t>122</w:t>
      </w:r>
      <w:r w:rsidR="00B31BE8">
        <w:rPr>
          <w:rFonts w:ascii="Bookman Old Style" w:hAnsi="Bookman Old Style"/>
          <w:bCs/>
          <w:lang w:val="es-CO"/>
        </w:rPr>
        <w:t>7</w:t>
      </w:r>
      <w:r w:rsidRPr="00EB5078">
        <w:rPr>
          <w:rFonts w:ascii="Bookman Old Style" w:hAnsi="Bookman Old Style"/>
          <w:bCs/>
          <w:lang w:val="es-CO"/>
        </w:rPr>
        <w:t xml:space="preserve"> del </w:t>
      </w:r>
      <w:r w:rsidR="00205A01">
        <w:rPr>
          <w:rFonts w:ascii="Bookman Old Style" w:hAnsi="Bookman Old Style"/>
          <w:bCs/>
          <w:lang w:val="es-CO"/>
        </w:rPr>
        <w:t>26</w:t>
      </w:r>
      <w:r w:rsidR="00205A01" w:rsidRPr="00EB5078">
        <w:rPr>
          <w:rFonts w:ascii="Bookman Old Style" w:hAnsi="Bookman Old Style"/>
          <w:bCs/>
          <w:lang w:val="es-CO"/>
        </w:rPr>
        <w:t xml:space="preserve"> </w:t>
      </w:r>
      <w:r w:rsidRPr="00EB5078">
        <w:rPr>
          <w:rFonts w:ascii="Bookman Old Style" w:hAnsi="Bookman Old Style"/>
          <w:bCs/>
          <w:lang w:val="es-CO"/>
        </w:rPr>
        <w:t xml:space="preserve">de </w:t>
      </w:r>
      <w:r w:rsidR="00205A01">
        <w:rPr>
          <w:rFonts w:ascii="Bookman Old Style" w:hAnsi="Bookman Old Style"/>
          <w:bCs/>
          <w:lang w:val="es-CO"/>
        </w:rPr>
        <w:t>diciembre</w:t>
      </w:r>
      <w:r w:rsidR="00205A01" w:rsidRPr="00EB5078">
        <w:rPr>
          <w:rFonts w:ascii="Bookman Old Style" w:hAnsi="Bookman Old Style"/>
          <w:bCs/>
          <w:lang w:val="es-CO"/>
        </w:rPr>
        <w:t xml:space="preserve"> </w:t>
      </w:r>
      <w:r w:rsidRPr="00EB5078">
        <w:rPr>
          <w:rFonts w:ascii="Bookman Old Style" w:hAnsi="Bookman Old Style"/>
          <w:bCs/>
          <w:lang w:val="es-CO"/>
        </w:rPr>
        <w:t xml:space="preserve">de 2022, aprobó someter a consulta pública el proyecto de resolución </w:t>
      </w:r>
      <w:r w:rsidR="00292604" w:rsidRPr="00EB5078">
        <w:rPr>
          <w:rFonts w:ascii="Bookman Old Style" w:hAnsi="Bookman Old Style"/>
          <w:bCs/>
          <w:lang w:val="es-CO"/>
        </w:rPr>
        <w:t>“</w:t>
      </w:r>
      <w:r w:rsidR="00292604" w:rsidRPr="00EB5078">
        <w:rPr>
          <w:rFonts w:ascii="Bookman Old Style" w:hAnsi="Bookman Old Style" w:cs="Arial"/>
          <w:i/>
          <w:iCs/>
        </w:rPr>
        <w:t xml:space="preserve">Por la cual se </w:t>
      </w:r>
      <w:r w:rsidR="007100C6">
        <w:rPr>
          <w:rFonts w:ascii="Bookman Old Style" w:hAnsi="Bookman Old Style" w:cs="Arial"/>
          <w:i/>
          <w:iCs/>
        </w:rPr>
        <w:t xml:space="preserve">realizan ajustes a la </w:t>
      </w:r>
      <w:r w:rsidR="007909C8">
        <w:rPr>
          <w:rFonts w:ascii="Bookman Old Style" w:hAnsi="Bookman Old Style" w:cs="Arial"/>
          <w:i/>
          <w:iCs/>
        </w:rPr>
        <w:t>O</w:t>
      </w:r>
      <w:r w:rsidR="007100C6">
        <w:rPr>
          <w:rFonts w:ascii="Bookman Old Style" w:hAnsi="Bookman Old Style" w:cs="Arial"/>
          <w:i/>
          <w:iCs/>
        </w:rPr>
        <w:t xml:space="preserve">pción </w:t>
      </w:r>
      <w:r w:rsidR="007909C8">
        <w:rPr>
          <w:rFonts w:ascii="Bookman Old Style" w:hAnsi="Bookman Old Style" w:cs="Arial"/>
          <w:i/>
          <w:iCs/>
        </w:rPr>
        <w:t>T</w:t>
      </w:r>
      <w:r w:rsidR="007100C6">
        <w:rPr>
          <w:rFonts w:ascii="Bookman Old Style" w:hAnsi="Bookman Old Style" w:cs="Arial"/>
          <w:i/>
          <w:iCs/>
        </w:rPr>
        <w:t>arifaria</w:t>
      </w:r>
      <w:r w:rsidR="007909C8">
        <w:rPr>
          <w:rFonts w:ascii="Bookman Old Style" w:hAnsi="Bookman Old Style" w:cs="Arial"/>
          <w:i/>
          <w:iCs/>
        </w:rPr>
        <w:t xml:space="preserve"> Transitoria</w:t>
      </w:r>
      <w:r w:rsidR="007100C6">
        <w:rPr>
          <w:rFonts w:ascii="Bookman Old Style" w:hAnsi="Bookman Old Style" w:cs="Arial"/>
          <w:i/>
          <w:iCs/>
        </w:rPr>
        <w:t xml:space="preserve"> establecida mediante la Resolución CREG 048 de 2020</w:t>
      </w:r>
      <w:r w:rsidR="00292604" w:rsidRPr="00EB5078">
        <w:rPr>
          <w:rFonts w:ascii="Bookman Old Style" w:hAnsi="Bookman Old Style" w:cs="Arial"/>
        </w:rPr>
        <w:t>”</w:t>
      </w:r>
      <w:r w:rsidR="00EB5078">
        <w:rPr>
          <w:rFonts w:ascii="Bookman Old Style" w:hAnsi="Bookman Old Style" w:cs="Arial"/>
        </w:rPr>
        <w:t xml:space="preserve">, </w:t>
      </w:r>
      <w:r w:rsidRPr="00EB5078">
        <w:rPr>
          <w:rFonts w:ascii="Bookman Old Style" w:hAnsi="Bookman Old Style"/>
          <w:bCs/>
          <w:lang w:val="es-CO"/>
        </w:rPr>
        <w:t xml:space="preserve">por un término de </w:t>
      </w:r>
      <w:r w:rsidR="007100C6">
        <w:rPr>
          <w:rFonts w:ascii="Bookman Old Style" w:hAnsi="Bookman Old Style"/>
          <w:bCs/>
          <w:lang w:val="es-CO"/>
        </w:rPr>
        <w:t>diez</w:t>
      </w:r>
      <w:r w:rsidR="00F30EFC" w:rsidRPr="00EB5078">
        <w:rPr>
          <w:rFonts w:ascii="Bookman Old Style" w:hAnsi="Bookman Old Style"/>
          <w:bCs/>
          <w:lang w:val="es-CO"/>
        </w:rPr>
        <w:t xml:space="preserve"> (</w:t>
      </w:r>
      <w:r w:rsidR="007100C6">
        <w:rPr>
          <w:rFonts w:ascii="Bookman Old Style" w:hAnsi="Bookman Old Style"/>
          <w:bCs/>
          <w:lang w:val="es-CO"/>
        </w:rPr>
        <w:t>10</w:t>
      </w:r>
      <w:r w:rsidRPr="00EB5078">
        <w:rPr>
          <w:rFonts w:ascii="Bookman Old Style" w:hAnsi="Bookman Old Style"/>
          <w:bCs/>
          <w:lang w:val="es-CO"/>
        </w:rPr>
        <w:t>) días hábiles, contados a partir del día siguiente a su publicación en el portal web de la CREG.</w:t>
      </w:r>
    </w:p>
    <w:p w14:paraId="7D248145" w14:textId="77777777" w:rsidR="00DF3DAD" w:rsidRPr="00EB5078" w:rsidRDefault="00DF3DAD" w:rsidP="00F30EFC">
      <w:pPr>
        <w:ind w:left="0" w:right="51"/>
        <w:jc w:val="both"/>
        <w:rPr>
          <w:rFonts w:ascii="Bookman Old Style" w:hAnsi="Bookman Old Style"/>
          <w:bCs/>
          <w:lang w:val="es-CO"/>
        </w:rPr>
      </w:pPr>
    </w:p>
    <w:p w14:paraId="1C045B10" w14:textId="6216EF57" w:rsidR="00F30EFC" w:rsidRDefault="00DF3DAD" w:rsidP="00D1577D">
      <w:pPr>
        <w:ind w:left="0" w:right="51"/>
        <w:jc w:val="both"/>
        <w:rPr>
          <w:rFonts w:ascii="Bookman Old Style" w:hAnsi="Bookman Old Style"/>
          <w:bCs/>
          <w:lang w:val="es-CO"/>
        </w:rPr>
      </w:pPr>
      <w:r>
        <w:rPr>
          <w:rFonts w:ascii="Bookman Old Style" w:hAnsi="Bookman Old Style"/>
          <w:bCs/>
          <w:lang w:val="es-CO"/>
        </w:rPr>
        <w:t xml:space="preserve">En consecuencia, </w:t>
      </w:r>
      <w:r w:rsidR="00D1577D" w:rsidRPr="00D1577D">
        <w:rPr>
          <w:rFonts w:ascii="Bookman Old Style" w:hAnsi="Bookman Old Style"/>
          <w:bCs/>
          <w:lang w:val="es-CO"/>
        </w:rPr>
        <w:t>se invita a los agentes regulados</w:t>
      </w:r>
      <w:r w:rsidR="00BF7CD0">
        <w:rPr>
          <w:rFonts w:ascii="Bookman Old Style" w:hAnsi="Bookman Old Style"/>
          <w:bCs/>
          <w:lang w:val="es-CO"/>
        </w:rPr>
        <w:t xml:space="preserve"> </w:t>
      </w:r>
      <w:r w:rsidR="00BF7CD0" w:rsidRPr="00251DB3">
        <w:rPr>
          <w:rFonts w:ascii="Bookman Old Style" w:hAnsi="Bookman Old Style" w:cs="Arial"/>
        </w:rPr>
        <w:t>y sus agremiaciones</w:t>
      </w:r>
      <w:r w:rsidR="00D1577D" w:rsidRPr="00D1577D">
        <w:rPr>
          <w:rFonts w:ascii="Bookman Old Style" w:hAnsi="Bookman Old Style"/>
          <w:bCs/>
          <w:lang w:val="es-CO"/>
        </w:rPr>
        <w:t xml:space="preserve">, </w:t>
      </w:r>
      <w:r w:rsidR="00BF7CD0">
        <w:rPr>
          <w:rFonts w:ascii="Bookman Old Style" w:hAnsi="Bookman Old Style"/>
          <w:bCs/>
          <w:lang w:val="es-CO"/>
        </w:rPr>
        <w:t xml:space="preserve">a los </w:t>
      </w:r>
      <w:r w:rsidR="00D1577D" w:rsidRPr="00D1577D">
        <w:rPr>
          <w:rFonts w:ascii="Bookman Old Style" w:hAnsi="Bookman Old Style"/>
          <w:bCs/>
          <w:lang w:val="es-CO"/>
        </w:rPr>
        <w:t>usuarios</w:t>
      </w:r>
      <w:r w:rsidR="00BF7CD0">
        <w:rPr>
          <w:rFonts w:ascii="Bookman Old Style" w:hAnsi="Bookman Old Style"/>
          <w:bCs/>
          <w:lang w:val="es-CO"/>
        </w:rPr>
        <w:t xml:space="preserve"> </w:t>
      </w:r>
      <w:r w:rsidR="00BF7CD0" w:rsidRPr="00251DB3">
        <w:rPr>
          <w:rFonts w:ascii="Bookman Old Style" w:hAnsi="Bookman Old Style" w:cs="Arial"/>
        </w:rPr>
        <w:t>y sus agremiaciones</w:t>
      </w:r>
      <w:r w:rsidR="00D1577D" w:rsidRPr="00D1577D">
        <w:rPr>
          <w:rFonts w:ascii="Bookman Old Style" w:hAnsi="Bookman Old Style"/>
          <w:bCs/>
          <w:lang w:val="es-CO"/>
        </w:rPr>
        <w:t xml:space="preserve">, </w:t>
      </w:r>
      <w:r w:rsidR="00A8211C">
        <w:rPr>
          <w:rFonts w:ascii="Bookman Old Style" w:hAnsi="Bookman Old Style"/>
          <w:bCs/>
          <w:lang w:val="es-CO"/>
        </w:rPr>
        <w:t>a las a</w:t>
      </w:r>
      <w:r w:rsidR="00D1577D" w:rsidRPr="00D1577D">
        <w:rPr>
          <w:rFonts w:ascii="Bookman Old Style" w:hAnsi="Bookman Old Style"/>
          <w:bCs/>
          <w:lang w:val="es-CO"/>
        </w:rPr>
        <w:t>utoridades competentes y demás interesados a presentar, sus observaciones o sugerencias sobre la propuesta dentro del término estipulado</w:t>
      </w:r>
      <w:r w:rsidR="00A8211C">
        <w:rPr>
          <w:rFonts w:ascii="Bookman Old Style" w:hAnsi="Bookman Old Style"/>
          <w:bCs/>
          <w:lang w:val="es-CO"/>
        </w:rPr>
        <w:t>,</w:t>
      </w:r>
      <w:r w:rsidR="00D1577D">
        <w:rPr>
          <w:rFonts w:ascii="Bookman Old Style" w:hAnsi="Bookman Old Style"/>
          <w:bCs/>
          <w:lang w:val="es-CO"/>
        </w:rPr>
        <w:t xml:space="preserve"> remitiéndolas </w:t>
      </w:r>
      <w:r w:rsidR="00D1577D" w:rsidRPr="00D1577D">
        <w:rPr>
          <w:rFonts w:ascii="Bookman Old Style" w:hAnsi="Bookman Old Style"/>
          <w:bCs/>
          <w:lang w:val="es-CO"/>
        </w:rPr>
        <w:t xml:space="preserve">al </w:t>
      </w:r>
      <w:proofErr w:type="gramStart"/>
      <w:r w:rsidR="00D1577D" w:rsidRPr="00D1577D">
        <w:rPr>
          <w:rFonts w:ascii="Bookman Old Style" w:hAnsi="Bookman Old Style"/>
          <w:bCs/>
          <w:lang w:val="es-CO"/>
        </w:rPr>
        <w:t>Director Ejecutivo</w:t>
      </w:r>
      <w:proofErr w:type="gramEnd"/>
      <w:r w:rsidR="00D1577D" w:rsidRPr="00D1577D">
        <w:rPr>
          <w:rFonts w:ascii="Bookman Old Style" w:hAnsi="Bookman Old Style"/>
          <w:bCs/>
          <w:lang w:val="es-CO"/>
        </w:rPr>
        <w:t xml:space="preserve"> de la Comisión de Regulación de Energía y Gas al correo electrónico creg@creg.gov.co.</w:t>
      </w:r>
    </w:p>
    <w:p w14:paraId="22900CA2" w14:textId="77777777" w:rsidR="00205A01" w:rsidRDefault="00205A01" w:rsidP="00F30EFC">
      <w:pPr>
        <w:tabs>
          <w:tab w:val="left" w:pos="3418"/>
        </w:tabs>
        <w:ind w:left="0"/>
        <w:jc w:val="both"/>
        <w:rPr>
          <w:rFonts w:ascii="Bookman Old Style" w:hAnsi="Bookman Old Style"/>
          <w:bCs/>
          <w:lang w:val="es-CO"/>
        </w:rPr>
      </w:pPr>
    </w:p>
    <w:p w14:paraId="105CF432" w14:textId="4BACDC83" w:rsidR="00A93A3F" w:rsidRPr="00EB5078" w:rsidRDefault="00F52B8B" w:rsidP="00F30EFC">
      <w:pPr>
        <w:tabs>
          <w:tab w:val="left" w:pos="3418"/>
        </w:tabs>
        <w:ind w:left="0"/>
        <w:jc w:val="both"/>
        <w:rPr>
          <w:rFonts w:ascii="Bookman Old Style" w:hAnsi="Bookman Old Style"/>
          <w:bCs/>
          <w:lang w:val="es-CO"/>
        </w:rPr>
      </w:pPr>
      <w:r w:rsidRPr="00EB5078">
        <w:rPr>
          <w:rFonts w:ascii="Bookman Old Style" w:hAnsi="Bookman Old Style"/>
          <w:bCs/>
          <w:lang w:val="es-CO"/>
        </w:rPr>
        <w:t>En el documento soporte de la presente resolución se exponen los análisis y la justificación de la propuesta regulatoria que se somete al proceso consulta pública.</w:t>
      </w:r>
      <w:r w:rsidR="003850FF" w:rsidRPr="003850FF">
        <w:t xml:space="preserve"> </w:t>
      </w:r>
      <w:r w:rsidR="003850FF" w:rsidRPr="003850FF">
        <w:rPr>
          <w:rFonts w:ascii="Bookman Old Style" w:hAnsi="Bookman Old Style"/>
          <w:bCs/>
          <w:lang w:val="es-CO"/>
        </w:rPr>
        <w:t xml:space="preserve">Se introducen los ajustes propuestos en un formato particular, así: en negrilla </w:t>
      </w:r>
      <w:r w:rsidR="00504A57">
        <w:rPr>
          <w:rFonts w:ascii="Bookman Old Style" w:hAnsi="Bookman Old Style"/>
          <w:bCs/>
          <w:lang w:val="es-CO"/>
        </w:rPr>
        <w:t xml:space="preserve">v.gr. </w:t>
      </w:r>
      <w:r w:rsidR="003850FF" w:rsidRPr="003850FF">
        <w:rPr>
          <w:rFonts w:ascii="Bookman Old Style" w:hAnsi="Bookman Old Style"/>
          <w:b/>
          <w:lang w:val="es-CO"/>
        </w:rPr>
        <w:t>propuesta</w:t>
      </w:r>
      <w:r w:rsidR="003850FF" w:rsidRPr="003850FF">
        <w:rPr>
          <w:rFonts w:ascii="Bookman Old Style" w:hAnsi="Bookman Old Style"/>
          <w:bCs/>
          <w:lang w:val="es-CO"/>
        </w:rPr>
        <w:t>, en cuanto a lo que se añade al texto vigente, y tachado</w:t>
      </w:r>
      <w:r w:rsidR="003850FF" w:rsidRPr="003850FF">
        <w:rPr>
          <w:rFonts w:ascii="Bookman Old Style" w:hAnsi="Bookman Old Style"/>
          <w:bCs/>
          <w:strike/>
          <w:lang w:val="es-CO"/>
        </w:rPr>
        <w:t xml:space="preserve"> </w:t>
      </w:r>
      <w:r w:rsidR="00504A57" w:rsidRPr="00504A57">
        <w:rPr>
          <w:rFonts w:ascii="Bookman Old Style" w:hAnsi="Bookman Old Style"/>
          <w:bCs/>
          <w:lang w:val="es-CO"/>
        </w:rPr>
        <w:t>v.gr.</w:t>
      </w:r>
      <w:r w:rsidR="00504A57">
        <w:rPr>
          <w:rFonts w:ascii="Bookman Old Style" w:hAnsi="Bookman Old Style"/>
          <w:bCs/>
          <w:strike/>
          <w:lang w:val="es-CO"/>
        </w:rPr>
        <w:t xml:space="preserve"> </w:t>
      </w:r>
      <w:r w:rsidR="003850FF" w:rsidRPr="003850FF">
        <w:rPr>
          <w:rFonts w:ascii="Bookman Old Style" w:hAnsi="Bookman Old Style"/>
          <w:bCs/>
          <w:strike/>
          <w:lang w:val="es-CO"/>
        </w:rPr>
        <w:t>retiro</w:t>
      </w:r>
      <w:r w:rsidR="003850FF" w:rsidRPr="003850FF">
        <w:rPr>
          <w:rFonts w:ascii="Bookman Old Style" w:hAnsi="Bookman Old Style"/>
          <w:bCs/>
          <w:lang w:val="es-CO"/>
        </w:rPr>
        <w:t>, en cuanto a lo que se retira del texto vigente</w:t>
      </w:r>
      <w:r w:rsidR="003850FF">
        <w:rPr>
          <w:rFonts w:ascii="Bookman Old Style" w:hAnsi="Bookman Old Style"/>
          <w:bCs/>
          <w:lang w:val="es-CO"/>
        </w:rPr>
        <w:t>.</w:t>
      </w:r>
    </w:p>
    <w:p w14:paraId="2A9DAF03" w14:textId="725EB658" w:rsidR="00201584" w:rsidRDefault="00201584" w:rsidP="00A93A3F">
      <w:pPr>
        <w:tabs>
          <w:tab w:val="left" w:pos="3418"/>
        </w:tabs>
        <w:ind w:left="0"/>
        <w:rPr>
          <w:rFonts w:ascii="Bookman Old Style" w:hAnsi="Bookman Old Style"/>
          <w:bCs/>
          <w:lang w:val="es-CO"/>
        </w:rPr>
      </w:pPr>
    </w:p>
    <w:p w14:paraId="36863153" w14:textId="77777777" w:rsidR="0076160E" w:rsidRPr="00EB5078" w:rsidRDefault="0076160E" w:rsidP="00A93A3F">
      <w:pPr>
        <w:tabs>
          <w:tab w:val="left" w:pos="3418"/>
        </w:tabs>
        <w:ind w:left="0"/>
        <w:rPr>
          <w:rFonts w:ascii="Bookman Old Style" w:hAnsi="Bookman Old Style"/>
          <w:bCs/>
          <w:lang w:val="es-CO"/>
        </w:rPr>
      </w:pPr>
    </w:p>
    <w:p w14:paraId="5749A2A5" w14:textId="551F1198" w:rsidR="008D5F92" w:rsidRPr="00442E8E" w:rsidRDefault="001142C1" w:rsidP="002A6A86">
      <w:pPr>
        <w:ind w:left="0" w:right="51"/>
        <w:jc w:val="center"/>
        <w:rPr>
          <w:rFonts w:ascii="Bookman Old Style" w:hAnsi="Bookman Old Style"/>
          <w:b/>
          <w:i/>
          <w:iCs/>
        </w:rPr>
      </w:pPr>
      <w:r>
        <w:rPr>
          <w:rFonts w:ascii="Bookman Old Style" w:hAnsi="Bookman Old Style" w:cs="Arial"/>
          <w:i/>
          <w:iCs/>
        </w:rPr>
        <w:t>“</w:t>
      </w:r>
      <w:r w:rsidR="008D5F92" w:rsidRPr="00442E8E">
        <w:rPr>
          <w:rFonts w:ascii="Bookman Old Style" w:hAnsi="Bookman Old Style" w:cs="Arial"/>
          <w:i/>
          <w:iCs/>
        </w:rPr>
        <w:t xml:space="preserve">Por la cual se </w:t>
      </w:r>
      <w:r w:rsidR="007100C6">
        <w:rPr>
          <w:rFonts w:ascii="Bookman Old Style" w:hAnsi="Bookman Old Style" w:cs="Arial"/>
          <w:i/>
          <w:iCs/>
        </w:rPr>
        <w:t xml:space="preserve">realizan ajustes a la </w:t>
      </w:r>
      <w:r w:rsidR="007909C8">
        <w:rPr>
          <w:rFonts w:ascii="Bookman Old Style" w:hAnsi="Bookman Old Style" w:cs="Arial"/>
          <w:i/>
          <w:iCs/>
        </w:rPr>
        <w:t>O</w:t>
      </w:r>
      <w:r w:rsidR="007100C6">
        <w:rPr>
          <w:rFonts w:ascii="Bookman Old Style" w:hAnsi="Bookman Old Style" w:cs="Arial"/>
          <w:i/>
          <w:iCs/>
        </w:rPr>
        <w:t xml:space="preserve">pción </w:t>
      </w:r>
      <w:r w:rsidR="007909C8">
        <w:rPr>
          <w:rFonts w:ascii="Bookman Old Style" w:hAnsi="Bookman Old Style" w:cs="Arial"/>
          <w:i/>
          <w:iCs/>
        </w:rPr>
        <w:t>T</w:t>
      </w:r>
      <w:r w:rsidR="007100C6">
        <w:rPr>
          <w:rFonts w:ascii="Bookman Old Style" w:hAnsi="Bookman Old Style" w:cs="Arial"/>
          <w:i/>
          <w:iCs/>
        </w:rPr>
        <w:t>arifaria</w:t>
      </w:r>
      <w:r w:rsidR="007909C8">
        <w:rPr>
          <w:rFonts w:ascii="Bookman Old Style" w:hAnsi="Bookman Old Style" w:cs="Arial"/>
          <w:i/>
          <w:iCs/>
        </w:rPr>
        <w:t xml:space="preserve"> Transitoria</w:t>
      </w:r>
      <w:r w:rsidR="007100C6">
        <w:rPr>
          <w:rFonts w:ascii="Bookman Old Style" w:hAnsi="Bookman Old Style" w:cs="Arial"/>
          <w:i/>
          <w:iCs/>
        </w:rPr>
        <w:t xml:space="preserve"> </w:t>
      </w:r>
      <w:r w:rsidR="0076160E">
        <w:rPr>
          <w:rFonts w:ascii="Bookman Old Style" w:hAnsi="Bookman Old Style" w:cs="Arial"/>
          <w:i/>
          <w:iCs/>
        </w:rPr>
        <w:br/>
      </w:r>
      <w:r w:rsidR="007100C6">
        <w:rPr>
          <w:rFonts w:ascii="Bookman Old Style" w:hAnsi="Bookman Old Style" w:cs="Arial"/>
          <w:i/>
          <w:iCs/>
        </w:rPr>
        <w:t>establecida en la Resolución CREG 048 de 2020”</w:t>
      </w:r>
    </w:p>
    <w:p w14:paraId="50F04D9A" w14:textId="23F2E942" w:rsidR="008D5F92" w:rsidRDefault="008D5F92" w:rsidP="002A6A86">
      <w:pPr>
        <w:ind w:left="0" w:right="51"/>
        <w:jc w:val="center"/>
        <w:rPr>
          <w:rFonts w:ascii="Bookman Old Style" w:hAnsi="Bookman Old Style"/>
          <w:b/>
        </w:rPr>
      </w:pPr>
    </w:p>
    <w:p w14:paraId="38EB582D" w14:textId="77777777" w:rsidR="0076160E" w:rsidRPr="00EB5078" w:rsidRDefault="0076160E" w:rsidP="002A6A86">
      <w:pPr>
        <w:ind w:left="0" w:right="51"/>
        <w:jc w:val="center"/>
        <w:rPr>
          <w:rFonts w:ascii="Bookman Old Style" w:hAnsi="Bookman Old Style"/>
          <w:b/>
        </w:rPr>
      </w:pPr>
    </w:p>
    <w:p w14:paraId="39E97F1F" w14:textId="3EF17A5E" w:rsidR="002A6A86" w:rsidRPr="00EB5078" w:rsidRDefault="002A6A86" w:rsidP="002A6A86">
      <w:pPr>
        <w:ind w:left="0" w:right="51"/>
        <w:jc w:val="center"/>
        <w:rPr>
          <w:rFonts w:ascii="Bookman Old Style" w:hAnsi="Bookman Old Style"/>
          <w:b/>
        </w:rPr>
      </w:pPr>
      <w:r w:rsidRPr="00EB5078">
        <w:rPr>
          <w:rFonts w:ascii="Bookman Old Style" w:hAnsi="Bookman Old Style"/>
          <w:b/>
        </w:rPr>
        <w:t>LA COMISIÓN DE REGULACIÓN DE ENERGÍA Y GAS</w:t>
      </w:r>
    </w:p>
    <w:p w14:paraId="25019542" w14:textId="77777777" w:rsidR="002A6A86" w:rsidRPr="00EB5078" w:rsidRDefault="002A6A86" w:rsidP="002A6A86">
      <w:pPr>
        <w:ind w:left="0" w:right="51"/>
        <w:rPr>
          <w:rFonts w:ascii="Bookman Old Style" w:hAnsi="Bookman Old Style"/>
        </w:rPr>
      </w:pPr>
    </w:p>
    <w:p w14:paraId="48C7C8C9" w14:textId="4194694D" w:rsidR="002A6A86" w:rsidRPr="00EB5078" w:rsidRDefault="002A6A86" w:rsidP="002A6A86">
      <w:pPr>
        <w:ind w:left="0" w:right="51"/>
        <w:jc w:val="center"/>
        <w:rPr>
          <w:rFonts w:ascii="Bookman Old Style" w:hAnsi="Bookman Old Style"/>
        </w:rPr>
      </w:pPr>
      <w:r w:rsidRPr="00EB5078">
        <w:rPr>
          <w:rFonts w:ascii="Bookman Old Style" w:hAnsi="Bookman Old Style"/>
        </w:rPr>
        <w:t>En ejercicio de sus atribuciones constitucionales y legales, en especial las conferidas por la Ley 142 de 1994 y en desarrollo de los decretos 2253 de 1994</w:t>
      </w:r>
      <w:r w:rsidR="00FC6C9A">
        <w:rPr>
          <w:rFonts w:ascii="Bookman Old Style" w:hAnsi="Bookman Old Style"/>
        </w:rPr>
        <w:t xml:space="preserve"> y </w:t>
      </w:r>
      <w:r w:rsidRPr="00EB5078">
        <w:rPr>
          <w:rFonts w:ascii="Bookman Old Style" w:hAnsi="Bookman Old Style"/>
        </w:rPr>
        <w:t>1260</w:t>
      </w:r>
      <w:r w:rsidR="00504A57">
        <w:rPr>
          <w:rFonts w:ascii="Bookman Old Style" w:hAnsi="Bookman Old Style"/>
        </w:rPr>
        <w:t xml:space="preserve"> </w:t>
      </w:r>
      <w:r w:rsidRPr="00EB5078">
        <w:rPr>
          <w:rFonts w:ascii="Bookman Old Style" w:hAnsi="Bookman Old Style"/>
        </w:rPr>
        <w:t>de 2013</w:t>
      </w:r>
      <w:r w:rsidR="00FC6C9A">
        <w:rPr>
          <w:rFonts w:ascii="Bookman Old Style" w:hAnsi="Bookman Old Style"/>
        </w:rPr>
        <w:t>;</w:t>
      </w:r>
      <w:r w:rsidRPr="00EB5078">
        <w:rPr>
          <w:rFonts w:ascii="Bookman Old Style" w:hAnsi="Bookman Old Style"/>
        </w:rPr>
        <w:t xml:space="preserve"> y</w:t>
      </w:r>
      <w:r w:rsidR="00FC6C9A">
        <w:rPr>
          <w:rFonts w:ascii="Bookman Old Style" w:hAnsi="Bookman Old Style"/>
        </w:rPr>
        <w:t>,</w:t>
      </w:r>
    </w:p>
    <w:p w14:paraId="3854301E" w14:textId="37A28FF6" w:rsidR="002A6A86" w:rsidRDefault="002A6A86" w:rsidP="002A6A86">
      <w:pPr>
        <w:ind w:right="51"/>
        <w:jc w:val="center"/>
        <w:rPr>
          <w:rFonts w:ascii="Bookman Old Style" w:hAnsi="Bookman Old Style"/>
          <w:b/>
        </w:rPr>
      </w:pPr>
    </w:p>
    <w:p w14:paraId="7279B37F" w14:textId="77777777" w:rsidR="0076160E" w:rsidRPr="00EB5078" w:rsidRDefault="0076160E" w:rsidP="002A6A86">
      <w:pPr>
        <w:ind w:right="51"/>
        <w:jc w:val="center"/>
        <w:rPr>
          <w:rFonts w:ascii="Bookman Old Style" w:hAnsi="Bookman Old Style"/>
          <w:b/>
        </w:rPr>
      </w:pPr>
    </w:p>
    <w:p w14:paraId="10C6C212" w14:textId="2E641D91" w:rsidR="002A6A86" w:rsidRDefault="002A6A86" w:rsidP="002A6A86">
      <w:pPr>
        <w:ind w:left="0" w:right="51"/>
        <w:jc w:val="center"/>
        <w:rPr>
          <w:rFonts w:ascii="Bookman Old Style" w:hAnsi="Bookman Old Style"/>
          <w:b/>
        </w:rPr>
      </w:pPr>
      <w:r w:rsidRPr="00EB5078">
        <w:rPr>
          <w:rFonts w:ascii="Bookman Old Style" w:hAnsi="Bookman Old Style"/>
          <w:b/>
        </w:rPr>
        <w:t>C O N S I D E R A N D O   Q U E:</w:t>
      </w:r>
    </w:p>
    <w:p w14:paraId="51CF05C3" w14:textId="77777777" w:rsidR="00645758" w:rsidRPr="00EB5078" w:rsidRDefault="00645758" w:rsidP="002A6A86">
      <w:pPr>
        <w:ind w:left="0" w:right="51"/>
        <w:jc w:val="center"/>
        <w:rPr>
          <w:rFonts w:ascii="Bookman Old Style" w:hAnsi="Bookman Old Style"/>
          <w:b/>
        </w:rPr>
      </w:pPr>
    </w:p>
    <w:p w14:paraId="00D4138A" w14:textId="674670C2" w:rsidR="00645758" w:rsidRPr="00645758" w:rsidRDefault="00645758" w:rsidP="00645758">
      <w:pPr>
        <w:ind w:left="0"/>
        <w:jc w:val="both"/>
        <w:rPr>
          <w:rFonts w:ascii="Bookman Old Style" w:hAnsi="Bookman Old Style"/>
        </w:rPr>
      </w:pPr>
      <w:r w:rsidRPr="00645758">
        <w:rPr>
          <w:rFonts w:ascii="Bookman Old Style" w:hAnsi="Bookman Old Style"/>
        </w:rPr>
        <w:t xml:space="preserve">En el marco de la Emergencia Sanitaria </w:t>
      </w:r>
      <w:r w:rsidR="00504A57">
        <w:rPr>
          <w:rFonts w:ascii="Bookman Old Style" w:hAnsi="Bookman Old Style"/>
        </w:rPr>
        <w:t xml:space="preserve">declarada </w:t>
      </w:r>
      <w:r w:rsidRPr="00645758">
        <w:rPr>
          <w:rFonts w:ascii="Bookman Old Style" w:hAnsi="Bookman Old Style"/>
        </w:rPr>
        <w:t xml:space="preserve">en todo el territorio nacional por el Ministerio de Salud y Protección Social mediante la Resolución 385 del 12 de marzo de 2020 en consideración a la declaración el 11 de marzo de 2020 por  la Organización Mundial de la Salud, OMS, de la pandemia del Coronavirus COVID-19, y </w:t>
      </w:r>
      <w:r w:rsidR="00504A57">
        <w:rPr>
          <w:rFonts w:ascii="Bookman Old Style" w:hAnsi="Bookman Old Style"/>
        </w:rPr>
        <w:t xml:space="preserve">en consideración </w:t>
      </w:r>
      <w:r w:rsidRPr="00645758">
        <w:rPr>
          <w:rFonts w:ascii="Bookman Old Style" w:hAnsi="Bookman Old Style"/>
        </w:rPr>
        <w:t xml:space="preserve">de las facultades otorgadas por el Gobierno Nacional a la Comisión de Regulación de Energía y Gas, CREG, en virtud del Artículo 3° del Decreto Legislativo 517 del 4 de abril de 2020, se expidió la Resolución CREG 048 de 2020, “Por la cual se establece una Opción Tarifaria Transitoria para el Componente Variable del Costo Unitario de Prestación del </w:t>
      </w:r>
      <w:r w:rsidRPr="00645758">
        <w:rPr>
          <w:rFonts w:ascii="Bookman Old Style" w:hAnsi="Bookman Old Style"/>
        </w:rPr>
        <w:lastRenderedPageBreak/>
        <w:t xml:space="preserve">Servicio Público de Gas Combustible por Redes de Tubería.”, publicada el 12 de abril de 2020 en el Diario Oficial </w:t>
      </w:r>
      <w:proofErr w:type="spellStart"/>
      <w:r w:rsidRPr="00645758">
        <w:rPr>
          <w:rFonts w:ascii="Bookman Old Style" w:hAnsi="Bookman Old Style"/>
        </w:rPr>
        <w:t>N°</w:t>
      </w:r>
      <w:proofErr w:type="spellEnd"/>
      <w:r w:rsidRPr="00645758">
        <w:rPr>
          <w:rFonts w:ascii="Bookman Old Style" w:hAnsi="Bookman Old Style"/>
        </w:rPr>
        <w:t xml:space="preserve"> 51.283. </w:t>
      </w:r>
    </w:p>
    <w:p w14:paraId="62FE3F80" w14:textId="77777777" w:rsidR="00645758" w:rsidRPr="00645758" w:rsidRDefault="00645758" w:rsidP="00645758">
      <w:pPr>
        <w:ind w:left="0"/>
        <w:jc w:val="both"/>
        <w:rPr>
          <w:rFonts w:ascii="Bookman Old Style" w:hAnsi="Bookman Old Style"/>
        </w:rPr>
      </w:pPr>
    </w:p>
    <w:p w14:paraId="4ED70310" w14:textId="77542B06" w:rsidR="00645758" w:rsidRPr="00645758" w:rsidRDefault="00645758" w:rsidP="00645758">
      <w:pPr>
        <w:ind w:left="0"/>
        <w:jc w:val="both"/>
        <w:rPr>
          <w:rFonts w:ascii="Bookman Old Style" w:hAnsi="Bookman Old Style"/>
        </w:rPr>
      </w:pPr>
      <w:r w:rsidRPr="00645758">
        <w:rPr>
          <w:rFonts w:ascii="Bookman Old Style" w:hAnsi="Bookman Old Style"/>
        </w:rPr>
        <w:t>Las medidas adoptadas se expidieron, entre otros motivos, con el fin de mitigar los efectos que se genera</w:t>
      </w:r>
      <w:r w:rsidR="00504A57">
        <w:rPr>
          <w:rFonts w:ascii="Bookman Old Style" w:hAnsi="Bookman Old Style"/>
        </w:rPr>
        <w:t>ro</w:t>
      </w:r>
      <w:r w:rsidRPr="00645758">
        <w:rPr>
          <w:rFonts w:ascii="Bookman Old Style" w:hAnsi="Bookman Old Style"/>
        </w:rPr>
        <w:t xml:space="preserve">n desde la perspectiva de la repentina pérdida de capacidad de pago de los usuarios regulados del servicio, por efecto de la situación económica derivada del confinamiento obligatorio como parte de las medidas tomadas por el Gobierno Nacional para evitar el contagio. Asimismo, se tuvieron en cuenta los efectos derivados del aumento en la tasa de cambio surgidos simultáneamente por efecto de la aparición del Covid19, </w:t>
      </w:r>
      <w:r w:rsidR="00C30DC3">
        <w:rPr>
          <w:rFonts w:ascii="Bookman Old Style" w:hAnsi="Bookman Old Style"/>
        </w:rPr>
        <w:t>la cual</w:t>
      </w:r>
      <w:r w:rsidRPr="00645758">
        <w:rPr>
          <w:rFonts w:ascii="Bookman Old Style" w:hAnsi="Bookman Old Style"/>
        </w:rPr>
        <w:t xml:space="preserve"> es utilizada como referencia para determinar en su momento el costo de las actividades de suministro y de transporte de gas natural, así como para efectos de la determinación de los precios regulados de suministro del GLP.</w:t>
      </w:r>
    </w:p>
    <w:p w14:paraId="299D51DC" w14:textId="77777777" w:rsidR="00645758" w:rsidRPr="00645758" w:rsidRDefault="00645758" w:rsidP="00645758">
      <w:pPr>
        <w:ind w:left="0"/>
        <w:jc w:val="both"/>
        <w:rPr>
          <w:rFonts w:ascii="Bookman Old Style" w:hAnsi="Bookman Old Style"/>
        </w:rPr>
      </w:pPr>
    </w:p>
    <w:p w14:paraId="135A1E9F" w14:textId="767BFEE5" w:rsidR="00645758" w:rsidRPr="00645758" w:rsidRDefault="00645758" w:rsidP="00645758">
      <w:pPr>
        <w:ind w:left="0"/>
        <w:jc w:val="both"/>
        <w:rPr>
          <w:rFonts w:ascii="Bookman Old Style" w:hAnsi="Bookman Old Style"/>
        </w:rPr>
      </w:pPr>
      <w:r w:rsidRPr="00645758">
        <w:rPr>
          <w:rFonts w:ascii="Bookman Old Style" w:hAnsi="Bookman Old Style"/>
        </w:rPr>
        <w:t xml:space="preserve">En la </w:t>
      </w:r>
      <w:r w:rsidR="00C30DC3">
        <w:rPr>
          <w:rFonts w:ascii="Bookman Old Style" w:hAnsi="Bookman Old Style"/>
        </w:rPr>
        <w:t>R</w:t>
      </w:r>
      <w:r w:rsidRPr="00645758">
        <w:rPr>
          <w:rFonts w:ascii="Bookman Old Style" w:hAnsi="Bookman Old Style"/>
        </w:rPr>
        <w:t>esolución 048 de 2020 se establecieron, entre otros aspectos, los siguientes para todo tipo de usuarios regulados:</w:t>
      </w:r>
    </w:p>
    <w:p w14:paraId="035567FF" w14:textId="77777777" w:rsidR="00645758" w:rsidRPr="00645758" w:rsidRDefault="00645758" w:rsidP="00645758">
      <w:pPr>
        <w:ind w:left="142"/>
        <w:jc w:val="both"/>
        <w:rPr>
          <w:rFonts w:ascii="Bookman Old Style" w:hAnsi="Bookman Old Style"/>
        </w:rPr>
      </w:pPr>
    </w:p>
    <w:p w14:paraId="7E8357E2" w14:textId="77777777" w:rsidR="00645758" w:rsidRPr="00645758" w:rsidRDefault="00645758" w:rsidP="00645758">
      <w:pPr>
        <w:pStyle w:val="Prrafodelista"/>
        <w:numPr>
          <w:ilvl w:val="0"/>
          <w:numId w:val="20"/>
        </w:numPr>
        <w:ind w:left="502"/>
        <w:jc w:val="both"/>
        <w:rPr>
          <w:rFonts w:ascii="Bookman Old Style" w:hAnsi="Bookman Old Style"/>
          <w:sz w:val="24"/>
          <w:szCs w:val="24"/>
        </w:rPr>
      </w:pPr>
      <w:r w:rsidRPr="00645758">
        <w:rPr>
          <w:rFonts w:ascii="Bookman Old Style" w:hAnsi="Bookman Old Style"/>
          <w:sz w:val="24"/>
          <w:szCs w:val="24"/>
        </w:rPr>
        <w:t>La diferenciación para la aplicación de la opción tarifaria transitoria entre las diferentes clases de usuarios regulados. Particularmente se especificaron algunas reglas para la aplicación de la Opción Tarifaria Transitoria a Usuarios Residenciales pertenecientes a los Estratos 1 y 2, quienes son sujeto del beneficio del subsidio legal para cubrir menores tarifas, diferentes de las reglas establecidas para los demás usuarios residenciales.</w:t>
      </w:r>
    </w:p>
    <w:p w14:paraId="0FCF666D" w14:textId="77777777" w:rsidR="00645758" w:rsidRPr="00645758" w:rsidRDefault="00645758" w:rsidP="00645758">
      <w:pPr>
        <w:pStyle w:val="Prrafodelista"/>
        <w:ind w:left="502"/>
        <w:jc w:val="both"/>
        <w:rPr>
          <w:rFonts w:ascii="Bookman Old Style" w:hAnsi="Bookman Old Style"/>
          <w:sz w:val="24"/>
          <w:szCs w:val="24"/>
        </w:rPr>
      </w:pPr>
    </w:p>
    <w:p w14:paraId="22992E9A" w14:textId="77777777" w:rsidR="00645758" w:rsidRPr="00645758" w:rsidRDefault="00645758" w:rsidP="00645758">
      <w:pPr>
        <w:pStyle w:val="Prrafodelista"/>
        <w:numPr>
          <w:ilvl w:val="0"/>
          <w:numId w:val="20"/>
        </w:numPr>
        <w:ind w:left="502"/>
        <w:jc w:val="both"/>
        <w:rPr>
          <w:rFonts w:ascii="Bookman Old Style" w:hAnsi="Bookman Old Style"/>
          <w:sz w:val="24"/>
          <w:szCs w:val="24"/>
        </w:rPr>
      </w:pPr>
      <w:r w:rsidRPr="00645758">
        <w:rPr>
          <w:rFonts w:ascii="Bookman Old Style" w:hAnsi="Bookman Old Style"/>
          <w:sz w:val="24"/>
          <w:szCs w:val="24"/>
        </w:rPr>
        <w:t>La aplicación de la opción tarifaria de manera obligatoria e inmediata se estableció a las empresas comercializadores de gas combustible por redes.</w:t>
      </w:r>
    </w:p>
    <w:p w14:paraId="699D9CF7" w14:textId="77777777" w:rsidR="00645758" w:rsidRPr="00645758" w:rsidRDefault="00645758" w:rsidP="00645758">
      <w:pPr>
        <w:pStyle w:val="Prrafodelista"/>
        <w:ind w:left="502"/>
        <w:jc w:val="both"/>
        <w:rPr>
          <w:rFonts w:ascii="Bookman Old Style" w:hAnsi="Bookman Old Style"/>
          <w:sz w:val="24"/>
          <w:szCs w:val="24"/>
        </w:rPr>
      </w:pPr>
    </w:p>
    <w:p w14:paraId="5E9B9375" w14:textId="77777777" w:rsidR="00645758" w:rsidRPr="00645758" w:rsidRDefault="00645758" w:rsidP="00645758">
      <w:pPr>
        <w:pStyle w:val="Prrafodelista"/>
        <w:numPr>
          <w:ilvl w:val="0"/>
          <w:numId w:val="20"/>
        </w:numPr>
        <w:ind w:left="502"/>
        <w:jc w:val="both"/>
        <w:rPr>
          <w:rFonts w:ascii="Bookman Old Style" w:hAnsi="Bookman Old Style"/>
          <w:sz w:val="24"/>
          <w:szCs w:val="24"/>
        </w:rPr>
      </w:pPr>
      <w:r w:rsidRPr="00645758">
        <w:rPr>
          <w:rFonts w:ascii="Bookman Old Style" w:hAnsi="Bookman Old Style"/>
          <w:sz w:val="24"/>
          <w:szCs w:val="24"/>
        </w:rPr>
        <w:t>Los usuarios en general podrían escoger si se deseaban que se les aplicase la opción tarifaria transitoria o no.</w:t>
      </w:r>
    </w:p>
    <w:p w14:paraId="1174E6A5" w14:textId="77777777" w:rsidR="00645758" w:rsidRPr="00645758" w:rsidRDefault="00645758" w:rsidP="00645758">
      <w:pPr>
        <w:pStyle w:val="Prrafodelista"/>
        <w:ind w:left="502"/>
        <w:jc w:val="both"/>
        <w:rPr>
          <w:rFonts w:ascii="Bookman Old Style" w:hAnsi="Bookman Old Style"/>
          <w:sz w:val="24"/>
          <w:szCs w:val="24"/>
        </w:rPr>
      </w:pPr>
    </w:p>
    <w:p w14:paraId="4CC0F413" w14:textId="73037DBD" w:rsidR="00645758" w:rsidRPr="00645758" w:rsidRDefault="00645758" w:rsidP="00645758">
      <w:pPr>
        <w:pStyle w:val="Prrafodelista"/>
        <w:numPr>
          <w:ilvl w:val="0"/>
          <w:numId w:val="20"/>
        </w:numPr>
        <w:ind w:left="502"/>
        <w:jc w:val="both"/>
        <w:rPr>
          <w:rFonts w:ascii="Bookman Old Style" w:hAnsi="Bookman Old Style"/>
          <w:sz w:val="24"/>
          <w:szCs w:val="24"/>
        </w:rPr>
      </w:pPr>
      <w:r w:rsidRPr="00645758">
        <w:rPr>
          <w:rFonts w:ascii="Bookman Old Style" w:hAnsi="Bookman Old Style"/>
          <w:sz w:val="24"/>
          <w:szCs w:val="24"/>
        </w:rPr>
        <w:t xml:space="preserve">En cualquier tiempo, el usuario podría solicitar que no se le siga aplicando la opción tarifaria, para lo cual deberá pagar el saldo acumulado que presente a esa fecha. En este caso, el Comercializador, en lo sucesivo, deberá continuar calculando el Componente Variable del Costo Unitario de Prestación del Servicio Público de Gas Combustible por Redes de Tubería conforme a lo definido en la Resolución CREG 137 de 2013 o aquéllas que la modifiquen o </w:t>
      </w:r>
      <w:r w:rsidR="00AC4D51" w:rsidRPr="00504A57">
        <w:rPr>
          <w:rFonts w:ascii="Bookman Old Style" w:hAnsi="Bookman Old Style"/>
          <w:sz w:val="24"/>
          <w:szCs w:val="24"/>
        </w:rPr>
        <w:t>sustituyan</w:t>
      </w:r>
      <w:r w:rsidRPr="00645758">
        <w:rPr>
          <w:rFonts w:ascii="Bookman Old Style" w:hAnsi="Bookman Old Style"/>
          <w:sz w:val="24"/>
          <w:szCs w:val="24"/>
        </w:rPr>
        <w:t>.</w:t>
      </w:r>
    </w:p>
    <w:p w14:paraId="21605638" w14:textId="77777777" w:rsidR="00645758" w:rsidRPr="00645758" w:rsidRDefault="00645758" w:rsidP="00645758">
      <w:pPr>
        <w:pStyle w:val="Prrafodelista"/>
        <w:ind w:left="502"/>
        <w:jc w:val="both"/>
        <w:rPr>
          <w:rFonts w:ascii="Bookman Old Style" w:hAnsi="Bookman Old Style"/>
          <w:sz w:val="24"/>
          <w:szCs w:val="24"/>
        </w:rPr>
      </w:pPr>
    </w:p>
    <w:p w14:paraId="07D8699B" w14:textId="77777777" w:rsidR="00645758" w:rsidRPr="00645758" w:rsidRDefault="00645758" w:rsidP="00645758">
      <w:pPr>
        <w:pStyle w:val="Prrafodelista"/>
        <w:numPr>
          <w:ilvl w:val="0"/>
          <w:numId w:val="20"/>
        </w:numPr>
        <w:ind w:left="502"/>
        <w:jc w:val="both"/>
        <w:rPr>
          <w:rFonts w:ascii="Bookman Old Style" w:hAnsi="Bookman Old Style"/>
          <w:sz w:val="24"/>
          <w:szCs w:val="24"/>
        </w:rPr>
      </w:pPr>
      <w:r w:rsidRPr="00645758">
        <w:rPr>
          <w:rFonts w:ascii="Bookman Old Style" w:hAnsi="Bookman Old Style"/>
          <w:sz w:val="24"/>
          <w:szCs w:val="24"/>
        </w:rPr>
        <w:t xml:space="preserve">Los saldos acumulados a favor de las empresas por efecto de la aplicación de la opción tarifaria transitoria, que existiesen una vez terminado el plazo ofrecido por el Comercializador, no podrán ser trasladados en la tarifa al usuario final.  </w:t>
      </w:r>
    </w:p>
    <w:p w14:paraId="145808D2" w14:textId="77777777" w:rsidR="00645758" w:rsidRPr="00645758" w:rsidRDefault="00645758" w:rsidP="00645758">
      <w:pPr>
        <w:pStyle w:val="Prrafodelista"/>
        <w:ind w:left="502"/>
        <w:jc w:val="both"/>
        <w:rPr>
          <w:rFonts w:ascii="Bookman Old Style" w:hAnsi="Bookman Old Style"/>
          <w:sz w:val="24"/>
          <w:szCs w:val="24"/>
        </w:rPr>
      </w:pPr>
    </w:p>
    <w:p w14:paraId="10572BE5" w14:textId="7B1ABB97" w:rsidR="00645758" w:rsidRPr="00645758" w:rsidRDefault="00645758" w:rsidP="00645758">
      <w:pPr>
        <w:pStyle w:val="Prrafodelista"/>
        <w:numPr>
          <w:ilvl w:val="0"/>
          <w:numId w:val="20"/>
        </w:numPr>
        <w:ind w:left="502"/>
        <w:jc w:val="both"/>
        <w:rPr>
          <w:rFonts w:ascii="Bookman Old Style" w:hAnsi="Bookman Old Style"/>
          <w:sz w:val="24"/>
          <w:szCs w:val="24"/>
        </w:rPr>
      </w:pPr>
      <w:r w:rsidRPr="00645758">
        <w:rPr>
          <w:rFonts w:ascii="Bookman Old Style" w:hAnsi="Bookman Old Style"/>
          <w:sz w:val="24"/>
          <w:szCs w:val="24"/>
        </w:rPr>
        <w:t>La tasa de interés a trasladar a los usuarios debe corresponder a la tasa de interés efectivamente incurrida sin que, en ningún caso, supere la tasa de interés preferencial de los créditos comerciales vigentes de las últimas tres (3) semanas disponibles a la fecha de expedición de la Resolución</w:t>
      </w:r>
      <w:r w:rsidR="00717151">
        <w:rPr>
          <w:rFonts w:ascii="Bookman Old Style" w:hAnsi="Bookman Old Style"/>
          <w:sz w:val="24"/>
          <w:szCs w:val="24"/>
        </w:rPr>
        <w:t xml:space="preserve"> CREG 048 de 2020</w:t>
      </w:r>
      <w:r w:rsidRPr="00645758">
        <w:rPr>
          <w:rFonts w:ascii="Bookman Old Style" w:hAnsi="Bookman Old Style"/>
          <w:sz w:val="24"/>
          <w:szCs w:val="24"/>
        </w:rPr>
        <w:t>. Asimismo, en el caso de existir líneas de financiación creadas por el Gobierno Nacional para estos efectos, la tasa</w:t>
      </w:r>
      <w:r w:rsidR="00504A57" w:rsidRPr="00504A57">
        <w:rPr>
          <w:rFonts w:ascii="Bookman Old Style" w:hAnsi="Bookman Old Style"/>
          <w:i/>
          <w:iCs/>
          <w:sz w:val="24"/>
          <w:szCs w:val="24"/>
        </w:rPr>
        <w:t xml:space="preserve"> R</w:t>
      </w:r>
      <w:r w:rsidRPr="00645758">
        <w:rPr>
          <w:rFonts w:ascii="Bookman Old Style" w:hAnsi="Bookman Old Style"/>
          <w:sz w:val="24"/>
          <w:szCs w:val="24"/>
        </w:rPr>
        <w:t xml:space="preserve"> a transferir a los usuarios corresponderá a la tasa de estas líneas de financiación, así la empresa no tome dicha financiación. </w:t>
      </w:r>
    </w:p>
    <w:p w14:paraId="7B3BAE3B" w14:textId="77777777" w:rsidR="00645758" w:rsidRPr="00645758" w:rsidRDefault="00645758" w:rsidP="00645758">
      <w:pPr>
        <w:pStyle w:val="Prrafodelista"/>
        <w:ind w:left="502"/>
        <w:jc w:val="both"/>
        <w:rPr>
          <w:rFonts w:ascii="Bookman Old Style" w:hAnsi="Bookman Old Style"/>
          <w:sz w:val="24"/>
          <w:szCs w:val="24"/>
        </w:rPr>
      </w:pPr>
    </w:p>
    <w:p w14:paraId="3B97F68F" w14:textId="77777777" w:rsidR="00645758" w:rsidRPr="00645758" w:rsidRDefault="00645758" w:rsidP="00645758">
      <w:pPr>
        <w:pStyle w:val="Prrafodelista"/>
        <w:numPr>
          <w:ilvl w:val="0"/>
          <w:numId w:val="20"/>
        </w:numPr>
        <w:ind w:left="502"/>
        <w:jc w:val="both"/>
        <w:rPr>
          <w:rFonts w:ascii="Bookman Old Style" w:hAnsi="Bookman Old Style"/>
          <w:sz w:val="24"/>
          <w:szCs w:val="24"/>
        </w:rPr>
      </w:pPr>
      <w:r w:rsidRPr="00645758">
        <w:rPr>
          <w:rFonts w:ascii="Bookman Old Style" w:hAnsi="Bookman Old Style"/>
          <w:sz w:val="24"/>
          <w:szCs w:val="24"/>
        </w:rPr>
        <w:lastRenderedPageBreak/>
        <w:t xml:space="preserve">El Comercializador deberá mantener actualizada la información relativa a los saldos acumulados, y el histórico de los valores que se trasladan a la tarifa del usuario final. </w:t>
      </w:r>
    </w:p>
    <w:p w14:paraId="4FDA9FCB" w14:textId="77777777" w:rsidR="00645758" w:rsidRPr="00645758" w:rsidRDefault="00645758" w:rsidP="00645758">
      <w:pPr>
        <w:pStyle w:val="Prrafodelista"/>
        <w:ind w:left="502"/>
        <w:jc w:val="both"/>
        <w:rPr>
          <w:rFonts w:ascii="Bookman Old Style" w:hAnsi="Bookman Old Style"/>
          <w:sz w:val="24"/>
          <w:szCs w:val="24"/>
        </w:rPr>
      </w:pPr>
    </w:p>
    <w:p w14:paraId="11311267" w14:textId="77777777" w:rsidR="00645758" w:rsidRPr="00645758" w:rsidRDefault="00645758" w:rsidP="00645758">
      <w:pPr>
        <w:pStyle w:val="Prrafodelista"/>
        <w:numPr>
          <w:ilvl w:val="0"/>
          <w:numId w:val="20"/>
        </w:numPr>
        <w:ind w:left="502"/>
        <w:jc w:val="both"/>
        <w:rPr>
          <w:rFonts w:ascii="Bookman Old Style" w:hAnsi="Bookman Old Style"/>
          <w:sz w:val="24"/>
          <w:szCs w:val="24"/>
        </w:rPr>
      </w:pPr>
      <w:r w:rsidRPr="00645758">
        <w:rPr>
          <w:rFonts w:ascii="Bookman Old Style" w:hAnsi="Bookman Old Style"/>
          <w:sz w:val="24"/>
          <w:szCs w:val="24"/>
        </w:rPr>
        <w:t>Además de lo establecido en la regulación vigente en relación con la información que debe contener la factura, el comercializador deberá incluir el Costo de Prestación del Servicio obtenido con la Opción Tarifaria, y la tarifa que corresponda.</w:t>
      </w:r>
    </w:p>
    <w:p w14:paraId="229BC339" w14:textId="77777777" w:rsidR="00645758" w:rsidRPr="00645758" w:rsidRDefault="00645758" w:rsidP="00645758">
      <w:pPr>
        <w:pStyle w:val="Prrafodelista"/>
        <w:ind w:left="502"/>
        <w:jc w:val="both"/>
        <w:rPr>
          <w:rFonts w:ascii="Bookman Old Style" w:hAnsi="Bookman Old Style"/>
          <w:sz w:val="24"/>
          <w:szCs w:val="24"/>
        </w:rPr>
      </w:pPr>
    </w:p>
    <w:p w14:paraId="4C9D3853" w14:textId="77777777" w:rsidR="00645758" w:rsidRPr="00645758" w:rsidRDefault="00645758" w:rsidP="00645758">
      <w:pPr>
        <w:pStyle w:val="Prrafodelista"/>
        <w:ind w:left="502"/>
        <w:jc w:val="both"/>
        <w:rPr>
          <w:rFonts w:ascii="Bookman Old Style" w:hAnsi="Bookman Old Style"/>
          <w:sz w:val="24"/>
          <w:szCs w:val="24"/>
        </w:rPr>
      </w:pPr>
      <w:r w:rsidRPr="00645758">
        <w:rPr>
          <w:rFonts w:ascii="Bookman Old Style" w:hAnsi="Bookman Old Style"/>
          <w:sz w:val="24"/>
          <w:szCs w:val="24"/>
        </w:rPr>
        <w:t>En cuanto a la aplicación de la opción tarifaria a los usuarios regulados residenciales de estratos 1 y 2, particularmente se especificaron condiciones a cumplir por parte de las empresas comercializadoras, tales como:</w:t>
      </w:r>
    </w:p>
    <w:p w14:paraId="4686A118" w14:textId="77777777" w:rsidR="00645758" w:rsidRPr="00645758" w:rsidRDefault="00645758" w:rsidP="00645758">
      <w:pPr>
        <w:pStyle w:val="Prrafodelista"/>
        <w:ind w:left="502"/>
        <w:jc w:val="both"/>
        <w:rPr>
          <w:rFonts w:ascii="Bookman Old Style" w:hAnsi="Bookman Old Style"/>
          <w:sz w:val="24"/>
          <w:szCs w:val="24"/>
        </w:rPr>
      </w:pPr>
    </w:p>
    <w:p w14:paraId="35DEE080" w14:textId="77777777" w:rsidR="00645758" w:rsidRPr="00645758" w:rsidRDefault="00645758" w:rsidP="00645758">
      <w:pPr>
        <w:pStyle w:val="Prrafodelista"/>
        <w:numPr>
          <w:ilvl w:val="0"/>
          <w:numId w:val="21"/>
        </w:numPr>
        <w:ind w:left="502"/>
        <w:jc w:val="both"/>
        <w:rPr>
          <w:rFonts w:ascii="Bookman Old Style" w:hAnsi="Bookman Old Style"/>
          <w:sz w:val="24"/>
          <w:szCs w:val="24"/>
        </w:rPr>
      </w:pPr>
      <w:r w:rsidRPr="00645758">
        <w:rPr>
          <w:rFonts w:ascii="Bookman Old Style" w:hAnsi="Bookman Old Style"/>
          <w:sz w:val="24"/>
          <w:szCs w:val="24"/>
        </w:rPr>
        <w:t>El comercializador podría aplicar la Opción Tarifaria para recuperar los incrementos del Componente Variable del Costo Unitario de Prestación del Servicio Público de Gas Combustible por Redes de Tubería que se traslada a estos usuarios, en un plazo mínimo de treinta y seis (36) meses y máximo de sesenta (60) meses, contado a partir del inicio de su aplicación. Mediante la Resolución CREG 109 de 2020 el plazo mínimo fue cambiado a doce (12) meses. Estas limitaciones no fueron impuestas para las condiciones de aplicación a los demás usuarios regulados, quedando las empresas en libertad de determinar el plazo.</w:t>
      </w:r>
    </w:p>
    <w:p w14:paraId="42574C9E" w14:textId="77777777" w:rsidR="00645758" w:rsidRPr="00645758" w:rsidRDefault="00645758" w:rsidP="00645758">
      <w:pPr>
        <w:pStyle w:val="Prrafodelista"/>
        <w:ind w:left="502"/>
        <w:jc w:val="both"/>
        <w:rPr>
          <w:rFonts w:ascii="Bookman Old Style" w:hAnsi="Bookman Old Style"/>
          <w:sz w:val="24"/>
          <w:szCs w:val="24"/>
        </w:rPr>
      </w:pPr>
    </w:p>
    <w:p w14:paraId="2A231321" w14:textId="0E8E4D39" w:rsidR="00645758" w:rsidRPr="00645758" w:rsidRDefault="00645758" w:rsidP="00645758">
      <w:pPr>
        <w:pStyle w:val="Prrafodelista"/>
        <w:numPr>
          <w:ilvl w:val="0"/>
          <w:numId w:val="21"/>
        </w:numPr>
        <w:ind w:left="502"/>
        <w:jc w:val="both"/>
        <w:rPr>
          <w:rFonts w:ascii="Bookman Old Style" w:hAnsi="Bookman Old Style"/>
          <w:sz w:val="24"/>
          <w:szCs w:val="24"/>
        </w:rPr>
      </w:pPr>
      <w:r w:rsidRPr="00645758">
        <w:rPr>
          <w:rFonts w:ascii="Bookman Old Style" w:hAnsi="Bookman Old Style"/>
          <w:sz w:val="24"/>
          <w:szCs w:val="24"/>
        </w:rPr>
        <w:t xml:space="preserve">El porcentaje de variación mensual </w:t>
      </w:r>
      <w:proofErr w:type="spellStart"/>
      <w:proofErr w:type="gramStart"/>
      <w:r w:rsidRPr="00645758">
        <w:rPr>
          <w:rFonts w:ascii="Bookman Old Style" w:hAnsi="Bookman Old Style"/>
          <w:i/>
          <w:iCs/>
          <w:sz w:val="24"/>
          <w:szCs w:val="24"/>
        </w:rPr>
        <w:t>PV</w:t>
      </w:r>
      <w:r w:rsidRPr="00645758">
        <w:rPr>
          <w:rFonts w:ascii="Bookman Old Style" w:hAnsi="Bookman Old Style"/>
          <w:i/>
          <w:iCs/>
          <w:sz w:val="24"/>
          <w:szCs w:val="24"/>
          <w:vertAlign w:val="subscript"/>
        </w:rPr>
        <w:t>j,k</w:t>
      </w:r>
      <w:proofErr w:type="spellEnd"/>
      <w:proofErr w:type="gramEnd"/>
      <w:r w:rsidRPr="00645758">
        <w:rPr>
          <w:rFonts w:ascii="Bookman Old Style" w:hAnsi="Bookman Old Style"/>
          <w:sz w:val="24"/>
          <w:szCs w:val="24"/>
          <w:vertAlign w:val="subscript"/>
        </w:rPr>
        <w:t xml:space="preserve"> </w:t>
      </w:r>
      <w:r w:rsidRPr="00645758">
        <w:rPr>
          <w:rFonts w:ascii="Bookman Old Style" w:hAnsi="Bookman Old Style"/>
          <w:sz w:val="24"/>
          <w:szCs w:val="24"/>
        </w:rPr>
        <w:t xml:space="preserve">para establecer el valor de la opción tarifaria transitoria a facturar está sujeto a que </w:t>
      </w:r>
      <w:r w:rsidR="00717151">
        <w:rPr>
          <w:rFonts w:ascii="Bookman Old Style" w:hAnsi="Bookman Old Style"/>
          <w:sz w:val="24"/>
          <w:szCs w:val="24"/>
        </w:rPr>
        <w:t>e</w:t>
      </w:r>
      <w:r w:rsidRPr="00645758">
        <w:rPr>
          <w:rFonts w:ascii="Bookman Old Style" w:hAnsi="Bookman Old Style"/>
          <w:sz w:val="24"/>
          <w:szCs w:val="24"/>
        </w:rPr>
        <w:t>l PV acumulado de los primeros doce (12) meses no podrá superar la variación anual del Índice de Precios al Consumidor, IPC al 31 de diciembre del año inmediatamente anterior al mes de cálculo. Asimismo, el PV acumulado anual en cada año de aplicación de la Opción, después de transcurridos los primeros doce (12) meses, no podrá ser superior a la variación anual del Índice de Precios al Consumidor, IPC, al 31 de diciembre del año inmediatamente anterior al mes de cálculo más el seis por ciento (6.0%). Estas limitaciones no fueron impuestas para las condiciones de aplicación a los demás usuarios regulados, quedando las empresas en libertad de determinar dichos incrementos.</w:t>
      </w:r>
    </w:p>
    <w:p w14:paraId="50582F98" w14:textId="77777777" w:rsidR="00645758" w:rsidRPr="00645758" w:rsidRDefault="00645758" w:rsidP="00645758">
      <w:pPr>
        <w:ind w:left="142"/>
        <w:jc w:val="both"/>
        <w:rPr>
          <w:rFonts w:ascii="Bookman Old Style" w:hAnsi="Bookman Old Style"/>
        </w:rPr>
      </w:pPr>
    </w:p>
    <w:p w14:paraId="53E6E6AE" w14:textId="4A0B1463" w:rsidR="00E26C20" w:rsidRPr="00532E11" w:rsidRDefault="00C30DC3" w:rsidP="00645758">
      <w:pPr>
        <w:ind w:left="0"/>
        <w:jc w:val="both"/>
        <w:rPr>
          <w:rFonts w:ascii="Bookman Old Style" w:hAnsi="Bookman Old Style"/>
        </w:rPr>
      </w:pPr>
      <w:r>
        <w:rPr>
          <w:rFonts w:ascii="Bookman Old Style" w:hAnsi="Bookman Old Style"/>
        </w:rPr>
        <w:t xml:space="preserve">La </w:t>
      </w:r>
      <w:r w:rsidR="00645758" w:rsidRPr="00645758">
        <w:rPr>
          <w:rFonts w:ascii="Bookman Old Style" w:hAnsi="Bookman Old Style"/>
        </w:rPr>
        <w:t xml:space="preserve">CREG ha </w:t>
      </w:r>
      <w:r w:rsidR="00205A01">
        <w:rPr>
          <w:rFonts w:ascii="Bookman Old Style" w:hAnsi="Bookman Old Style"/>
        </w:rPr>
        <w:t>hecho</w:t>
      </w:r>
      <w:r w:rsidR="00645758" w:rsidRPr="00645758">
        <w:rPr>
          <w:rFonts w:ascii="Bookman Old Style" w:hAnsi="Bookman Old Style"/>
        </w:rPr>
        <w:t xml:space="preserve"> seguimiento </w:t>
      </w:r>
      <w:r w:rsidR="008C498E">
        <w:rPr>
          <w:rFonts w:ascii="Bookman Old Style" w:hAnsi="Bookman Old Style"/>
        </w:rPr>
        <w:t>a</w:t>
      </w:r>
      <w:r w:rsidR="00645758" w:rsidRPr="00645758">
        <w:rPr>
          <w:rFonts w:ascii="Bookman Old Style" w:hAnsi="Bookman Old Style"/>
        </w:rPr>
        <w:t xml:space="preserve"> la aplicación </w:t>
      </w:r>
      <w:r w:rsidR="008C498E">
        <w:rPr>
          <w:rFonts w:ascii="Bookman Old Style" w:hAnsi="Bookman Old Style"/>
        </w:rPr>
        <w:t xml:space="preserve">de la Opción Tarifaria Transitoria </w:t>
      </w:r>
      <w:r w:rsidR="00645758" w:rsidRPr="00645758">
        <w:rPr>
          <w:rFonts w:ascii="Bookman Old Style" w:hAnsi="Bookman Old Style"/>
        </w:rPr>
        <w:t xml:space="preserve">por </w:t>
      </w:r>
      <w:r w:rsidR="00645758" w:rsidRPr="00532E11">
        <w:rPr>
          <w:rFonts w:ascii="Bookman Old Style" w:hAnsi="Bookman Old Style"/>
        </w:rPr>
        <w:t>parte de las empresas comercializadoras</w:t>
      </w:r>
      <w:r w:rsidR="008C498E" w:rsidRPr="00532E11">
        <w:rPr>
          <w:rFonts w:ascii="Bookman Old Style" w:hAnsi="Bookman Old Style"/>
        </w:rPr>
        <w:t>, con base en la información reportada por éstas</w:t>
      </w:r>
      <w:r w:rsidR="00504A57">
        <w:rPr>
          <w:rFonts w:ascii="Bookman Old Style" w:hAnsi="Bookman Old Style"/>
        </w:rPr>
        <w:t xml:space="preserve"> en respuesta a requerimientos realizados por</w:t>
      </w:r>
      <w:r w:rsidR="008C498E" w:rsidRPr="00532E11">
        <w:rPr>
          <w:rFonts w:ascii="Bookman Old Style" w:hAnsi="Bookman Old Style"/>
        </w:rPr>
        <w:t xml:space="preserve"> la Comisión</w:t>
      </w:r>
      <w:r w:rsidR="00E26C20" w:rsidRPr="00532E11">
        <w:rPr>
          <w:rFonts w:ascii="Bookman Old Style" w:hAnsi="Bookman Old Style"/>
        </w:rPr>
        <w:t xml:space="preserve">. Varios mercados terminaron de aplicar la opción tarifaria transitoria hacia el mes 28 e igual tendencia tenían la mayoría de los mercados de GN hacia finales de mayo de 2022 para terminar la recuperación de saldos antes de cumplirse el cuarto año de aplicación de la opción. </w:t>
      </w:r>
      <w:r w:rsidR="00504A57">
        <w:rPr>
          <w:rFonts w:ascii="Bookman Old Style" w:hAnsi="Bookman Old Style"/>
        </w:rPr>
        <w:t>Lo anterior a diferencia d</w:t>
      </w:r>
      <w:r w:rsidR="00E26C20" w:rsidRPr="00532E11">
        <w:rPr>
          <w:rFonts w:ascii="Bookman Old Style" w:hAnsi="Bookman Old Style"/>
        </w:rPr>
        <w:t xml:space="preserve">el caso </w:t>
      </w:r>
      <w:r w:rsidR="00504A57">
        <w:rPr>
          <w:rFonts w:ascii="Bookman Old Style" w:hAnsi="Bookman Old Style"/>
        </w:rPr>
        <w:t xml:space="preserve">que se presenta </w:t>
      </w:r>
      <w:r w:rsidR="00E26C20" w:rsidRPr="00532E11">
        <w:rPr>
          <w:rFonts w:ascii="Bookman Old Style" w:hAnsi="Bookman Old Style"/>
        </w:rPr>
        <w:t>e</w:t>
      </w:r>
      <w:r w:rsidR="00504A57">
        <w:rPr>
          <w:rFonts w:ascii="Bookman Old Style" w:hAnsi="Bookman Old Style"/>
        </w:rPr>
        <w:t>n</w:t>
      </w:r>
      <w:r w:rsidR="00E26C20" w:rsidRPr="00532E11">
        <w:rPr>
          <w:rFonts w:ascii="Bookman Old Style" w:hAnsi="Bookman Old Style"/>
        </w:rPr>
        <w:t xml:space="preserve"> varios mercados de GLP por redes que</w:t>
      </w:r>
      <w:r w:rsidR="00112D1A" w:rsidRPr="00532E11">
        <w:rPr>
          <w:rFonts w:ascii="Bookman Old Style" w:hAnsi="Bookman Old Style"/>
        </w:rPr>
        <w:t>,</w:t>
      </w:r>
      <w:r w:rsidR="00E26C20" w:rsidRPr="00532E11">
        <w:rPr>
          <w:rFonts w:ascii="Bookman Old Style" w:hAnsi="Bookman Old Style"/>
        </w:rPr>
        <w:t xml:space="preserve"> desde poco después de iniciada la aplicación de la opción en abril de 2020</w:t>
      </w:r>
      <w:r w:rsidR="00112D1A" w:rsidRPr="00532E11">
        <w:rPr>
          <w:rFonts w:ascii="Bookman Old Style" w:hAnsi="Bookman Old Style"/>
        </w:rPr>
        <w:t>,</w:t>
      </w:r>
      <w:r w:rsidR="00E26C20" w:rsidRPr="00532E11">
        <w:rPr>
          <w:rFonts w:ascii="Bookman Old Style" w:hAnsi="Bookman Old Style"/>
        </w:rPr>
        <w:t xml:space="preserve"> empezaron a ser afectados por importantes incrementos en la actividad de suministro del GLP. Hacia finales del mes de julio de 2022 de poco más de 6</w:t>
      </w:r>
      <w:r w:rsidR="00B330C6" w:rsidRPr="00532E11">
        <w:rPr>
          <w:rFonts w:ascii="Bookman Old Style" w:hAnsi="Bookman Old Style"/>
        </w:rPr>
        <w:t>.2</w:t>
      </w:r>
      <w:r w:rsidR="00E26C20" w:rsidRPr="00532E11">
        <w:rPr>
          <w:rFonts w:ascii="Bookman Old Style" w:hAnsi="Bookman Old Style"/>
        </w:rPr>
        <w:t xml:space="preserve"> millones de usuarios residenciales de los estratos 1 y 2 a nivel nacional del servicio público de gas combustible por r</w:t>
      </w:r>
      <w:r w:rsidR="00B330C6" w:rsidRPr="00532E11">
        <w:rPr>
          <w:rFonts w:ascii="Bookman Old Style" w:hAnsi="Bookman Old Style"/>
        </w:rPr>
        <w:t>e</w:t>
      </w:r>
      <w:r w:rsidR="00E26C20" w:rsidRPr="00532E11">
        <w:rPr>
          <w:rFonts w:ascii="Bookman Old Style" w:hAnsi="Bookman Old Style"/>
        </w:rPr>
        <w:t>des, se estima que aún quedan en aplicación de la opción tarifaria cerca de 3.2 millones de esos usuarios.</w:t>
      </w:r>
    </w:p>
    <w:p w14:paraId="38FBBB7C" w14:textId="77777777" w:rsidR="00E26C20" w:rsidRPr="00532E11" w:rsidRDefault="00E26C20" w:rsidP="00645758">
      <w:pPr>
        <w:ind w:left="0"/>
        <w:jc w:val="both"/>
        <w:rPr>
          <w:rFonts w:ascii="Bookman Old Style" w:hAnsi="Bookman Old Style"/>
        </w:rPr>
      </w:pPr>
    </w:p>
    <w:p w14:paraId="6226A7FE" w14:textId="2D02C6B2" w:rsidR="00645758" w:rsidRPr="00645758" w:rsidRDefault="00E26C20" w:rsidP="00645758">
      <w:pPr>
        <w:ind w:left="0"/>
        <w:jc w:val="both"/>
        <w:rPr>
          <w:rFonts w:ascii="Bookman Old Style" w:hAnsi="Bookman Old Style"/>
        </w:rPr>
      </w:pPr>
      <w:r w:rsidRPr="00532E11">
        <w:rPr>
          <w:rFonts w:ascii="Bookman Old Style" w:hAnsi="Bookman Old Style"/>
        </w:rPr>
        <w:lastRenderedPageBreak/>
        <w:t>Sin embargo, se ha</w:t>
      </w:r>
      <w:r w:rsidR="00205A01" w:rsidRPr="00532E11">
        <w:rPr>
          <w:rFonts w:ascii="Bookman Old Style" w:hAnsi="Bookman Old Style"/>
        </w:rPr>
        <w:t xml:space="preserve"> </w:t>
      </w:r>
      <w:r w:rsidR="00645758" w:rsidRPr="00532E11">
        <w:rPr>
          <w:rFonts w:ascii="Bookman Old Style" w:hAnsi="Bookman Old Style"/>
        </w:rPr>
        <w:t>evidenci</w:t>
      </w:r>
      <w:r w:rsidR="00205A01" w:rsidRPr="00532E11">
        <w:rPr>
          <w:rFonts w:ascii="Bookman Old Style" w:hAnsi="Bookman Old Style"/>
        </w:rPr>
        <w:t>a</w:t>
      </w:r>
      <w:r w:rsidRPr="00532E11">
        <w:rPr>
          <w:rFonts w:ascii="Bookman Old Style" w:hAnsi="Bookman Old Style"/>
        </w:rPr>
        <w:t>do</w:t>
      </w:r>
      <w:r w:rsidR="005C2372" w:rsidRPr="00532E11">
        <w:rPr>
          <w:rFonts w:ascii="Bookman Old Style" w:hAnsi="Bookman Old Style"/>
        </w:rPr>
        <w:t xml:space="preserve"> la ocurrencia de</w:t>
      </w:r>
      <w:r w:rsidR="00645758" w:rsidRPr="00532E11">
        <w:rPr>
          <w:rFonts w:ascii="Bookman Old Style" w:hAnsi="Bookman Old Style"/>
        </w:rPr>
        <w:t xml:space="preserve"> eventos exógenos imprevisibles a la gestión propia de los agentes</w:t>
      </w:r>
      <w:r w:rsidR="00645758" w:rsidRPr="00645758">
        <w:rPr>
          <w:rFonts w:ascii="Bookman Old Style" w:hAnsi="Bookman Old Style"/>
        </w:rPr>
        <w:t xml:space="preserve"> comercializadores y a las previsiones tenidas en cuenta por la CREG para establecer las condiciones </w:t>
      </w:r>
      <w:r w:rsidR="00205A01">
        <w:rPr>
          <w:rFonts w:ascii="Bookman Old Style" w:hAnsi="Bookman Old Style"/>
        </w:rPr>
        <w:t xml:space="preserve">iniciales </w:t>
      </w:r>
      <w:r w:rsidR="00645758" w:rsidRPr="00645758">
        <w:rPr>
          <w:rFonts w:ascii="Bookman Old Style" w:hAnsi="Bookman Old Style"/>
        </w:rPr>
        <w:t xml:space="preserve">de aplicación de la </w:t>
      </w:r>
      <w:r w:rsidR="003931AB">
        <w:rPr>
          <w:rFonts w:ascii="Bookman Old Style" w:hAnsi="Bookman Old Style"/>
        </w:rPr>
        <w:t>O</w:t>
      </w:r>
      <w:r w:rsidR="00645758" w:rsidRPr="00645758">
        <w:rPr>
          <w:rFonts w:ascii="Bookman Old Style" w:hAnsi="Bookman Old Style"/>
        </w:rPr>
        <w:t xml:space="preserve">pción </w:t>
      </w:r>
      <w:r w:rsidR="003931AB">
        <w:rPr>
          <w:rFonts w:ascii="Bookman Old Style" w:hAnsi="Bookman Old Style"/>
        </w:rPr>
        <w:t>T</w:t>
      </w:r>
      <w:r w:rsidR="00645758" w:rsidRPr="00645758">
        <w:rPr>
          <w:rFonts w:ascii="Bookman Old Style" w:hAnsi="Bookman Old Style"/>
        </w:rPr>
        <w:t>arifaria a los usuarios, que afectan los costos reales en que incurren dichos agentes en la cadena de actividades de la prestación del servicio, tales como:</w:t>
      </w:r>
    </w:p>
    <w:p w14:paraId="0007A9F2" w14:textId="77777777" w:rsidR="00645758" w:rsidRPr="00645758" w:rsidRDefault="00645758" w:rsidP="00645758">
      <w:pPr>
        <w:ind w:left="142"/>
        <w:jc w:val="both"/>
        <w:rPr>
          <w:rFonts w:ascii="Bookman Old Style" w:hAnsi="Bookman Old Style"/>
        </w:rPr>
      </w:pPr>
    </w:p>
    <w:p w14:paraId="410F6741" w14:textId="7C8EEB80" w:rsidR="00645758" w:rsidRPr="00645758" w:rsidRDefault="00645758" w:rsidP="00645758">
      <w:pPr>
        <w:pStyle w:val="Prrafodelista"/>
        <w:numPr>
          <w:ilvl w:val="0"/>
          <w:numId w:val="21"/>
        </w:numPr>
        <w:ind w:left="502"/>
        <w:jc w:val="both"/>
        <w:rPr>
          <w:rFonts w:ascii="Bookman Old Style" w:hAnsi="Bookman Old Style"/>
          <w:sz w:val="24"/>
          <w:szCs w:val="24"/>
        </w:rPr>
      </w:pPr>
      <w:r w:rsidRPr="00645758">
        <w:rPr>
          <w:rFonts w:ascii="Bookman Old Style" w:hAnsi="Bookman Old Style"/>
          <w:sz w:val="24"/>
          <w:szCs w:val="24"/>
        </w:rPr>
        <w:t>El incremento del costo de suministro del GLP. Lo anterior empezó a ocurrir cuatro meses después de iniciada la aplicación de la opción tarifaria.</w:t>
      </w:r>
    </w:p>
    <w:p w14:paraId="06F90741" w14:textId="77777777" w:rsidR="00645758" w:rsidRPr="00645758" w:rsidRDefault="00645758" w:rsidP="00645758">
      <w:pPr>
        <w:pStyle w:val="Prrafodelista"/>
        <w:ind w:left="502"/>
        <w:jc w:val="both"/>
        <w:rPr>
          <w:rFonts w:ascii="Bookman Old Style" w:hAnsi="Bookman Old Style"/>
          <w:sz w:val="24"/>
          <w:szCs w:val="24"/>
        </w:rPr>
      </w:pPr>
    </w:p>
    <w:p w14:paraId="1A97F32D" w14:textId="77777777" w:rsidR="00645758" w:rsidRPr="00645758" w:rsidRDefault="00645758" w:rsidP="00645758">
      <w:pPr>
        <w:pStyle w:val="Prrafodelista"/>
        <w:numPr>
          <w:ilvl w:val="0"/>
          <w:numId w:val="21"/>
        </w:numPr>
        <w:ind w:left="502"/>
        <w:jc w:val="both"/>
        <w:rPr>
          <w:rFonts w:ascii="Bookman Old Style" w:hAnsi="Bookman Old Style"/>
          <w:sz w:val="24"/>
          <w:szCs w:val="24"/>
        </w:rPr>
      </w:pPr>
      <w:r w:rsidRPr="00645758">
        <w:rPr>
          <w:rFonts w:ascii="Bookman Old Style" w:hAnsi="Bookman Old Style"/>
          <w:sz w:val="24"/>
          <w:szCs w:val="24"/>
        </w:rPr>
        <w:t xml:space="preserve">El incremento de los índices de precios IPP e IPC que sirven de referencia para actualizar mensualmente los costos de las actividades de transporte, distribución y comercialización. </w:t>
      </w:r>
    </w:p>
    <w:p w14:paraId="5258BF6B" w14:textId="77777777" w:rsidR="00645758" w:rsidRPr="00645758" w:rsidRDefault="00645758" w:rsidP="00645758">
      <w:pPr>
        <w:pStyle w:val="Prrafodelista"/>
        <w:ind w:left="502"/>
        <w:jc w:val="both"/>
        <w:rPr>
          <w:rFonts w:ascii="Bookman Old Style" w:hAnsi="Bookman Old Style"/>
          <w:sz w:val="24"/>
          <w:szCs w:val="24"/>
        </w:rPr>
      </w:pPr>
    </w:p>
    <w:p w14:paraId="31B43CF2" w14:textId="027DDCCE" w:rsidR="00645758" w:rsidRPr="00645758" w:rsidRDefault="00645758" w:rsidP="00645758">
      <w:pPr>
        <w:pStyle w:val="Prrafodelista"/>
        <w:numPr>
          <w:ilvl w:val="0"/>
          <w:numId w:val="21"/>
        </w:numPr>
        <w:ind w:left="502"/>
        <w:jc w:val="both"/>
        <w:rPr>
          <w:rFonts w:ascii="Bookman Old Style" w:hAnsi="Bookman Old Style"/>
          <w:sz w:val="24"/>
          <w:szCs w:val="24"/>
        </w:rPr>
      </w:pPr>
      <w:r w:rsidRPr="00645758">
        <w:rPr>
          <w:rFonts w:ascii="Bookman Old Style" w:hAnsi="Bookman Old Style"/>
          <w:sz w:val="24"/>
          <w:szCs w:val="24"/>
        </w:rPr>
        <w:t xml:space="preserve">El incremento de la TRM en meses recientes, muy por encima de los valores </w:t>
      </w:r>
      <w:r w:rsidR="00205A01">
        <w:rPr>
          <w:rFonts w:ascii="Bookman Old Style" w:hAnsi="Bookman Old Style"/>
          <w:sz w:val="24"/>
          <w:szCs w:val="24"/>
        </w:rPr>
        <w:t xml:space="preserve">de incremento </w:t>
      </w:r>
      <w:r w:rsidRPr="00645758">
        <w:rPr>
          <w:rFonts w:ascii="Bookman Old Style" w:hAnsi="Bookman Old Style"/>
          <w:sz w:val="24"/>
          <w:szCs w:val="24"/>
        </w:rPr>
        <w:t xml:space="preserve">estimados inicialmente en el año 2020. </w:t>
      </w:r>
    </w:p>
    <w:p w14:paraId="45133E69" w14:textId="77777777" w:rsidR="00862DA1" w:rsidRDefault="00862DA1" w:rsidP="004A1B99">
      <w:pPr>
        <w:pStyle w:val="Prrafodelista"/>
        <w:ind w:left="0"/>
        <w:jc w:val="both"/>
        <w:rPr>
          <w:rFonts w:ascii="Bookman Old Style" w:hAnsi="Bookman Old Style"/>
          <w:sz w:val="24"/>
          <w:szCs w:val="24"/>
        </w:rPr>
      </w:pPr>
    </w:p>
    <w:p w14:paraId="74257740" w14:textId="70D88BC5" w:rsidR="004A1B99" w:rsidRDefault="004A1B99" w:rsidP="004A1B99">
      <w:pPr>
        <w:pStyle w:val="Prrafodelista"/>
        <w:ind w:left="0"/>
        <w:jc w:val="both"/>
        <w:rPr>
          <w:rFonts w:ascii="Bookman Old Style" w:hAnsi="Bookman Old Style"/>
          <w:sz w:val="24"/>
          <w:szCs w:val="24"/>
        </w:rPr>
      </w:pPr>
      <w:r>
        <w:rPr>
          <w:rFonts w:ascii="Bookman Old Style" w:hAnsi="Bookman Old Style"/>
          <w:sz w:val="24"/>
          <w:szCs w:val="24"/>
        </w:rPr>
        <w:t xml:space="preserve">De otra parte, varias empresas han manifestado a la Comisión su preocupación por la posibilidad de no </w:t>
      </w:r>
      <w:r w:rsidR="00205A01">
        <w:rPr>
          <w:rFonts w:ascii="Bookman Old Style" w:hAnsi="Bookman Old Style"/>
          <w:sz w:val="24"/>
          <w:szCs w:val="24"/>
        </w:rPr>
        <w:t xml:space="preserve">lograr la </w:t>
      </w:r>
      <w:r>
        <w:rPr>
          <w:rFonts w:ascii="Bookman Old Style" w:hAnsi="Bookman Old Style"/>
          <w:sz w:val="24"/>
          <w:szCs w:val="24"/>
        </w:rPr>
        <w:t xml:space="preserve">recuperación de los saldos acumulados por la aplicación de la Opción Tarifaria Transitoria ante el comportamiento del mercado, con lo cual señalan que se pone en riesgo la estabilidad económica de las empresas y la recuperación de los costos y gastos propios de la operación de </w:t>
      </w:r>
      <w:proofErr w:type="gramStart"/>
      <w:r>
        <w:rPr>
          <w:rFonts w:ascii="Bookman Old Style" w:hAnsi="Bookman Old Style"/>
          <w:sz w:val="24"/>
          <w:szCs w:val="24"/>
        </w:rPr>
        <w:t>la misma</w:t>
      </w:r>
      <w:proofErr w:type="gramEnd"/>
      <w:r>
        <w:rPr>
          <w:rFonts w:ascii="Bookman Old Style" w:hAnsi="Bookman Old Style"/>
          <w:sz w:val="24"/>
          <w:szCs w:val="24"/>
        </w:rPr>
        <w:t>.</w:t>
      </w:r>
    </w:p>
    <w:p w14:paraId="06AB5087" w14:textId="77777777" w:rsidR="004A1B99" w:rsidRPr="00645758" w:rsidRDefault="004A1B99" w:rsidP="004A1B99">
      <w:pPr>
        <w:pStyle w:val="Textoindependiente"/>
        <w:ind w:left="0" w:right="471"/>
        <w:jc w:val="left"/>
        <w:rPr>
          <w:rFonts w:ascii="Bookman Old Style" w:hAnsi="Bookman Old Style"/>
        </w:rPr>
      </w:pPr>
    </w:p>
    <w:p w14:paraId="1E724191" w14:textId="7D2F5462" w:rsidR="00645758" w:rsidRPr="00645758" w:rsidRDefault="005F5BAB" w:rsidP="00645758">
      <w:pPr>
        <w:ind w:left="0"/>
        <w:jc w:val="both"/>
        <w:rPr>
          <w:rFonts w:ascii="Bookman Old Style" w:hAnsi="Bookman Old Style"/>
        </w:rPr>
      </w:pPr>
      <w:r>
        <w:rPr>
          <w:rFonts w:ascii="Bookman Old Style" w:hAnsi="Bookman Old Style"/>
        </w:rPr>
        <w:t xml:space="preserve">Los análisis efectuados por la Comisión hasta la fecha permiten concluir </w:t>
      </w:r>
      <w:r w:rsidR="00127966">
        <w:rPr>
          <w:rFonts w:ascii="Bookman Old Style" w:hAnsi="Bookman Old Style"/>
        </w:rPr>
        <w:t xml:space="preserve">que </w:t>
      </w:r>
      <w:r w:rsidR="004A1B99">
        <w:rPr>
          <w:rFonts w:ascii="Bookman Old Style" w:hAnsi="Bookman Old Style"/>
        </w:rPr>
        <w:t>efectivamente</w:t>
      </w:r>
      <w:r w:rsidR="00645758" w:rsidRPr="00645758">
        <w:rPr>
          <w:rFonts w:ascii="Bookman Old Style" w:hAnsi="Bookman Old Style"/>
        </w:rPr>
        <w:t xml:space="preserve">, en las condiciones de aplicación de la </w:t>
      </w:r>
      <w:r w:rsidR="003931AB">
        <w:rPr>
          <w:rFonts w:ascii="Bookman Old Style" w:hAnsi="Bookman Old Style"/>
        </w:rPr>
        <w:t>O</w:t>
      </w:r>
      <w:r w:rsidR="00645758" w:rsidRPr="00645758">
        <w:rPr>
          <w:rFonts w:ascii="Bookman Old Style" w:hAnsi="Bookman Old Style"/>
        </w:rPr>
        <w:t xml:space="preserve">pción </w:t>
      </w:r>
      <w:r w:rsidR="003931AB">
        <w:rPr>
          <w:rFonts w:ascii="Bookman Old Style" w:hAnsi="Bookman Old Style"/>
        </w:rPr>
        <w:t>T</w:t>
      </w:r>
      <w:r w:rsidR="00645758" w:rsidRPr="00645758">
        <w:rPr>
          <w:rFonts w:ascii="Bookman Old Style" w:hAnsi="Bookman Old Style"/>
        </w:rPr>
        <w:t xml:space="preserve">arifaria </w:t>
      </w:r>
      <w:r w:rsidR="003931AB">
        <w:rPr>
          <w:rFonts w:ascii="Bookman Old Style" w:hAnsi="Bookman Old Style"/>
        </w:rPr>
        <w:t xml:space="preserve">Transitoria </w:t>
      </w:r>
      <w:r w:rsidR="00645758" w:rsidRPr="00645758">
        <w:rPr>
          <w:rFonts w:ascii="Bookman Old Style" w:hAnsi="Bookman Old Style"/>
        </w:rPr>
        <w:t xml:space="preserve">establecidas para los usuarios regulados residenciales </w:t>
      </w:r>
      <w:r w:rsidR="003931AB">
        <w:rPr>
          <w:rFonts w:ascii="Bookman Old Style" w:hAnsi="Bookman Old Style"/>
        </w:rPr>
        <w:t xml:space="preserve">perteneciente a </w:t>
      </w:r>
      <w:r w:rsidR="00645758" w:rsidRPr="00645758">
        <w:rPr>
          <w:rFonts w:ascii="Bookman Old Style" w:hAnsi="Bookman Old Style"/>
        </w:rPr>
        <w:t xml:space="preserve">los </w:t>
      </w:r>
      <w:r w:rsidR="003931AB">
        <w:rPr>
          <w:rFonts w:ascii="Bookman Old Style" w:hAnsi="Bookman Old Style"/>
        </w:rPr>
        <w:t>E</w:t>
      </w:r>
      <w:r w:rsidR="00645758" w:rsidRPr="00645758">
        <w:rPr>
          <w:rFonts w:ascii="Bookman Old Style" w:hAnsi="Bookman Old Style"/>
        </w:rPr>
        <w:t xml:space="preserve">stratos 1 y 2, particularmente el incremento anual máximo de la </w:t>
      </w:r>
      <w:r w:rsidR="003931AB">
        <w:rPr>
          <w:rFonts w:ascii="Bookman Old Style" w:hAnsi="Bookman Old Style"/>
        </w:rPr>
        <w:t>O</w:t>
      </w:r>
      <w:r w:rsidR="00645758" w:rsidRPr="00645758">
        <w:rPr>
          <w:rFonts w:ascii="Bookman Old Style" w:hAnsi="Bookman Old Style"/>
        </w:rPr>
        <w:t>pción y el plazo máximo de aplicación de la misma, algunas empresas no recuper</w:t>
      </w:r>
      <w:r w:rsidR="004A1B99">
        <w:rPr>
          <w:rFonts w:ascii="Bookman Old Style" w:hAnsi="Bookman Old Style"/>
        </w:rPr>
        <w:t>arían</w:t>
      </w:r>
      <w:r w:rsidR="00645758" w:rsidRPr="00645758">
        <w:rPr>
          <w:rFonts w:ascii="Bookman Old Style" w:hAnsi="Bookman Old Style"/>
        </w:rPr>
        <w:t xml:space="preserve"> parte de los costos incurridos por las empresas comercializadoras en algunos mercados, tanto de </w:t>
      </w:r>
      <w:r w:rsidR="00127966">
        <w:rPr>
          <w:rFonts w:ascii="Bookman Old Style" w:hAnsi="Bookman Old Style"/>
        </w:rPr>
        <w:t xml:space="preserve">Gas Licuado de Petróleo, </w:t>
      </w:r>
      <w:r w:rsidR="00645758" w:rsidRPr="00645758">
        <w:rPr>
          <w:rFonts w:ascii="Bookman Old Style" w:hAnsi="Bookman Old Style"/>
        </w:rPr>
        <w:t xml:space="preserve">GLP como de </w:t>
      </w:r>
      <w:r w:rsidR="00127966">
        <w:rPr>
          <w:rFonts w:ascii="Bookman Old Style" w:hAnsi="Bookman Old Style"/>
        </w:rPr>
        <w:t xml:space="preserve">Gas Natural, </w:t>
      </w:r>
      <w:r w:rsidR="00645758" w:rsidRPr="00645758">
        <w:rPr>
          <w:rFonts w:ascii="Bookman Old Style" w:hAnsi="Bookman Old Style"/>
        </w:rPr>
        <w:t>GN por redes.</w:t>
      </w:r>
    </w:p>
    <w:p w14:paraId="204A206F" w14:textId="01A0B798" w:rsidR="00645758" w:rsidRDefault="00645758" w:rsidP="00645758">
      <w:pPr>
        <w:ind w:left="0"/>
        <w:jc w:val="both"/>
        <w:rPr>
          <w:rFonts w:ascii="Bookman Old Style" w:hAnsi="Bookman Old Style"/>
        </w:rPr>
      </w:pPr>
    </w:p>
    <w:p w14:paraId="7E23E4F2" w14:textId="1124FBF0" w:rsidR="00645758" w:rsidRPr="00645758" w:rsidRDefault="004A1B99" w:rsidP="00645758">
      <w:pPr>
        <w:ind w:left="0"/>
        <w:jc w:val="both"/>
        <w:rPr>
          <w:rFonts w:ascii="Bookman Old Style" w:hAnsi="Bookman Old Style"/>
        </w:rPr>
      </w:pPr>
      <w:r>
        <w:rPr>
          <w:rFonts w:ascii="Bookman Old Style" w:hAnsi="Bookman Old Style"/>
        </w:rPr>
        <w:t>En consecuencia</w:t>
      </w:r>
      <w:r w:rsidR="00645758" w:rsidRPr="00645758">
        <w:rPr>
          <w:rFonts w:ascii="Bookman Old Style" w:hAnsi="Bookman Old Style"/>
        </w:rPr>
        <w:t xml:space="preserve">, se hace necesario </w:t>
      </w:r>
      <w:r>
        <w:rPr>
          <w:rFonts w:ascii="Bookman Old Style" w:hAnsi="Bookman Old Style"/>
        </w:rPr>
        <w:t xml:space="preserve">efectuar </w:t>
      </w:r>
      <w:r w:rsidR="00645758" w:rsidRPr="00645758">
        <w:rPr>
          <w:rFonts w:ascii="Bookman Old Style" w:hAnsi="Bookman Old Style"/>
        </w:rPr>
        <w:t xml:space="preserve">ajustes a los parámetros a aplicar en la </w:t>
      </w:r>
      <w:r w:rsidR="001A0F66">
        <w:rPr>
          <w:rFonts w:ascii="Bookman Old Style" w:hAnsi="Bookman Old Style"/>
        </w:rPr>
        <w:t>O</w:t>
      </w:r>
      <w:r w:rsidR="00645758" w:rsidRPr="00645758">
        <w:rPr>
          <w:rFonts w:ascii="Bookman Old Style" w:hAnsi="Bookman Old Style"/>
        </w:rPr>
        <w:t xml:space="preserve">pción </w:t>
      </w:r>
      <w:r w:rsidR="001A0F66">
        <w:rPr>
          <w:rFonts w:ascii="Bookman Old Style" w:hAnsi="Bookman Old Style"/>
        </w:rPr>
        <w:t>T</w:t>
      </w:r>
      <w:r w:rsidR="00645758" w:rsidRPr="00645758">
        <w:rPr>
          <w:rFonts w:ascii="Bookman Old Style" w:hAnsi="Bookman Old Style"/>
        </w:rPr>
        <w:t>arifaria</w:t>
      </w:r>
      <w:r w:rsidR="001A0F66">
        <w:rPr>
          <w:rFonts w:ascii="Bookman Old Style" w:hAnsi="Bookman Old Style"/>
        </w:rPr>
        <w:t xml:space="preserve"> Transitoria</w:t>
      </w:r>
      <w:r w:rsidR="00645758" w:rsidRPr="00645758">
        <w:rPr>
          <w:rFonts w:ascii="Bookman Old Style" w:hAnsi="Bookman Old Style"/>
        </w:rPr>
        <w:t>, que se adecúen a la situación actual y futura esperada de las empresas y de los mismos usuarios</w:t>
      </w:r>
      <w:r w:rsidR="001A0F66">
        <w:rPr>
          <w:rFonts w:ascii="Bookman Old Style" w:hAnsi="Bookman Old Style"/>
        </w:rPr>
        <w:t>;</w:t>
      </w:r>
      <w:r w:rsidR="00645758" w:rsidRPr="00645758">
        <w:rPr>
          <w:rFonts w:ascii="Bookman Old Style" w:hAnsi="Bookman Old Style"/>
        </w:rPr>
        <w:t xml:space="preserve"> permitan mantener los beneficios ya obtenidos con la aplicación de la opción</w:t>
      </w:r>
      <w:r w:rsidR="001A0F66">
        <w:rPr>
          <w:rFonts w:ascii="Bookman Old Style" w:hAnsi="Bookman Old Style"/>
        </w:rPr>
        <w:t>:</w:t>
      </w:r>
      <w:r w:rsidR="00645758" w:rsidRPr="00645758">
        <w:rPr>
          <w:rFonts w:ascii="Bookman Old Style" w:hAnsi="Bookman Old Style"/>
        </w:rPr>
        <w:t xml:space="preserve"> permitan </w:t>
      </w:r>
      <w:r w:rsidR="001A0F66">
        <w:rPr>
          <w:rFonts w:ascii="Bookman Old Style" w:hAnsi="Bookman Old Style"/>
        </w:rPr>
        <w:t xml:space="preserve">consultar </w:t>
      </w:r>
      <w:r w:rsidR="00645758" w:rsidRPr="00645758">
        <w:rPr>
          <w:rFonts w:ascii="Bookman Old Style" w:hAnsi="Bookman Old Style"/>
        </w:rPr>
        <w:t>la capacidad de pago del servicio por parte de los usuarios</w:t>
      </w:r>
      <w:r w:rsidR="001A0F66">
        <w:rPr>
          <w:rFonts w:ascii="Bookman Old Style" w:hAnsi="Bookman Old Style"/>
        </w:rPr>
        <w:t>;</w:t>
      </w:r>
      <w:r w:rsidR="00645758" w:rsidRPr="00645758">
        <w:rPr>
          <w:rFonts w:ascii="Bookman Old Style" w:hAnsi="Bookman Old Style"/>
        </w:rPr>
        <w:t xml:space="preserve"> y</w:t>
      </w:r>
      <w:r w:rsidR="001A0F66">
        <w:rPr>
          <w:rFonts w:ascii="Bookman Old Style" w:hAnsi="Bookman Old Style"/>
        </w:rPr>
        <w:t>,</w:t>
      </w:r>
      <w:r w:rsidR="00645758" w:rsidRPr="00645758">
        <w:rPr>
          <w:rFonts w:ascii="Bookman Old Style" w:hAnsi="Bookman Old Style"/>
        </w:rPr>
        <w:t xml:space="preserve"> permitan </w:t>
      </w:r>
      <w:r w:rsidR="001A0F66">
        <w:rPr>
          <w:rFonts w:ascii="Bookman Old Style" w:hAnsi="Bookman Old Style"/>
        </w:rPr>
        <w:t xml:space="preserve">garantizar </w:t>
      </w:r>
      <w:r w:rsidR="00645758" w:rsidRPr="00645758">
        <w:rPr>
          <w:rFonts w:ascii="Bookman Old Style" w:hAnsi="Bookman Old Style"/>
        </w:rPr>
        <w:t>la continuidad en la prestación del servicio y la suficiencia financiera de las empresas comercializadoras.</w:t>
      </w:r>
    </w:p>
    <w:p w14:paraId="42130755" w14:textId="77777777" w:rsidR="00645758" w:rsidRPr="00645758" w:rsidRDefault="00645758" w:rsidP="00645758">
      <w:pPr>
        <w:ind w:left="0"/>
        <w:jc w:val="both"/>
        <w:rPr>
          <w:rFonts w:ascii="Bookman Old Style" w:hAnsi="Bookman Old Style"/>
        </w:rPr>
      </w:pPr>
    </w:p>
    <w:p w14:paraId="6F0D259D" w14:textId="74ABC601" w:rsidR="00645758" w:rsidRPr="00645758" w:rsidRDefault="00645758" w:rsidP="00645758">
      <w:pPr>
        <w:ind w:left="0"/>
        <w:jc w:val="both"/>
        <w:rPr>
          <w:rFonts w:ascii="Bookman Old Style" w:hAnsi="Bookman Old Style"/>
        </w:rPr>
      </w:pPr>
      <w:bookmarkStart w:id="0" w:name="_Hlk123045956"/>
      <w:r w:rsidRPr="00645758">
        <w:rPr>
          <w:rFonts w:ascii="Bookman Old Style" w:hAnsi="Bookman Old Style"/>
        </w:rPr>
        <w:t>Se busca</w:t>
      </w:r>
      <w:r w:rsidR="00F66B68">
        <w:rPr>
          <w:rFonts w:ascii="Bookman Old Style" w:hAnsi="Bookman Old Style"/>
        </w:rPr>
        <w:t>,</w:t>
      </w:r>
      <w:r w:rsidRPr="00645758">
        <w:rPr>
          <w:rFonts w:ascii="Bookman Old Style" w:hAnsi="Bookman Old Style"/>
        </w:rPr>
        <w:t xml:space="preserve"> adicionalmente</w:t>
      </w:r>
      <w:r w:rsidR="00F66B68">
        <w:rPr>
          <w:rFonts w:ascii="Bookman Old Style" w:hAnsi="Bookman Old Style"/>
        </w:rPr>
        <w:t>,</w:t>
      </w:r>
      <w:r w:rsidRPr="00645758">
        <w:rPr>
          <w:rFonts w:ascii="Bookman Old Style" w:hAnsi="Bookman Old Style"/>
        </w:rPr>
        <w:t xml:space="preserve"> dar flexibilidad a las empresas comercializadoras para que </w:t>
      </w:r>
      <w:r w:rsidR="00A20A80">
        <w:rPr>
          <w:rFonts w:ascii="Bookman Old Style" w:hAnsi="Bookman Old Style"/>
        </w:rPr>
        <w:t>con</w:t>
      </w:r>
      <w:r w:rsidR="00A20A80" w:rsidRPr="00645758">
        <w:rPr>
          <w:rFonts w:ascii="Bookman Old Style" w:hAnsi="Bookman Old Style"/>
        </w:rPr>
        <w:t xml:space="preserve"> </w:t>
      </w:r>
      <w:r w:rsidRPr="00645758">
        <w:rPr>
          <w:rFonts w:ascii="Bookman Old Style" w:hAnsi="Bookman Old Style"/>
        </w:rPr>
        <w:t xml:space="preserve">el conocimiento de las particularidades específicas </w:t>
      </w:r>
      <w:r w:rsidR="00A20A80">
        <w:rPr>
          <w:rFonts w:ascii="Bookman Old Style" w:hAnsi="Bookman Old Style"/>
        </w:rPr>
        <w:t xml:space="preserve">de los usuarios de los estratos 1 y 2 </w:t>
      </w:r>
      <w:r w:rsidRPr="00645758">
        <w:rPr>
          <w:rFonts w:ascii="Bookman Old Style" w:hAnsi="Bookman Old Style"/>
        </w:rPr>
        <w:t xml:space="preserve">de cada </w:t>
      </w:r>
      <w:r w:rsidR="00F66B68">
        <w:rPr>
          <w:rFonts w:ascii="Bookman Old Style" w:hAnsi="Bookman Old Style"/>
        </w:rPr>
        <w:t xml:space="preserve">uno de los </w:t>
      </w:r>
      <w:r w:rsidRPr="00645758">
        <w:rPr>
          <w:rFonts w:ascii="Bookman Old Style" w:hAnsi="Bookman Old Style"/>
        </w:rPr>
        <w:t>mercado</w:t>
      </w:r>
      <w:r w:rsidR="00F66B68">
        <w:rPr>
          <w:rFonts w:ascii="Bookman Old Style" w:hAnsi="Bookman Old Style"/>
        </w:rPr>
        <w:t>s</w:t>
      </w:r>
      <w:r w:rsidRPr="00645758">
        <w:rPr>
          <w:rFonts w:ascii="Bookman Old Style" w:hAnsi="Bookman Old Style"/>
        </w:rPr>
        <w:t xml:space="preserve"> de gas combustible por redes que atienden </w:t>
      </w:r>
      <w:r w:rsidR="00A20A80">
        <w:rPr>
          <w:rFonts w:ascii="Bookman Old Style" w:hAnsi="Bookman Old Style"/>
        </w:rPr>
        <w:t xml:space="preserve">apliquen </w:t>
      </w:r>
      <w:r w:rsidRPr="00645758">
        <w:rPr>
          <w:rFonts w:ascii="Bookman Old Style" w:hAnsi="Bookman Old Style"/>
        </w:rPr>
        <w:t xml:space="preserve">adecuadamente los ajustes regulatorios que se proponen de acuerdo con dichas particularidades. </w:t>
      </w:r>
    </w:p>
    <w:bookmarkEnd w:id="0"/>
    <w:p w14:paraId="6B621384" w14:textId="02C9111B" w:rsidR="00AB1C7F" w:rsidRDefault="00AB1C7F" w:rsidP="00AB1C7F">
      <w:pPr>
        <w:spacing w:before="240" w:after="240"/>
        <w:ind w:left="0"/>
        <w:jc w:val="both"/>
        <w:rPr>
          <w:rFonts w:ascii="Bookman Old Style" w:hAnsi="Bookman Old Style"/>
        </w:rPr>
      </w:pPr>
      <w:r w:rsidRPr="00A92970">
        <w:rPr>
          <w:rFonts w:ascii="Bookman Old Style" w:hAnsi="Bookman Old Style"/>
        </w:rPr>
        <w:t>La Comisión de Regulación de Energía y Gas, en su sesión No.</w:t>
      </w:r>
      <w:r w:rsidR="00BF068E" w:rsidRPr="00A92970">
        <w:rPr>
          <w:rFonts w:ascii="Bookman Old Style" w:hAnsi="Bookman Old Style"/>
        </w:rPr>
        <w:t xml:space="preserve"> </w:t>
      </w:r>
      <w:r w:rsidR="00A92970" w:rsidRPr="00A92970">
        <w:rPr>
          <w:rFonts w:ascii="Bookman Old Style" w:hAnsi="Bookman Old Style"/>
        </w:rPr>
        <w:t>1227</w:t>
      </w:r>
      <w:r w:rsidR="00BF068E" w:rsidRPr="00A92970">
        <w:rPr>
          <w:rFonts w:ascii="Bookman Old Style" w:hAnsi="Bookman Old Style"/>
        </w:rPr>
        <w:t xml:space="preserve"> </w:t>
      </w:r>
      <w:r w:rsidRPr="00A92970">
        <w:rPr>
          <w:rFonts w:ascii="Bookman Old Style" w:hAnsi="Bookman Old Style"/>
        </w:rPr>
        <w:t xml:space="preserve">del </w:t>
      </w:r>
      <w:r w:rsidR="00A92970" w:rsidRPr="00A92970">
        <w:rPr>
          <w:rFonts w:ascii="Bookman Old Style" w:hAnsi="Bookman Old Style"/>
        </w:rPr>
        <w:t>26</w:t>
      </w:r>
      <w:r w:rsidR="008C19A2" w:rsidRPr="00A92970">
        <w:rPr>
          <w:rFonts w:ascii="Bookman Old Style" w:hAnsi="Bookman Old Style"/>
        </w:rPr>
        <w:t xml:space="preserve"> de </w:t>
      </w:r>
      <w:r w:rsidR="00A92970" w:rsidRPr="00A92970">
        <w:rPr>
          <w:rFonts w:ascii="Bookman Old Style" w:hAnsi="Bookman Old Style"/>
        </w:rPr>
        <w:t>diciembre</w:t>
      </w:r>
      <w:r w:rsidR="009B6081" w:rsidRPr="00A92970">
        <w:rPr>
          <w:rFonts w:ascii="Bookman Old Style" w:hAnsi="Bookman Old Style"/>
        </w:rPr>
        <w:t xml:space="preserve"> </w:t>
      </w:r>
      <w:r w:rsidR="00E76D66" w:rsidRPr="00A92970">
        <w:rPr>
          <w:rFonts w:ascii="Bookman Old Style" w:hAnsi="Bookman Old Style"/>
        </w:rPr>
        <w:t>de</w:t>
      </w:r>
      <w:r w:rsidR="008C19A2" w:rsidRPr="00A92970">
        <w:rPr>
          <w:rFonts w:ascii="Bookman Old Style" w:hAnsi="Bookman Old Style"/>
        </w:rPr>
        <w:t xml:space="preserve"> </w:t>
      </w:r>
      <w:r w:rsidR="00A92970" w:rsidRPr="00A92970">
        <w:rPr>
          <w:rFonts w:ascii="Bookman Old Style" w:hAnsi="Bookman Old Style"/>
        </w:rPr>
        <w:t>2022</w:t>
      </w:r>
      <w:r w:rsidRPr="00A92970">
        <w:rPr>
          <w:rFonts w:ascii="Bookman Old Style" w:hAnsi="Bookman Old Style"/>
        </w:rPr>
        <w:t>, acordó expedir la presente Resolución.</w:t>
      </w:r>
    </w:p>
    <w:p w14:paraId="0F542FBA" w14:textId="77777777" w:rsidR="00A92970" w:rsidRDefault="00A92970" w:rsidP="00825F63">
      <w:pPr>
        <w:ind w:left="0"/>
        <w:jc w:val="both"/>
        <w:rPr>
          <w:rFonts w:ascii="Bookman Old Style" w:hAnsi="Bookman Old Style"/>
        </w:rPr>
      </w:pPr>
    </w:p>
    <w:p w14:paraId="42274C7A" w14:textId="77777777" w:rsidR="00A92970" w:rsidRDefault="00A92970" w:rsidP="00825F63">
      <w:pPr>
        <w:ind w:left="0"/>
        <w:jc w:val="both"/>
        <w:rPr>
          <w:rFonts w:ascii="Bookman Old Style" w:hAnsi="Bookman Old Style"/>
        </w:rPr>
      </w:pPr>
    </w:p>
    <w:p w14:paraId="517FA722" w14:textId="2BB7B855" w:rsidR="002A6A86" w:rsidRDefault="002A6A86" w:rsidP="00825F63">
      <w:pPr>
        <w:ind w:left="0"/>
        <w:jc w:val="both"/>
        <w:rPr>
          <w:rFonts w:ascii="Bookman Old Style" w:hAnsi="Bookman Old Style"/>
        </w:rPr>
      </w:pPr>
      <w:r w:rsidRPr="005263BE">
        <w:rPr>
          <w:rFonts w:ascii="Bookman Old Style" w:hAnsi="Bookman Old Style"/>
        </w:rPr>
        <w:lastRenderedPageBreak/>
        <w:t xml:space="preserve">En consecuencia, </w:t>
      </w:r>
    </w:p>
    <w:p w14:paraId="73D9295D" w14:textId="77777777" w:rsidR="00825F63" w:rsidRPr="005263BE" w:rsidRDefault="00825F63" w:rsidP="00825F63">
      <w:pPr>
        <w:ind w:left="0"/>
        <w:jc w:val="both"/>
        <w:rPr>
          <w:rFonts w:ascii="Bookman Old Style" w:hAnsi="Bookman Old Style"/>
        </w:rPr>
      </w:pPr>
    </w:p>
    <w:p w14:paraId="72D8B504" w14:textId="77777777" w:rsidR="002A6A86" w:rsidRPr="005263BE" w:rsidRDefault="002A6A86" w:rsidP="002A6A86">
      <w:pPr>
        <w:suppressAutoHyphens/>
        <w:ind w:left="0"/>
        <w:jc w:val="center"/>
        <w:rPr>
          <w:rFonts w:ascii="Bookman Old Style" w:hAnsi="Bookman Old Style"/>
          <w:b/>
          <w:spacing w:val="-3"/>
        </w:rPr>
      </w:pPr>
      <w:r w:rsidRPr="005263BE">
        <w:rPr>
          <w:rFonts w:ascii="Bookman Old Style" w:hAnsi="Bookman Old Style"/>
          <w:b/>
          <w:spacing w:val="-3"/>
        </w:rPr>
        <w:t>R E S U E L V E:</w:t>
      </w:r>
    </w:p>
    <w:p w14:paraId="7EA54572" w14:textId="77777777" w:rsidR="002A6A86" w:rsidRPr="006F2F9B" w:rsidRDefault="002A6A86" w:rsidP="002A6A86">
      <w:pPr>
        <w:widowControl w:val="0"/>
        <w:adjustRightInd w:val="0"/>
        <w:ind w:left="0"/>
        <w:jc w:val="both"/>
        <w:textAlignment w:val="baseline"/>
        <w:rPr>
          <w:rFonts w:ascii="Bookman Old Style" w:hAnsi="Bookman Old Style"/>
          <w:b/>
          <w:sz w:val="28"/>
          <w:szCs w:val="28"/>
        </w:rPr>
      </w:pPr>
    </w:p>
    <w:p w14:paraId="1FFA1645" w14:textId="77777777" w:rsidR="00284E60" w:rsidRDefault="002A6A86" w:rsidP="00506714">
      <w:pPr>
        <w:pStyle w:val="ARTICULOS"/>
        <w:numPr>
          <w:ilvl w:val="0"/>
          <w:numId w:val="0"/>
        </w:numPr>
        <w:tabs>
          <w:tab w:val="clear" w:pos="1559"/>
        </w:tabs>
        <w:outlineLvl w:val="0"/>
        <w:rPr>
          <w:b/>
          <w:lang w:val="es-CO"/>
        </w:rPr>
      </w:pPr>
      <w:r w:rsidRPr="005263BE">
        <w:rPr>
          <w:b/>
          <w:lang w:val="es-ES"/>
        </w:rPr>
        <w:t xml:space="preserve">ARTÍCULO </w:t>
      </w:r>
      <w:r w:rsidR="008743D5" w:rsidRPr="005263BE">
        <w:rPr>
          <w:b/>
          <w:lang w:val="es-ES"/>
        </w:rPr>
        <w:t>1</w:t>
      </w:r>
      <w:r w:rsidRPr="005263BE">
        <w:rPr>
          <w:b/>
          <w:lang w:val="es-ES"/>
        </w:rPr>
        <w:t>.</w:t>
      </w:r>
      <w:r w:rsidRPr="005263BE">
        <w:rPr>
          <w:lang w:val="es-ES"/>
        </w:rPr>
        <w:t xml:space="preserve"> </w:t>
      </w:r>
      <w:r w:rsidR="00284E60">
        <w:rPr>
          <w:b/>
          <w:lang w:val="es-CO"/>
        </w:rPr>
        <w:t>Modificar el Artículo 2 de la Resolución CREG 048 de 2020 modificado por la Resolución CREG 109 de 2020, el cual quedará así:</w:t>
      </w:r>
    </w:p>
    <w:p w14:paraId="0A9D543C" w14:textId="77777777" w:rsidR="00284E60" w:rsidRDefault="00284E60" w:rsidP="00506714">
      <w:pPr>
        <w:pStyle w:val="ARTICULOS"/>
        <w:numPr>
          <w:ilvl w:val="0"/>
          <w:numId w:val="0"/>
        </w:numPr>
        <w:tabs>
          <w:tab w:val="clear" w:pos="1559"/>
        </w:tabs>
        <w:outlineLvl w:val="0"/>
        <w:rPr>
          <w:b/>
          <w:lang w:val="es-CO"/>
        </w:rPr>
      </w:pPr>
    </w:p>
    <w:p w14:paraId="7689394D" w14:textId="77777777" w:rsidR="00284E60" w:rsidRPr="00284E60" w:rsidRDefault="00284E60" w:rsidP="00284E60">
      <w:pPr>
        <w:widowControl w:val="0"/>
        <w:jc w:val="both"/>
        <w:rPr>
          <w:rFonts w:ascii="Bookman Old Style" w:eastAsia="Bookman Old Style" w:hAnsi="Bookman Old Style" w:cs="Bookman Old Style"/>
          <w:i/>
          <w:iCs/>
        </w:rPr>
      </w:pPr>
      <w:r w:rsidRPr="00284E60">
        <w:rPr>
          <w:rFonts w:ascii="Bookman Old Style" w:eastAsia="Bookman Old Style" w:hAnsi="Bookman Old Style" w:cs="Bookman Old Style"/>
          <w:b/>
          <w:i/>
          <w:iCs/>
        </w:rPr>
        <w:t xml:space="preserve">Artículo 2. </w:t>
      </w:r>
      <w:bookmarkStart w:id="1" w:name="_Hlk41466853"/>
      <w:r w:rsidRPr="00284E60">
        <w:rPr>
          <w:rFonts w:ascii="Bookman Old Style" w:eastAsia="Bookman Old Style" w:hAnsi="Bookman Old Style" w:cs="Bookman Old Style"/>
          <w:b/>
          <w:i/>
          <w:iCs/>
        </w:rPr>
        <w:t xml:space="preserve">Reglas para la aplicación de la Opción Tarifaria Transitoria para Usuarios Residenciales pertenecientes a los Estratos 1 y 2.  </w:t>
      </w:r>
      <w:bookmarkStart w:id="2" w:name="_Hlk41466886"/>
      <w:bookmarkEnd w:id="1"/>
      <w:r w:rsidRPr="00284E60">
        <w:rPr>
          <w:rFonts w:ascii="Bookman Old Style" w:eastAsia="Bookman Old Style" w:hAnsi="Bookman Old Style" w:cs="Bookman Old Style"/>
          <w:i/>
          <w:iCs/>
        </w:rPr>
        <w:t>A partir de la entrada en vigencia de la presente Resolución, las empresas comercializadoras de gas combustible por redes de tubería deberán aplicar, de manera inmediata, a los usuarios residenciales pertenecientes a los estratos 1 y 2, una opción tarifaria para el cálculo del Componente Variable del Costo Unitario de Prestación del Servicio Público de Gas Combustible por Redes de Tubería, conforme a las reglas que se definen a continuación:</w:t>
      </w:r>
      <w:bookmarkEnd w:id="2"/>
    </w:p>
    <w:p w14:paraId="09684745" w14:textId="77777777" w:rsidR="00284E60" w:rsidRPr="00284E60" w:rsidRDefault="00284E60" w:rsidP="00284E60">
      <w:pPr>
        <w:widowControl w:val="0"/>
        <w:ind w:left="0"/>
        <w:jc w:val="both"/>
        <w:rPr>
          <w:rFonts w:ascii="Bookman Old Style" w:eastAsia="Bookman Old Style" w:hAnsi="Bookman Old Style" w:cs="Bookman Old Style"/>
          <w:b/>
          <w:i/>
          <w:iCs/>
          <w:sz w:val="22"/>
          <w:szCs w:val="22"/>
        </w:rPr>
      </w:pPr>
    </w:p>
    <w:p w14:paraId="0082E522" w14:textId="77777777" w:rsidR="00284E60" w:rsidRPr="00284E60" w:rsidRDefault="00284E60" w:rsidP="009E6B36">
      <w:pPr>
        <w:pStyle w:val="Prrafodelista"/>
        <w:widowControl w:val="0"/>
        <w:numPr>
          <w:ilvl w:val="0"/>
          <w:numId w:val="16"/>
        </w:numPr>
        <w:ind w:left="1134" w:hanging="567"/>
        <w:jc w:val="both"/>
        <w:rPr>
          <w:rFonts w:ascii="Bookman Old Style" w:eastAsia="Bookman Old Style" w:hAnsi="Bookman Old Style" w:cs="Bookman Old Style"/>
          <w:i/>
          <w:iCs/>
        </w:rPr>
      </w:pPr>
      <w:r w:rsidRPr="00284E60">
        <w:rPr>
          <w:rFonts w:ascii="Bookman Old Style" w:eastAsia="Bookman Old Style" w:hAnsi="Bookman Old Style" w:cs="Bookman Old Style"/>
          <w:i/>
          <w:iCs/>
          <w:sz w:val="24"/>
          <w:szCs w:val="24"/>
        </w:rPr>
        <w:t xml:space="preserve">Dentro de los tres (3) días hábiles siguientes a la </w:t>
      </w:r>
      <w:proofErr w:type="gramStart"/>
      <w:r w:rsidRPr="00284E60">
        <w:rPr>
          <w:rFonts w:ascii="Bookman Old Style" w:eastAsia="Bookman Old Style" w:hAnsi="Bookman Old Style" w:cs="Bookman Old Style"/>
          <w:i/>
          <w:iCs/>
          <w:sz w:val="24"/>
          <w:szCs w:val="24"/>
        </w:rPr>
        <w:t>entrada en vigencia</w:t>
      </w:r>
      <w:proofErr w:type="gramEnd"/>
      <w:r w:rsidRPr="00284E60">
        <w:rPr>
          <w:rFonts w:ascii="Bookman Old Style" w:eastAsia="Bookman Old Style" w:hAnsi="Bookman Old Style" w:cs="Bookman Old Style"/>
          <w:i/>
          <w:iCs/>
          <w:sz w:val="24"/>
          <w:szCs w:val="24"/>
        </w:rPr>
        <w:t xml:space="preserve"> de la presente Resolución, el comercializador deberá informar a la Comisión de Regulación de Energía y Gas, CREG, y a la Superintendencia de Servicios Públicos Domiciliarios, SSPD, mediante comunicación suscrita por el Representante Legal, las condiciones que se aplicarán a los usuarios en la Opción Tarifaria Transitoria</w:t>
      </w:r>
      <w:r w:rsidRPr="00284E60">
        <w:rPr>
          <w:rFonts w:ascii="Bookman Old Style" w:eastAsia="Bookman Old Style" w:hAnsi="Bookman Old Style" w:cs="Bookman Old Style"/>
          <w:i/>
          <w:iCs/>
        </w:rPr>
        <w:t>.</w:t>
      </w:r>
    </w:p>
    <w:p w14:paraId="389CEC45" w14:textId="77777777" w:rsidR="00284E60" w:rsidRPr="009E6B36" w:rsidRDefault="00284E60" w:rsidP="009E6B36">
      <w:pPr>
        <w:widowControl w:val="0"/>
        <w:ind w:left="1134"/>
        <w:jc w:val="both"/>
        <w:rPr>
          <w:rFonts w:ascii="Bookman Old Style" w:eastAsia="Bookman Old Style" w:hAnsi="Bookman Old Style" w:cs="Bookman Old Style"/>
          <w:i/>
          <w:iCs/>
        </w:rPr>
      </w:pPr>
    </w:p>
    <w:p w14:paraId="7720DF44" w14:textId="77777777" w:rsidR="00284E60" w:rsidRPr="009E6B36" w:rsidRDefault="00284E60" w:rsidP="009E6B36">
      <w:pPr>
        <w:widowControl w:val="0"/>
        <w:numPr>
          <w:ilvl w:val="0"/>
          <w:numId w:val="16"/>
        </w:numPr>
        <w:ind w:left="1134" w:hanging="567"/>
        <w:jc w:val="both"/>
        <w:rPr>
          <w:rFonts w:ascii="Bookman Old Style" w:eastAsia="Bookman Old Style" w:hAnsi="Bookman Old Style" w:cs="Bookman Old Style"/>
          <w:i/>
          <w:iCs/>
        </w:rPr>
      </w:pPr>
      <w:r w:rsidRPr="009E6B36">
        <w:rPr>
          <w:rFonts w:ascii="Bookman Old Style" w:eastAsia="Bookman Old Style" w:hAnsi="Bookman Old Style" w:cs="Bookman Old Style"/>
          <w:i/>
          <w:iCs/>
        </w:rPr>
        <w:t>Los comercializadores deberán poner en conocimiento de todos los usuarios  la opción tarifaria transitoria mediante volante anexo a la siguiente factura o por cualquier otro medio eficaz para el efecto y que se pueda comprobar, informando de manera completa, precisa y clara los términos de la misma, e indicando expresamente que, conforme a lo previsto en el inciso segundo del Artículo 130 de la Ley 142 de 1994, “El propietario o poseedor del inmueble, el suscriptor y los usuarios del servicio son solidarios en sus obligaciones y derechos en el contrato de servicios públicos.”</w:t>
      </w:r>
    </w:p>
    <w:p w14:paraId="432234F4" w14:textId="77777777" w:rsidR="00284E60" w:rsidRPr="009E6B36" w:rsidRDefault="00284E60" w:rsidP="009E6B36">
      <w:pPr>
        <w:pStyle w:val="Prrafodelista"/>
        <w:ind w:left="1275"/>
        <w:rPr>
          <w:rFonts w:ascii="Bookman Old Style" w:eastAsia="Bookman Old Style" w:hAnsi="Bookman Old Style" w:cs="Bookman Old Style"/>
          <w:i/>
          <w:iCs/>
        </w:rPr>
      </w:pPr>
    </w:p>
    <w:p w14:paraId="12565B38" w14:textId="458146FD" w:rsidR="00284E60" w:rsidRPr="003F01A2" w:rsidRDefault="00284E60" w:rsidP="009E6B36">
      <w:pPr>
        <w:widowControl w:val="0"/>
        <w:numPr>
          <w:ilvl w:val="0"/>
          <w:numId w:val="16"/>
        </w:numPr>
        <w:ind w:left="1134" w:hanging="567"/>
        <w:jc w:val="both"/>
        <w:rPr>
          <w:rFonts w:ascii="Bookman Old Style" w:eastAsia="Bookman Old Style" w:hAnsi="Bookman Old Style" w:cs="Bookman Old Style"/>
          <w:b/>
          <w:bCs/>
          <w:i/>
          <w:iCs/>
        </w:rPr>
      </w:pPr>
      <w:r w:rsidRPr="009E6B36">
        <w:rPr>
          <w:rFonts w:ascii="Bookman Old Style" w:eastAsia="Bookman Old Style" w:hAnsi="Bookman Old Style" w:cs="Bookman Old Style"/>
          <w:i/>
          <w:iCs/>
        </w:rPr>
        <w:t>En cualquier tiempo, el usuario podrá solicitar que no se le siga aplicando la Opción Tarifaria, para lo cual deberá pagar el saldo acumulado que presente a esa fecha. En este caso, el Comercializador, en lo sucesivo, deberá continuar calculando el Componente Variable del Costo Unitario</w:t>
      </w:r>
      <w:r w:rsidRPr="00284E60">
        <w:rPr>
          <w:rFonts w:ascii="Bookman Old Style" w:eastAsia="Bookman Old Style" w:hAnsi="Bookman Old Style" w:cs="Bookman Old Style"/>
          <w:i/>
          <w:iCs/>
        </w:rPr>
        <w:t xml:space="preserve"> de Prestación del Servicio Público de Gas Combustible por Redes de Tubería conforme a lo definido en la Resolución CREG 137 de 2013 o aquéllas que la modifiquen o </w:t>
      </w:r>
      <w:r w:rsidRPr="00AC4D51">
        <w:rPr>
          <w:rFonts w:ascii="Bookman Old Style" w:eastAsia="Bookman Old Style" w:hAnsi="Bookman Old Style" w:cs="Bookman Old Style"/>
          <w:i/>
          <w:iCs/>
          <w:strike/>
        </w:rPr>
        <w:t>adicionen</w:t>
      </w:r>
      <w:r w:rsidR="00AC4D51">
        <w:rPr>
          <w:rFonts w:ascii="Bookman Old Style" w:eastAsia="Bookman Old Style" w:hAnsi="Bookman Old Style" w:cs="Bookman Old Style"/>
          <w:i/>
          <w:iCs/>
        </w:rPr>
        <w:t xml:space="preserve"> </w:t>
      </w:r>
      <w:r w:rsidR="00AC4D51" w:rsidRPr="00AC4D51">
        <w:rPr>
          <w:rFonts w:ascii="Bookman Old Style" w:eastAsia="Bookman Old Style" w:hAnsi="Bookman Old Style" w:cs="Bookman Old Style"/>
          <w:b/>
          <w:bCs/>
          <w:i/>
          <w:iCs/>
        </w:rPr>
        <w:t>sustituyan</w:t>
      </w:r>
      <w:r w:rsidRPr="00284E60">
        <w:rPr>
          <w:rFonts w:ascii="Bookman Old Style" w:eastAsia="Bookman Old Style" w:hAnsi="Bookman Old Style" w:cs="Bookman Old Style"/>
          <w:i/>
          <w:iCs/>
        </w:rPr>
        <w:t>.</w:t>
      </w:r>
      <w:r w:rsidR="003F01A2">
        <w:rPr>
          <w:rFonts w:ascii="Bookman Old Style" w:eastAsia="Bookman Old Style" w:hAnsi="Bookman Old Style" w:cs="Bookman Old Style"/>
          <w:i/>
          <w:iCs/>
        </w:rPr>
        <w:t xml:space="preserve"> </w:t>
      </w:r>
      <w:r w:rsidR="003F01A2" w:rsidRPr="003F01A2">
        <w:rPr>
          <w:rFonts w:ascii="Bookman Old Style" w:eastAsia="Bookman Old Style" w:hAnsi="Bookman Old Style" w:cs="Bookman Old Style"/>
          <w:b/>
          <w:bCs/>
          <w:i/>
          <w:iCs/>
        </w:rPr>
        <w:t>Para lo anterior, las empresas comercializadoras deberán informar a cada usuario al que se le facture actualmente de acuerdo con lo establecido en la Opción Tarifaria Transitoria, ya sea en el cuerpo de la factura o como anexo a la misma, el Saldo Acumulado SA</w:t>
      </w:r>
      <w:r w:rsidR="003F01A2" w:rsidRPr="003F01A2">
        <w:rPr>
          <w:rFonts w:ascii="Bookman Old Style" w:eastAsia="Bookman Old Style" w:hAnsi="Bookman Old Style" w:cs="Bookman Old Style"/>
          <w:b/>
          <w:bCs/>
          <w:i/>
          <w:iCs/>
          <w:vertAlign w:val="subscript"/>
        </w:rPr>
        <w:t xml:space="preserve">m-1 </w:t>
      </w:r>
      <w:r w:rsidR="003F01A2" w:rsidRPr="003F01A2">
        <w:rPr>
          <w:rFonts w:ascii="Bookman Old Style" w:eastAsia="Bookman Old Style" w:hAnsi="Bookman Old Style" w:cs="Bookman Old Style"/>
          <w:b/>
          <w:bCs/>
          <w:i/>
          <w:iCs/>
        </w:rPr>
        <w:t xml:space="preserve">del mes anterior m-1 del usuario y el nuevo Saldo Acumulado </w:t>
      </w:r>
      <w:proofErr w:type="spellStart"/>
      <w:r w:rsidR="003F01A2" w:rsidRPr="003F01A2">
        <w:rPr>
          <w:rFonts w:ascii="Bookman Old Style" w:eastAsia="Bookman Old Style" w:hAnsi="Bookman Old Style" w:cs="Bookman Old Style"/>
          <w:b/>
          <w:bCs/>
          <w:i/>
          <w:iCs/>
        </w:rPr>
        <w:t>SA</w:t>
      </w:r>
      <w:r w:rsidR="003F01A2" w:rsidRPr="003F01A2">
        <w:rPr>
          <w:rFonts w:ascii="Bookman Old Style" w:eastAsia="Bookman Old Style" w:hAnsi="Bookman Old Style" w:cs="Bookman Old Style"/>
          <w:b/>
          <w:bCs/>
          <w:i/>
          <w:iCs/>
          <w:vertAlign w:val="subscript"/>
        </w:rPr>
        <w:t>m</w:t>
      </w:r>
      <w:proofErr w:type="spellEnd"/>
      <w:r w:rsidR="003F01A2" w:rsidRPr="003F01A2">
        <w:rPr>
          <w:rFonts w:ascii="Bookman Old Style" w:eastAsia="Bookman Old Style" w:hAnsi="Bookman Old Style" w:cs="Bookman Old Style"/>
          <w:b/>
          <w:bCs/>
          <w:i/>
          <w:iCs/>
        </w:rPr>
        <w:t xml:space="preserve"> del mes de facturación m, en pesos, tanto para los Usuarios de los Estratos Residenciales 1 y 2, como para los demás usuarios regulados.</w:t>
      </w:r>
    </w:p>
    <w:p w14:paraId="15F6405F" w14:textId="77777777" w:rsidR="00284E60" w:rsidRPr="00284E60" w:rsidRDefault="00284E60" w:rsidP="009E6B36">
      <w:pPr>
        <w:widowControl w:val="0"/>
        <w:jc w:val="both"/>
        <w:rPr>
          <w:rFonts w:ascii="Bookman Old Style" w:eastAsia="Bookman Old Style" w:hAnsi="Bookman Old Style" w:cs="Bookman Old Style"/>
          <w:i/>
          <w:iCs/>
        </w:rPr>
      </w:pPr>
    </w:p>
    <w:p w14:paraId="23104BDD" w14:textId="77777777" w:rsidR="00284E60" w:rsidRPr="00284E60" w:rsidRDefault="00284E60" w:rsidP="009E6B36">
      <w:pPr>
        <w:widowControl w:val="0"/>
        <w:numPr>
          <w:ilvl w:val="0"/>
          <w:numId w:val="16"/>
        </w:numPr>
        <w:ind w:left="1134" w:hanging="567"/>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 xml:space="preserve">En atención a la aplicación inmediata de la Opción Tarifaria de que trata esta Resolución, no se requerirá el cumplimiento de lo dispuesto en el </w:t>
      </w:r>
      <w:r w:rsidRPr="00284E60">
        <w:rPr>
          <w:rFonts w:ascii="Bookman Old Style" w:eastAsia="Bookman Old Style" w:hAnsi="Bookman Old Style" w:cs="Bookman Old Style"/>
          <w:i/>
          <w:iCs/>
        </w:rPr>
        <w:lastRenderedPageBreak/>
        <w:t>Artículo 125 de la Ley 142 de 1994 en relación con la actualización del Componente Variable del Costo Unitario de Prestación del Servicio Público de Gas Combustible por Redes de Tubería de que trata la Resolución CREG 137 de 2013, ni de la obligación de publicar la tarifa que resulte de aplicar la Opción Tarifaria, sin perjuicio de su cumplimiento para los siguientes meses de su aplicación. Esta publicación deberá ser remitida a la Superintendencia de Servicios Públicos Domiciliarios, SSPD, y a la Comisión de Regulación de Energía y Gas, CREG.</w:t>
      </w:r>
    </w:p>
    <w:p w14:paraId="433B1E79" w14:textId="77777777" w:rsidR="00284E60" w:rsidRPr="00284E60" w:rsidRDefault="00284E60" w:rsidP="009E6B36">
      <w:pPr>
        <w:pStyle w:val="Prrafodelista"/>
        <w:ind w:left="1275"/>
        <w:rPr>
          <w:rFonts w:ascii="Bookman Old Style" w:eastAsia="Bookman Old Style" w:hAnsi="Bookman Old Style" w:cs="Bookman Old Style"/>
          <w:i/>
          <w:iCs/>
        </w:rPr>
      </w:pPr>
    </w:p>
    <w:p w14:paraId="4E0CE2D8" w14:textId="4DE596F9" w:rsidR="00284E60" w:rsidRPr="00284E60" w:rsidRDefault="00284E60" w:rsidP="009E6B36">
      <w:pPr>
        <w:widowControl w:val="0"/>
        <w:numPr>
          <w:ilvl w:val="0"/>
          <w:numId w:val="16"/>
        </w:numPr>
        <w:ind w:left="1134" w:hanging="567"/>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El comercializador aplicará la Opción Tarifaria definida en esta Resolución para recuperar los incrementos del Componente Variable del Costo Unitario de Prestación del Servicio Público de Gas Combustible por Redes de Tubería que se traslada a los usuarios residenciales pertenecientes a los Estratos 1 y 2 de la población, en un plazo mínimo de treinta y seis (36) meses</w:t>
      </w:r>
      <w:r w:rsidR="009E6B36">
        <w:rPr>
          <w:rFonts w:ascii="Bookman Old Style" w:eastAsia="Bookman Old Style" w:hAnsi="Bookman Old Style" w:cs="Bookman Old Style"/>
          <w:i/>
          <w:iCs/>
        </w:rPr>
        <w:t>.</w:t>
      </w:r>
      <w:r w:rsidRPr="00284E60">
        <w:rPr>
          <w:rFonts w:ascii="Bookman Old Style" w:eastAsia="Bookman Old Style" w:hAnsi="Bookman Old Style" w:cs="Bookman Old Style"/>
          <w:i/>
          <w:iCs/>
        </w:rPr>
        <w:t xml:space="preserve"> </w:t>
      </w:r>
      <w:r w:rsidRPr="00AC4D51">
        <w:rPr>
          <w:rFonts w:ascii="Bookman Old Style" w:eastAsia="Bookman Old Style" w:hAnsi="Bookman Old Style" w:cs="Bookman Old Style"/>
          <w:i/>
          <w:iCs/>
          <w:strike/>
        </w:rPr>
        <w:t>y máximo de sesenta (60) meses, contado a partir del inicio de su aplicación</w:t>
      </w:r>
      <w:r w:rsidRPr="00284E60">
        <w:rPr>
          <w:rFonts w:ascii="Bookman Old Style" w:eastAsia="Bookman Old Style" w:hAnsi="Bookman Old Style" w:cs="Bookman Old Style"/>
          <w:i/>
          <w:iCs/>
        </w:rPr>
        <w:t xml:space="preserve">. </w:t>
      </w:r>
    </w:p>
    <w:p w14:paraId="5F675EF8" w14:textId="77777777" w:rsidR="00284E60" w:rsidRPr="00284E60" w:rsidRDefault="00284E60" w:rsidP="009E6B36">
      <w:pPr>
        <w:widowControl w:val="0"/>
        <w:ind w:left="1134" w:hanging="567"/>
        <w:jc w:val="both"/>
        <w:rPr>
          <w:rFonts w:ascii="Bookman Old Style" w:eastAsia="Bookman Old Style" w:hAnsi="Bookman Old Style" w:cs="Bookman Old Style"/>
          <w:i/>
          <w:iCs/>
          <w:sz w:val="16"/>
          <w:szCs w:val="16"/>
        </w:rPr>
      </w:pPr>
    </w:p>
    <w:p w14:paraId="1BB33C84" w14:textId="7FC41DF2" w:rsidR="00284E60" w:rsidRPr="00284E60" w:rsidRDefault="00284E60" w:rsidP="009E6B36">
      <w:pPr>
        <w:widowControl w:val="0"/>
        <w:numPr>
          <w:ilvl w:val="0"/>
          <w:numId w:val="16"/>
        </w:numPr>
        <w:ind w:left="1134" w:hanging="567"/>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El Comercializador</w:t>
      </w:r>
      <w:r w:rsidR="00A44A50">
        <w:rPr>
          <w:rFonts w:ascii="Bookman Old Style" w:eastAsia="Bookman Old Style" w:hAnsi="Bookman Old Style" w:cs="Bookman Old Style"/>
          <w:i/>
          <w:iCs/>
        </w:rPr>
        <w:t xml:space="preserve"> </w:t>
      </w:r>
      <w:r w:rsidR="00B96FEF" w:rsidRPr="00AC4D51">
        <w:rPr>
          <w:rFonts w:ascii="Bookman Old Style" w:eastAsia="Bookman Old Style" w:hAnsi="Bookman Old Style" w:cs="Bookman Old Style"/>
          <w:b/>
          <w:bCs/>
          <w:i/>
          <w:iCs/>
        </w:rPr>
        <w:t>deberá</w:t>
      </w:r>
      <w:r w:rsidR="00A44A50">
        <w:rPr>
          <w:rFonts w:ascii="Bookman Old Style" w:eastAsia="Bookman Old Style" w:hAnsi="Bookman Old Style" w:cs="Bookman Old Style"/>
          <w:b/>
          <w:bCs/>
          <w:i/>
          <w:iCs/>
          <w:u w:val="single"/>
        </w:rPr>
        <w:t xml:space="preserve"> </w:t>
      </w:r>
      <w:r w:rsidR="00A44A50" w:rsidRPr="00AC4D51">
        <w:rPr>
          <w:rFonts w:ascii="Bookman Old Style" w:eastAsia="Bookman Old Style" w:hAnsi="Bookman Old Style" w:cs="Bookman Old Style"/>
          <w:i/>
          <w:iCs/>
          <w:strike/>
        </w:rPr>
        <w:t>podrá</w:t>
      </w:r>
      <w:r w:rsidRPr="00AC4D51">
        <w:rPr>
          <w:rFonts w:ascii="Bookman Old Style" w:eastAsia="Bookman Old Style" w:hAnsi="Bookman Old Style" w:cs="Bookman Old Style"/>
          <w:i/>
          <w:iCs/>
        </w:rPr>
        <w:t>,</w:t>
      </w:r>
      <w:r w:rsidRPr="00284E60">
        <w:rPr>
          <w:rFonts w:ascii="Bookman Old Style" w:eastAsia="Bookman Old Style" w:hAnsi="Bookman Old Style" w:cs="Bookman Old Style"/>
          <w:i/>
          <w:iCs/>
        </w:rPr>
        <w:t xml:space="preserve"> una vez </w:t>
      </w:r>
      <w:r w:rsidR="00107D3B" w:rsidRPr="00AC4D51">
        <w:rPr>
          <w:rFonts w:ascii="Bookman Old Style" w:eastAsia="Bookman Old Style" w:hAnsi="Bookman Old Style" w:cs="Bookman Old Style"/>
          <w:b/>
          <w:bCs/>
          <w:i/>
          <w:iCs/>
        </w:rPr>
        <w:t xml:space="preserve">recuperado el saldo acumulado </w:t>
      </w:r>
      <w:r w:rsidR="00670D3C" w:rsidRPr="00AC4D51">
        <w:rPr>
          <w:rFonts w:ascii="Bookman Old Style" w:eastAsia="Bookman Old Style" w:hAnsi="Bookman Old Style" w:cs="Bookman Old Style"/>
          <w:b/>
          <w:bCs/>
          <w:i/>
          <w:iCs/>
        </w:rPr>
        <w:t>del que trata el numeral 7 del presente artículo,</w:t>
      </w:r>
      <w:r w:rsidR="00107D3B" w:rsidRPr="00AC4D51">
        <w:rPr>
          <w:rFonts w:ascii="Bookman Old Style" w:eastAsia="Bookman Old Style" w:hAnsi="Bookman Old Style" w:cs="Bookman Old Style"/>
          <w:b/>
          <w:bCs/>
          <w:i/>
          <w:iCs/>
        </w:rPr>
        <w:t xml:space="preserve"> para los usuarios residenciales de los estratos 1 y 2 </w:t>
      </w:r>
      <w:r w:rsidRPr="00AC4D51">
        <w:rPr>
          <w:rFonts w:ascii="Bookman Old Style" w:eastAsia="Bookman Old Style" w:hAnsi="Bookman Old Style" w:cs="Bookman Old Style"/>
          <w:i/>
          <w:iCs/>
          <w:strike/>
        </w:rPr>
        <w:t>terminado el plazo señalado en el numeral anterior</w:t>
      </w:r>
      <w:r w:rsidRPr="00AC4D51">
        <w:rPr>
          <w:rFonts w:ascii="Bookman Old Style" w:eastAsia="Bookman Old Style" w:hAnsi="Bookman Old Style" w:cs="Bookman Old Style"/>
          <w:i/>
          <w:iCs/>
        </w:rPr>
        <w:t>,</w:t>
      </w:r>
      <w:r w:rsidRPr="00284E60">
        <w:rPr>
          <w:rFonts w:ascii="Bookman Old Style" w:eastAsia="Bookman Old Style" w:hAnsi="Bookman Old Style" w:cs="Bookman Old Style"/>
          <w:i/>
          <w:iCs/>
        </w:rPr>
        <w:t xml:space="preserve"> definir el Componente Variable del Costo Unitario de Prestación del Servicio Público de Gas Combustible por Redes de Tubería nuevamente, a partir del Costo que resulte de aplicar la Resolución CREG 137 de 2013 o </w:t>
      </w:r>
      <w:r w:rsidRPr="00AC4D51">
        <w:rPr>
          <w:rFonts w:ascii="Bookman Old Style" w:eastAsia="Bookman Old Style" w:hAnsi="Bookman Old Style" w:cs="Bookman Old Style"/>
          <w:i/>
          <w:iCs/>
          <w:strike/>
        </w:rPr>
        <w:t>aquélla</w:t>
      </w:r>
      <w:r w:rsidRPr="00284E60">
        <w:rPr>
          <w:rFonts w:ascii="Bookman Old Style" w:eastAsia="Bookman Old Style" w:hAnsi="Bookman Old Style" w:cs="Bookman Old Style"/>
          <w:i/>
          <w:iCs/>
        </w:rPr>
        <w:t xml:space="preserve"> </w:t>
      </w:r>
      <w:r w:rsidR="00AC4D51" w:rsidRPr="00AC4D51">
        <w:rPr>
          <w:rFonts w:ascii="Bookman Old Style" w:eastAsia="Bookman Old Style" w:hAnsi="Bookman Old Style" w:cs="Bookman Old Style"/>
          <w:b/>
          <w:bCs/>
          <w:i/>
          <w:iCs/>
        </w:rPr>
        <w:t>aquellas</w:t>
      </w:r>
      <w:r w:rsidR="00AC4D51">
        <w:rPr>
          <w:rFonts w:ascii="Bookman Old Style" w:eastAsia="Bookman Old Style" w:hAnsi="Bookman Old Style" w:cs="Bookman Old Style"/>
          <w:i/>
          <w:iCs/>
        </w:rPr>
        <w:t xml:space="preserve"> </w:t>
      </w:r>
      <w:r w:rsidRPr="00284E60">
        <w:rPr>
          <w:rFonts w:ascii="Bookman Old Style" w:eastAsia="Bookman Old Style" w:hAnsi="Bookman Old Style" w:cs="Bookman Old Style"/>
          <w:i/>
          <w:iCs/>
        </w:rPr>
        <w:t>que la modifique</w:t>
      </w:r>
      <w:r w:rsidR="00AC4D51" w:rsidRPr="00AC4D51">
        <w:rPr>
          <w:rFonts w:ascii="Bookman Old Style" w:eastAsia="Bookman Old Style" w:hAnsi="Bookman Old Style" w:cs="Bookman Old Style"/>
          <w:b/>
          <w:bCs/>
          <w:i/>
          <w:iCs/>
        </w:rPr>
        <w:t>n</w:t>
      </w:r>
      <w:r w:rsidRPr="00284E60">
        <w:rPr>
          <w:rFonts w:ascii="Bookman Old Style" w:eastAsia="Bookman Old Style" w:hAnsi="Bookman Old Style" w:cs="Bookman Old Style"/>
          <w:i/>
          <w:iCs/>
        </w:rPr>
        <w:t xml:space="preserve"> o </w:t>
      </w:r>
      <w:r w:rsidRPr="00AC4D51">
        <w:rPr>
          <w:rFonts w:ascii="Bookman Old Style" w:eastAsia="Bookman Old Style" w:hAnsi="Bookman Old Style" w:cs="Bookman Old Style"/>
          <w:i/>
          <w:iCs/>
          <w:strike/>
        </w:rPr>
        <w:t>derogue</w:t>
      </w:r>
      <w:r w:rsidR="00AC4D51">
        <w:rPr>
          <w:rFonts w:ascii="Bookman Old Style" w:eastAsia="Bookman Old Style" w:hAnsi="Bookman Old Style" w:cs="Bookman Old Style"/>
          <w:i/>
          <w:iCs/>
        </w:rPr>
        <w:t xml:space="preserve"> </w:t>
      </w:r>
      <w:r w:rsidR="00AC4D51" w:rsidRPr="00AC4D51">
        <w:rPr>
          <w:rFonts w:ascii="Bookman Old Style" w:eastAsia="Bookman Old Style" w:hAnsi="Bookman Old Style" w:cs="Bookman Old Style"/>
          <w:b/>
          <w:bCs/>
          <w:i/>
          <w:iCs/>
        </w:rPr>
        <w:t>sustituyan</w:t>
      </w:r>
      <w:r w:rsidRPr="00284E60">
        <w:rPr>
          <w:rFonts w:ascii="Bookman Old Style" w:eastAsia="Bookman Old Style" w:hAnsi="Bookman Old Style" w:cs="Bookman Old Style"/>
          <w:i/>
          <w:iCs/>
        </w:rPr>
        <w:t xml:space="preserve">.  </w:t>
      </w:r>
    </w:p>
    <w:p w14:paraId="4625676C" w14:textId="77777777" w:rsidR="00284E60" w:rsidRPr="00284E60" w:rsidRDefault="00284E60" w:rsidP="009E6B36">
      <w:pPr>
        <w:ind w:left="1134" w:hanging="567"/>
        <w:rPr>
          <w:rFonts w:ascii="Bookman Old Style" w:eastAsia="Bookman Old Style" w:hAnsi="Bookman Old Style" w:cs="Bookman Old Style"/>
          <w:i/>
          <w:iCs/>
          <w:sz w:val="16"/>
          <w:szCs w:val="16"/>
        </w:rPr>
      </w:pPr>
    </w:p>
    <w:p w14:paraId="23FD816A" w14:textId="77777777" w:rsidR="00284E60" w:rsidRPr="00AC4D51" w:rsidRDefault="00284E60" w:rsidP="009E6B36">
      <w:pPr>
        <w:widowControl w:val="0"/>
        <w:numPr>
          <w:ilvl w:val="0"/>
          <w:numId w:val="16"/>
        </w:numPr>
        <w:ind w:left="1134" w:hanging="567"/>
        <w:jc w:val="both"/>
        <w:rPr>
          <w:rFonts w:ascii="Bookman Old Style" w:eastAsia="Bookman Old Style" w:hAnsi="Bookman Old Style" w:cs="Bookman Old Style"/>
          <w:i/>
          <w:iCs/>
          <w:strike/>
        </w:rPr>
      </w:pPr>
      <w:r w:rsidRPr="00AC4D51">
        <w:rPr>
          <w:rFonts w:ascii="Bookman Old Style" w:eastAsia="Bookman Old Style" w:hAnsi="Bookman Old Style" w:cs="Bookman Old Style"/>
          <w:i/>
          <w:iCs/>
          <w:strike/>
        </w:rPr>
        <w:t xml:space="preserve">En este último caso, los saldos acumulados que existiesen una vez terminado el plazo máximo de 60 meses, no podrán ser trasladados en la tarifa al usuario final.   </w:t>
      </w:r>
    </w:p>
    <w:p w14:paraId="4F5A778E" w14:textId="77777777" w:rsidR="00284E60" w:rsidRPr="00284E60" w:rsidRDefault="00284E60" w:rsidP="009E6B36">
      <w:pPr>
        <w:ind w:left="1134" w:hanging="567"/>
        <w:rPr>
          <w:rFonts w:ascii="Bookman Old Style" w:eastAsia="Bookman Old Style" w:hAnsi="Bookman Old Style" w:cs="Bookman Old Style"/>
          <w:i/>
          <w:iCs/>
          <w:sz w:val="20"/>
          <w:szCs w:val="20"/>
        </w:rPr>
      </w:pPr>
    </w:p>
    <w:p w14:paraId="5CA95754" w14:textId="77777777" w:rsidR="00284E60" w:rsidRPr="00284E60" w:rsidRDefault="00284E60" w:rsidP="00D13356">
      <w:pPr>
        <w:widowControl w:val="0"/>
        <w:numPr>
          <w:ilvl w:val="0"/>
          <w:numId w:val="18"/>
        </w:numPr>
        <w:ind w:left="1134" w:hanging="567"/>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 xml:space="preserve">Para calcular el Componente Variable del Costo Unitario de Prestación del Servicio Público de Gas Combustible por Redes de Tubería resultante de la Opción Tarifaria Transitoria para los usuarios residenciales de estratos 1 y 2, se les calculará el </w:t>
      </w:r>
      <w:proofErr w:type="spellStart"/>
      <w:r w:rsidRPr="00284E60">
        <w:rPr>
          <w:rFonts w:ascii="Bookman Old Style" w:eastAsia="Bookman Old Style" w:hAnsi="Bookman Old Style" w:cs="Bookman Old Style"/>
          <w:i/>
          <w:iCs/>
        </w:rPr>
        <w:t>CUvA</w:t>
      </w:r>
      <w:proofErr w:type="spellEnd"/>
      <w:r w:rsidRPr="00284E60">
        <w:rPr>
          <w:rFonts w:ascii="Bookman Old Style" w:eastAsia="Bookman Old Style" w:hAnsi="Bookman Old Style" w:cs="Bookman Old Style"/>
          <w:i/>
          <w:iCs/>
        </w:rPr>
        <w:t>, el SA y el VR; y, el Comercializador j del Mercado Relevante de Comercialización i, utilizará la siguiente expresión:</w:t>
      </w:r>
    </w:p>
    <w:p w14:paraId="67881C10" w14:textId="77777777" w:rsidR="00284E60" w:rsidRPr="00284E60" w:rsidRDefault="00284E60" w:rsidP="009E6B36">
      <w:pPr>
        <w:widowControl w:val="0"/>
        <w:ind w:left="851"/>
        <w:jc w:val="both"/>
        <w:rPr>
          <w:rFonts w:ascii="Bookman Old Style" w:eastAsia="Bookman Old Style" w:hAnsi="Bookman Old Style" w:cs="Bookman Old Style"/>
          <w:i/>
          <w:iCs/>
          <w:sz w:val="16"/>
          <w:szCs w:val="16"/>
        </w:rPr>
      </w:pPr>
    </w:p>
    <w:p w14:paraId="6BA976E3" w14:textId="77777777" w:rsidR="00284E60" w:rsidRPr="00284E60" w:rsidRDefault="00284E60" w:rsidP="009E6B36">
      <w:pPr>
        <w:widowControl w:val="0"/>
        <w:ind w:left="851"/>
        <w:jc w:val="both"/>
        <w:rPr>
          <w:rFonts w:ascii="Bookman Old Style" w:eastAsia="Bookman Old Style" w:hAnsi="Bookman Old Style" w:cs="Bookman Old Style"/>
          <w:i/>
          <w:iCs/>
          <w:sz w:val="16"/>
          <w:szCs w:val="16"/>
        </w:rPr>
      </w:pPr>
    </w:p>
    <w:p w14:paraId="5F42E3F0" w14:textId="2FF8B66B" w:rsidR="00284E60" w:rsidRPr="00162608" w:rsidRDefault="00000000" w:rsidP="009E6B36">
      <w:pPr>
        <w:ind w:left="1134"/>
        <w:jc w:val="center"/>
        <w:rPr>
          <w:rFonts w:ascii="Cambria Math" w:eastAsia="Cambria Math" w:hAnsi="Cambria Math" w:cs="Cambria Math"/>
          <w:i/>
          <w:iCs/>
        </w:rPr>
      </w:pPr>
      <m:oMathPara>
        <m:oMath>
          <m:sSub>
            <m:sSubPr>
              <m:ctrlPr>
                <w:rPr>
                  <w:rFonts w:ascii="Cambria Math" w:eastAsia="Cambria Math" w:hAnsi="Cambria Math" w:cs="Cambria Math"/>
                  <w:i/>
                  <w:iCs/>
                </w:rPr>
              </m:ctrlPr>
            </m:sSubPr>
            <m:e>
              <m:r>
                <w:rPr>
                  <w:rFonts w:ascii="Cambria Math" w:eastAsia="Cambria Math" w:hAnsi="Cambria Math" w:cs="Cambria Math"/>
                </w:rPr>
                <m:t>CUvA</m:t>
              </m:r>
            </m:e>
            <m:sub>
              <m:r>
                <w:rPr>
                  <w:rFonts w:ascii="Cambria Math" w:eastAsia="Cambria Math" w:hAnsi="Cambria Math" w:cs="Cambria Math"/>
                </w:rPr>
                <m:t>m,i,j,k</m:t>
              </m:r>
            </m:sub>
          </m:sSub>
          <m:r>
            <w:rPr>
              <w:rFonts w:ascii="Cambria Math" w:eastAsia="Cambria Math" w:hAnsi="Cambria Math" w:cs="Cambria Math"/>
            </w:rPr>
            <m:t>=min</m:t>
          </m:r>
          <m:d>
            <m:dPr>
              <m:begChr m:val="["/>
              <m:endChr m:val="]"/>
              <m:ctrlPr>
                <w:rPr>
                  <w:rFonts w:ascii="Cambria Math" w:eastAsia="Cambria Math" w:hAnsi="Cambria Math" w:cs="Cambria Math"/>
                  <w:i/>
                  <w:iCs/>
                </w:rPr>
              </m:ctrlPr>
            </m:dPr>
            <m:e>
              <m:d>
                <m:dPr>
                  <m:ctrlPr>
                    <w:rPr>
                      <w:rFonts w:ascii="Cambria Math" w:eastAsia="Cambria Math" w:hAnsi="Cambria Math" w:cs="Cambria Math"/>
                      <w:i/>
                      <w:iCs/>
                    </w:rPr>
                  </m:ctrlPr>
                </m:dPr>
                <m:e>
                  <m:sSub>
                    <m:sSubPr>
                      <m:ctrlPr>
                        <w:rPr>
                          <w:rFonts w:ascii="Cambria Math" w:eastAsia="Cambria Math" w:hAnsi="Cambria Math" w:cs="Cambria Math"/>
                          <w:i/>
                          <w:iCs/>
                        </w:rPr>
                      </m:ctrlPr>
                    </m:sSubPr>
                    <m:e>
                      <m:r>
                        <w:rPr>
                          <w:rFonts w:ascii="Cambria Math" w:eastAsia="Cambria Math" w:hAnsi="Cambria Math" w:cs="Cambria Math"/>
                        </w:rPr>
                        <m:t>CUvA</m:t>
                      </m:r>
                    </m:e>
                    <m:sub>
                      <m:r>
                        <w:rPr>
                          <w:rFonts w:ascii="Cambria Math" w:eastAsia="Cambria Math" w:hAnsi="Cambria Math" w:cs="Cambria Math"/>
                        </w:rPr>
                        <m:t>m-1,i,j,k</m:t>
                      </m:r>
                    </m:sub>
                  </m:sSub>
                  <m:r>
                    <w:rPr>
                      <w:rFonts w:ascii="Cambria Math" w:eastAsia="Cambria Math" w:hAnsi="Cambria Math" w:cs="Cambria Math"/>
                    </w:rPr>
                    <m:t>×</m:t>
                  </m:r>
                  <m:d>
                    <m:dPr>
                      <m:ctrlPr>
                        <w:rPr>
                          <w:rFonts w:ascii="Cambria Math" w:eastAsia="Cambria Math" w:hAnsi="Cambria Math" w:cs="Cambria Math"/>
                          <w:i/>
                          <w:iCs/>
                        </w:rPr>
                      </m:ctrlPr>
                    </m:dPr>
                    <m:e>
                      <m:r>
                        <w:rPr>
                          <w:rFonts w:ascii="Cambria Math" w:eastAsia="Cambria Math" w:hAnsi="Cambria Math" w:cs="Cambria Math"/>
                        </w:rPr>
                        <m:t>1+PVj,k</m:t>
                      </m:r>
                    </m:e>
                  </m:d>
                </m:e>
              </m:d>
              <m:r>
                <w:rPr>
                  <w:rFonts w:ascii="Cambria Math" w:eastAsia="Cambria Math" w:hAnsi="Cambria Math" w:cs="Cambria Math"/>
                </w:rPr>
                <m:t>,</m:t>
              </m:r>
              <m:sSub>
                <m:sSubPr>
                  <m:ctrlPr>
                    <w:rPr>
                      <w:rFonts w:ascii="Cambria Math" w:eastAsia="Cambria Math" w:hAnsi="Cambria Math" w:cs="Cambria Math"/>
                      <w:i/>
                      <w:iCs/>
                    </w:rPr>
                  </m:ctrlPr>
                </m:sSubPr>
                <m:e>
                  <m:r>
                    <w:rPr>
                      <w:rFonts w:ascii="Cambria Math" w:eastAsia="Cambria Math" w:hAnsi="Cambria Math" w:cs="Cambria Math"/>
                    </w:rPr>
                    <m:t>CUvR</m:t>
                  </m:r>
                </m:e>
                <m:sub>
                  <m:r>
                    <w:rPr>
                      <w:rFonts w:ascii="Cambria Math" w:eastAsia="Cambria Math" w:hAnsi="Cambria Math" w:cs="Cambria Math"/>
                    </w:rPr>
                    <m:t>m,i,j</m:t>
                  </m:r>
                </m:sub>
              </m:sSub>
              <m:r>
                <w:rPr>
                  <w:rFonts w:ascii="Cambria Math" w:eastAsia="Cambria Math" w:hAnsi="Cambria Math" w:cs="Cambria Math"/>
                </w:rPr>
                <m:t>+</m:t>
              </m:r>
              <m:f>
                <m:fPr>
                  <m:ctrlPr>
                    <w:rPr>
                      <w:rFonts w:ascii="Cambria Math" w:eastAsia="Cambria Math" w:hAnsi="Cambria Math" w:cs="Cambria Math"/>
                      <w:i/>
                      <w:iCs/>
                    </w:rPr>
                  </m:ctrlPr>
                </m:fPr>
                <m:num>
                  <m:sSub>
                    <m:sSubPr>
                      <m:ctrlPr>
                        <w:rPr>
                          <w:rFonts w:ascii="Cambria Math" w:eastAsia="Cambria Math" w:hAnsi="Cambria Math" w:cs="Cambria Math"/>
                          <w:i/>
                          <w:iCs/>
                        </w:rPr>
                      </m:ctrlPr>
                    </m:sSubPr>
                    <m:e>
                      <m:r>
                        <w:rPr>
                          <w:rFonts w:ascii="Cambria Math" w:eastAsia="Cambria Math" w:hAnsi="Cambria Math" w:cs="Cambria Math"/>
                        </w:rPr>
                        <m:t>SA</m:t>
                      </m:r>
                    </m:e>
                    <m:sub>
                      <m:r>
                        <w:rPr>
                          <w:rFonts w:ascii="Cambria Math" w:eastAsia="Cambria Math" w:hAnsi="Cambria Math" w:cs="Cambria Math"/>
                        </w:rPr>
                        <m:t>m-1,i,j,k</m:t>
                      </m:r>
                    </m:sub>
                  </m:sSub>
                </m:num>
                <m:den>
                  <m:sSub>
                    <m:sSubPr>
                      <m:ctrlPr>
                        <w:rPr>
                          <w:rFonts w:ascii="Cambria Math" w:eastAsia="Cambria Math" w:hAnsi="Cambria Math" w:cs="Cambria Math"/>
                          <w:i/>
                          <w:iCs/>
                        </w:rPr>
                      </m:ctrlPr>
                    </m:sSubPr>
                    <m:e>
                      <m:r>
                        <w:rPr>
                          <w:rFonts w:ascii="Cambria Math" w:eastAsia="Cambria Math" w:hAnsi="Cambria Math" w:cs="Cambria Math"/>
                        </w:rPr>
                        <m:t>VR</m:t>
                      </m:r>
                    </m:e>
                    <m:sub>
                      <m:r>
                        <w:rPr>
                          <w:rFonts w:ascii="Cambria Math" w:eastAsia="Cambria Math" w:hAnsi="Cambria Math" w:cs="Cambria Math"/>
                        </w:rPr>
                        <m:t>m-1,i,j,k</m:t>
                      </m:r>
                    </m:sub>
                  </m:sSub>
                </m:den>
              </m:f>
              <m:r>
                <w:rPr>
                  <w:rFonts w:ascii="Cambria Math" w:eastAsia="Cambria Math" w:hAnsi="Cambria Math" w:cs="Cambria Math"/>
                </w:rPr>
                <m:t xml:space="preserve">, </m:t>
              </m:r>
              <m:d>
                <m:dPr>
                  <m:ctrlPr>
                    <w:rPr>
                      <w:rFonts w:ascii="Cambria Math" w:eastAsia="Cambria Math" w:hAnsi="Cambria Math" w:cs="Cambria Math"/>
                      <w:b/>
                      <w:bCs/>
                      <w:i/>
                      <w:iCs/>
                    </w:rPr>
                  </m:ctrlPr>
                </m:dPr>
                <m:e>
                  <m:r>
                    <m:rPr>
                      <m:sty m:val="bi"/>
                    </m:rPr>
                    <w:rPr>
                      <w:rFonts w:ascii="Cambria Math" w:eastAsia="Cambria Math" w:hAnsi="Cambria Math" w:cs="Cambria Math"/>
                    </w:rPr>
                    <m:t>1,3 ×</m:t>
                  </m:r>
                  <m:sSub>
                    <m:sSubPr>
                      <m:ctrlPr>
                        <w:rPr>
                          <w:rFonts w:ascii="Cambria Math" w:eastAsia="Cambria Math" w:hAnsi="Cambria Math" w:cs="Cambria Math"/>
                          <w:b/>
                          <w:bCs/>
                          <w:i/>
                          <w:iCs/>
                        </w:rPr>
                      </m:ctrlPr>
                    </m:sSubPr>
                    <m:e>
                      <m:r>
                        <m:rPr>
                          <m:sty m:val="bi"/>
                        </m:rPr>
                        <w:rPr>
                          <w:rFonts w:ascii="Cambria Math" w:eastAsia="Cambria Math" w:hAnsi="Cambria Math" w:cs="Cambria Math"/>
                        </w:rPr>
                        <m:t>CUvR</m:t>
                      </m:r>
                    </m:e>
                    <m:sub>
                      <m:r>
                        <m:rPr>
                          <m:sty m:val="bi"/>
                        </m:rPr>
                        <w:rPr>
                          <w:rFonts w:ascii="Cambria Math" w:eastAsia="Cambria Math" w:hAnsi="Cambria Math" w:cs="Cambria Math"/>
                        </w:rPr>
                        <m:t>m,i,j</m:t>
                      </m:r>
                    </m:sub>
                  </m:sSub>
                </m:e>
              </m:d>
              <m:r>
                <m:rPr>
                  <m:sty m:val="bi"/>
                </m:rPr>
                <w:rPr>
                  <w:rFonts w:ascii="Cambria Math" w:eastAsia="Cambria Math" w:hAnsi="Cambria Math" w:cs="Cambria Math"/>
                </w:rPr>
                <m:t xml:space="preserve"> </m:t>
              </m:r>
            </m:e>
          </m:d>
        </m:oMath>
      </m:oMathPara>
    </w:p>
    <w:p w14:paraId="242F6999" w14:textId="77777777" w:rsidR="00284E60" w:rsidRPr="00284E60" w:rsidRDefault="00284E60" w:rsidP="009E6B36">
      <w:pPr>
        <w:ind w:left="1275"/>
        <w:rPr>
          <w:rFonts w:ascii="Bookman Old Style" w:eastAsia="Bookman Old Style" w:hAnsi="Bookman Old Style" w:cs="Bookman Old Style"/>
          <w:i/>
          <w:iCs/>
        </w:rPr>
      </w:pPr>
    </w:p>
    <w:p w14:paraId="72B07693" w14:textId="6BA72C7F" w:rsidR="00284E60" w:rsidRPr="0092342A" w:rsidRDefault="00284E60" w:rsidP="009E6B36">
      <w:pPr>
        <w:ind w:left="1134"/>
        <w:jc w:val="center"/>
        <w:rPr>
          <w:rFonts w:ascii="Cambria Math" w:eastAsia="Cambria Math" w:hAnsi="Cambria Math" w:cs="Cambria Math"/>
          <w:i/>
        </w:rPr>
      </w:pPr>
      <m:oMathPara>
        <m:oMath>
          <m:r>
            <w:rPr>
              <w:rFonts w:ascii="Cambria Math" w:eastAsia="Cambria Math" w:hAnsi="Cambria Math" w:cs="Cambria Math"/>
            </w:rPr>
            <m:t>S</m:t>
          </m:r>
          <m:sSub>
            <m:sSubPr>
              <m:ctrlPr>
                <w:rPr>
                  <w:rFonts w:ascii="Cambria Math" w:eastAsia="Cambria Math" w:hAnsi="Cambria Math" w:cs="Cambria Math"/>
                  <w:i/>
                  <w:iCs/>
                </w:rPr>
              </m:ctrlPr>
            </m:sSubPr>
            <m:e>
              <m:r>
                <w:rPr>
                  <w:rFonts w:ascii="Cambria Math" w:eastAsia="Cambria Math" w:hAnsi="Cambria Math" w:cs="Cambria Math"/>
                </w:rPr>
                <m:t>A</m:t>
              </m:r>
            </m:e>
            <m:sub>
              <m:r>
                <w:rPr>
                  <w:rFonts w:ascii="Cambria Math" w:eastAsia="Cambria Math" w:hAnsi="Cambria Math" w:cs="Cambria Math"/>
                </w:rPr>
                <m:t>m,i,j</m:t>
              </m:r>
            </m:sub>
          </m:sSub>
          <m:r>
            <w:rPr>
              <w:rFonts w:ascii="Cambria Math" w:eastAsia="Cambria Math" w:hAnsi="Cambria Math" w:cs="Cambria Math"/>
            </w:rPr>
            <m:t>=</m:t>
          </m:r>
          <m:d>
            <m:dPr>
              <m:begChr m:val="["/>
              <m:endChr m:val="]"/>
              <m:ctrlPr>
                <w:rPr>
                  <w:rFonts w:ascii="Cambria Math" w:eastAsia="Cambria Math" w:hAnsi="Cambria Math" w:cs="Cambria Math"/>
                  <w:i/>
                  <w:iCs/>
                </w:rPr>
              </m:ctrlPr>
            </m:dPr>
            <m:e>
              <m:r>
                <w:rPr>
                  <w:rFonts w:ascii="Cambria Math" w:eastAsia="Cambria Math" w:hAnsi="Cambria Math" w:cs="Cambria Math"/>
                </w:rPr>
                <m:t>S</m:t>
              </m:r>
              <m:sSub>
                <m:sSubPr>
                  <m:ctrlPr>
                    <w:rPr>
                      <w:rFonts w:ascii="Cambria Math" w:eastAsia="Cambria Math" w:hAnsi="Cambria Math" w:cs="Cambria Math"/>
                      <w:i/>
                      <w:iCs/>
                    </w:rPr>
                  </m:ctrlPr>
                </m:sSubPr>
                <m:e>
                  <m:r>
                    <w:rPr>
                      <w:rFonts w:ascii="Cambria Math" w:eastAsia="Cambria Math" w:hAnsi="Cambria Math" w:cs="Cambria Math"/>
                    </w:rPr>
                    <m:t>A</m:t>
                  </m:r>
                </m:e>
                <m:sub>
                  <m:r>
                    <w:rPr>
                      <w:rFonts w:ascii="Cambria Math" w:eastAsia="Cambria Math" w:hAnsi="Cambria Math" w:cs="Cambria Math"/>
                    </w:rPr>
                    <m:t>m-1,i,j,k</m:t>
                  </m:r>
                </m:sub>
              </m:sSub>
              <m:r>
                <w:rPr>
                  <w:rFonts w:ascii="Cambria Math" w:eastAsia="Cambria Math" w:hAnsi="Cambria Math" w:cs="Cambria Math"/>
                </w:rPr>
                <m:t>+</m:t>
              </m:r>
              <m:d>
                <m:dPr>
                  <m:ctrlPr>
                    <w:rPr>
                      <w:rFonts w:ascii="Cambria Math" w:eastAsia="Cambria Math" w:hAnsi="Cambria Math" w:cs="Cambria Math"/>
                      <w:i/>
                      <w:iCs/>
                    </w:rPr>
                  </m:ctrlPr>
                </m:dPr>
                <m:e>
                  <m:sSub>
                    <m:sSubPr>
                      <m:ctrlPr>
                        <w:rPr>
                          <w:rFonts w:ascii="Cambria Math" w:eastAsia="Cambria Math" w:hAnsi="Cambria Math" w:cs="Cambria Math"/>
                          <w:i/>
                          <w:iCs/>
                        </w:rPr>
                      </m:ctrlPr>
                    </m:sSubPr>
                    <m:e>
                      <m:r>
                        <w:rPr>
                          <w:rFonts w:ascii="Cambria Math" w:eastAsia="Cambria Math" w:hAnsi="Cambria Math" w:cs="Cambria Math"/>
                        </w:rPr>
                        <m:t>CUvR</m:t>
                      </m:r>
                    </m:e>
                    <m:sub>
                      <m:r>
                        <w:rPr>
                          <w:rFonts w:ascii="Cambria Math" w:eastAsia="Cambria Math" w:hAnsi="Cambria Math" w:cs="Cambria Math"/>
                        </w:rPr>
                        <m:t>m,i,j</m:t>
                      </m:r>
                    </m:sub>
                  </m:sSub>
                  <m:r>
                    <w:rPr>
                      <w:rFonts w:ascii="Cambria Math" w:eastAsia="Cambria Math" w:hAnsi="Cambria Math" w:cs="Cambria Math"/>
                    </w:rPr>
                    <m:t>-</m:t>
                  </m:r>
                  <m:sSub>
                    <m:sSubPr>
                      <m:ctrlPr>
                        <w:rPr>
                          <w:rFonts w:ascii="Cambria Math" w:eastAsia="Cambria Math" w:hAnsi="Cambria Math" w:cs="Cambria Math"/>
                          <w:i/>
                          <w:iCs/>
                        </w:rPr>
                      </m:ctrlPr>
                    </m:sSubPr>
                    <m:e>
                      <m:r>
                        <w:rPr>
                          <w:rFonts w:ascii="Cambria Math" w:eastAsia="Cambria Math" w:hAnsi="Cambria Math" w:cs="Cambria Math"/>
                        </w:rPr>
                        <m:t>CUvA</m:t>
                      </m:r>
                    </m:e>
                    <m:sub>
                      <m:r>
                        <w:rPr>
                          <w:rFonts w:ascii="Cambria Math" w:eastAsia="Cambria Math" w:hAnsi="Cambria Math" w:cs="Cambria Math"/>
                        </w:rPr>
                        <m:t>m,i,j,k</m:t>
                      </m:r>
                    </m:sub>
                  </m:sSub>
                </m:e>
              </m:d>
              <m:r>
                <w:rPr>
                  <w:rFonts w:ascii="Cambria Math" w:eastAsia="Cambria Math" w:hAnsi="Cambria Math" w:cs="Cambria Math"/>
                </w:rPr>
                <m:t>×</m:t>
              </m:r>
              <m:sSub>
                <m:sSubPr>
                  <m:ctrlPr>
                    <w:rPr>
                      <w:rFonts w:ascii="Cambria Math" w:eastAsia="Cambria Math" w:hAnsi="Cambria Math" w:cs="Cambria Math"/>
                      <w:i/>
                      <w:iCs/>
                    </w:rPr>
                  </m:ctrlPr>
                </m:sSubPr>
                <m:e>
                  <m:r>
                    <w:rPr>
                      <w:rFonts w:ascii="Cambria Math" w:eastAsia="Cambria Math" w:hAnsi="Cambria Math" w:cs="Cambria Math"/>
                    </w:rPr>
                    <m:t>VR</m:t>
                  </m:r>
                </m:e>
                <m:sub>
                  <m:r>
                    <w:rPr>
                      <w:rFonts w:ascii="Cambria Math" w:eastAsia="Cambria Math" w:hAnsi="Cambria Math" w:cs="Cambria Math"/>
                    </w:rPr>
                    <m:t>m-1,i,j,k</m:t>
                  </m:r>
                </m:sub>
              </m:sSub>
            </m:e>
          </m:d>
          <m:r>
            <w:rPr>
              <w:rFonts w:ascii="Cambria Math" w:eastAsia="Cambria Math" w:hAnsi="Cambria Math" w:cs="Cambria Math"/>
            </w:rPr>
            <m:t>×(1+r)</m:t>
          </m:r>
        </m:oMath>
      </m:oMathPara>
    </w:p>
    <w:p w14:paraId="0762E58C" w14:textId="138B47F9" w:rsidR="0092342A" w:rsidRDefault="0092342A" w:rsidP="0092342A">
      <w:pPr>
        <w:ind w:left="1134"/>
        <w:rPr>
          <w:rFonts w:ascii="Cambria Math" w:eastAsia="Cambria Math" w:hAnsi="Cambria Math" w:cs="Cambria Math"/>
          <w:i/>
        </w:rPr>
      </w:pPr>
    </w:p>
    <w:p w14:paraId="6154E0D7" w14:textId="1A3FDAF2" w:rsidR="0092342A" w:rsidRDefault="0092342A" w:rsidP="0092342A">
      <w:pPr>
        <w:ind w:left="1134"/>
        <w:rPr>
          <w:rFonts w:ascii="Cambria Math" w:eastAsia="Cambria Math" w:hAnsi="Cambria Math" w:cs="Cambria Math"/>
          <w:i/>
        </w:rPr>
      </w:pPr>
      <w:r>
        <w:rPr>
          <w:rFonts w:ascii="Cambria Math" w:eastAsia="Cambria Math" w:hAnsi="Cambria Math" w:cs="Cambria Math"/>
          <w:i/>
        </w:rPr>
        <w:t>Donde:</w:t>
      </w:r>
    </w:p>
    <w:p w14:paraId="6DAA600F" w14:textId="77777777" w:rsidR="0092342A" w:rsidRDefault="0092342A" w:rsidP="009E6B36">
      <w:pPr>
        <w:ind w:left="1134"/>
        <w:jc w:val="center"/>
        <w:rPr>
          <w:rFonts w:ascii="Cambria Math" w:eastAsia="Cambria Math" w:hAnsi="Cambria Math" w:cs="Cambria Math"/>
          <w:i/>
        </w:rPr>
      </w:pPr>
    </w:p>
    <w:tbl>
      <w:tblPr>
        <w:tblW w:w="8585"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2127"/>
        <w:gridCol w:w="6032"/>
        <w:gridCol w:w="426"/>
      </w:tblGrid>
      <w:tr w:rsidR="0092342A" w14:paraId="567A0136" w14:textId="77777777" w:rsidTr="0092342A">
        <w:tc>
          <w:tcPr>
            <w:tcW w:w="2127" w:type="dxa"/>
          </w:tcPr>
          <w:p w14:paraId="3C95DD5A" w14:textId="77777777" w:rsidR="0092342A" w:rsidRDefault="0092342A" w:rsidP="0092342A">
            <w:pPr>
              <w:widowControl w:val="0"/>
              <w:ind w:left="460"/>
              <w:jc w:val="both"/>
            </w:pPr>
            <w:r>
              <w:rPr>
                <w:sz w:val="36"/>
                <w:szCs w:val="36"/>
                <w:vertAlign w:val="subscript"/>
              </w:rPr>
              <w:object w:dxaOrig="375" w:dyaOrig="270" w14:anchorId="06F9EA15">
                <v:shape id="_x0000_i1026" type="#_x0000_t75" style="width:18.6pt;height:13.2pt" o:ole="">
                  <v:imagedata r:id="rId13" o:title=""/>
                </v:shape>
                <o:OLEObject Type="Embed" ProgID="Equation.3" ShapeID="_x0000_i1026" DrawAspect="Content" ObjectID="_1739686201" r:id="rId14"/>
              </w:object>
            </w:r>
          </w:p>
        </w:tc>
        <w:tc>
          <w:tcPr>
            <w:tcW w:w="6458" w:type="dxa"/>
            <w:gridSpan w:val="2"/>
          </w:tcPr>
          <w:p w14:paraId="5C59A899" w14:textId="77777777" w:rsidR="0092342A" w:rsidRPr="0092342A" w:rsidRDefault="0092342A" w:rsidP="005D7173">
            <w:pPr>
              <w:widowControl w:val="0"/>
              <w:ind w:left="0"/>
              <w:jc w:val="both"/>
              <w:rPr>
                <w:rFonts w:ascii="Bookman Old Style" w:eastAsia="Bookman Old Style" w:hAnsi="Bookman Old Style" w:cs="Bookman Old Style"/>
                <w:i/>
                <w:iCs/>
                <w:color w:val="000000"/>
              </w:rPr>
            </w:pPr>
            <w:r w:rsidRPr="0092342A">
              <w:rPr>
                <w:rFonts w:ascii="Bookman Old Style" w:eastAsia="Bookman Old Style" w:hAnsi="Bookman Old Style" w:cs="Bookman Old Style"/>
                <w:i/>
                <w:iCs/>
                <w:color w:val="000000"/>
              </w:rPr>
              <w:t xml:space="preserve">Mes para el cual se calcula </w:t>
            </w:r>
            <w:r w:rsidRPr="0092342A">
              <w:rPr>
                <w:rFonts w:ascii="Bookman Old Style" w:eastAsia="Bookman Old Style" w:hAnsi="Bookman Old Style" w:cs="Bookman Old Style"/>
                <w:i/>
                <w:iCs/>
              </w:rPr>
              <w:t>Componente Variable del Costo Unitario de Prestación del Servicio Público de Gas Combustible por Redes de Tubería</w:t>
            </w:r>
            <w:r w:rsidRPr="0092342A">
              <w:rPr>
                <w:rFonts w:ascii="Bookman Old Style" w:eastAsia="Bookman Old Style" w:hAnsi="Bookman Old Style" w:cs="Bookman Old Style"/>
                <w:i/>
                <w:iCs/>
                <w:color w:val="000000"/>
              </w:rPr>
              <w:t>.</w:t>
            </w:r>
          </w:p>
          <w:p w14:paraId="76A5ECCA" w14:textId="77777777" w:rsidR="0092342A" w:rsidRPr="0092342A" w:rsidRDefault="0092342A" w:rsidP="005D7173">
            <w:pPr>
              <w:widowControl w:val="0"/>
              <w:ind w:left="0"/>
              <w:jc w:val="both"/>
              <w:rPr>
                <w:i/>
                <w:iCs/>
                <w:sz w:val="18"/>
                <w:szCs w:val="18"/>
              </w:rPr>
            </w:pPr>
          </w:p>
        </w:tc>
      </w:tr>
      <w:tr w:rsidR="00284E60" w:rsidRPr="00284E60" w14:paraId="2418D6FA" w14:textId="77777777" w:rsidTr="009F7E39">
        <w:trPr>
          <w:gridAfter w:val="1"/>
          <w:wAfter w:w="421" w:type="dxa"/>
        </w:trPr>
        <w:tc>
          <w:tcPr>
            <w:tcW w:w="1565" w:type="dxa"/>
          </w:tcPr>
          <w:p w14:paraId="0D131191" w14:textId="77777777" w:rsidR="00284E60" w:rsidRPr="00284E60" w:rsidRDefault="00284E60" w:rsidP="00E91A24">
            <w:pPr>
              <w:widowControl w:val="0"/>
              <w:ind w:left="0"/>
              <w:jc w:val="both"/>
              <w:rPr>
                <w:i/>
                <w:iCs/>
                <w:sz w:val="28"/>
                <w:szCs w:val="28"/>
              </w:rPr>
            </w:pPr>
            <w:r w:rsidRPr="00284E60">
              <w:rPr>
                <w:i/>
                <w:iCs/>
                <w:sz w:val="28"/>
                <w:szCs w:val="28"/>
              </w:rPr>
              <w:t>K</w:t>
            </w:r>
          </w:p>
        </w:tc>
        <w:tc>
          <w:tcPr>
            <w:tcW w:w="6032" w:type="dxa"/>
          </w:tcPr>
          <w:p w14:paraId="2F95B12F" w14:textId="77777777" w:rsidR="00284E60" w:rsidRPr="00284E60" w:rsidRDefault="00284E60" w:rsidP="00E91A24">
            <w:pPr>
              <w:widowControl w:val="0"/>
              <w:ind w:left="0"/>
              <w:jc w:val="both"/>
              <w:rPr>
                <w:rFonts w:ascii="Bookman Old Style" w:eastAsia="Bookman Old Style" w:hAnsi="Bookman Old Style" w:cs="Bookman Old Style"/>
                <w:i/>
                <w:iCs/>
                <w:color w:val="000000"/>
              </w:rPr>
            </w:pPr>
            <w:r w:rsidRPr="00284E60">
              <w:rPr>
                <w:rFonts w:ascii="Bookman Old Style" w:eastAsia="Bookman Old Style" w:hAnsi="Bookman Old Style" w:cs="Bookman Old Style"/>
                <w:i/>
                <w:iCs/>
              </w:rPr>
              <w:t xml:space="preserve">Tipo de usuario regulado: </w:t>
            </w:r>
            <w:r w:rsidRPr="00284E60">
              <w:rPr>
                <w:rFonts w:ascii="Bookman Old Style" w:eastAsia="Bookman Old Style" w:hAnsi="Bookman Old Style" w:cs="Bookman Old Style"/>
                <w:i/>
                <w:iCs/>
                <w:color w:val="000000"/>
              </w:rPr>
              <w:t xml:space="preserve">Usuario Residencial </w:t>
            </w:r>
            <w:r w:rsidRPr="00284E60">
              <w:rPr>
                <w:rFonts w:ascii="Bookman Old Style" w:eastAsia="Bookman Old Style" w:hAnsi="Bookman Old Style" w:cs="Bookman Old Style"/>
                <w:i/>
                <w:iCs/>
                <w:color w:val="000000"/>
              </w:rPr>
              <w:lastRenderedPageBreak/>
              <w:t>pertenecientes a los estratos 1 y 2.</w:t>
            </w:r>
          </w:p>
          <w:p w14:paraId="4FCDC559" w14:textId="77777777" w:rsidR="00284E60" w:rsidRPr="00284E60" w:rsidRDefault="00284E60" w:rsidP="00E91A24">
            <w:pPr>
              <w:widowControl w:val="0"/>
              <w:pBdr>
                <w:top w:val="nil"/>
                <w:left w:val="nil"/>
                <w:bottom w:val="nil"/>
                <w:right w:val="nil"/>
                <w:between w:val="nil"/>
              </w:pBdr>
              <w:ind w:left="720"/>
              <w:jc w:val="both"/>
              <w:rPr>
                <w:rFonts w:ascii="Bookman Old Style" w:eastAsia="Bookman Old Style" w:hAnsi="Bookman Old Style" w:cs="Bookman Old Style"/>
                <w:i/>
                <w:iCs/>
                <w:color w:val="000000"/>
              </w:rPr>
            </w:pPr>
          </w:p>
        </w:tc>
      </w:tr>
      <w:tr w:rsidR="00284E60" w:rsidRPr="00284E60" w14:paraId="40F085B5" w14:textId="77777777" w:rsidTr="009F7E39">
        <w:trPr>
          <w:gridAfter w:val="1"/>
          <w:wAfter w:w="421" w:type="dxa"/>
        </w:trPr>
        <w:tc>
          <w:tcPr>
            <w:tcW w:w="1565" w:type="dxa"/>
          </w:tcPr>
          <w:p w14:paraId="67FC0105" w14:textId="77777777" w:rsidR="00284E60" w:rsidRPr="00284E60" w:rsidRDefault="00284E60" w:rsidP="00E91A24">
            <w:pPr>
              <w:widowControl w:val="0"/>
              <w:ind w:left="0"/>
              <w:jc w:val="both"/>
              <w:rPr>
                <w:rFonts w:ascii="Bookman Old Style" w:eastAsia="Bookman Old Style" w:hAnsi="Bookman Old Style" w:cs="Bookman Old Style"/>
                <w:i/>
                <w:iCs/>
                <w:sz w:val="28"/>
                <w:szCs w:val="28"/>
              </w:rPr>
            </w:pPr>
            <w:proofErr w:type="spellStart"/>
            <w:proofErr w:type="gramStart"/>
            <w:r w:rsidRPr="00284E60">
              <w:rPr>
                <w:rFonts w:ascii="Bookman Old Style" w:eastAsia="Bookman Old Style" w:hAnsi="Bookman Old Style" w:cs="Bookman Old Style"/>
                <w:i/>
                <w:iCs/>
                <w:sz w:val="28"/>
                <w:szCs w:val="28"/>
              </w:rPr>
              <w:lastRenderedPageBreak/>
              <w:t>PV</w:t>
            </w:r>
            <w:r w:rsidRPr="00284E60">
              <w:rPr>
                <w:rFonts w:ascii="Bookman Old Style" w:eastAsia="Bookman Old Style" w:hAnsi="Bookman Old Style" w:cs="Bookman Old Style"/>
                <w:i/>
                <w:iCs/>
                <w:sz w:val="28"/>
                <w:szCs w:val="28"/>
                <w:vertAlign w:val="subscript"/>
              </w:rPr>
              <w:t>j,k</w:t>
            </w:r>
            <w:proofErr w:type="spellEnd"/>
            <w:proofErr w:type="gramEnd"/>
          </w:p>
        </w:tc>
        <w:tc>
          <w:tcPr>
            <w:tcW w:w="6032" w:type="dxa"/>
          </w:tcPr>
          <w:p w14:paraId="49C0129A" w14:textId="77777777" w:rsidR="00284E60" w:rsidRPr="00AD47B2" w:rsidRDefault="00284E60" w:rsidP="00E91A24">
            <w:pPr>
              <w:widowControl w:val="0"/>
              <w:ind w:left="0"/>
              <w:jc w:val="both"/>
              <w:rPr>
                <w:rFonts w:ascii="Bookman Old Style" w:eastAsia="Bookman Old Style" w:hAnsi="Bookman Old Style" w:cs="Bookman Old Style"/>
                <w:i/>
                <w:iCs/>
              </w:rPr>
            </w:pPr>
            <w:r w:rsidRPr="00AD47B2">
              <w:rPr>
                <w:rFonts w:ascii="Bookman Old Style" w:eastAsia="Bookman Old Style" w:hAnsi="Bookman Old Style" w:cs="Bookman Old Style"/>
                <w:i/>
                <w:iCs/>
                <w:color w:val="000000"/>
              </w:rPr>
              <w:t xml:space="preserve">Porcentaje de variación mensual, por tipo de usuario k, que aplicará el Comercializador j sobre el componente Variable </w:t>
            </w:r>
            <w:r w:rsidRPr="00AD47B2">
              <w:rPr>
                <w:rFonts w:ascii="Bookman Old Style" w:eastAsia="Bookman Old Style" w:hAnsi="Bookman Old Style" w:cs="Bookman Old Style"/>
                <w:i/>
                <w:iCs/>
              </w:rPr>
              <w:t>del Costo Unitario de Prestación del Servicio Público de Gas Combustible por Redes de Tubería. Este será definido por cada Comercializador y podrá cambiar de un mes a otro, pero deberá asegurarse de que</w:t>
            </w:r>
            <w:r w:rsidRPr="00AD47B2">
              <w:rPr>
                <w:rFonts w:ascii="Bookman Old Style" w:eastAsia="Bookman Old Style" w:hAnsi="Bookman Old Style" w:cs="Bookman Old Style"/>
                <w:i/>
                <w:iCs/>
                <w:strike/>
              </w:rPr>
              <w:t>, en los siguientes sesenta (60) meses,</w:t>
            </w:r>
            <w:r w:rsidRPr="00AD47B2">
              <w:rPr>
                <w:rFonts w:ascii="Bookman Old Style" w:eastAsia="Bookman Old Style" w:hAnsi="Bookman Old Style" w:cs="Bookman Old Style"/>
                <w:i/>
                <w:iCs/>
              </w:rPr>
              <w:t xml:space="preserve"> permita recuperar el Componente Variable del Costo Unitario de Prestación del Servicio. En cualquier caso, el PV:</w:t>
            </w:r>
          </w:p>
          <w:p w14:paraId="68968C76" w14:textId="77777777" w:rsidR="00284E60" w:rsidRPr="00AD47B2" w:rsidRDefault="00284E60" w:rsidP="00E91A24">
            <w:pPr>
              <w:widowControl w:val="0"/>
              <w:ind w:left="0"/>
              <w:jc w:val="both"/>
              <w:rPr>
                <w:rFonts w:ascii="Bookman Old Style" w:eastAsia="Bookman Old Style" w:hAnsi="Bookman Old Style" w:cs="Bookman Old Style"/>
                <w:i/>
                <w:iCs/>
              </w:rPr>
            </w:pPr>
          </w:p>
          <w:p w14:paraId="729787FF" w14:textId="3E1D0DAD" w:rsidR="00284E60" w:rsidRPr="00AD47B2" w:rsidRDefault="00284E60" w:rsidP="00284E60">
            <w:pPr>
              <w:widowControl w:val="0"/>
              <w:numPr>
                <w:ilvl w:val="0"/>
                <w:numId w:val="17"/>
              </w:numPr>
              <w:pBdr>
                <w:top w:val="nil"/>
                <w:left w:val="nil"/>
                <w:bottom w:val="nil"/>
                <w:right w:val="nil"/>
                <w:between w:val="nil"/>
              </w:pBdr>
              <w:jc w:val="both"/>
              <w:rPr>
                <w:i/>
                <w:iCs/>
                <w:color w:val="000000"/>
              </w:rPr>
            </w:pPr>
            <w:r w:rsidRPr="00AD47B2">
              <w:rPr>
                <w:rFonts w:ascii="Bookman Old Style" w:eastAsia="Bookman Old Style" w:hAnsi="Bookman Old Style" w:cs="Bookman Old Style"/>
                <w:i/>
                <w:iCs/>
                <w:color w:val="000000"/>
              </w:rPr>
              <w:t>Podrá tener valores negativos</w:t>
            </w:r>
            <w:r w:rsidR="00514923" w:rsidRPr="00AD47B2">
              <w:rPr>
                <w:rFonts w:ascii="Bookman Old Style" w:eastAsia="Bookman Old Style" w:hAnsi="Bookman Old Style" w:cs="Bookman Old Style"/>
                <w:i/>
                <w:iCs/>
                <w:color w:val="000000"/>
              </w:rPr>
              <w:t>.</w:t>
            </w:r>
            <w:r w:rsidRPr="00AD47B2">
              <w:rPr>
                <w:rFonts w:ascii="Bookman Old Style" w:eastAsia="Bookman Old Style" w:hAnsi="Bookman Old Style" w:cs="Bookman Old Style"/>
                <w:i/>
                <w:iCs/>
                <w:color w:val="000000"/>
              </w:rPr>
              <w:t xml:space="preserve"> </w:t>
            </w:r>
          </w:p>
          <w:p w14:paraId="3A492884" w14:textId="6C59F3B9" w:rsidR="00284E60" w:rsidRPr="00AD47B2" w:rsidRDefault="00284E60" w:rsidP="00284E60">
            <w:pPr>
              <w:widowControl w:val="0"/>
              <w:numPr>
                <w:ilvl w:val="0"/>
                <w:numId w:val="17"/>
              </w:numPr>
              <w:pBdr>
                <w:top w:val="nil"/>
                <w:left w:val="nil"/>
                <w:bottom w:val="nil"/>
                <w:right w:val="nil"/>
                <w:between w:val="nil"/>
              </w:pBdr>
              <w:jc w:val="both"/>
              <w:rPr>
                <w:i/>
                <w:iCs/>
                <w:color w:val="000000"/>
              </w:rPr>
            </w:pPr>
            <w:r w:rsidRPr="00AD47B2">
              <w:rPr>
                <w:rFonts w:ascii="Bookman Old Style" w:eastAsia="Bookman Old Style" w:hAnsi="Bookman Old Style" w:cs="Bookman Old Style"/>
                <w:i/>
                <w:iCs/>
                <w:color w:val="000000"/>
              </w:rPr>
              <w:t xml:space="preserve">Durante los </w:t>
            </w:r>
            <w:r w:rsidR="009E6B36" w:rsidRPr="00AD47B2">
              <w:rPr>
                <w:rFonts w:ascii="Bookman Old Style" w:eastAsia="Bookman Old Style" w:hAnsi="Bookman Old Style" w:cs="Bookman Old Style"/>
                <w:i/>
                <w:iCs/>
                <w:color w:val="000000"/>
              </w:rPr>
              <w:t>cuatro</w:t>
            </w:r>
            <w:r w:rsidRPr="00AD47B2">
              <w:rPr>
                <w:rFonts w:ascii="Bookman Old Style" w:eastAsia="Bookman Old Style" w:hAnsi="Bookman Old Style" w:cs="Bookman Old Style"/>
                <w:i/>
                <w:iCs/>
                <w:color w:val="000000"/>
              </w:rPr>
              <w:t xml:space="preserve"> (</w:t>
            </w:r>
            <w:r w:rsidR="009E6B36" w:rsidRPr="00AD47B2">
              <w:rPr>
                <w:rFonts w:ascii="Bookman Old Style" w:eastAsia="Bookman Old Style" w:hAnsi="Bookman Old Style" w:cs="Bookman Old Style"/>
                <w:i/>
                <w:iCs/>
                <w:color w:val="000000"/>
              </w:rPr>
              <w:t>4</w:t>
            </w:r>
            <w:r w:rsidRPr="00AD47B2">
              <w:rPr>
                <w:rFonts w:ascii="Bookman Old Style" w:eastAsia="Bookman Old Style" w:hAnsi="Bookman Old Style" w:cs="Bookman Old Style"/>
                <w:i/>
                <w:iCs/>
                <w:color w:val="000000"/>
              </w:rPr>
              <w:t xml:space="preserve">) primeros meses no podrá superar el </w:t>
            </w:r>
            <w:r w:rsidR="009E6B36" w:rsidRPr="00AD47B2">
              <w:rPr>
                <w:rFonts w:ascii="Bookman Old Style" w:eastAsia="Bookman Old Style" w:hAnsi="Bookman Old Style" w:cs="Bookman Old Style"/>
                <w:i/>
                <w:iCs/>
                <w:color w:val="000000"/>
              </w:rPr>
              <w:t>cero por ciento (</w:t>
            </w:r>
            <w:r w:rsidRPr="00AD47B2">
              <w:rPr>
                <w:rFonts w:ascii="Bookman Old Style" w:eastAsia="Bookman Old Style" w:hAnsi="Bookman Old Style" w:cs="Bookman Old Style"/>
                <w:i/>
                <w:iCs/>
                <w:color w:val="000000"/>
              </w:rPr>
              <w:t>0%</w:t>
            </w:r>
            <w:r w:rsidR="009E6B36" w:rsidRPr="00AD47B2">
              <w:rPr>
                <w:rFonts w:ascii="Bookman Old Style" w:eastAsia="Bookman Old Style" w:hAnsi="Bookman Old Style" w:cs="Bookman Old Style"/>
                <w:i/>
                <w:iCs/>
                <w:color w:val="000000"/>
              </w:rPr>
              <w:t>)</w:t>
            </w:r>
            <w:r w:rsidR="00514923" w:rsidRPr="00AD47B2">
              <w:rPr>
                <w:rFonts w:ascii="Bookman Old Style" w:eastAsia="Bookman Old Style" w:hAnsi="Bookman Old Style" w:cs="Bookman Old Style"/>
                <w:i/>
                <w:iCs/>
                <w:color w:val="000000"/>
              </w:rPr>
              <w:t>.</w:t>
            </w:r>
          </w:p>
          <w:p w14:paraId="23A41291" w14:textId="4DC60C69" w:rsidR="00284E60" w:rsidRPr="00AD47B2" w:rsidRDefault="00284E60" w:rsidP="00284E60">
            <w:pPr>
              <w:widowControl w:val="0"/>
              <w:numPr>
                <w:ilvl w:val="0"/>
                <w:numId w:val="17"/>
              </w:numPr>
              <w:pBdr>
                <w:top w:val="nil"/>
                <w:left w:val="nil"/>
                <w:bottom w:val="nil"/>
                <w:right w:val="nil"/>
                <w:between w:val="nil"/>
              </w:pBdr>
              <w:jc w:val="both"/>
              <w:rPr>
                <w:i/>
                <w:iCs/>
                <w:color w:val="000000"/>
              </w:rPr>
            </w:pPr>
            <w:r w:rsidRPr="00AD47B2">
              <w:rPr>
                <w:rFonts w:ascii="Bookman Old Style" w:eastAsia="Bookman Old Style" w:hAnsi="Bookman Old Style" w:cs="Bookman Old Style"/>
                <w:i/>
                <w:iCs/>
                <w:color w:val="000000"/>
              </w:rPr>
              <w:t>El PV acumulado de los primeros doce (12) meses no podrá superar la variación anual del Índice de Precios al Consumidor, IPC al 31 de diciembre del año inmediatamente anterior al mes de cálculo</w:t>
            </w:r>
            <w:r w:rsidR="00514923" w:rsidRPr="00AD47B2">
              <w:rPr>
                <w:rFonts w:ascii="Bookman Old Style" w:eastAsia="Bookman Old Style" w:hAnsi="Bookman Old Style" w:cs="Bookman Old Style"/>
                <w:i/>
                <w:iCs/>
                <w:color w:val="000000"/>
              </w:rPr>
              <w:t>.</w:t>
            </w:r>
          </w:p>
          <w:p w14:paraId="5FC7D565" w14:textId="7BA2775B" w:rsidR="00784345" w:rsidRPr="00AD47B2" w:rsidRDefault="00284E60" w:rsidP="00284E60">
            <w:pPr>
              <w:widowControl w:val="0"/>
              <w:numPr>
                <w:ilvl w:val="0"/>
                <w:numId w:val="17"/>
              </w:numPr>
              <w:pBdr>
                <w:top w:val="nil"/>
                <w:left w:val="nil"/>
                <w:bottom w:val="nil"/>
                <w:right w:val="nil"/>
                <w:between w:val="nil"/>
              </w:pBdr>
              <w:jc w:val="both"/>
              <w:rPr>
                <w:i/>
                <w:iCs/>
                <w:color w:val="000000"/>
              </w:rPr>
            </w:pPr>
            <w:r w:rsidRPr="00AD47B2">
              <w:rPr>
                <w:rFonts w:ascii="Bookman Old Style" w:eastAsia="Bookman Old Style" w:hAnsi="Bookman Old Style" w:cs="Bookman Old Style"/>
                <w:i/>
                <w:iCs/>
                <w:color w:val="000000"/>
              </w:rPr>
              <w:t>El PV acumulado anual en cada año de aplicación de la Opción, después de transcurridos los primeros doce (12) meses,</w:t>
            </w:r>
            <w:r w:rsidR="00515E4B" w:rsidRPr="00AD47B2">
              <w:rPr>
                <w:rFonts w:ascii="Bookman Old Style" w:eastAsia="Bookman Old Style" w:hAnsi="Bookman Old Style" w:cs="Bookman Old Style"/>
                <w:i/>
                <w:iCs/>
                <w:color w:val="000000"/>
              </w:rPr>
              <w:t xml:space="preserve"> </w:t>
            </w:r>
            <w:r w:rsidRPr="00AD47B2">
              <w:rPr>
                <w:rFonts w:ascii="Bookman Old Style" w:eastAsia="Bookman Old Style" w:hAnsi="Bookman Old Style" w:cs="Bookman Old Style"/>
                <w:i/>
                <w:iCs/>
                <w:color w:val="000000"/>
              </w:rPr>
              <w:t>no podrá ser superior a la variación anual del Índice de Precios al Consumidor, IPC, al 31 de diciembre del año inmediatamente anterior al mes de cálculo más el 6.0%.</w:t>
            </w:r>
            <w:r w:rsidR="00D304AB" w:rsidRPr="00AD47B2">
              <w:rPr>
                <w:rFonts w:ascii="Bookman Old Style" w:eastAsia="Bookman Old Style" w:hAnsi="Bookman Old Style" w:cs="Bookman Old Style"/>
                <w:i/>
                <w:iCs/>
                <w:color w:val="000000"/>
              </w:rPr>
              <w:t xml:space="preserve"> </w:t>
            </w:r>
          </w:p>
          <w:p w14:paraId="1DA75820" w14:textId="42735BFC" w:rsidR="00784345" w:rsidRPr="00AC4D51" w:rsidRDefault="00784345" w:rsidP="00784345">
            <w:pPr>
              <w:widowControl w:val="0"/>
              <w:numPr>
                <w:ilvl w:val="0"/>
                <w:numId w:val="17"/>
              </w:numPr>
              <w:pBdr>
                <w:top w:val="nil"/>
                <w:left w:val="nil"/>
                <w:bottom w:val="nil"/>
                <w:right w:val="nil"/>
                <w:between w:val="nil"/>
              </w:pBdr>
              <w:jc w:val="both"/>
              <w:rPr>
                <w:b/>
                <w:bCs/>
                <w:i/>
                <w:iCs/>
                <w:color w:val="000000"/>
              </w:rPr>
            </w:pPr>
            <w:r w:rsidRPr="00AC4D51">
              <w:rPr>
                <w:rFonts w:ascii="Bookman Old Style" w:eastAsia="Bookman Old Style" w:hAnsi="Bookman Old Style" w:cs="Bookman Old Style"/>
                <w:b/>
                <w:bCs/>
                <w:i/>
                <w:iCs/>
                <w:color w:val="000000"/>
              </w:rPr>
              <w:t xml:space="preserve">El PV acumulado </w:t>
            </w:r>
            <w:r w:rsidR="00AD47B2">
              <w:rPr>
                <w:rFonts w:ascii="Bookman Old Style" w:eastAsia="Bookman Old Style" w:hAnsi="Bookman Old Style" w:cs="Bookman Old Style"/>
                <w:b/>
                <w:bCs/>
                <w:i/>
                <w:iCs/>
                <w:color w:val="000000"/>
              </w:rPr>
              <w:t xml:space="preserve">durante </w:t>
            </w:r>
            <w:r w:rsidR="00AC4D51">
              <w:rPr>
                <w:rFonts w:ascii="Bookman Old Style" w:eastAsia="Bookman Old Style" w:hAnsi="Bookman Old Style" w:cs="Bookman Old Style"/>
                <w:b/>
                <w:bCs/>
                <w:i/>
                <w:iCs/>
                <w:color w:val="000000"/>
              </w:rPr>
              <w:t xml:space="preserve">el año 2023 </w:t>
            </w:r>
            <w:r w:rsidRPr="00AC4D51">
              <w:rPr>
                <w:rFonts w:ascii="Bookman Old Style" w:eastAsia="Bookman Old Style" w:hAnsi="Bookman Old Style" w:cs="Bookman Old Style"/>
                <w:b/>
                <w:bCs/>
                <w:i/>
                <w:iCs/>
                <w:color w:val="000000"/>
              </w:rPr>
              <w:t xml:space="preserve">con corte al mes de enero de 2024 </w:t>
            </w:r>
            <w:r w:rsidR="003E767C" w:rsidRPr="00AC4D51">
              <w:rPr>
                <w:rFonts w:ascii="Bookman Old Style" w:eastAsia="Bookman Old Style" w:hAnsi="Bookman Old Style" w:cs="Bookman Old Style"/>
                <w:b/>
                <w:bCs/>
                <w:i/>
                <w:iCs/>
                <w:color w:val="000000"/>
              </w:rPr>
              <w:t xml:space="preserve">no podrá superar </w:t>
            </w:r>
            <w:r w:rsidR="0024284E" w:rsidRPr="00AC4D51">
              <w:rPr>
                <w:rFonts w:ascii="Bookman Old Style" w:eastAsia="Bookman Old Style" w:hAnsi="Bookman Old Style" w:cs="Bookman Old Style"/>
                <w:b/>
                <w:bCs/>
                <w:i/>
                <w:iCs/>
                <w:color w:val="000000"/>
              </w:rPr>
              <w:t xml:space="preserve">el porcentaje de </w:t>
            </w:r>
            <w:r w:rsidR="003E767C" w:rsidRPr="00AC4D51">
              <w:rPr>
                <w:rFonts w:ascii="Bookman Old Style" w:eastAsia="Bookman Old Style" w:hAnsi="Bookman Old Style" w:cs="Bookman Old Style"/>
                <w:b/>
                <w:bCs/>
                <w:i/>
                <w:iCs/>
                <w:color w:val="000000"/>
              </w:rPr>
              <w:t>variación del Índice de Precios al Consumidor</w:t>
            </w:r>
            <w:r w:rsidR="0058024A" w:rsidRPr="00AC4D51">
              <w:rPr>
                <w:rFonts w:ascii="Bookman Old Style" w:eastAsia="Bookman Old Style" w:hAnsi="Bookman Old Style" w:cs="Bookman Old Style"/>
                <w:b/>
                <w:bCs/>
                <w:i/>
                <w:iCs/>
                <w:color w:val="000000"/>
              </w:rPr>
              <w:t xml:space="preserve"> </w:t>
            </w:r>
            <w:r w:rsidR="003E767C" w:rsidRPr="00AC4D51">
              <w:rPr>
                <w:rFonts w:ascii="Bookman Old Style" w:eastAsia="Bookman Old Style" w:hAnsi="Bookman Old Style" w:cs="Bookman Old Style"/>
                <w:b/>
                <w:bCs/>
                <w:i/>
                <w:iCs/>
                <w:color w:val="000000"/>
              </w:rPr>
              <w:t>IPC</w:t>
            </w:r>
            <w:r w:rsidR="0058024A" w:rsidRPr="00AC4D51">
              <w:rPr>
                <w:rFonts w:ascii="Bookman Old Style" w:eastAsia="Bookman Old Style" w:hAnsi="Bookman Old Style" w:cs="Bookman Old Style"/>
                <w:b/>
                <w:bCs/>
                <w:i/>
                <w:iCs/>
                <w:color w:val="000000"/>
              </w:rPr>
              <w:t>,</w:t>
            </w:r>
            <w:r w:rsidR="003E767C" w:rsidRPr="00AC4D51">
              <w:rPr>
                <w:rFonts w:ascii="Bookman Old Style" w:eastAsia="Bookman Old Style" w:hAnsi="Bookman Old Style" w:cs="Bookman Old Style"/>
                <w:b/>
                <w:bCs/>
                <w:i/>
                <w:iCs/>
                <w:color w:val="000000"/>
              </w:rPr>
              <w:t xml:space="preserve"> </w:t>
            </w:r>
            <w:r w:rsidR="0058024A" w:rsidRPr="00AC4D51">
              <w:rPr>
                <w:rFonts w:ascii="Bookman Old Style" w:eastAsia="Bookman Old Style" w:hAnsi="Bookman Old Style" w:cs="Bookman Old Style"/>
                <w:b/>
                <w:bCs/>
                <w:i/>
                <w:iCs/>
                <w:color w:val="000000"/>
              </w:rPr>
              <w:t>ocurrid</w:t>
            </w:r>
            <w:r w:rsidR="00AC4D51">
              <w:rPr>
                <w:rFonts w:ascii="Bookman Old Style" w:eastAsia="Bookman Old Style" w:hAnsi="Bookman Old Style" w:cs="Bookman Old Style"/>
                <w:b/>
                <w:bCs/>
                <w:i/>
                <w:iCs/>
                <w:color w:val="000000"/>
              </w:rPr>
              <w:t>o</w:t>
            </w:r>
            <w:r w:rsidR="0058024A" w:rsidRPr="00AC4D51">
              <w:rPr>
                <w:rFonts w:ascii="Bookman Old Style" w:eastAsia="Bookman Old Style" w:hAnsi="Bookman Old Style" w:cs="Bookman Old Style"/>
                <w:b/>
                <w:bCs/>
                <w:i/>
                <w:iCs/>
                <w:color w:val="000000"/>
              </w:rPr>
              <w:t xml:space="preserve"> entre diciembre del año 2021 y </w:t>
            </w:r>
            <w:r w:rsidR="003E767C" w:rsidRPr="00AC4D51">
              <w:rPr>
                <w:rFonts w:ascii="Bookman Old Style" w:eastAsia="Bookman Old Style" w:hAnsi="Bookman Old Style" w:cs="Bookman Old Style"/>
                <w:b/>
                <w:bCs/>
                <w:i/>
                <w:iCs/>
                <w:color w:val="000000"/>
              </w:rPr>
              <w:t>diciembre del año 2022.</w:t>
            </w:r>
          </w:p>
          <w:p w14:paraId="68690A82" w14:textId="36ADF316" w:rsidR="00284E60" w:rsidRPr="00AC4D51" w:rsidRDefault="00127DC1" w:rsidP="00284E60">
            <w:pPr>
              <w:widowControl w:val="0"/>
              <w:numPr>
                <w:ilvl w:val="0"/>
                <w:numId w:val="17"/>
              </w:numPr>
              <w:pBdr>
                <w:top w:val="nil"/>
                <w:left w:val="nil"/>
                <w:bottom w:val="nil"/>
                <w:right w:val="nil"/>
                <w:between w:val="nil"/>
              </w:pBdr>
              <w:jc w:val="both"/>
              <w:rPr>
                <w:b/>
                <w:bCs/>
                <w:i/>
                <w:iCs/>
                <w:color w:val="000000"/>
              </w:rPr>
            </w:pPr>
            <w:r w:rsidRPr="00AC4D51">
              <w:rPr>
                <w:rFonts w:ascii="Bookman Old Style" w:eastAsia="Bookman Old Style" w:hAnsi="Bookman Old Style" w:cs="Bookman Old Style"/>
                <w:b/>
                <w:bCs/>
                <w:i/>
                <w:iCs/>
                <w:color w:val="000000"/>
              </w:rPr>
              <w:t xml:space="preserve">A partir del mes de enero de 2024 el PV acumulado podrá </w:t>
            </w:r>
            <w:r w:rsidR="00AD47B2">
              <w:rPr>
                <w:rFonts w:ascii="Bookman Old Style" w:eastAsia="Bookman Old Style" w:hAnsi="Bookman Old Style" w:cs="Bookman Old Style"/>
                <w:b/>
                <w:bCs/>
                <w:i/>
                <w:iCs/>
                <w:color w:val="000000"/>
              </w:rPr>
              <w:t xml:space="preserve">alcanzar </w:t>
            </w:r>
            <w:r w:rsidRPr="00AC4D51">
              <w:rPr>
                <w:rFonts w:ascii="Bookman Old Style" w:eastAsia="Bookman Old Style" w:hAnsi="Bookman Old Style" w:cs="Bookman Old Style"/>
                <w:b/>
                <w:bCs/>
                <w:i/>
                <w:iCs/>
                <w:color w:val="000000"/>
              </w:rPr>
              <w:t xml:space="preserve">como máximo los porcentajes </w:t>
            </w:r>
            <w:r w:rsidR="00D304AB" w:rsidRPr="00AC4D51">
              <w:rPr>
                <w:rFonts w:ascii="Bookman Old Style" w:eastAsia="Bookman Old Style" w:hAnsi="Bookman Old Style" w:cs="Bookman Old Style"/>
                <w:b/>
                <w:bCs/>
                <w:i/>
                <w:iCs/>
                <w:color w:val="000000"/>
              </w:rPr>
              <w:t>que se establece</w:t>
            </w:r>
            <w:r w:rsidRPr="00AC4D51">
              <w:rPr>
                <w:rFonts w:ascii="Bookman Old Style" w:eastAsia="Bookman Old Style" w:hAnsi="Bookman Old Style" w:cs="Bookman Old Style"/>
                <w:b/>
                <w:bCs/>
                <w:i/>
                <w:iCs/>
                <w:color w:val="000000"/>
              </w:rPr>
              <w:t>n</w:t>
            </w:r>
            <w:r w:rsidR="00D304AB" w:rsidRPr="00AC4D51">
              <w:rPr>
                <w:rFonts w:ascii="Bookman Old Style" w:eastAsia="Bookman Old Style" w:hAnsi="Bookman Old Style" w:cs="Bookman Old Style"/>
                <w:b/>
                <w:bCs/>
                <w:i/>
                <w:iCs/>
                <w:color w:val="000000"/>
              </w:rPr>
              <w:t xml:space="preserve"> a continuación:</w:t>
            </w:r>
          </w:p>
          <w:p w14:paraId="6C1AB271" w14:textId="573C834C" w:rsidR="00D304AB" w:rsidRPr="00AC4D51" w:rsidRDefault="00D304AB" w:rsidP="00D304AB">
            <w:pPr>
              <w:widowControl w:val="0"/>
              <w:pBdr>
                <w:top w:val="nil"/>
                <w:left w:val="nil"/>
                <w:bottom w:val="nil"/>
                <w:right w:val="nil"/>
                <w:between w:val="nil"/>
              </w:pBdr>
              <w:jc w:val="both"/>
              <w:rPr>
                <w:rFonts w:ascii="Bookman Old Style" w:eastAsia="Bookman Old Style" w:hAnsi="Bookman Old Style" w:cs="Bookman Old Style"/>
                <w:b/>
                <w:bCs/>
                <w:i/>
                <w:iCs/>
                <w:color w:val="000000"/>
              </w:rPr>
            </w:pPr>
          </w:p>
          <w:tbl>
            <w:tblPr>
              <w:tblStyle w:val="Tablaconcuadrcula"/>
              <w:tblW w:w="4418" w:type="pct"/>
              <w:tblInd w:w="676" w:type="dxa"/>
              <w:tblLayout w:type="fixed"/>
              <w:tblLook w:val="04A0" w:firstRow="1" w:lastRow="0" w:firstColumn="1" w:lastColumn="0" w:noHBand="0" w:noVBand="1"/>
            </w:tblPr>
            <w:tblGrid>
              <w:gridCol w:w="2128"/>
              <w:gridCol w:w="3002"/>
            </w:tblGrid>
            <w:tr w:rsidR="00D304AB" w:rsidRPr="00AC4D51" w14:paraId="2FA25D23" w14:textId="77777777" w:rsidTr="00FA36BB">
              <w:tc>
                <w:tcPr>
                  <w:tcW w:w="2074" w:type="pct"/>
                  <w:vAlign w:val="center"/>
                </w:tcPr>
                <w:p w14:paraId="3D5B150C" w14:textId="7D356C8A" w:rsidR="00D304AB" w:rsidRPr="00AC4D51" w:rsidRDefault="00D304AB" w:rsidP="00D304AB">
                  <w:pPr>
                    <w:widowControl w:val="0"/>
                    <w:ind w:left="0"/>
                    <w:jc w:val="center"/>
                    <w:rPr>
                      <w:rFonts w:ascii="Bookman Old Style" w:hAnsi="Bookman Old Style"/>
                      <w:b/>
                      <w:bCs/>
                      <w:i/>
                      <w:iCs/>
                      <w:color w:val="000000"/>
                    </w:rPr>
                  </w:pPr>
                  <w:r w:rsidRPr="00AC4D51">
                    <w:rPr>
                      <w:rFonts w:ascii="Bookman Old Style" w:hAnsi="Bookman Old Style"/>
                      <w:b/>
                      <w:bCs/>
                      <w:i/>
                      <w:iCs/>
                      <w:color w:val="000000"/>
                    </w:rPr>
                    <w:t>Delta</w:t>
                  </w:r>
                </w:p>
              </w:tc>
              <w:tc>
                <w:tcPr>
                  <w:tcW w:w="2926" w:type="pct"/>
                  <w:vAlign w:val="center"/>
                </w:tcPr>
                <w:p w14:paraId="6A433703" w14:textId="02CBF4CE" w:rsidR="00D304AB" w:rsidRPr="00AC4D51" w:rsidRDefault="00D304AB" w:rsidP="00D304AB">
                  <w:pPr>
                    <w:widowControl w:val="0"/>
                    <w:ind w:left="0"/>
                    <w:jc w:val="center"/>
                    <w:rPr>
                      <w:rFonts w:ascii="Bookman Old Style" w:hAnsi="Bookman Old Style"/>
                      <w:b/>
                      <w:bCs/>
                      <w:i/>
                      <w:iCs/>
                      <w:color w:val="000000"/>
                    </w:rPr>
                  </w:pPr>
                  <w:proofErr w:type="gramStart"/>
                  <w:r w:rsidRPr="00AC4D51">
                    <w:rPr>
                      <w:rFonts w:ascii="Bookman Old Style" w:hAnsi="Bookman Old Style"/>
                      <w:b/>
                      <w:bCs/>
                      <w:i/>
                      <w:iCs/>
                      <w:color w:val="000000"/>
                    </w:rPr>
                    <w:t xml:space="preserve">Porcentaje </w:t>
                  </w:r>
                  <w:r w:rsidR="00213975" w:rsidRPr="00AC4D51">
                    <w:rPr>
                      <w:rFonts w:ascii="Bookman Old Style" w:hAnsi="Bookman Old Style"/>
                      <w:b/>
                      <w:bCs/>
                      <w:i/>
                      <w:iCs/>
                      <w:color w:val="000000"/>
                    </w:rPr>
                    <w:t xml:space="preserve">máximo </w:t>
                  </w:r>
                  <w:r w:rsidRPr="00AC4D51">
                    <w:rPr>
                      <w:rFonts w:ascii="Bookman Old Style" w:hAnsi="Bookman Old Style"/>
                      <w:b/>
                      <w:bCs/>
                      <w:i/>
                      <w:iCs/>
                      <w:color w:val="000000"/>
                    </w:rPr>
                    <w:t>a a</w:t>
                  </w:r>
                  <w:r w:rsidR="00D526CC" w:rsidRPr="00AC4D51">
                    <w:rPr>
                      <w:rFonts w:ascii="Bookman Old Style" w:hAnsi="Bookman Old Style"/>
                      <w:b/>
                      <w:bCs/>
                      <w:i/>
                      <w:iCs/>
                      <w:color w:val="000000"/>
                    </w:rPr>
                    <w:t>dicionar</w:t>
                  </w:r>
                  <w:proofErr w:type="gramEnd"/>
                  <w:r w:rsidR="00D526CC" w:rsidRPr="00AC4D51">
                    <w:rPr>
                      <w:rFonts w:ascii="Bookman Old Style" w:hAnsi="Bookman Old Style"/>
                      <w:b/>
                      <w:bCs/>
                      <w:i/>
                      <w:iCs/>
                      <w:color w:val="000000"/>
                    </w:rPr>
                    <w:t xml:space="preserve"> a</w:t>
                  </w:r>
                  <w:r w:rsidR="00213975" w:rsidRPr="00AC4D51">
                    <w:rPr>
                      <w:rFonts w:ascii="Bookman Old Style" w:hAnsi="Bookman Old Style"/>
                      <w:b/>
                      <w:bCs/>
                      <w:i/>
                      <w:iCs/>
                      <w:color w:val="000000"/>
                    </w:rPr>
                    <w:t xml:space="preserve"> </w:t>
                  </w:r>
                  <w:r w:rsidR="00D526CC" w:rsidRPr="00AC4D51">
                    <w:rPr>
                      <w:rFonts w:ascii="Bookman Old Style" w:hAnsi="Bookman Old Style"/>
                      <w:b/>
                      <w:bCs/>
                      <w:i/>
                      <w:iCs/>
                      <w:color w:val="000000"/>
                    </w:rPr>
                    <w:t>l</w:t>
                  </w:r>
                  <w:r w:rsidR="00213975" w:rsidRPr="00AC4D51">
                    <w:rPr>
                      <w:rFonts w:ascii="Bookman Old Style" w:hAnsi="Bookman Old Style"/>
                      <w:b/>
                      <w:bCs/>
                      <w:i/>
                      <w:iCs/>
                      <w:color w:val="000000"/>
                    </w:rPr>
                    <w:t>a</w:t>
                  </w:r>
                  <w:r w:rsidR="00D526CC" w:rsidRPr="00AC4D51">
                    <w:rPr>
                      <w:rFonts w:ascii="Bookman Old Style" w:hAnsi="Bookman Old Style"/>
                      <w:b/>
                      <w:bCs/>
                      <w:i/>
                      <w:iCs/>
                      <w:color w:val="000000"/>
                    </w:rPr>
                    <w:t xml:space="preserve"> </w:t>
                  </w:r>
                  <w:r w:rsidR="00213975" w:rsidRPr="00AC4D51">
                    <w:rPr>
                      <w:rFonts w:ascii="Bookman Old Style" w:hAnsi="Bookman Old Style"/>
                      <w:b/>
                      <w:bCs/>
                      <w:i/>
                      <w:iCs/>
                      <w:color w:val="000000"/>
                    </w:rPr>
                    <w:t xml:space="preserve">variación anual del </w:t>
                  </w:r>
                  <w:r w:rsidR="00D526CC" w:rsidRPr="00AC4D51">
                    <w:rPr>
                      <w:rFonts w:ascii="Bookman Old Style" w:hAnsi="Bookman Old Style"/>
                      <w:b/>
                      <w:bCs/>
                      <w:i/>
                      <w:iCs/>
                      <w:color w:val="000000"/>
                    </w:rPr>
                    <w:t>IPC</w:t>
                  </w:r>
                </w:p>
              </w:tc>
            </w:tr>
            <w:tr w:rsidR="00D304AB" w:rsidRPr="00AC4D51" w14:paraId="23113CA3" w14:textId="77777777" w:rsidTr="00FA36BB">
              <w:tc>
                <w:tcPr>
                  <w:tcW w:w="2074" w:type="pct"/>
                </w:tcPr>
                <w:p w14:paraId="02DBC28A" w14:textId="2165DE19" w:rsidR="00D304AB" w:rsidRPr="00AC4D51" w:rsidRDefault="00D526CC" w:rsidP="00D304AB">
                  <w:pPr>
                    <w:widowControl w:val="0"/>
                    <w:ind w:left="0"/>
                    <w:jc w:val="center"/>
                    <w:rPr>
                      <w:rFonts w:ascii="Bookman Old Style" w:hAnsi="Bookman Old Style"/>
                      <w:b/>
                      <w:bCs/>
                      <w:i/>
                      <w:iCs/>
                      <w:color w:val="000000"/>
                    </w:rPr>
                  </w:pPr>
                  <w:r w:rsidRPr="00AC4D51">
                    <w:rPr>
                      <w:rFonts w:ascii="Bookman Old Style" w:hAnsi="Bookman Old Style"/>
                      <w:b/>
                      <w:bCs/>
                      <w:i/>
                      <w:iCs/>
                      <w:color w:val="000000"/>
                    </w:rPr>
                    <w:t>&lt; 10%</w:t>
                  </w:r>
                </w:p>
              </w:tc>
              <w:tc>
                <w:tcPr>
                  <w:tcW w:w="2926" w:type="pct"/>
                </w:tcPr>
                <w:p w14:paraId="43C2CBCC" w14:textId="40E274F5" w:rsidR="00D304AB" w:rsidRPr="00AC4D51" w:rsidRDefault="00D526CC" w:rsidP="00D526CC">
                  <w:pPr>
                    <w:widowControl w:val="0"/>
                    <w:ind w:left="0"/>
                    <w:jc w:val="center"/>
                    <w:rPr>
                      <w:rFonts w:ascii="Bookman Old Style" w:hAnsi="Bookman Old Style"/>
                      <w:b/>
                      <w:bCs/>
                      <w:i/>
                      <w:iCs/>
                      <w:color w:val="000000"/>
                    </w:rPr>
                  </w:pPr>
                  <w:r w:rsidRPr="00AC4D51">
                    <w:rPr>
                      <w:rFonts w:ascii="Bookman Old Style" w:hAnsi="Bookman Old Style"/>
                      <w:b/>
                      <w:bCs/>
                      <w:i/>
                      <w:iCs/>
                      <w:color w:val="000000"/>
                    </w:rPr>
                    <w:t>6%</w:t>
                  </w:r>
                </w:p>
              </w:tc>
            </w:tr>
            <w:tr w:rsidR="00D304AB" w:rsidRPr="00AC4D51" w14:paraId="0224D6A3" w14:textId="77777777" w:rsidTr="00FA36BB">
              <w:tc>
                <w:tcPr>
                  <w:tcW w:w="2074" w:type="pct"/>
                </w:tcPr>
                <w:p w14:paraId="674FF66E" w14:textId="76EDF1E5" w:rsidR="00D304AB" w:rsidRPr="00AC4D51" w:rsidRDefault="00D526CC" w:rsidP="00D526CC">
                  <w:pPr>
                    <w:widowControl w:val="0"/>
                    <w:ind w:left="0"/>
                    <w:jc w:val="center"/>
                    <w:rPr>
                      <w:rFonts w:ascii="Bookman Old Style" w:hAnsi="Bookman Old Style"/>
                      <w:b/>
                      <w:bCs/>
                      <w:i/>
                      <w:iCs/>
                      <w:color w:val="000000"/>
                    </w:rPr>
                  </w:pPr>
                  <w:r w:rsidRPr="00AC4D51">
                    <w:rPr>
                      <w:rFonts w:ascii="Bookman Old Style" w:hAnsi="Bookman Old Style"/>
                      <w:b/>
                      <w:bCs/>
                      <w:i/>
                      <w:iCs/>
                      <w:color w:val="000000"/>
                    </w:rPr>
                    <w:t>&gt;= 10% y &lt; 20%</w:t>
                  </w:r>
                </w:p>
              </w:tc>
              <w:tc>
                <w:tcPr>
                  <w:tcW w:w="2926" w:type="pct"/>
                </w:tcPr>
                <w:p w14:paraId="01ADC32A" w14:textId="26D55D40" w:rsidR="00D304AB" w:rsidRPr="00AC4D51" w:rsidRDefault="00D526CC" w:rsidP="00D526CC">
                  <w:pPr>
                    <w:widowControl w:val="0"/>
                    <w:ind w:left="0"/>
                    <w:jc w:val="center"/>
                    <w:rPr>
                      <w:rFonts w:ascii="Bookman Old Style" w:hAnsi="Bookman Old Style"/>
                      <w:b/>
                      <w:bCs/>
                      <w:i/>
                      <w:iCs/>
                      <w:color w:val="000000"/>
                    </w:rPr>
                  </w:pPr>
                  <w:r w:rsidRPr="00AC4D51">
                    <w:rPr>
                      <w:rFonts w:ascii="Bookman Old Style" w:hAnsi="Bookman Old Style"/>
                      <w:b/>
                      <w:bCs/>
                      <w:i/>
                      <w:iCs/>
                      <w:color w:val="000000"/>
                    </w:rPr>
                    <w:t>12%</w:t>
                  </w:r>
                </w:p>
              </w:tc>
            </w:tr>
            <w:tr w:rsidR="00D304AB" w:rsidRPr="00AC4D51" w14:paraId="4CDA54FF" w14:textId="77777777" w:rsidTr="00FA36BB">
              <w:tc>
                <w:tcPr>
                  <w:tcW w:w="2074" w:type="pct"/>
                </w:tcPr>
                <w:p w14:paraId="5A4ADD6B" w14:textId="7144F37B" w:rsidR="00D304AB" w:rsidRPr="00AC4D51" w:rsidRDefault="00D526CC" w:rsidP="00D526CC">
                  <w:pPr>
                    <w:widowControl w:val="0"/>
                    <w:ind w:left="0"/>
                    <w:jc w:val="center"/>
                    <w:rPr>
                      <w:rFonts w:ascii="Bookman Old Style" w:hAnsi="Bookman Old Style"/>
                      <w:b/>
                      <w:bCs/>
                      <w:i/>
                      <w:iCs/>
                      <w:color w:val="000000"/>
                    </w:rPr>
                  </w:pPr>
                  <w:r w:rsidRPr="00AC4D51">
                    <w:rPr>
                      <w:rFonts w:ascii="Bookman Old Style" w:hAnsi="Bookman Old Style"/>
                      <w:b/>
                      <w:bCs/>
                      <w:i/>
                      <w:iCs/>
                      <w:color w:val="000000"/>
                    </w:rPr>
                    <w:t>&gt;= 20% y &lt; 30%</w:t>
                  </w:r>
                </w:p>
              </w:tc>
              <w:tc>
                <w:tcPr>
                  <w:tcW w:w="2926" w:type="pct"/>
                </w:tcPr>
                <w:p w14:paraId="051D372C" w14:textId="4B06CCC6" w:rsidR="00D304AB" w:rsidRPr="00AC4D51" w:rsidRDefault="00D526CC" w:rsidP="00D526CC">
                  <w:pPr>
                    <w:widowControl w:val="0"/>
                    <w:ind w:left="0"/>
                    <w:jc w:val="center"/>
                    <w:rPr>
                      <w:rFonts w:ascii="Bookman Old Style" w:hAnsi="Bookman Old Style"/>
                      <w:b/>
                      <w:bCs/>
                      <w:i/>
                      <w:iCs/>
                      <w:color w:val="000000"/>
                    </w:rPr>
                  </w:pPr>
                  <w:r w:rsidRPr="00AC4D51">
                    <w:rPr>
                      <w:rFonts w:ascii="Bookman Old Style" w:hAnsi="Bookman Old Style"/>
                      <w:b/>
                      <w:bCs/>
                      <w:i/>
                      <w:iCs/>
                      <w:color w:val="000000"/>
                    </w:rPr>
                    <w:t>18%</w:t>
                  </w:r>
                </w:p>
              </w:tc>
            </w:tr>
            <w:tr w:rsidR="00D304AB" w:rsidRPr="00AC4D51" w14:paraId="78939350" w14:textId="77777777" w:rsidTr="00FA36BB">
              <w:trPr>
                <w:trHeight w:val="47"/>
              </w:trPr>
              <w:tc>
                <w:tcPr>
                  <w:tcW w:w="2074" w:type="pct"/>
                </w:tcPr>
                <w:p w14:paraId="6EFB9573" w14:textId="5C061AF4" w:rsidR="00D304AB" w:rsidRPr="00AC4D51" w:rsidRDefault="00D526CC" w:rsidP="00D526CC">
                  <w:pPr>
                    <w:widowControl w:val="0"/>
                    <w:ind w:left="0"/>
                    <w:jc w:val="center"/>
                    <w:rPr>
                      <w:rFonts w:ascii="Bookman Old Style" w:hAnsi="Bookman Old Style"/>
                      <w:b/>
                      <w:bCs/>
                      <w:i/>
                      <w:iCs/>
                      <w:color w:val="000000"/>
                    </w:rPr>
                  </w:pPr>
                  <w:r w:rsidRPr="00AC4D51">
                    <w:rPr>
                      <w:rFonts w:ascii="Bookman Old Style" w:hAnsi="Bookman Old Style"/>
                      <w:b/>
                      <w:bCs/>
                      <w:i/>
                      <w:iCs/>
                      <w:color w:val="000000"/>
                    </w:rPr>
                    <w:t>&gt;= 30%</w:t>
                  </w:r>
                </w:p>
              </w:tc>
              <w:tc>
                <w:tcPr>
                  <w:tcW w:w="2926" w:type="pct"/>
                </w:tcPr>
                <w:p w14:paraId="44A13C50" w14:textId="167818CE" w:rsidR="00D304AB" w:rsidRPr="00AC4D51" w:rsidRDefault="00D526CC" w:rsidP="00D526CC">
                  <w:pPr>
                    <w:widowControl w:val="0"/>
                    <w:ind w:left="0"/>
                    <w:jc w:val="center"/>
                    <w:rPr>
                      <w:rFonts w:ascii="Bookman Old Style" w:hAnsi="Bookman Old Style"/>
                      <w:b/>
                      <w:bCs/>
                      <w:i/>
                      <w:iCs/>
                      <w:color w:val="000000"/>
                    </w:rPr>
                  </w:pPr>
                  <w:r w:rsidRPr="00AC4D51">
                    <w:rPr>
                      <w:rFonts w:ascii="Bookman Old Style" w:hAnsi="Bookman Old Style"/>
                      <w:b/>
                      <w:bCs/>
                      <w:i/>
                      <w:iCs/>
                      <w:color w:val="000000"/>
                    </w:rPr>
                    <w:t>24%</w:t>
                  </w:r>
                </w:p>
              </w:tc>
            </w:tr>
          </w:tbl>
          <w:p w14:paraId="54BE1869" w14:textId="2C127F80" w:rsidR="00D304AB" w:rsidRPr="00AC4D51" w:rsidRDefault="00D304AB" w:rsidP="00D304AB">
            <w:pPr>
              <w:widowControl w:val="0"/>
              <w:pBdr>
                <w:top w:val="nil"/>
                <w:left w:val="nil"/>
                <w:bottom w:val="nil"/>
                <w:right w:val="nil"/>
                <w:between w:val="nil"/>
              </w:pBdr>
              <w:jc w:val="both"/>
              <w:rPr>
                <w:b/>
                <w:bCs/>
                <w:i/>
                <w:iCs/>
                <w:color w:val="000000"/>
              </w:rPr>
            </w:pPr>
          </w:p>
          <w:p w14:paraId="166D5D2A" w14:textId="759D9F66" w:rsidR="00D304AB" w:rsidRPr="00AC4D51" w:rsidRDefault="00D304AB" w:rsidP="00D304AB">
            <w:pPr>
              <w:widowControl w:val="0"/>
              <w:pBdr>
                <w:top w:val="nil"/>
                <w:left w:val="nil"/>
                <w:bottom w:val="nil"/>
                <w:right w:val="nil"/>
                <w:between w:val="nil"/>
              </w:pBdr>
              <w:jc w:val="both"/>
              <w:rPr>
                <w:rFonts w:ascii="Bookman Old Style" w:hAnsi="Bookman Old Style"/>
                <w:b/>
                <w:bCs/>
                <w:i/>
                <w:iCs/>
                <w:color w:val="000000"/>
              </w:rPr>
            </w:pPr>
            <w:r w:rsidRPr="00AC4D51">
              <w:rPr>
                <w:rFonts w:ascii="Bookman Old Style" w:hAnsi="Bookman Old Style"/>
                <w:b/>
                <w:bCs/>
                <w:i/>
                <w:iCs/>
                <w:color w:val="000000"/>
              </w:rPr>
              <w:lastRenderedPageBreak/>
              <w:t xml:space="preserve">El valor de Delta </w:t>
            </w:r>
            <w:r w:rsidR="00AC4D51">
              <w:rPr>
                <w:rFonts w:ascii="Bookman Old Style" w:hAnsi="Bookman Old Style"/>
                <w:b/>
                <w:bCs/>
                <w:i/>
                <w:iCs/>
                <w:color w:val="000000"/>
              </w:rPr>
              <w:t xml:space="preserve">de cada mercado </w:t>
            </w:r>
            <w:r w:rsidRPr="00AC4D51">
              <w:rPr>
                <w:rFonts w:ascii="Bookman Old Style" w:hAnsi="Bookman Old Style"/>
                <w:b/>
                <w:bCs/>
                <w:i/>
                <w:iCs/>
                <w:color w:val="000000"/>
              </w:rPr>
              <w:t>se obtendrá</w:t>
            </w:r>
            <w:r w:rsidR="00FA36BB" w:rsidRPr="00AC4D51">
              <w:rPr>
                <w:rFonts w:ascii="Bookman Old Style" w:hAnsi="Bookman Old Style"/>
                <w:b/>
                <w:bCs/>
                <w:i/>
                <w:iCs/>
                <w:color w:val="000000"/>
              </w:rPr>
              <w:t>,</w:t>
            </w:r>
            <w:r w:rsidRPr="00AC4D51">
              <w:rPr>
                <w:rFonts w:ascii="Bookman Old Style" w:hAnsi="Bookman Old Style"/>
                <w:b/>
                <w:bCs/>
                <w:i/>
                <w:iCs/>
                <w:color w:val="000000"/>
              </w:rPr>
              <w:t xml:space="preserve"> </w:t>
            </w:r>
            <w:r w:rsidR="007D1DEF" w:rsidRPr="00AC4D51">
              <w:rPr>
                <w:rFonts w:ascii="Bookman Old Style" w:hAnsi="Bookman Old Style"/>
                <w:b/>
                <w:bCs/>
                <w:i/>
                <w:iCs/>
                <w:color w:val="000000"/>
              </w:rPr>
              <w:t>por una sola vez</w:t>
            </w:r>
            <w:r w:rsidR="00AC4D51">
              <w:rPr>
                <w:rFonts w:ascii="Bookman Old Style" w:hAnsi="Bookman Old Style"/>
                <w:b/>
                <w:bCs/>
                <w:i/>
                <w:iCs/>
                <w:color w:val="000000"/>
              </w:rPr>
              <w:t xml:space="preserve">, </w:t>
            </w:r>
            <w:r w:rsidR="00E67D49" w:rsidRPr="00AC4D51">
              <w:rPr>
                <w:rFonts w:ascii="Bookman Old Style" w:hAnsi="Bookman Old Style"/>
                <w:b/>
                <w:bCs/>
                <w:i/>
                <w:iCs/>
                <w:color w:val="000000"/>
              </w:rPr>
              <w:t xml:space="preserve">con </w:t>
            </w:r>
            <w:r w:rsidR="00AC4D51">
              <w:rPr>
                <w:rFonts w:ascii="Bookman Old Style" w:hAnsi="Bookman Old Style"/>
                <w:b/>
                <w:bCs/>
                <w:i/>
                <w:iCs/>
                <w:color w:val="000000"/>
              </w:rPr>
              <w:t xml:space="preserve">base en </w:t>
            </w:r>
            <w:proofErr w:type="gramStart"/>
            <w:r w:rsidRPr="00AC4D51">
              <w:rPr>
                <w:rFonts w:ascii="Bookman Old Style" w:hAnsi="Bookman Old Style"/>
                <w:b/>
                <w:bCs/>
                <w:i/>
                <w:iCs/>
                <w:color w:val="000000"/>
              </w:rPr>
              <w:t xml:space="preserve">el </w:t>
            </w:r>
            <w:r w:rsidR="00FA36BB" w:rsidRPr="00AC4D51">
              <w:rPr>
                <w:rFonts w:ascii="Bookman Old Style" w:hAnsi="Bookman Old Style"/>
                <w:b/>
                <w:bCs/>
                <w:i/>
                <w:iCs/>
                <w:color w:val="000000"/>
              </w:rPr>
              <w:t xml:space="preserve"> </w:t>
            </w:r>
            <w:r w:rsidRPr="00AC4D51">
              <w:rPr>
                <w:rFonts w:ascii="Bookman Old Style" w:hAnsi="Bookman Old Style"/>
                <w:b/>
                <w:bCs/>
                <w:i/>
                <w:iCs/>
                <w:color w:val="000000"/>
              </w:rPr>
              <w:t>siguiente</w:t>
            </w:r>
            <w:proofErr w:type="gramEnd"/>
            <w:r w:rsidRPr="00AC4D51">
              <w:rPr>
                <w:rFonts w:ascii="Bookman Old Style" w:hAnsi="Bookman Old Style"/>
                <w:b/>
                <w:bCs/>
                <w:i/>
                <w:iCs/>
                <w:color w:val="000000"/>
              </w:rPr>
              <w:t xml:space="preserve"> cálculo</w:t>
            </w:r>
            <w:r w:rsidR="00514923" w:rsidRPr="00AC4D51">
              <w:rPr>
                <w:rFonts w:ascii="Bookman Old Style" w:hAnsi="Bookman Old Style"/>
                <w:b/>
                <w:bCs/>
                <w:i/>
                <w:iCs/>
                <w:color w:val="000000"/>
              </w:rPr>
              <w:t>:</w:t>
            </w:r>
          </w:p>
          <w:p w14:paraId="72ED9A04" w14:textId="203A8C8F" w:rsidR="00D304AB" w:rsidRPr="00AC4D51" w:rsidRDefault="00D304AB" w:rsidP="00D304AB">
            <w:pPr>
              <w:widowControl w:val="0"/>
              <w:pBdr>
                <w:top w:val="nil"/>
                <w:left w:val="nil"/>
                <w:bottom w:val="nil"/>
                <w:right w:val="nil"/>
                <w:between w:val="nil"/>
              </w:pBdr>
              <w:jc w:val="both"/>
              <w:rPr>
                <w:rFonts w:ascii="Bookman Old Style" w:hAnsi="Bookman Old Style"/>
                <w:b/>
                <w:bCs/>
                <w:i/>
                <w:iCs/>
                <w:color w:val="000000"/>
              </w:rPr>
            </w:pPr>
          </w:p>
          <w:p w14:paraId="012EFC3B" w14:textId="3AF9158C" w:rsidR="00D304AB" w:rsidRPr="00AC4D51" w:rsidRDefault="00D304AB" w:rsidP="00D304AB">
            <w:pPr>
              <w:widowControl w:val="0"/>
              <w:pBdr>
                <w:top w:val="nil"/>
                <w:left w:val="nil"/>
                <w:bottom w:val="nil"/>
                <w:right w:val="nil"/>
                <w:between w:val="nil"/>
              </w:pBdr>
              <w:jc w:val="both"/>
              <w:rPr>
                <w:rFonts w:ascii="Bookman Old Style" w:hAnsi="Bookman Old Style"/>
                <w:b/>
                <w:bCs/>
                <w:i/>
                <w:iCs/>
                <w:color w:val="000000"/>
                <w:sz w:val="22"/>
                <w:szCs w:val="22"/>
              </w:rPr>
            </w:pPr>
            <w:r w:rsidRPr="00AC4D51">
              <w:rPr>
                <w:rFonts w:ascii="Bookman Old Style" w:hAnsi="Bookman Old Style"/>
                <w:b/>
                <w:bCs/>
                <w:i/>
                <w:iCs/>
                <w:color w:val="000000"/>
                <w:sz w:val="22"/>
                <w:szCs w:val="22"/>
              </w:rPr>
              <w:t>Delta</w:t>
            </w:r>
            <w:r w:rsidR="00AC4D51">
              <w:rPr>
                <w:rFonts w:ascii="Bookman Old Style" w:hAnsi="Bookman Old Style"/>
                <w:b/>
                <w:bCs/>
                <w:i/>
                <w:iCs/>
                <w:color w:val="000000"/>
                <w:sz w:val="22"/>
                <w:szCs w:val="22"/>
              </w:rPr>
              <w:t xml:space="preserve"> </w:t>
            </w:r>
            <w:r w:rsidRPr="00AC4D51">
              <w:rPr>
                <w:rFonts w:ascii="Bookman Old Style" w:hAnsi="Bookman Old Style"/>
                <w:b/>
                <w:bCs/>
                <w:i/>
                <w:iCs/>
                <w:color w:val="000000"/>
                <w:sz w:val="22"/>
                <w:szCs w:val="22"/>
              </w:rPr>
              <w:t>=</w:t>
            </w:r>
            <w:r w:rsidR="00AC4D51">
              <w:rPr>
                <w:rFonts w:ascii="Bookman Old Style" w:hAnsi="Bookman Old Style"/>
                <w:b/>
                <w:bCs/>
                <w:i/>
                <w:iCs/>
                <w:color w:val="000000"/>
                <w:sz w:val="22"/>
                <w:szCs w:val="22"/>
              </w:rPr>
              <w:t xml:space="preserve"> </w:t>
            </w:r>
            <w:r w:rsidRPr="00AC4D51">
              <w:rPr>
                <w:rFonts w:ascii="Bookman Old Style" w:hAnsi="Bookman Old Style"/>
                <w:b/>
                <w:bCs/>
                <w:i/>
                <w:iCs/>
                <w:color w:val="000000"/>
                <w:sz w:val="22"/>
                <w:szCs w:val="22"/>
              </w:rPr>
              <w:t>(</w:t>
            </w:r>
            <m:oMath>
              <m:sSub>
                <m:sSubPr>
                  <m:ctrlPr>
                    <w:rPr>
                      <w:rFonts w:ascii="Cambria Math" w:eastAsia="Cambria Math" w:hAnsi="Cambria Math" w:cs="Cambria Math"/>
                      <w:b/>
                      <w:bCs/>
                      <w:i/>
                      <w:iCs/>
                      <w:sz w:val="22"/>
                      <w:szCs w:val="22"/>
                    </w:rPr>
                  </m:ctrlPr>
                </m:sSubPr>
                <m:e>
                  <m:r>
                    <m:rPr>
                      <m:sty m:val="bi"/>
                    </m:rPr>
                    <w:rPr>
                      <w:rFonts w:ascii="Cambria Math" w:eastAsia="Cambria Math" w:hAnsi="Cambria Math" w:cs="Cambria Math"/>
                      <w:sz w:val="22"/>
                      <w:szCs w:val="22"/>
                    </w:rPr>
                    <m:t>CUvR</m:t>
                  </m:r>
                </m:e>
                <m:sub>
                  <m:r>
                    <m:rPr>
                      <m:sty m:val="bi"/>
                    </m:rPr>
                    <w:rPr>
                      <w:rFonts w:ascii="Cambria Math" w:eastAsia="Cambria Math" w:hAnsi="Cambria Math" w:cs="Cambria Math"/>
                      <w:sz w:val="22"/>
                      <w:szCs w:val="22"/>
                    </w:rPr>
                    <m:t>m-1,i,j,k</m:t>
                  </m:r>
                </m:sub>
              </m:sSub>
            </m:oMath>
            <w:r w:rsidRPr="00AC4D51">
              <w:rPr>
                <w:rFonts w:ascii="Bookman Old Style" w:hAnsi="Bookman Old Style"/>
                <w:b/>
                <w:bCs/>
                <w:i/>
                <w:iCs/>
                <w:color w:val="000000"/>
                <w:sz w:val="22"/>
                <w:szCs w:val="22"/>
              </w:rPr>
              <w:t xml:space="preserve">– </w:t>
            </w:r>
            <m:oMath>
              <m:sSub>
                <m:sSubPr>
                  <m:ctrlPr>
                    <w:rPr>
                      <w:rFonts w:ascii="Cambria Math" w:eastAsia="Cambria Math" w:hAnsi="Cambria Math" w:cs="Cambria Math"/>
                      <w:b/>
                      <w:bCs/>
                      <w:i/>
                      <w:iCs/>
                      <w:sz w:val="22"/>
                      <w:szCs w:val="22"/>
                    </w:rPr>
                  </m:ctrlPr>
                </m:sSubPr>
                <m:e>
                  <m:r>
                    <m:rPr>
                      <m:sty m:val="bi"/>
                    </m:rPr>
                    <w:rPr>
                      <w:rFonts w:ascii="Cambria Math" w:eastAsia="Cambria Math" w:hAnsi="Cambria Math" w:cs="Cambria Math"/>
                      <w:sz w:val="22"/>
                      <w:szCs w:val="22"/>
                    </w:rPr>
                    <m:t>CUvA</m:t>
                  </m:r>
                </m:e>
                <m:sub>
                  <m:r>
                    <m:rPr>
                      <m:sty m:val="bi"/>
                    </m:rPr>
                    <w:rPr>
                      <w:rFonts w:ascii="Cambria Math" w:eastAsia="Cambria Math" w:hAnsi="Cambria Math" w:cs="Cambria Math"/>
                      <w:sz w:val="22"/>
                      <w:szCs w:val="22"/>
                    </w:rPr>
                    <m:t>m-1,i,j,k</m:t>
                  </m:r>
                </m:sub>
              </m:sSub>
            </m:oMath>
            <w:r w:rsidRPr="00AC4D51">
              <w:rPr>
                <w:rFonts w:ascii="Bookman Old Style" w:hAnsi="Bookman Old Style"/>
                <w:b/>
                <w:bCs/>
                <w:i/>
                <w:iCs/>
                <w:color w:val="000000"/>
                <w:sz w:val="22"/>
                <w:szCs w:val="22"/>
              </w:rPr>
              <w:t>)/</w:t>
            </w:r>
            <m:oMath>
              <m:sSub>
                <m:sSubPr>
                  <m:ctrlPr>
                    <w:rPr>
                      <w:rFonts w:ascii="Cambria Math" w:eastAsia="Cambria Math" w:hAnsi="Cambria Math" w:cs="Cambria Math"/>
                      <w:b/>
                      <w:bCs/>
                      <w:i/>
                      <w:iCs/>
                      <w:sz w:val="22"/>
                      <w:szCs w:val="22"/>
                    </w:rPr>
                  </m:ctrlPr>
                </m:sSubPr>
                <m:e>
                  <m:r>
                    <m:rPr>
                      <m:sty m:val="bi"/>
                    </m:rPr>
                    <w:rPr>
                      <w:rFonts w:ascii="Cambria Math" w:eastAsia="Cambria Math" w:hAnsi="Cambria Math" w:cs="Cambria Math"/>
                      <w:sz w:val="22"/>
                      <w:szCs w:val="22"/>
                    </w:rPr>
                    <m:t>CUvA</m:t>
                  </m:r>
                </m:e>
                <m:sub>
                  <m:r>
                    <m:rPr>
                      <m:sty m:val="bi"/>
                    </m:rPr>
                    <w:rPr>
                      <w:rFonts w:ascii="Cambria Math" w:eastAsia="Cambria Math" w:hAnsi="Cambria Math" w:cs="Cambria Math"/>
                      <w:sz w:val="22"/>
                      <w:szCs w:val="22"/>
                    </w:rPr>
                    <m:t>m-1,i,j,k</m:t>
                  </m:r>
                </m:sub>
              </m:sSub>
            </m:oMath>
          </w:p>
          <w:p w14:paraId="156DECB2" w14:textId="0A6F7500" w:rsidR="00D304AB" w:rsidRPr="00AC4D51" w:rsidRDefault="00D304AB" w:rsidP="00D304AB">
            <w:pPr>
              <w:widowControl w:val="0"/>
              <w:pBdr>
                <w:top w:val="nil"/>
                <w:left w:val="nil"/>
                <w:bottom w:val="nil"/>
                <w:right w:val="nil"/>
                <w:between w:val="nil"/>
              </w:pBdr>
              <w:jc w:val="both"/>
              <w:rPr>
                <w:rFonts w:ascii="Bookman Old Style" w:hAnsi="Bookman Old Style"/>
                <w:b/>
                <w:bCs/>
                <w:i/>
                <w:iCs/>
                <w:color w:val="000000"/>
              </w:rPr>
            </w:pPr>
          </w:p>
          <w:p w14:paraId="70E82CD5" w14:textId="23EF3B42" w:rsidR="004A22C4" w:rsidRPr="00AC4D51" w:rsidRDefault="004A22C4" w:rsidP="00D304AB">
            <w:pPr>
              <w:widowControl w:val="0"/>
              <w:pBdr>
                <w:top w:val="nil"/>
                <w:left w:val="nil"/>
                <w:bottom w:val="nil"/>
                <w:right w:val="nil"/>
                <w:between w:val="nil"/>
              </w:pBdr>
              <w:jc w:val="both"/>
              <w:rPr>
                <w:rFonts w:ascii="Bookman Old Style" w:hAnsi="Bookman Old Style"/>
                <w:b/>
                <w:bCs/>
                <w:i/>
                <w:iCs/>
                <w:color w:val="000000"/>
              </w:rPr>
            </w:pPr>
            <w:r w:rsidRPr="00AC4D51">
              <w:rPr>
                <w:rFonts w:ascii="Bookman Old Style" w:hAnsi="Bookman Old Style"/>
                <w:b/>
                <w:bCs/>
                <w:i/>
                <w:iCs/>
                <w:color w:val="000000"/>
              </w:rPr>
              <w:t>Donde:</w:t>
            </w:r>
          </w:p>
          <w:p w14:paraId="2BC125C6" w14:textId="2BD2EBC1" w:rsidR="004A22C4" w:rsidRPr="00AC4D51" w:rsidRDefault="004A22C4" w:rsidP="00D304AB">
            <w:pPr>
              <w:widowControl w:val="0"/>
              <w:pBdr>
                <w:top w:val="nil"/>
                <w:left w:val="nil"/>
                <w:bottom w:val="nil"/>
                <w:right w:val="nil"/>
                <w:between w:val="nil"/>
              </w:pBdr>
              <w:jc w:val="both"/>
              <w:rPr>
                <w:rFonts w:ascii="Bookman Old Style" w:hAnsi="Bookman Old Style"/>
                <w:b/>
                <w:bCs/>
                <w:i/>
                <w:iCs/>
                <w:color w:val="000000"/>
              </w:rPr>
            </w:pPr>
          </w:p>
          <w:p w14:paraId="55AB2840" w14:textId="00BC81B1" w:rsidR="004A22C4" w:rsidRPr="00AC4D51" w:rsidRDefault="004A22C4" w:rsidP="00FA36BB">
            <w:pPr>
              <w:widowControl w:val="0"/>
              <w:pBdr>
                <w:top w:val="nil"/>
                <w:left w:val="nil"/>
                <w:bottom w:val="nil"/>
                <w:right w:val="nil"/>
                <w:between w:val="nil"/>
              </w:pBdr>
              <w:ind w:left="1248" w:hanging="709"/>
              <w:jc w:val="both"/>
              <w:rPr>
                <w:rFonts w:ascii="Bookman Old Style" w:hAnsi="Bookman Old Style"/>
                <w:b/>
                <w:bCs/>
                <w:i/>
                <w:iCs/>
                <w:color w:val="000000"/>
              </w:rPr>
            </w:pPr>
            <w:r w:rsidRPr="00AC4D51">
              <w:rPr>
                <w:rFonts w:ascii="Bookman Old Style" w:hAnsi="Bookman Old Style"/>
                <w:b/>
                <w:bCs/>
                <w:i/>
                <w:iCs/>
                <w:color w:val="000000"/>
              </w:rPr>
              <w:t xml:space="preserve">m-1: corresponde al mes </w:t>
            </w:r>
            <w:r w:rsidR="00127DC1" w:rsidRPr="00AC4D51">
              <w:rPr>
                <w:rFonts w:ascii="Bookman Old Style" w:hAnsi="Bookman Old Style"/>
                <w:b/>
                <w:bCs/>
                <w:i/>
                <w:iCs/>
                <w:color w:val="000000"/>
              </w:rPr>
              <w:t>de diciembre de 2023</w:t>
            </w:r>
            <w:r w:rsidRPr="00AC4D51">
              <w:rPr>
                <w:rFonts w:ascii="Bookman Old Style" w:hAnsi="Bookman Old Style"/>
                <w:b/>
                <w:bCs/>
                <w:i/>
                <w:iCs/>
                <w:color w:val="000000"/>
              </w:rPr>
              <w:t>.</w:t>
            </w:r>
          </w:p>
          <w:p w14:paraId="6E23B8E5" w14:textId="6B792246" w:rsidR="004A22C4" w:rsidRPr="00AC4D51" w:rsidRDefault="004A22C4" w:rsidP="00FA36BB">
            <w:pPr>
              <w:widowControl w:val="0"/>
              <w:pBdr>
                <w:top w:val="nil"/>
                <w:left w:val="nil"/>
                <w:bottom w:val="nil"/>
                <w:right w:val="nil"/>
                <w:between w:val="nil"/>
              </w:pBdr>
              <w:ind w:left="1248" w:hanging="709"/>
              <w:jc w:val="both"/>
              <w:rPr>
                <w:rFonts w:ascii="Bookman Old Style" w:hAnsi="Bookman Old Style"/>
                <w:b/>
                <w:bCs/>
                <w:i/>
                <w:iCs/>
                <w:color w:val="000000"/>
              </w:rPr>
            </w:pPr>
          </w:p>
          <w:p w14:paraId="2124C5A7" w14:textId="66391796" w:rsidR="004A22C4" w:rsidRPr="00AC4D51" w:rsidRDefault="004A22C4" w:rsidP="00FA36BB">
            <w:pPr>
              <w:widowControl w:val="0"/>
              <w:pBdr>
                <w:top w:val="nil"/>
                <w:left w:val="nil"/>
                <w:bottom w:val="nil"/>
                <w:right w:val="nil"/>
                <w:between w:val="nil"/>
              </w:pBdr>
              <w:ind w:left="1248" w:hanging="709"/>
              <w:jc w:val="both"/>
              <w:rPr>
                <w:rFonts w:ascii="Bookman Old Style" w:hAnsi="Bookman Old Style"/>
                <w:b/>
                <w:bCs/>
                <w:i/>
                <w:iCs/>
                <w:color w:val="000000"/>
              </w:rPr>
            </w:pPr>
            <w:r w:rsidRPr="00AC4D51">
              <w:rPr>
                <w:rFonts w:ascii="Bookman Old Style" w:hAnsi="Bookman Old Style"/>
                <w:b/>
                <w:bCs/>
                <w:i/>
                <w:iCs/>
                <w:color w:val="000000"/>
              </w:rPr>
              <w:t xml:space="preserve">k:  tipo de usuario residencial que </w:t>
            </w:r>
            <w:r w:rsidR="00127DC1" w:rsidRPr="00AC4D51">
              <w:rPr>
                <w:rFonts w:ascii="Bookman Old Style" w:hAnsi="Bookman Old Style"/>
                <w:b/>
                <w:bCs/>
                <w:i/>
                <w:iCs/>
                <w:color w:val="000000"/>
              </w:rPr>
              <w:t xml:space="preserve">para efecto de cálculo </w:t>
            </w:r>
            <w:r w:rsidRPr="00AC4D51">
              <w:rPr>
                <w:rFonts w:ascii="Bookman Old Style" w:hAnsi="Bookman Old Style"/>
                <w:b/>
                <w:bCs/>
                <w:i/>
                <w:iCs/>
                <w:color w:val="000000"/>
              </w:rPr>
              <w:t>corr</w:t>
            </w:r>
            <w:r w:rsidR="00BD6BC9" w:rsidRPr="00AC4D51">
              <w:rPr>
                <w:rFonts w:ascii="Bookman Old Style" w:hAnsi="Bookman Old Style"/>
                <w:b/>
                <w:bCs/>
                <w:i/>
                <w:iCs/>
                <w:color w:val="000000"/>
              </w:rPr>
              <w:t>e</w:t>
            </w:r>
            <w:r w:rsidRPr="00AC4D51">
              <w:rPr>
                <w:rFonts w:ascii="Bookman Old Style" w:hAnsi="Bookman Old Style"/>
                <w:b/>
                <w:bCs/>
                <w:i/>
                <w:iCs/>
                <w:color w:val="000000"/>
              </w:rPr>
              <w:t>sponde al estrato 1</w:t>
            </w:r>
            <w:r w:rsidR="008B35CE" w:rsidRPr="00AC4D51">
              <w:rPr>
                <w:rFonts w:ascii="Bookman Old Style" w:hAnsi="Bookman Old Style"/>
                <w:b/>
                <w:bCs/>
                <w:i/>
                <w:iCs/>
                <w:color w:val="000000"/>
              </w:rPr>
              <w:t>.</w:t>
            </w:r>
            <w:r w:rsidRPr="00AC4D51">
              <w:rPr>
                <w:rFonts w:ascii="Bookman Old Style" w:hAnsi="Bookman Old Style"/>
                <w:b/>
                <w:bCs/>
                <w:i/>
                <w:iCs/>
                <w:color w:val="000000"/>
              </w:rPr>
              <w:t xml:space="preserve"> </w:t>
            </w:r>
          </w:p>
          <w:p w14:paraId="0260C568" w14:textId="059D9BD2" w:rsidR="00D304AB" w:rsidRPr="00AC4D51" w:rsidRDefault="00D304AB" w:rsidP="00D304AB">
            <w:pPr>
              <w:widowControl w:val="0"/>
              <w:pBdr>
                <w:top w:val="nil"/>
                <w:left w:val="nil"/>
                <w:bottom w:val="nil"/>
                <w:right w:val="nil"/>
                <w:between w:val="nil"/>
              </w:pBdr>
              <w:jc w:val="both"/>
              <w:rPr>
                <w:rFonts w:ascii="Bookman Old Style" w:hAnsi="Bookman Old Style"/>
                <w:b/>
                <w:bCs/>
                <w:i/>
                <w:iCs/>
                <w:color w:val="000000"/>
              </w:rPr>
            </w:pPr>
          </w:p>
          <w:p w14:paraId="5CB21263" w14:textId="0BA9D217" w:rsidR="00D304AB" w:rsidRDefault="00D304AB" w:rsidP="00D304AB">
            <w:pPr>
              <w:widowControl w:val="0"/>
              <w:pBdr>
                <w:top w:val="nil"/>
                <w:left w:val="nil"/>
                <w:bottom w:val="nil"/>
                <w:right w:val="nil"/>
                <w:between w:val="nil"/>
              </w:pBdr>
              <w:jc w:val="both"/>
              <w:rPr>
                <w:rFonts w:ascii="Bookman Old Style" w:hAnsi="Bookman Old Style"/>
                <w:b/>
                <w:bCs/>
                <w:i/>
                <w:iCs/>
                <w:color w:val="000000"/>
              </w:rPr>
            </w:pPr>
            <w:r w:rsidRPr="00AC4D51">
              <w:rPr>
                <w:rFonts w:ascii="Bookman Old Style" w:hAnsi="Bookman Old Style"/>
                <w:b/>
                <w:bCs/>
                <w:i/>
                <w:iCs/>
                <w:color w:val="000000"/>
              </w:rPr>
              <w:t>Las empresas comercializadoras podrán aplicar porcent</w:t>
            </w:r>
            <w:r w:rsidR="004A22C4" w:rsidRPr="00AC4D51">
              <w:rPr>
                <w:rFonts w:ascii="Bookman Old Style" w:hAnsi="Bookman Old Style"/>
                <w:b/>
                <w:bCs/>
                <w:i/>
                <w:iCs/>
                <w:color w:val="000000"/>
              </w:rPr>
              <w:t>a</w:t>
            </w:r>
            <w:r w:rsidRPr="00AC4D51">
              <w:rPr>
                <w:rFonts w:ascii="Bookman Old Style" w:hAnsi="Bookman Old Style"/>
                <w:b/>
                <w:bCs/>
                <w:i/>
                <w:iCs/>
                <w:color w:val="000000"/>
              </w:rPr>
              <w:t xml:space="preserve">jes de incremento </w:t>
            </w:r>
            <w:r w:rsidR="0058024A" w:rsidRPr="00AC4D51">
              <w:rPr>
                <w:rFonts w:ascii="Bookman Old Style" w:hAnsi="Bookman Old Style"/>
                <w:b/>
                <w:bCs/>
                <w:i/>
                <w:iCs/>
                <w:color w:val="000000"/>
              </w:rPr>
              <w:t xml:space="preserve">mensuales de modo que el porcentaje anual acumulado pueda ser igual o </w:t>
            </w:r>
            <w:r w:rsidRPr="00AC4D51">
              <w:rPr>
                <w:rFonts w:ascii="Bookman Old Style" w:hAnsi="Bookman Old Style"/>
                <w:b/>
                <w:bCs/>
                <w:i/>
                <w:iCs/>
                <w:color w:val="000000"/>
              </w:rPr>
              <w:t>inferior a</w:t>
            </w:r>
            <w:r w:rsidR="0058024A" w:rsidRPr="00AC4D51">
              <w:rPr>
                <w:rFonts w:ascii="Bookman Old Style" w:hAnsi="Bookman Old Style"/>
                <w:b/>
                <w:bCs/>
                <w:i/>
                <w:iCs/>
                <w:color w:val="000000"/>
              </w:rPr>
              <w:t>l</w:t>
            </w:r>
            <w:r w:rsidRPr="00AC4D51">
              <w:rPr>
                <w:rFonts w:ascii="Bookman Old Style" w:hAnsi="Bookman Old Style"/>
                <w:b/>
                <w:bCs/>
                <w:i/>
                <w:iCs/>
                <w:color w:val="000000"/>
              </w:rPr>
              <w:t xml:space="preserve"> </w:t>
            </w:r>
            <w:r w:rsidR="004A22C4" w:rsidRPr="00AC4D51">
              <w:rPr>
                <w:rFonts w:ascii="Bookman Old Style" w:hAnsi="Bookman Old Style"/>
                <w:b/>
                <w:bCs/>
                <w:i/>
                <w:iCs/>
                <w:color w:val="000000"/>
              </w:rPr>
              <w:t>obtenid</w:t>
            </w:r>
            <w:r w:rsidRPr="00AC4D51">
              <w:rPr>
                <w:rFonts w:ascii="Bookman Old Style" w:hAnsi="Bookman Old Style"/>
                <w:b/>
                <w:bCs/>
                <w:i/>
                <w:iCs/>
                <w:color w:val="000000"/>
              </w:rPr>
              <w:t>o</w:t>
            </w:r>
            <w:r w:rsidR="0058024A" w:rsidRPr="00AC4D51">
              <w:rPr>
                <w:rFonts w:ascii="Bookman Old Style" w:hAnsi="Bookman Old Style"/>
                <w:b/>
                <w:bCs/>
                <w:i/>
                <w:iCs/>
                <w:color w:val="000000"/>
              </w:rPr>
              <w:t xml:space="preserve"> de acuerdo con</w:t>
            </w:r>
            <w:r w:rsidRPr="00AC4D51">
              <w:rPr>
                <w:rFonts w:ascii="Bookman Old Style" w:hAnsi="Bookman Old Style"/>
                <w:b/>
                <w:bCs/>
                <w:i/>
                <w:iCs/>
                <w:color w:val="000000"/>
              </w:rPr>
              <w:t xml:space="preserve"> la tabla precedente.</w:t>
            </w:r>
          </w:p>
          <w:p w14:paraId="3E10E100" w14:textId="252B3235" w:rsidR="009F7E39" w:rsidRDefault="009F7E39" w:rsidP="00D304AB">
            <w:pPr>
              <w:widowControl w:val="0"/>
              <w:pBdr>
                <w:top w:val="nil"/>
                <w:left w:val="nil"/>
                <w:bottom w:val="nil"/>
                <w:right w:val="nil"/>
                <w:between w:val="nil"/>
              </w:pBdr>
              <w:jc w:val="both"/>
              <w:rPr>
                <w:rFonts w:ascii="Bookman Old Style" w:hAnsi="Bookman Old Style"/>
                <w:b/>
                <w:bCs/>
                <w:i/>
                <w:iCs/>
                <w:color w:val="000000"/>
              </w:rPr>
            </w:pPr>
          </w:p>
          <w:p w14:paraId="27AD2110" w14:textId="3FD4EFE3" w:rsidR="009F7E39" w:rsidRPr="009F7E39" w:rsidRDefault="009F7E39" w:rsidP="009F7E39">
            <w:pPr>
              <w:widowControl w:val="0"/>
              <w:pBdr>
                <w:top w:val="nil"/>
                <w:left w:val="nil"/>
                <w:bottom w:val="nil"/>
                <w:right w:val="nil"/>
                <w:between w:val="nil"/>
              </w:pBdr>
              <w:jc w:val="both"/>
              <w:rPr>
                <w:rFonts w:ascii="Bookman Old Style" w:hAnsi="Bookman Old Style"/>
                <w:b/>
                <w:bCs/>
                <w:i/>
                <w:iCs/>
                <w:color w:val="000000"/>
              </w:rPr>
            </w:pPr>
            <w:r w:rsidRPr="009F7E39">
              <w:rPr>
                <w:rFonts w:ascii="Bookman Old Style" w:hAnsi="Bookman Old Style"/>
                <w:b/>
                <w:bCs/>
                <w:i/>
                <w:iCs/>
                <w:color w:val="000000"/>
              </w:rPr>
              <w:t>Para efectos de cumplir con lo dispuesto,</w:t>
            </w:r>
            <w:r>
              <w:rPr>
                <w:rFonts w:ascii="Bookman Old Style" w:hAnsi="Bookman Old Style"/>
                <w:b/>
                <w:bCs/>
                <w:i/>
                <w:iCs/>
                <w:color w:val="000000"/>
              </w:rPr>
              <w:t xml:space="preserve"> </w:t>
            </w:r>
            <w:r w:rsidRPr="009F7E39">
              <w:rPr>
                <w:rFonts w:ascii="Bookman Old Style" w:hAnsi="Bookman Old Style"/>
                <w:b/>
                <w:bCs/>
                <w:i/>
                <w:iCs/>
                <w:color w:val="000000"/>
              </w:rPr>
              <w:t>las empresas comercializadoras deberán tener en cuenta que el porcentaje de incremento PV anual se establece</w:t>
            </w:r>
            <w:r w:rsidR="0092342A">
              <w:rPr>
                <w:rFonts w:ascii="Bookman Old Style" w:hAnsi="Bookman Old Style"/>
                <w:b/>
                <w:bCs/>
                <w:i/>
                <w:iCs/>
                <w:color w:val="000000"/>
              </w:rPr>
              <w:t>,</w:t>
            </w:r>
            <w:r w:rsidRPr="009F7E39">
              <w:rPr>
                <w:rFonts w:ascii="Bookman Old Style" w:hAnsi="Bookman Old Style"/>
                <w:b/>
                <w:bCs/>
                <w:i/>
                <w:iCs/>
                <w:color w:val="000000"/>
              </w:rPr>
              <w:t xml:space="preserve"> </w:t>
            </w:r>
            <w:r w:rsidR="0092342A">
              <w:rPr>
                <w:rFonts w:ascii="Bookman Old Style" w:hAnsi="Bookman Old Style"/>
                <w:b/>
                <w:bCs/>
                <w:i/>
                <w:iCs/>
                <w:color w:val="000000"/>
              </w:rPr>
              <w:t xml:space="preserve">para cada mes de aplicación, </w:t>
            </w:r>
            <w:r w:rsidRPr="009F7E39">
              <w:rPr>
                <w:rFonts w:ascii="Bookman Old Style" w:hAnsi="Bookman Old Style"/>
                <w:b/>
                <w:bCs/>
                <w:i/>
                <w:iCs/>
                <w:color w:val="000000"/>
              </w:rPr>
              <w:t>de la siguiente manera:</w:t>
            </w:r>
          </w:p>
          <w:p w14:paraId="37DA3576" w14:textId="77777777" w:rsidR="009F7E39" w:rsidRPr="009F7E39" w:rsidRDefault="009F7E39" w:rsidP="009F7E39">
            <w:pPr>
              <w:widowControl w:val="0"/>
              <w:pBdr>
                <w:top w:val="nil"/>
                <w:left w:val="nil"/>
                <w:bottom w:val="nil"/>
                <w:right w:val="nil"/>
                <w:between w:val="nil"/>
              </w:pBdr>
              <w:jc w:val="both"/>
              <w:rPr>
                <w:rFonts w:ascii="Bookman Old Style" w:hAnsi="Bookman Old Style"/>
                <w:b/>
                <w:bCs/>
                <w:i/>
                <w:iCs/>
                <w:color w:val="000000"/>
              </w:rPr>
            </w:pPr>
          </w:p>
          <w:p w14:paraId="3A89F251" w14:textId="1F73269E" w:rsidR="009F7E39" w:rsidRPr="00284E60" w:rsidRDefault="009F7E39" w:rsidP="009F7E39">
            <w:pPr>
              <w:ind w:left="0"/>
              <w:jc w:val="center"/>
              <w:rPr>
                <w:rFonts w:ascii="Cambria Math" w:eastAsia="Cambria Math" w:hAnsi="Cambria Math" w:cs="Cambria Math"/>
                <w:i/>
                <w:iCs/>
              </w:rPr>
            </w:pPr>
            <w:r w:rsidRPr="009F7E39">
              <w:rPr>
                <w:rFonts w:ascii="Bookman Old Style" w:hAnsi="Bookman Old Style"/>
                <w:b/>
                <w:bCs/>
                <w:i/>
                <w:iCs/>
                <w:color w:val="000000"/>
              </w:rPr>
              <w:t xml:space="preserve">Porcentaje de Incremento PV anual =  </w:t>
            </w:r>
            <w:r>
              <w:rPr>
                <w:rFonts w:ascii="Cambria Math" w:eastAsia="Cambria Math" w:hAnsi="Cambria Math" w:cs="Cambria Math"/>
                <w:i/>
                <w:iCs/>
              </w:rPr>
              <w:br/>
            </w:r>
            <m:oMath>
              <m:sSub>
                <m:sSubPr>
                  <m:ctrlPr>
                    <w:rPr>
                      <w:rFonts w:ascii="Cambria Math" w:eastAsia="Cambria Math" w:hAnsi="Cambria Math" w:cs="Cambria Math"/>
                      <w:b/>
                      <w:bCs/>
                      <w:i/>
                      <w:iCs/>
                    </w:rPr>
                  </m:ctrlPr>
                </m:sSubPr>
                <m:e>
                  <m:r>
                    <m:rPr>
                      <m:sty m:val="bi"/>
                    </m:rPr>
                    <w:rPr>
                      <w:rFonts w:ascii="Cambria Math" w:eastAsia="Cambria Math" w:hAnsi="Cambria Math" w:cs="Cambria Math"/>
                    </w:rPr>
                    <m:t>CUvA</m:t>
                  </m:r>
                </m:e>
                <m:sub>
                  <m:r>
                    <m:rPr>
                      <m:sty m:val="bi"/>
                    </m:rPr>
                    <w:rPr>
                      <w:rFonts w:ascii="Cambria Math" w:eastAsia="Cambria Math" w:hAnsi="Cambria Math" w:cs="Cambria Math"/>
                    </w:rPr>
                    <m:t>m,i,j,k</m:t>
                  </m:r>
                </m:sub>
              </m:sSub>
            </m:oMath>
            <w:r w:rsidRPr="009F7E39">
              <w:rPr>
                <w:rFonts w:ascii="Bookman Old Style" w:hAnsi="Bookman Old Style"/>
                <w:b/>
                <w:bCs/>
                <w:i/>
                <w:iCs/>
                <w:color w:val="000000"/>
              </w:rPr>
              <w:t xml:space="preserve"> /  </w:t>
            </w:r>
            <m:oMath>
              <m:sSub>
                <m:sSubPr>
                  <m:ctrlPr>
                    <w:rPr>
                      <w:rFonts w:ascii="Cambria Math" w:eastAsia="Cambria Math" w:hAnsi="Cambria Math" w:cs="Cambria Math"/>
                      <w:b/>
                      <w:bCs/>
                      <w:i/>
                      <w:iCs/>
                    </w:rPr>
                  </m:ctrlPr>
                </m:sSubPr>
                <m:e>
                  <m:r>
                    <m:rPr>
                      <m:sty m:val="bi"/>
                    </m:rPr>
                    <w:rPr>
                      <w:rFonts w:ascii="Cambria Math" w:eastAsia="Cambria Math" w:hAnsi="Cambria Math" w:cs="Cambria Math"/>
                    </w:rPr>
                    <m:t>CUvA</m:t>
                  </m:r>
                </m:e>
                <m:sub>
                  <m:r>
                    <m:rPr>
                      <m:sty m:val="bi"/>
                    </m:rPr>
                    <w:rPr>
                      <w:rFonts w:ascii="Cambria Math" w:eastAsia="Cambria Math" w:hAnsi="Cambria Math" w:cs="Cambria Math"/>
                    </w:rPr>
                    <m:t>m-12,i,j,k</m:t>
                  </m:r>
                </m:sub>
              </m:sSub>
            </m:oMath>
            <w:r w:rsidRPr="009F7E39">
              <w:rPr>
                <w:rFonts w:ascii="Bookman Old Style" w:hAnsi="Bookman Old Style"/>
                <w:b/>
                <w:bCs/>
                <w:i/>
                <w:iCs/>
              </w:rPr>
              <w:t xml:space="preserve">  – 1</w:t>
            </w:r>
          </w:p>
          <w:p w14:paraId="20C50228" w14:textId="77777777" w:rsidR="00284E60" w:rsidRPr="00AC4D51" w:rsidRDefault="00284E60" w:rsidP="009F7E39">
            <w:pPr>
              <w:widowControl w:val="0"/>
              <w:pBdr>
                <w:top w:val="nil"/>
                <w:left w:val="nil"/>
                <w:bottom w:val="nil"/>
                <w:right w:val="nil"/>
                <w:between w:val="nil"/>
              </w:pBdr>
              <w:jc w:val="both"/>
              <w:rPr>
                <w:rFonts w:ascii="Bookman Old Style" w:eastAsia="Bookman Old Style" w:hAnsi="Bookman Old Style" w:cs="Bookman Old Style"/>
                <w:b/>
                <w:bCs/>
                <w:i/>
                <w:iCs/>
                <w:sz w:val="16"/>
                <w:szCs w:val="16"/>
              </w:rPr>
            </w:pPr>
          </w:p>
        </w:tc>
      </w:tr>
      <w:tr w:rsidR="00284E60" w:rsidRPr="00284E60" w14:paraId="72D1D9E5" w14:textId="77777777" w:rsidTr="009F7E39">
        <w:trPr>
          <w:gridAfter w:val="1"/>
          <w:wAfter w:w="421" w:type="dxa"/>
        </w:trPr>
        <w:tc>
          <w:tcPr>
            <w:tcW w:w="1565" w:type="dxa"/>
          </w:tcPr>
          <w:p w14:paraId="66464E0A" w14:textId="77777777" w:rsidR="00284E60" w:rsidRPr="00284E60" w:rsidRDefault="00284E60" w:rsidP="00E91A24">
            <w:pPr>
              <w:widowControl w:val="0"/>
              <w:ind w:left="0"/>
              <w:jc w:val="both"/>
              <w:rPr>
                <w:i/>
                <w:iCs/>
                <w:sz w:val="28"/>
                <w:szCs w:val="28"/>
              </w:rPr>
            </w:pPr>
            <w:proofErr w:type="spellStart"/>
            <w:proofErr w:type="gramStart"/>
            <w:r w:rsidRPr="00284E60">
              <w:rPr>
                <w:rFonts w:ascii="Bookman Old Style" w:eastAsia="Bookman Old Style" w:hAnsi="Bookman Old Style" w:cs="Bookman Old Style"/>
                <w:i/>
                <w:iCs/>
                <w:sz w:val="28"/>
                <w:szCs w:val="28"/>
              </w:rPr>
              <w:lastRenderedPageBreak/>
              <w:t>SA</w:t>
            </w:r>
            <w:r w:rsidRPr="00284E60">
              <w:rPr>
                <w:rFonts w:ascii="Bookman Old Style" w:eastAsia="Bookman Old Style" w:hAnsi="Bookman Old Style" w:cs="Bookman Old Style"/>
                <w:i/>
                <w:iCs/>
                <w:sz w:val="28"/>
                <w:szCs w:val="28"/>
                <w:vertAlign w:val="subscript"/>
              </w:rPr>
              <w:t>m,i</w:t>
            </w:r>
            <w:proofErr w:type="gramEnd"/>
            <w:r w:rsidRPr="00284E60">
              <w:rPr>
                <w:rFonts w:ascii="Bookman Old Style" w:eastAsia="Bookman Old Style" w:hAnsi="Bookman Old Style" w:cs="Bookman Old Style"/>
                <w:i/>
                <w:iCs/>
                <w:sz w:val="28"/>
                <w:szCs w:val="28"/>
                <w:vertAlign w:val="subscript"/>
              </w:rPr>
              <w:t>,j,k</w:t>
            </w:r>
            <w:proofErr w:type="spellEnd"/>
          </w:p>
        </w:tc>
        <w:tc>
          <w:tcPr>
            <w:tcW w:w="6032" w:type="dxa"/>
          </w:tcPr>
          <w:p w14:paraId="322CB4F1" w14:textId="2D5A8547" w:rsidR="00284E60" w:rsidRPr="00284E60" w:rsidRDefault="00284E60" w:rsidP="00E91A24">
            <w:pPr>
              <w:widowControl w:val="0"/>
              <w:ind w:left="0"/>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 xml:space="preserve">Saldo Acumulado, expresado en $, del Comercializador j para el mes m del Mercado Relevante de Comercialización i, para el tipo de usuario k, por las diferencias entre el Componente Variable del Costo Unitario de Prestación del Servicio  Público de Gas Combustible por Redes de Tubería real o calculado </w:t>
            </w:r>
            <m:oMath>
              <m:sSub>
                <m:sSubPr>
                  <m:ctrlPr>
                    <w:rPr>
                      <w:rFonts w:ascii="Cambria Math" w:eastAsia="Cambria Math" w:hAnsi="Cambria Math" w:cs="Cambria Math"/>
                      <w:i/>
                      <w:iCs/>
                    </w:rPr>
                  </m:ctrlPr>
                </m:sSubPr>
                <m:e>
                  <m:r>
                    <w:rPr>
                      <w:rFonts w:ascii="Cambria Math" w:eastAsia="Cambria Math" w:hAnsi="Cambria Math" w:cs="Cambria Math"/>
                    </w:rPr>
                    <m:t>CUvR</m:t>
                  </m:r>
                </m:e>
                <m:sub>
                  <m:r>
                    <w:rPr>
                      <w:rFonts w:ascii="Cambria Math" w:eastAsia="Cambria Math" w:hAnsi="Cambria Math" w:cs="Cambria Math"/>
                    </w:rPr>
                    <m:t>m,i,j</m:t>
                  </m:r>
                </m:sub>
              </m:sSub>
            </m:oMath>
            <w:r w:rsidRPr="00284E60">
              <w:rPr>
                <w:rFonts w:ascii="Bookman Old Style" w:eastAsia="Bookman Old Style" w:hAnsi="Bookman Old Style" w:cs="Bookman Old Style"/>
                <w:i/>
                <w:iCs/>
              </w:rPr>
              <w:t xml:space="preserve"> y el  Costo Promedio Unitario del Componente Variable del Costo Unitario de Prestación del Servicio Público de Gas Combustible por Redes de Tubería aplicado </w:t>
            </w:r>
            <m:oMath>
              <m:sSub>
                <m:sSubPr>
                  <m:ctrlPr>
                    <w:rPr>
                      <w:rFonts w:ascii="Cambria Math" w:eastAsia="Cambria Math" w:hAnsi="Cambria Math" w:cs="Cambria Math"/>
                      <w:i/>
                      <w:iCs/>
                    </w:rPr>
                  </m:ctrlPr>
                </m:sSubPr>
                <m:e>
                  <m:r>
                    <w:rPr>
                      <w:rFonts w:ascii="Cambria Math" w:eastAsia="Cambria Math" w:hAnsi="Cambria Math" w:cs="Cambria Math"/>
                    </w:rPr>
                    <m:t>CUvA</m:t>
                  </m:r>
                </m:e>
                <m:sub>
                  <m:r>
                    <w:rPr>
                      <w:rFonts w:ascii="Cambria Math" w:eastAsia="Cambria Math" w:hAnsi="Cambria Math" w:cs="Cambria Math"/>
                    </w:rPr>
                    <m:t>m,i,j,k</m:t>
                  </m:r>
                </m:sub>
              </m:sSub>
            </m:oMath>
            <w:r w:rsidRPr="00284E60">
              <w:rPr>
                <w:rFonts w:ascii="Bookman Old Style" w:eastAsia="Bookman Old Style" w:hAnsi="Bookman Old Style" w:cs="Bookman Old Style"/>
                <w:i/>
                <w:iCs/>
              </w:rPr>
              <w:t xml:space="preserve">.  A la fecha de </w:t>
            </w:r>
            <w:proofErr w:type="gramStart"/>
            <w:r w:rsidRPr="00284E60">
              <w:rPr>
                <w:rFonts w:ascii="Bookman Old Style" w:eastAsia="Bookman Old Style" w:hAnsi="Bookman Old Style" w:cs="Bookman Old Style"/>
                <w:i/>
                <w:iCs/>
              </w:rPr>
              <w:t>entrada en vigencia</w:t>
            </w:r>
            <w:proofErr w:type="gramEnd"/>
            <w:r w:rsidRPr="00284E60">
              <w:rPr>
                <w:rFonts w:ascii="Bookman Old Style" w:eastAsia="Bookman Old Style" w:hAnsi="Bookman Old Style" w:cs="Bookman Old Style"/>
                <w:i/>
                <w:iCs/>
              </w:rPr>
              <w:t xml:space="preserve"> de la </w:t>
            </w:r>
            <w:r w:rsidRPr="00AC4D51">
              <w:rPr>
                <w:rFonts w:ascii="Bookman Old Style" w:eastAsia="Bookman Old Style" w:hAnsi="Bookman Old Style" w:cs="Bookman Old Style"/>
                <w:i/>
                <w:iCs/>
                <w:strike/>
              </w:rPr>
              <w:t>presente</w:t>
            </w:r>
            <w:r w:rsidRPr="002A47B9">
              <w:rPr>
                <w:rFonts w:ascii="Bookman Old Style" w:eastAsia="Bookman Old Style" w:hAnsi="Bookman Old Style" w:cs="Bookman Old Style"/>
                <w:i/>
                <w:iCs/>
                <w:strike/>
              </w:rPr>
              <w:t xml:space="preserve"> </w:t>
            </w:r>
            <w:r w:rsidRPr="00AC4D51">
              <w:rPr>
                <w:rFonts w:ascii="Bookman Old Style" w:eastAsia="Bookman Old Style" w:hAnsi="Bookman Old Style" w:cs="Bookman Old Style"/>
                <w:b/>
                <w:bCs/>
                <w:i/>
                <w:iCs/>
              </w:rPr>
              <w:t xml:space="preserve">Resolución </w:t>
            </w:r>
            <w:r w:rsidR="002A47B9" w:rsidRPr="00AC4D51">
              <w:rPr>
                <w:rFonts w:ascii="Bookman Old Style" w:eastAsia="Bookman Old Style" w:hAnsi="Bookman Old Style" w:cs="Bookman Old Style"/>
                <w:b/>
                <w:bCs/>
                <w:i/>
                <w:iCs/>
              </w:rPr>
              <w:t>CREG 048 de 2020</w:t>
            </w:r>
            <w:r w:rsidR="002A47B9">
              <w:rPr>
                <w:rFonts w:ascii="Bookman Old Style" w:eastAsia="Bookman Old Style" w:hAnsi="Bookman Old Style" w:cs="Bookman Old Style"/>
                <w:i/>
                <w:iCs/>
              </w:rPr>
              <w:t xml:space="preserve"> </w:t>
            </w:r>
            <w:r w:rsidRPr="00284E60">
              <w:rPr>
                <w:rFonts w:ascii="Bookman Old Style" w:eastAsia="Bookman Old Style" w:hAnsi="Bookman Old Style" w:cs="Bookman Old Style"/>
                <w:i/>
                <w:iCs/>
              </w:rPr>
              <w:t>dicho valor será cero (0).</w:t>
            </w:r>
          </w:p>
          <w:p w14:paraId="78265D2F" w14:textId="77777777" w:rsidR="00284E60" w:rsidRPr="00284E60" w:rsidRDefault="00284E60" w:rsidP="00E91A24">
            <w:pPr>
              <w:widowControl w:val="0"/>
              <w:ind w:left="0"/>
              <w:jc w:val="both"/>
              <w:rPr>
                <w:rFonts w:ascii="Bookman Old Style" w:eastAsia="Bookman Old Style" w:hAnsi="Bookman Old Style" w:cs="Bookman Old Style"/>
                <w:i/>
                <w:iCs/>
                <w:sz w:val="20"/>
                <w:szCs w:val="20"/>
              </w:rPr>
            </w:pPr>
          </w:p>
        </w:tc>
      </w:tr>
      <w:tr w:rsidR="00284E60" w:rsidRPr="00284E60" w14:paraId="046C3095" w14:textId="77777777" w:rsidTr="009F7E39">
        <w:trPr>
          <w:gridAfter w:val="1"/>
          <w:wAfter w:w="421" w:type="dxa"/>
        </w:trPr>
        <w:tc>
          <w:tcPr>
            <w:tcW w:w="1565" w:type="dxa"/>
          </w:tcPr>
          <w:p w14:paraId="77A10FEA" w14:textId="77777777" w:rsidR="00284E60" w:rsidRPr="00284E60" w:rsidRDefault="00284E60" w:rsidP="00E91A24">
            <w:pPr>
              <w:widowControl w:val="0"/>
              <w:ind w:left="0"/>
              <w:jc w:val="both"/>
              <w:rPr>
                <w:rFonts w:ascii="Bookman Old Style" w:eastAsia="Bookman Old Style" w:hAnsi="Bookman Old Style" w:cs="Bookman Old Style"/>
                <w:i/>
                <w:iCs/>
                <w:sz w:val="28"/>
                <w:szCs w:val="28"/>
              </w:rPr>
            </w:pPr>
            <w:r w:rsidRPr="00284E60">
              <w:rPr>
                <w:rFonts w:ascii="Bookman Old Style" w:eastAsia="Bookman Old Style" w:hAnsi="Bookman Old Style" w:cs="Bookman Old Style"/>
                <w:i/>
                <w:iCs/>
                <w:sz w:val="28"/>
                <w:szCs w:val="28"/>
              </w:rPr>
              <w:t>VR</w:t>
            </w:r>
            <w:r w:rsidRPr="00284E60">
              <w:rPr>
                <w:rFonts w:ascii="Bookman Old Style" w:eastAsia="Bookman Old Style" w:hAnsi="Bookman Old Style" w:cs="Bookman Old Style"/>
                <w:i/>
                <w:iCs/>
                <w:sz w:val="28"/>
                <w:szCs w:val="28"/>
                <w:vertAlign w:val="subscript"/>
              </w:rPr>
              <w:t>m-</w:t>
            </w:r>
            <w:proofErr w:type="gramStart"/>
            <w:r w:rsidRPr="00284E60">
              <w:rPr>
                <w:rFonts w:ascii="Bookman Old Style" w:eastAsia="Bookman Old Style" w:hAnsi="Bookman Old Style" w:cs="Bookman Old Style"/>
                <w:i/>
                <w:iCs/>
                <w:sz w:val="28"/>
                <w:szCs w:val="28"/>
                <w:vertAlign w:val="subscript"/>
              </w:rPr>
              <w:t>1,i</w:t>
            </w:r>
            <w:proofErr w:type="gramEnd"/>
            <w:r w:rsidRPr="00284E60">
              <w:rPr>
                <w:rFonts w:ascii="Bookman Old Style" w:eastAsia="Bookman Old Style" w:hAnsi="Bookman Old Style" w:cs="Bookman Old Style"/>
                <w:i/>
                <w:iCs/>
                <w:sz w:val="28"/>
                <w:szCs w:val="28"/>
                <w:vertAlign w:val="subscript"/>
              </w:rPr>
              <w:t>,j,k</w:t>
            </w:r>
          </w:p>
        </w:tc>
        <w:tc>
          <w:tcPr>
            <w:tcW w:w="6032" w:type="dxa"/>
          </w:tcPr>
          <w:p w14:paraId="78EC693C" w14:textId="77777777" w:rsidR="00284E60" w:rsidRPr="00284E60" w:rsidRDefault="00284E60" w:rsidP="00E91A24">
            <w:pPr>
              <w:widowControl w:val="0"/>
              <w:ind w:left="0"/>
              <w:jc w:val="both"/>
              <w:rPr>
                <w:rFonts w:ascii="Bookman Old Style" w:eastAsia="Bookman Old Style" w:hAnsi="Bookman Old Style" w:cs="Bookman Old Style"/>
                <w:i/>
                <w:iCs/>
                <w:vertAlign w:val="superscript"/>
              </w:rPr>
            </w:pPr>
            <w:r w:rsidRPr="00284E60">
              <w:rPr>
                <w:rFonts w:ascii="Bookman Old Style" w:eastAsia="Bookman Old Style" w:hAnsi="Bookman Old Style" w:cs="Bookman Old Style"/>
                <w:i/>
                <w:iCs/>
              </w:rPr>
              <w:t>Ventas de gas en el mes m-1 efectuadas por el Comercializador j, en el Mercado Relevante de Distribución j, para el tipo de usuario k, expresado en m</w:t>
            </w:r>
            <w:r w:rsidRPr="00284E60">
              <w:rPr>
                <w:rFonts w:ascii="Bookman Old Style" w:eastAsia="Bookman Old Style" w:hAnsi="Bookman Old Style" w:cs="Bookman Old Style"/>
                <w:i/>
                <w:iCs/>
                <w:vertAlign w:val="superscript"/>
              </w:rPr>
              <w:t>3</w:t>
            </w:r>
            <w:r w:rsidRPr="00284E60">
              <w:rPr>
                <w:rFonts w:ascii="Bookman Old Style" w:eastAsia="Bookman Old Style" w:hAnsi="Bookman Old Style" w:cs="Bookman Old Style"/>
                <w:i/>
                <w:iCs/>
              </w:rPr>
              <w:t>.</w:t>
            </w:r>
          </w:p>
          <w:p w14:paraId="208E0BEC" w14:textId="77777777" w:rsidR="00284E60" w:rsidRPr="00284E60" w:rsidRDefault="00284E60" w:rsidP="00E91A24">
            <w:pPr>
              <w:widowControl w:val="0"/>
              <w:ind w:left="0"/>
              <w:jc w:val="both"/>
              <w:rPr>
                <w:i/>
                <w:iCs/>
                <w:sz w:val="20"/>
                <w:szCs w:val="20"/>
              </w:rPr>
            </w:pPr>
          </w:p>
        </w:tc>
      </w:tr>
      <w:tr w:rsidR="00284E60" w:rsidRPr="00284E60" w14:paraId="183EB431" w14:textId="77777777" w:rsidTr="009F7E39">
        <w:trPr>
          <w:gridAfter w:val="1"/>
          <w:wAfter w:w="421" w:type="dxa"/>
        </w:trPr>
        <w:tc>
          <w:tcPr>
            <w:tcW w:w="1565" w:type="dxa"/>
          </w:tcPr>
          <w:p w14:paraId="4590816C" w14:textId="48C21D23" w:rsidR="00284E60" w:rsidRPr="00284E60" w:rsidRDefault="00000000" w:rsidP="00E91A24">
            <w:pPr>
              <w:ind w:left="0"/>
              <w:rPr>
                <w:rFonts w:ascii="Cambria Math" w:eastAsia="Cambria Math" w:hAnsi="Cambria Math" w:cs="Cambria Math"/>
                <w:i/>
                <w:iCs/>
              </w:rPr>
            </w:pPr>
            <m:oMathPara>
              <m:oMathParaPr>
                <m:jc m:val="left"/>
              </m:oMathParaPr>
              <m:oMath>
                <m:sSub>
                  <m:sSubPr>
                    <m:ctrlPr>
                      <w:rPr>
                        <w:rFonts w:ascii="Cambria Math" w:eastAsia="Cambria Math" w:hAnsi="Cambria Math" w:cs="Cambria Math"/>
                        <w:i/>
                        <w:iCs/>
                      </w:rPr>
                    </m:ctrlPr>
                  </m:sSubPr>
                  <m:e>
                    <m:r>
                      <w:rPr>
                        <w:rFonts w:ascii="Cambria Math" w:eastAsia="Cambria Math" w:hAnsi="Cambria Math" w:cs="Cambria Math"/>
                      </w:rPr>
                      <m:t>CUvR</m:t>
                    </m:r>
                  </m:e>
                  <m:sub>
                    <m:r>
                      <w:rPr>
                        <w:rFonts w:ascii="Cambria Math" w:eastAsia="Cambria Math" w:hAnsi="Cambria Math" w:cs="Cambria Math"/>
                      </w:rPr>
                      <m:t>m,i,j</m:t>
                    </m:r>
                  </m:sub>
                </m:sSub>
              </m:oMath>
            </m:oMathPara>
          </w:p>
        </w:tc>
        <w:tc>
          <w:tcPr>
            <w:tcW w:w="6032" w:type="dxa"/>
          </w:tcPr>
          <w:p w14:paraId="53C1D60A" w14:textId="0888BE42" w:rsidR="00284E60" w:rsidRPr="00284E60" w:rsidRDefault="00284E60" w:rsidP="00E91A24">
            <w:pPr>
              <w:widowControl w:val="0"/>
              <w:ind w:left="0"/>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 xml:space="preserve">Componente Variable del Costo Unitario de </w:t>
            </w:r>
            <w:r w:rsidRPr="00284E60">
              <w:rPr>
                <w:rFonts w:ascii="Bookman Old Style" w:eastAsia="Bookman Old Style" w:hAnsi="Bookman Old Style" w:cs="Bookman Old Style"/>
                <w:i/>
                <w:iCs/>
              </w:rPr>
              <w:lastRenderedPageBreak/>
              <w:t>Prestación del Servicio Público de Gas Combustible por Redes de Tubería real o calculado, expresado en $/m</w:t>
            </w:r>
            <w:r w:rsidRPr="00284E60">
              <w:rPr>
                <w:rFonts w:ascii="Bookman Old Style" w:eastAsia="Bookman Old Style" w:hAnsi="Bookman Old Style" w:cs="Bookman Old Style"/>
                <w:i/>
                <w:iCs/>
                <w:vertAlign w:val="superscript"/>
              </w:rPr>
              <w:t>3</w:t>
            </w:r>
            <w:r w:rsidRPr="00284E60">
              <w:rPr>
                <w:rFonts w:ascii="Bookman Old Style" w:eastAsia="Bookman Old Style" w:hAnsi="Bookman Old Style" w:cs="Bookman Old Style"/>
                <w:i/>
                <w:iCs/>
              </w:rPr>
              <w:t>, calculado para el mes m, conforme la Resolución CREG 137 de 2013</w:t>
            </w:r>
            <w:r w:rsidRPr="00AC4D51">
              <w:rPr>
                <w:rFonts w:ascii="Bookman Old Style" w:eastAsia="Bookman Old Style" w:hAnsi="Bookman Old Style" w:cs="Bookman Old Style"/>
                <w:b/>
                <w:bCs/>
                <w:i/>
                <w:iCs/>
              </w:rPr>
              <w:t xml:space="preserve"> </w:t>
            </w:r>
            <w:r w:rsidR="00AC4D51" w:rsidRPr="00AC4D51">
              <w:rPr>
                <w:rFonts w:ascii="Bookman Old Style" w:eastAsia="Bookman Old Style" w:hAnsi="Bookman Old Style" w:cs="Bookman Old Style"/>
                <w:b/>
                <w:bCs/>
                <w:i/>
                <w:iCs/>
              </w:rPr>
              <w:t xml:space="preserve">o aquellas que la modifiquen o sustituyan </w:t>
            </w:r>
            <w:r w:rsidRPr="00284E60">
              <w:rPr>
                <w:rFonts w:ascii="Bookman Old Style" w:eastAsia="Bookman Old Style" w:hAnsi="Bookman Old Style" w:cs="Bookman Old Style"/>
                <w:i/>
                <w:iCs/>
              </w:rPr>
              <w:t>para los usuarios regulados que son atendidos por el Comercializador j, en el Mercado de Comercialización i.</w:t>
            </w:r>
          </w:p>
          <w:p w14:paraId="4E3D1440" w14:textId="77777777" w:rsidR="00284E60" w:rsidRPr="00284E60" w:rsidRDefault="00284E60" w:rsidP="00E91A24">
            <w:pPr>
              <w:widowControl w:val="0"/>
              <w:ind w:left="0"/>
              <w:jc w:val="both"/>
              <w:rPr>
                <w:i/>
                <w:iCs/>
                <w:sz w:val="16"/>
                <w:szCs w:val="16"/>
              </w:rPr>
            </w:pPr>
          </w:p>
        </w:tc>
      </w:tr>
      <w:tr w:rsidR="00284E60" w:rsidRPr="00284E60" w14:paraId="2D384F0C" w14:textId="77777777" w:rsidTr="009F7E39">
        <w:trPr>
          <w:gridAfter w:val="1"/>
          <w:wAfter w:w="421" w:type="dxa"/>
        </w:trPr>
        <w:tc>
          <w:tcPr>
            <w:tcW w:w="1565" w:type="dxa"/>
          </w:tcPr>
          <w:p w14:paraId="38938694" w14:textId="065A2DE0" w:rsidR="00284E60" w:rsidRPr="00284E60" w:rsidRDefault="00000000" w:rsidP="00E91A24">
            <w:pPr>
              <w:ind w:left="0"/>
              <w:rPr>
                <w:rFonts w:ascii="Cambria Math" w:eastAsia="Cambria Math" w:hAnsi="Cambria Math" w:cs="Cambria Math"/>
                <w:i/>
                <w:iCs/>
              </w:rPr>
            </w:pPr>
            <m:oMathPara>
              <m:oMathParaPr>
                <m:jc m:val="left"/>
              </m:oMathParaPr>
              <m:oMath>
                <m:sSub>
                  <m:sSubPr>
                    <m:ctrlPr>
                      <w:rPr>
                        <w:rFonts w:ascii="Cambria Math" w:eastAsia="Cambria Math" w:hAnsi="Cambria Math" w:cs="Cambria Math"/>
                        <w:i/>
                        <w:iCs/>
                      </w:rPr>
                    </m:ctrlPr>
                  </m:sSubPr>
                  <m:e>
                    <m:r>
                      <w:rPr>
                        <w:rFonts w:ascii="Cambria Math" w:eastAsia="Cambria Math" w:hAnsi="Cambria Math" w:cs="Cambria Math"/>
                      </w:rPr>
                      <m:t>CUvA</m:t>
                    </m:r>
                  </m:e>
                  <m:sub>
                    <m:r>
                      <w:rPr>
                        <w:rFonts w:ascii="Cambria Math" w:eastAsia="Cambria Math" w:hAnsi="Cambria Math" w:cs="Cambria Math"/>
                      </w:rPr>
                      <m:t>m,i,j,k</m:t>
                    </m:r>
                  </m:sub>
                </m:sSub>
              </m:oMath>
            </m:oMathPara>
          </w:p>
        </w:tc>
        <w:tc>
          <w:tcPr>
            <w:tcW w:w="6032" w:type="dxa"/>
          </w:tcPr>
          <w:p w14:paraId="0E9EC03F" w14:textId="77777777" w:rsidR="00284E60" w:rsidRPr="00284E60" w:rsidRDefault="00284E60" w:rsidP="00E91A24">
            <w:pPr>
              <w:widowControl w:val="0"/>
              <w:ind w:left="0"/>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Componente Variable del Costo Unitario de Prestación del Servicio Público de Gas Combustible por Redes de Tubería, expresado en $/m</w:t>
            </w:r>
            <w:r w:rsidRPr="00284E60">
              <w:rPr>
                <w:rFonts w:ascii="Bookman Old Style" w:eastAsia="Bookman Old Style" w:hAnsi="Bookman Old Style" w:cs="Bookman Old Style"/>
                <w:i/>
                <w:iCs/>
                <w:vertAlign w:val="superscript"/>
              </w:rPr>
              <w:t>3</w:t>
            </w:r>
            <w:r w:rsidRPr="00284E60">
              <w:rPr>
                <w:rFonts w:ascii="Bookman Old Style" w:eastAsia="Bookman Old Style" w:hAnsi="Bookman Old Style" w:cs="Bookman Old Style"/>
                <w:i/>
                <w:iCs/>
              </w:rPr>
              <w:t xml:space="preserve">, aplicado en el mes m, por el Comercializador j, en el Mercado Relevante de Comercialización i, para el tipo de usuario k. Para el primer mes de aplicación de la Opción, el valor de esta variable será igual al valor de la variable </w:t>
            </w:r>
            <w:proofErr w:type="spellStart"/>
            <w:r w:rsidRPr="00284E60">
              <w:rPr>
                <w:rFonts w:ascii="Bookman Old Style" w:eastAsia="Bookman Old Style" w:hAnsi="Bookman Old Style" w:cs="Bookman Old Style"/>
                <w:i/>
                <w:iCs/>
              </w:rPr>
              <w:t>CUvR</w:t>
            </w:r>
            <w:proofErr w:type="spellEnd"/>
            <w:r w:rsidRPr="00284E60">
              <w:rPr>
                <w:rFonts w:ascii="Bookman Old Style" w:eastAsia="Bookman Old Style" w:hAnsi="Bookman Old Style" w:cs="Bookman Old Style"/>
                <w:i/>
                <w:iCs/>
              </w:rPr>
              <w:t xml:space="preserve"> del mes anterior, CUvR</w:t>
            </w:r>
            <w:r w:rsidRPr="00284E60">
              <w:rPr>
                <w:rFonts w:ascii="Bookman Old Style" w:eastAsia="Bookman Old Style" w:hAnsi="Bookman Old Style" w:cs="Bookman Old Style"/>
                <w:i/>
                <w:iCs/>
                <w:vertAlign w:val="subscript"/>
              </w:rPr>
              <w:t>m-1</w:t>
            </w:r>
            <w:r w:rsidRPr="00284E60">
              <w:rPr>
                <w:rFonts w:ascii="Bookman Old Style" w:eastAsia="Bookman Old Style" w:hAnsi="Bookman Old Style" w:cs="Bookman Old Style"/>
                <w:i/>
                <w:iCs/>
              </w:rPr>
              <w:t>.</w:t>
            </w:r>
          </w:p>
          <w:p w14:paraId="7B41FA9D" w14:textId="77777777" w:rsidR="00284E60" w:rsidRPr="00284E60" w:rsidRDefault="00284E60" w:rsidP="00E91A24">
            <w:pPr>
              <w:widowControl w:val="0"/>
              <w:ind w:left="0"/>
              <w:jc w:val="both"/>
              <w:rPr>
                <w:i/>
                <w:iCs/>
                <w:sz w:val="16"/>
                <w:szCs w:val="16"/>
              </w:rPr>
            </w:pPr>
          </w:p>
        </w:tc>
      </w:tr>
      <w:tr w:rsidR="00284E60" w:rsidRPr="00284E60" w14:paraId="50D2AA92" w14:textId="77777777" w:rsidTr="009F7E39">
        <w:trPr>
          <w:gridAfter w:val="1"/>
          <w:wAfter w:w="421" w:type="dxa"/>
        </w:trPr>
        <w:tc>
          <w:tcPr>
            <w:tcW w:w="1565" w:type="dxa"/>
          </w:tcPr>
          <w:p w14:paraId="643D5C7E" w14:textId="63AA11E4" w:rsidR="00284E60" w:rsidRPr="00284E60" w:rsidRDefault="00000000" w:rsidP="00E91A24">
            <w:pPr>
              <w:ind w:left="0"/>
              <w:jc w:val="center"/>
              <w:rPr>
                <w:rFonts w:ascii="Cambria Math" w:eastAsia="Cambria Math" w:hAnsi="Cambria Math" w:cs="Cambria Math"/>
                <w:i/>
                <w:iCs/>
              </w:rPr>
            </w:pPr>
            <m:oMathPara>
              <m:oMathParaPr>
                <m:jc m:val="left"/>
              </m:oMathParaPr>
              <m:oMath>
                <m:sSub>
                  <m:sSubPr>
                    <m:ctrlPr>
                      <w:rPr>
                        <w:rFonts w:ascii="Cambria Math" w:eastAsia="Cambria Math" w:hAnsi="Cambria Math" w:cs="Cambria Math"/>
                        <w:i/>
                        <w:iCs/>
                      </w:rPr>
                    </m:ctrlPr>
                  </m:sSubPr>
                  <m:e>
                    <m:r>
                      <w:rPr>
                        <w:rFonts w:ascii="Cambria Math" w:eastAsia="Cambria Math" w:hAnsi="Cambria Math" w:cs="Cambria Math"/>
                      </w:rPr>
                      <m:t>CUvA</m:t>
                    </m:r>
                  </m:e>
                  <m:sub>
                    <m:r>
                      <w:rPr>
                        <w:rFonts w:ascii="Cambria Math" w:eastAsia="Cambria Math" w:hAnsi="Cambria Math" w:cs="Cambria Math"/>
                      </w:rPr>
                      <m:t>m-1,i,j,k</m:t>
                    </m:r>
                  </m:sub>
                </m:sSub>
              </m:oMath>
            </m:oMathPara>
          </w:p>
          <w:p w14:paraId="21124583" w14:textId="77777777" w:rsidR="00284E60" w:rsidRPr="00284E60" w:rsidRDefault="00284E60" w:rsidP="00E91A24">
            <w:pPr>
              <w:widowControl w:val="0"/>
              <w:ind w:left="0"/>
              <w:jc w:val="both"/>
              <w:rPr>
                <w:i/>
                <w:iCs/>
              </w:rPr>
            </w:pPr>
          </w:p>
        </w:tc>
        <w:tc>
          <w:tcPr>
            <w:tcW w:w="6032" w:type="dxa"/>
          </w:tcPr>
          <w:p w14:paraId="538EBD1E" w14:textId="6377376B" w:rsidR="009F7E39" w:rsidRDefault="00284E60" w:rsidP="00E91A24">
            <w:pPr>
              <w:widowControl w:val="0"/>
              <w:ind w:left="0"/>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Componente Variable del Costo Unitario de Prestación del Servicio Público de Gas Combustible por Redes de Tubería, expresado en $/m</w:t>
            </w:r>
            <w:r w:rsidRPr="00284E60">
              <w:rPr>
                <w:rFonts w:ascii="Bookman Old Style" w:eastAsia="Bookman Old Style" w:hAnsi="Bookman Old Style" w:cs="Bookman Old Style"/>
                <w:i/>
                <w:iCs/>
                <w:vertAlign w:val="superscript"/>
              </w:rPr>
              <w:t>3</w:t>
            </w:r>
            <w:r w:rsidRPr="00284E60">
              <w:rPr>
                <w:rFonts w:ascii="Bookman Old Style" w:eastAsia="Bookman Old Style" w:hAnsi="Bookman Old Style" w:cs="Bookman Old Style"/>
                <w:i/>
                <w:iCs/>
              </w:rPr>
              <w:t>, aplicado en el mes m-1, por el Comercializador j, en el Mercado Relevante de Comercialización i, para el tipo de usuario k.</w:t>
            </w:r>
          </w:p>
          <w:p w14:paraId="33369A85" w14:textId="77777777" w:rsidR="00284E60" w:rsidRPr="00284E60" w:rsidRDefault="00284E60" w:rsidP="00E91A24">
            <w:pPr>
              <w:widowControl w:val="0"/>
              <w:ind w:left="0"/>
              <w:jc w:val="both"/>
              <w:rPr>
                <w:rFonts w:ascii="Bookman Old Style" w:eastAsia="Bookman Old Style" w:hAnsi="Bookman Old Style" w:cs="Bookman Old Style"/>
                <w:i/>
                <w:iCs/>
              </w:rPr>
            </w:pPr>
          </w:p>
        </w:tc>
      </w:tr>
      <w:tr w:rsidR="00284E60" w:rsidRPr="00284E60" w14:paraId="749AE3DC" w14:textId="77777777" w:rsidTr="009F7E39">
        <w:trPr>
          <w:gridAfter w:val="1"/>
          <w:wAfter w:w="421" w:type="dxa"/>
        </w:trPr>
        <w:tc>
          <w:tcPr>
            <w:tcW w:w="1565" w:type="dxa"/>
          </w:tcPr>
          <w:p w14:paraId="3CE67D1A" w14:textId="31C0A341" w:rsidR="00284E60" w:rsidRPr="00284E60" w:rsidRDefault="009E6B36" w:rsidP="00E91A24">
            <w:pPr>
              <w:widowControl w:val="0"/>
              <w:ind w:left="0"/>
              <w:jc w:val="both"/>
              <w:rPr>
                <w:rFonts w:ascii="Bookman Old Style" w:eastAsia="Bookman Old Style" w:hAnsi="Bookman Old Style" w:cs="Bookman Old Style"/>
                <w:i/>
                <w:iCs/>
              </w:rPr>
            </w:pPr>
            <w:r>
              <w:rPr>
                <w:rFonts w:ascii="Bookman Old Style" w:eastAsia="Bookman Old Style" w:hAnsi="Bookman Old Style" w:cs="Bookman Old Style"/>
                <w:i/>
                <w:iCs/>
              </w:rPr>
              <w:t>r</w:t>
            </w:r>
          </w:p>
        </w:tc>
        <w:tc>
          <w:tcPr>
            <w:tcW w:w="6032" w:type="dxa"/>
          </w:tcPr>
          <w:p w14:paraId="715A3505" w14:textId="32920A73" w:rsidR="00284E60" w:rsidRPr="009E6B36" w:rsidRDefault="00284E60" w:rsidP="00E91A24">
            <w:pPr>
              <w:ind w:left="0"/>
              <w:jc w:val="both"/>
              <w:rPr>
                <w:rFonts w:ascii="Bookman Old Style" w:eastAsia="Bookman Old Style" w:hAnsi="Bookman Old Style" w:cs="Bookman Old Style"/>
                <w:i/>
                <w:iCs/>
              </w:rPr>
            </w:pPr>
            <w:bookmarkStart w:id="3" w:name="_Hlk41466550"/>
            <w:r w:rsidRPr="00284E60">
              <w:rPr>
                <w:rFonts w:ascii="Bookman Old Style" w:eastAsia="Bookman Old Style" w:hAnsi="Bookman Old Style" w:cs="Bookman Old Style"/>
                <w:i/>
                <w:iCs/>
              </w:rPr>
              <w:t xml:space="preserve">Tasa de interés a trasladar al usuario por los comercializadores. Esta variable debe corresponder a </w:t>
            </w:r>
            <w:r w:rsidRPr="009E6B36">
              <w:rPr>
                <w:rFonts w:ascii="Bookman Old Style" w:eastAsia="Bookman Old Style" w:hAnsi="Bookman Old Style" w:cs="Bookman Old Style"/>
                <w:i/>
                <w:iCs/>
              </w:rPr>
              <w:t xml:space="preserve">la tasa de interés efectivamente incurrida sin que, en ningún caso, supere la tasa de interés preferencial de los créditos comerciales vigentes de las últimas tres (3) semanas disponibles a la fecha de expedición de la </w:t>
            </w:r>
            <w:r w:rsidRPr="00AC4D51">
              <w:rPr>
                <w:rFonts w:ascii="Bookman Old Style" w:eastAsia="Bookman Old Style" w:hAnsi="Bookman Old Style" w:cs="Bookman Old Style"/>
                <w:i/>
                <w:iCs/>
                <w:strike/>
              </w:rPr>
              <w:t>presente</w:t>
            </w:r>
            <w:r w:rsidRPr="009E6B36">
              <w:rPr>
                <w:rFonts w:ascii="Bookman Old Style" w:eastAsia="Bookman Old Style" w:hAnsi="Bookman Old Style" w:cs="Bookman Old Style"/>
                <w:i/>
                <w:iCs/>
              </w:rPr>
              <w:t xml:space="preserve"> </w:t>
            </w:r>
            <w:r w:rsidRPr="00AC4D51">
              <w:rPr>
                <w:rFonts w:ascii="Bookman Old Style" w:eastAsia="Bookman Old Style" w:hAnsi="Bookman Old Style" w:cs="Bookman Old Style"/>
                <w:b/>
                <w:bCs/>
                <w:i/>
                <w:iCs/>
              </w:rPr>
              <w:t>Resolución</w:t>
            </w:r>
            <w:r w:rsidR="00AC4D51" w:rsidRPr="00AC4D51">
              <w:rPr>
                <w:rFonts w:ascii="Bookman Old Style" w:eastAsia="Bookman Old Style" w:hAnsi="Bookman Old Style" w:cs="Bookman Old Style"/>
                <w:b/>
                <w:bCs/>
                <w:i/>
                <w:iCs/>
              </w:rPr>
              <w:t xml:space="preserve"> CREG 048 de 2020</w:t>
            </w:r>
            <w:r w:rsidRPr="009E6B36">
              <w:rPr>
                <w:rFonts w:ascii="Bookman Old Style" w:eastAsia="Bookman Old Style" w:hAnsi="Bookman Old Style" w:cs="Bookman Old Style"/>
                <w:i/>
                <w:iCs/>
              </w:rPr>
              <w:t>.</w:t>
            </w:r>
          </w:p>
          <w:p w14:paraId="2CB0F435" w14:textId="77777777" w:rsidR="00284E60" w:rsidRPr="009E6B36" w:rsidRDefault="00284E60" w:rsidP="00E91A24">
            <w:pPr>
              <w:ind w:left="0"/>
              <w:jc w:val="both"/>
              <w:rPr>
                <w:rFonts w:ascii="Bookman Old Style" w:eastAsia="Bookman Old Style" w:hAnsi="Bookman Old Style" w:cs="Bookman Old Style"/>
                <w:i/>
                <w:iCs/>
              </w:rPr>
            </w:pPr>
          </w:p>
          <w:p w14:paraId="1B95649B" w14:textId="0D3AEB62" w:rsidR="00284E60" w:rsidRPr="00284E60" w:rsidRDefault="00284E60" w:rsidP="00E91A24">
            <w:pPr>
              <w:ind w:left="0"/>
              <w:jc w:val="both"/>
              <w:rPr>
                <w:rFonts w:ascii="Bookman Old Style" w:eastAsia="Bookman Old Style" w:hAnsi="Bookman Old Style" w:cs="Bookman Old Style"/>
                <w:i/>
                <w:iCs/>
              </w:rPr>
            </w:pPr>
            <w:r w:rsidRPr="00A600C5">
              <w:rPr>
                <w:rFonts w:ascii="Bookman Old Style" w:eastAsia="Bookman Old Style" w:hAnsi="Bookman Old Style" w:cs="Bookman Old Style"/>
                <w:i/>
                <w:iCs/>
              </w:rPr>
              <w:t xml:space="preserve">La fuente de información de la Tasa Preferencial </w:t>
            </w:r>
            <w:r w:rsidRPr="00AC4D51">
              <w:rPr>
                <w:rFonts w:ascii="Bookman Old Style" w:eastAsia="Bookman Old Style" w:hAnsi="Bookman Old Style" w:cs="Bookman Old Style"/>
                <w:i/>
                <w:iCs/>
                <w:strike/>
              </w:rPr>
              <w:t xml:space="preserve">será </w:t>
            </w:r>
            <w:r w:rsidR="00AC4D51" w:rsidRPr="00AC4D51">
              <w:rPr>
                <w:rFonts w:ascii="Bookman Old Style" w:eastAsia="Bookman Old Style" w:hAnsi="Bookman Old Style" w:cs="Bookman Old Style"/>
                <w:b/>
                <w:bCs/>
                <w:i/>
                <w:iCs/>
              </w:rPr>
              <w:t>es</w:t>
            </w:r>
            <w:r w:rsidR="00AC4D51">
              <w:rPr>
                <w:rFonts w:ascii="Bookman Old Style" w:eastAsia="Bookman Old Style" w:hAnsi="Bookman Old Style" w:cs="Bookman Old Style"/>
                <w:i/>
                <w:iCs/>
              </w:rPr>
              <w:t xml:space="preserve"> </w:t>
            </w:r>
            <w:r w:rsidRPr="00A600C5">
              <w:rPr>
                <w:rFonts w:ascii="Bookman Old Style" w:eastAsia="Bookman Old Style" w:hAnsi="Bookman Old Style" w:cs="Bookman Old Style"/>
                <w:i/>
                <w:iCs/>
              </w:rPr>
              <w:t>la publicada por el Banco de la República</w:t>
            </w:r>
            <w:r w:rsidRPr="00A600C5">
              <w:rPr>
                <w:rFonts w:ascii="Bookman Old Style" w:eastAsia="Bookman Old Style" w:hAnsi="Bookman Old Style" w:cs="Bookman Old Style"/>
                <w:i/>
                <w:iCs/>
                <w:strike/>
              </w:rPr>
              <w:t xml:space="preserve"> </w:t>
            </w:r>
            <w:r w:rsidRPr="009F7E39">
              <w:rPr>
                <w:rFonts w:ascii="Bookman Old Style" w:eastAsia="Bookman Old Style" w:hAnsi="Bookman Old Style" w:cs="Bookman Old Style"/>
                <w:i/>
                <w:iCs/>
                <w:strike/>
              </w:rPr>
              <w:t>de acuerdo con el Formato 441, Circular 100 de 1995 de la Superintendencia Financiera de Colombia</w:t>
            </w:r>
            <w:r w:rsidRPr="009F7E39">
              <w:rPr>
                <w:rFonts w:ascii="Bookman Old Style" w:eastAsia="Bookman Old Style" w:hAnsi="Bookman Old Style" w:cs="Bookman Old Style"/>
                <w:i/>
                <w:iCs/>
              </w:rPr>
              <w:t>.</w:t>
            </w:r>
            <w:r w:rsidRPr="00284E60">
              <w:rPr>
                <w:rFonts w:ascii="Bookman Old Style" w:eastAsia="Bookman Old Style" w:hAnsi="Bookman Old Style" w:cs="Bookman Old Style"/>
                <w:i/>
                <w:iCs/>
              </w:rPr>
              <w:t xml:space="preserve"> </w:t>
            </w:r>
          </w:p>
          <w:p w14:paraId="4D414F7F" w14:textId="77777777" w:rsidR="00284E60" w:rsidRPr="00284E60" w:rsidRDefault="00284E60" w:rsidP="00E91A24">
            <w:pPr>
              <w:ind w:left="0"/>
              <w:jc w:val="both"/>
              <w:rPr>
                <w:rFonts w:ascii="Bookman Old Style" w:eastAsia="Bookman Old Style" w:hAnsi="Bookman Old Style" w:cs="Bookman Old Style"/>
                <w:i/>
                <w:iCs/>
              </w:rPr>
            </w:pPr>
          </w:p>
          <w:p w14:paraId="5D939606" w14:textId="77777777" w:rsidR="00284E60" w:rsidRPr="00284E60" w:rsidRDefault="00284E60" w:rsidP="00E91A24">
            <w:pPr>
              <w:ind w:left="0"/>
              <w:jc w:val="both"/>
              <w:rPr>
                <w:rFonts w:ascii="Bookman Old Style" w:eastAsia="Bookman Old Style" w:hAnsi="Bookman Old Style" w:cs="Bookman Old Style"/>
                <w:i/>
                <w:iCs/>
              </w:rPr>
            </w:pPr>
            <w:bookmarkStart w:id="4" w:name="_Hlk37269907"/>
            <w:r w:rsidRPr="00284E60">
              <w:rPr>
                <w:rFonts w:ascii="Bookman Old Style" w:eastAsia="Bookman Old Style" w:hAnsi="Bookman Old Style" w:cs="Bookman Old Style"/>
                <w:i/>
                <w:iCs/>
              </w:rPr>
              <w:t>En el caso de existir líneas de financiación creadas por el Gobierno Nacional para estos efectos, la tasa r a transferir a los usuarios corresponderá a la tasa de estas líneas de financiación, así la empresa no tome dicha financiación.</w:t>
            </w:r>
          </w:p>
          <w:bookmarkEnd w:id="3"/>
          <w:p w14:paraId="01EF4AB0" w14:textId="77777777" w:rsidR="00284E60" w:rsidRPr="00284E60" w:rsidRDefault="00284E60" w:rsidP="00E91A24">
            <w:pPr>
              <w:ind w:left="0"/>
              <w:jc w:val="both"/>
              <w:rPr>
                <w:rFonts w:ascii="Bookman Old Style" w:eastAsia="Bookman Old Style" w:hAnsi="Bookman Old Style" w:cs="Bookman Old Style"/>
                <w:i/>
                <w:iCs/>
              </w:rPr>
            </w:pPr>
          </w:p>
          <w:p w14:paraId="5410E1A2" w14:textId="77777777" w:rsidR="00284E60" w:rsidRPr="00284E60" w:rsidRDefault="00284E60" w:rsidP="00E91A24">
            <w:pPr>
              <w:ind w:left="0"/>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La tasa efectiva anual publicada deberá calcularse de manera mensual, para su aplicación, utilizando la siguiente expresión:</w:t>
            </w:r>
          </w:p>
          <w:p w14:paraId="26ACD753" w14:textId="77777777" w:rsidR="00284E60" w:rsidRPr="00284E60" w:rsidRDefault="00284E60" w:rsidP="00E91A24">
            <w:pPr>
              <w:ind w:left="0"/>
              <w:jc w:val="both"/>
              <w:rPr>
                <w:rFonts w:ascii="Bookman Old Style" w:eastAsia="Bookman Old Style" w:hAnsi="Bookman Old Style" w:cs="Bookman Old Style"/>
                <w:i/>
                <w:iCs/>
              </w:rPr>
            </w:pPr>
          </w:p>
          <w:p w14:paraId="4FCD62F8" w14:textId="1880F614" w:rsidR="00284E60" w:rsidRPr="00284E60" w:rsidRDefault="009F7E39" w:rsidP="00E91A24">
            <w:pPr>
              <w:jc w:val="center"/>
              <w:rPr>
                <w:rFonts w:ascii="Cambria Math" w:eastAsia="Cambria Math" w:hAnsi="Cambria Math" w:cs="Cambria Math"/>
                <w:i/>
                <w:iCs/>
                <w:sz w:val="28"/>
                <w:szCs w:val="28"/>
              </w:rPr>
            </w:pPr>
            <m:oMathPara>
              <m:oMath>
                <m:r>
                  <w:rPr>
                    <w:rFonts w:ascii="Cambria Math" w:eastAsia="Cambria Math" w:hAnsi="Cambria Math" w:cs="Cambria Math"/>
                    <w:sz w:val="28"/>
                    <w:szCs w:val="28"/>
                  </w:rPr>
                  <m:t>r=</m:t>
                </m:r>
                <m:sSup>
                  <m:sSupPr>
                    <m:ctrlPr>
                      <w:rPr>
                        <w:rFonts w:ascii="Cambria Math" w:eastAsia="Cambria Math" w:hAnsi="Cambria Math" w:cs="Cambria Math"/>
                        <w:i/>
                        <w:iCs/>
                        <w:sz w:val="28"/>
                        <w:szCs w:val="28"/>
                      </w:rPr>
                    </m:ctrlPr>
                  </m:sSupPr>
                  <m:e>
                    <m:d>
                      <m:dPr>
                        <m:ctrlPr>
                          <w:rPr>
                            <w:rFonts w:ascii="Cambria Math" w:eastAsia="Cambria Math" w:hAnsi="Cambria Math" w:cs="Cambria Math"/>
                            <w:i/>
                            <w:iCs/>
                            <w:sz w:val="28"/>
                            <w:szCs w:val="28"/>
                          </w:rPr>
                        </m:ctrlPr>
                      </m:dPr>
                      <m:e>
                        <m:r>
                          <w:rPr>
                            <w:rFonts w:ascii="Cambria Math" w:eastAsia="Cambria Math" w:hAnsi="Cambria Math" w:cs="Cambria Math"/>
                            <w:sz w:val="28"/>
                            <w:szCs w:val="28"/>
                          </w:rPr>
                          <m:t>1+</m:t>
                        </m:r>
                        <m:sSub>
                          <m:sSubPr>
                            <m:ctrlPr>
                              <w:rPr>
                                <w:rFonts w:ascii="Cambria Math" w:eastAsia="Cambria Math" w:hAnsi="Cambria Math" w:cs="Cambria Math"/>
                                <w:i/>
                                <w:iCs/>
                                <w:sz w:val="28"/>
                                <w:szCs w:val="28"/>
                              </w:rPr>
                            </m:ctrlPr>
                          </m:sSubPr>
                          <m:e>
                            <m:r>
                              <w:rPr>
                                <w:rFonts w:ascii="Cambria Math" w:eastAsia="Cambria Math" w:hAnsi="Cambria Math" w:cs="Cambria Math"/>
                                <w:sz w:val="28"/>
                                <w:szCs w:val="28"/>
                              </w:rPr>
                              <m:t>r</m:t>
                            </m:r>
                          </m:e>
                          <m:sub>
                            <m:sSub>
                              <m:sSubPr>
                                <m:ctrlPr>
                                  <w:rPr>
                                    <w:rFonts w:ascii="Cambria Math" w:eastAsia="Cambria Math" w:hAnsi="Cambria Math" w:cs="Cambria Math"/>
                                    <w:i/>
                                    <w:iCs/>
                                    <w:sz w:val="28"/>
                                    <w:szCs w:val="28"/>
                                  </w:rPr>
                                </m:ctrlPr>
                              </m:sSubPr>
                              <m:e>
                                <m:r>
                                  <w:rPr>
                                    <w:rFonts w:ascii="Cambria Math" w:eastAsia="Cambria Math" w:hAnsi="Cambria Math" w:cs="Cambria Math"/>
                                    <w:sz w:val="28"/>
                                    <w:szCs w:val="28"/>
                                  </w:rPr>
                                  <m:t>EA</m:t>
                                </m:r>
                              </m:e>
                              <m:sub>
                                <m:r>
                                  <w:rPr>
                                    <w:rFonts w:ascii="Cambria Math" w:eastAsia="Cambria Math" w:hAnsi="Cambria Math" w:cs="Cambria Math"/>
                                    <w:sz w:val="28"/>
                                    <w:szCs w:val="28"/>
                                  </w:rPr>
                                  <m:t>m</m:t>
                                </m:r>
                              </m:sub>
                            </m:sSub>
                          </m:sub>
                        </m:sSub>
                      </m:e>
                    </m:d>
                  </m:e>
                  <m:sup>
                    <m:f>
                      <m:fPr>
                        <m:ctrlPr>
                          <w:rPr>
                            <w:rFonts w:ascii="Cambria Math" w:eastAsia="Cambria Math" w:hAnsi="Cambria Math" w:cs="Cambria Math"/>
                            <w:i/>
                            <w:iCs/>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rPr>
                          <m:t>12</m:t>
                        </m:r>
                      </m:den>
                    </m:f>
                  </m:sup>
                </m:sSup>
                <m:r>
                  <w:rPr>
                    <w:rFonts w:ascii="Cambria Math" w:eastAsia="Cambria Math" w:hAnsi="Cambria Math" w:cs="Cambria Math"/>
                    <w:sz w:val="28"/>
                    <w:szCs w:val="28"/>
                  </w:rPr>
                  <m:t>-1</m:t>
                </m:r>
              </m:oMath>
            </m:oMathPara>
          </w:p>
          <w:p w14:paraId="4FBD3341" w14:textId="77777777" w:rsidR="00284E60" w:rsidRPr="00284E60" w:rsidRDefault="00284E60" w:rsidP="00AD47B2">
            <w:pPr>
              <w:ind w:left="0"/>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lastRenderedPageBreak/>
              <w:t>Donde:</w:t>
            </w:r>
          </w:p>
          <w:p w14:paraId="2D5686E7" w14:textId="77777777" w:rsidR="00AC4D51" w:rsidRDefault="00AC4D51" w:rsidP="00E91A24">
            <w:pPr>
              <w:ind w:left="0"/>
              <w:jc w:val="both"/>
              <w:rPr>
                <w:rFonts w:ascii="Bookman Old Style" w:eastAsia="Bookman Old Style" w:hAnsi="Bookman Old Style" w:cs="Bookman Old Style"/>
                <w:i/>
                <w:iCs/>
              </w:rPr>
            </w:pPr>
          </w:p>
          <w:p w14:paraId="3DB600E1" w14:textId="3E786F67" w:rsidR="00284E60" w:rsidRPr="00284E60" w:rsidRDefault="00284E60" w:rsidP="00E91A24">
            <w:pPr>
              <w:ind w:left="0"/>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 xml:space="preserve">r: Tasa mensual a aplicar en el mes m. </w:t>
            </w:r>
          </w:p>
          <w:p w14:paraId="2966AB04" w14:textId="0CED7A06" w:rsidR="00284E60" w:rsidRDefault="00284E60" w:rsidP="00E91A24">
            <w:pPr>
              <w:ind w:left="0"/>
              <w:jc w:val="both"/>
              <w:rPr>
                <w:rFonts w:ascii="Bookman Old Style" w:eastAsia="Bookman Old Style" w:hAnsi="Bookman Old Style" w:cs="Bookman Old Style"/>
                <w:i/>
                <w:iCs/>
              </w:rPr>
            </w:pPr>
            <w:proofErr w:type="spellStart"/>
            <w:r w:rsidRPr="00284E60">
              <w:rPr>
                <w:rFonts w:ascii="Bookman Old Style" w:eastAsia="Bookman Old Style" w:hAnsi="Bookman Old Style" w:cs="Bookman Old Style"/>
                <w:i/>
                <w:iCs/>
              </w:rPr>
              <w:t>rEA</w:t>
            </w:r>
            <w:r w:rsidRPr="00284E60">
              <w:rPr>
                <w:rFonts w:ascii="Bookman Old Style" w:eastAsia="Bookman Old Style" w:hAnsi="Bookman Old Style" w:cs="Bookman Old Style"/>
                <w:i/>
                <w:iCs/>
                <w:vertAlign w:val="subscript"/>
              </w:rPr>
              <w:t>m</w:t>
            </w:r>
            <w:proofErr w:type="spellEnd"/>
            <w:r w:rsidRPr="00284E60">
              <w:rPr>
                <w:rFonts w:ascii="Bookman Old Style" w:eastAsia="Bookman Old Style" w:hAnsi="Bookman Old Style" w:cs="Bookman Old Style"/>
                <w:i/>
                <w:iCs/>
              </w:rPr>
              <w:t>: Tasa efectiva anual para calcular la tasa mensual a aplicar en el mes m.</w:t>
            </w:r>
            <w:bookmarkEnd w:id="4"/>
          </w:p>
          <w:p w14:paraId="37EF5BA0" w14:textId="2304253E" w:rsidR="00AD47B2" w:rsidRPr="00284E60" w:rsidRDefault="00AD47B2" w:rsidP="00AD47B2">
            <w:pPr>
              <w:ind w:left="0"/>
              <w:jc w:val="both"/>
              <w:rPr>
                <w:rFonts w:ascii="Bookman Old Style" w:eastAsia="Bookman Old Style" w:hAnsi="Bookman Old Style" w:cs="Bookman Old Style"/>
                <w:i/>
                <w:iCs/>
              </w:rPr>
            </w:pPr>
          </w:p>
        </w:tc>
      </w:tr>
      <w:tr w:rsidR="00AD47B2" w:rsidRPr="00284E60" w14:paraId="15405D64" w14:textId="77777777" w:rsidTr="00AD47B2">
        <w:trPr>
          <w:gridAfter w:val="1"/>
          <w:wAfter w:w="421" w:type="dxa"/>
        </w:trPr>
        <w:tc>
          <w:tcPr>
            <w:tcW w:w="1565" w:type="dxa"/>
            <w:tcBorders>
              <w:top w:val="nil"/>
              <w:left w:val="nil"/>
              <w:bottom w:val="nil"/>
              <w:right w:val="nil"/>
            </w:tcBorders>
          </w:tcPr>
          <w:p w14:paraId="748FC2E6" w14:textId="3F867158" w:rsidR="00C556D2" w:rsidRPr="00284E60" w:rsidRDefault="00000000" w:rsidP="00C556D2">
            <w:pPr>
              <w:ind w:left="0"/>
              <w:jc w:val="center"/>
              <w:rPr>
                <w:rFonts w:ascii="Cambria Math" w:eastAsia="Cambria Math" w:hAnsi="Cambria Math" w:cs="Cambria Math"/>
                <w:i/>
                <w:iCs/>
              </w:rPr>
            </w:pPr>
            <m:oMathPara>
              <m:oMathParaPr>
                <m:jc m:val="left"/>
              </m:oMathParaPr>
              <m:oMath>
                <m:sSub>
                  <m:sSubPr>
                    <m:ctrlPr>
                      <w:rPr>
                        <w:rFonts w:ascii="Cambria Math" w:eastAsia="Cambria Math" w:hAnsi="Cambria Math" w:cs="Cambria Math"/>
                        <w:i/>
                        <w:iCs/>
                      </w:rPr>
                    </m:ctrlPr>
                  </m:sSubPr>
                  <m:e>
                    <m:r>
                      <w:rPr>
                        <w:rFonts w:ascii="Cambria Math" w:eastAsia="Cambria Math" w:hAnsi="Cambria Math" w:cs="Cambria Math"/>
                      </w:rPr>
                      <m:t>CUvA</m:t>
                    </m:r>
                  </m:e>
                  <m:sub>
                    <m:r>
                      <w:rPr>
                        <w:rFonts w:ascii="Cambria Math" w:eastAsia="Cambria Math" w:hAnsi="Cambria Math" w:cs="Cambria Math"/>
                      </w:rPr>
                      <m:t>m-12,i,j,k</m:t>
                    </m:r>
                  </m:sub>
                </m:sSub>
              </m:oMath>
            </m:oMathPara>
          </w:p>
          <w:p w14:paraId="371D83FF" w14:textId="2607864C" w:rsidR="00AD47B2" w:rsidRPr="00AD47B2" w:rsidRDefault="00AD47B2" w:rsidP="00AD47B2">
            <w:pPr>
              <w:widowControl w:val="0"/>
              <w:ind w:left="0"/>
              <w:jc w:val="both"/>
              <w:rPr>
                <w:rFonts w:ascii="Bookman Old Style" w:eastAsia="Bookman Old Style" w:hAnsi="Bookman Old Style" w:cs="Bookman Old Style"/>
                <w:i/>
                <w:iCs/>
              </w:rPr>
            </w:pPr>
          </w:p>
          <w:p w14:paraId="025D91D3" w14:textId="77777777" w:rsidR="00AD47B2" w:rsidRPr="00AD47B2" w:rsidRDefault="00AD47B2" w:rsidP="00463DEE">
            <w:pPr>
              <w:widowControl w:val="0"/>
              <w:ind w:left="0"/>
              <w:jc w:val="both"/>
              <w:rPr>
                <w:rFonts w:ascii="Bookman Old Style" w:eastAsia="Bookman Old Style" w:hAnsi="Bookman Old Style" w:cs="Bookman Old Style"/>
                <w:i/>
                <w:iCs/>
              </w:rPr>
            </w:pPr>
          </w:p>
        </w:tc>
        <w:tc>
          <w:tcPr>
            <w:tcW w:w="6032" w:type="dxa"/>
            <w:tcBorders>
              <w:top w:val="nil"/>
              <w:left w:val="nil"/>
              <w:bottom w:val="nil"/>
              <w:right w:val="nil"/>
            </w:tcBorders>
          </w:tcPr>
          <w:p w14:paraId="5AB00A5E" w14:textId="05268FF0" w:rsidR="00AD47B2" w:rsidRDefault="00AD47B2" w:rsidP="00AD47B2">
            <w:pPr>
              <w:ind w:left="0"/>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Componente Variable del Costo Unitario de Prestación del Servicio Público de Gas Combustible por Redes de Tubería, expresado en $/m</w:t>
            </w:r>
            <w:r w:rsidRPr="00AD47B2">
              <w:rPr>
                <w:rFonts w:ascii="Bookman Old Style" w:eastAsia="Bookman Old Style" w:hAnsi="Bookman Old Style" w:cs="Bookman Old Style"/>
                <w:i/>
                <w:iCs/>
              </w:rPr>
              <w:t>3</w:t>
            </w:r>
            <w:r w:rsidRPr="00284E60">
              <w:rPr>
                <w:rFonts w:ascii="Bookman Old Style" w:eastAsia="Bookman Old Style" w:hAnsi="Bookman Old Style" w:cs="Bookman Old Style"/>
                <w:i/>
                <w:iCs/>
              </w:rPr>
              <w:t>, aplicado en el mes m-1</w:t>
            </w:r>
            <w:r w:rsidR="00C556D2">
              <w:rPr>
                <w:rFonts w:ascii="Bookman Old Style" w:eastAsia="Bookman Old Style" w:hAnsi="Bookman Old Style" w:cs="Bookman Old Style"/>
                <w:i/>
                <w:iCs/>
              </w:rPr>
              <w:t>2</w:t>
            </w:r>
            <w:r w:rsidRPr="00284E60">
              <w:rPr>
                <w:rFonts w:ascii="Bookman Old Style" w:eastAsia="Bookman Old Style" w:hAnsi="Bookman Old Style" w:cs="Bookman Old Style"/>
                <w:i/>
                <w:iCs/>
              </w:rPr>
              <w:t>, por el Comercializador j, en el Mercado Relevante de Comercialización i, para el tipo de usuario k.</w:t>
            </w:r>
          </w:p>
          <w:p w14:paraId="2E8A9344" w14:textId="77777777" w:rsidR="00AD47B2" w:rsidRPr="00284E60" w:rsidRDefault="00AD47B2" w:rsidP="00AD47B2">
            <w:pPr>
              <w:ind w:left="0"/>
              <w:jc w:val="both"/>
              <w:rPr>
                <w:rFonts w:ascii="Bookman Old Style" w:eastAsia="Bookman Old Style" w:hAnsi="Bookman Old Style" w:cs="Bookman Old Style"/>
                <w:i/>
                <w:iCs/>
              </w:rPr>
            </w:pPr>
          </w:p>
        </w:tc>
      </w:tr>
    </w:tbl>
    <w:p w14:paraId="75246DD9" w14:textId="1469ABBF" w:rsidR="00284E60" w:rsidRPr="00284E60" w:rsidRDefault="00284E60" w:rsidP="00D13356">
      <w:pPr>
        <w:widowControl w:val="0"/>
        <w:numPr>
          <w:ilvl w:val="0"/>
          <w:numId w:val="18"/>
        </w:numPr>
        <w:ind w:left="1134" w:hanging="567"/>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 xml:space="preserve">Al momento de aplicar la Opción Tarifaria Transitoria, el Comercializador deberá indicar el Porcentaje de variación mensual (PV) que espera aplicar. Cualquier modificación durante la aplicación de la Opción Tarifaria deberá ser informada a la Comisión de Regulación de Energía y Gas, CREG, y a la Superintendencia de Servicios Públicos Domiciliarios, SSPD.   </w:t>
      </w:r>
    </w:p>
    <w:p w14:paraId="119712A6" w14:textId="77777777" w:rsidR="00284E60" w:rsidRPr="00284E60" w:rsidRDefault="00284E60" w:rsidP="009E6B36">
      <w:pPr>
        <w:widowControl w:val="0"/>
        <w:ind w:left="1134" w:hanging="567"/>
        <w:jc w:val="both"/>
        <w:rPr>
          <w:rFonts w:ascii="Bookman Old Style" w:eastAsia="Bookman Old Style" w:hAnsi="Bookman Old Style" w:cs="Bookman Old Style"/>
          <w:i/>
          <w:iCs/>
          <w:sz w:val="22"/>
          <w:szCs w:val="22"/>
        </w:rPr>
      </w:pPr>
    </w:p>
    <w:p w14:paraId="6BB324AC" w14:textId="77777777" w:rsidR="00284E60" w:rsidRPr="00284E60" w:rsidRDefault="00284E60" w:rsidP="00D13356">
      <w:pPr>
        <w:widowControl w:val="0"/>
        <w:numPr>
          <w:ilvl w:val="0"/>
          <w:numId w:val="18"/>
        </w:numPr>
        <w:ind w:left="1134" w:hanging="567"/>
        <w:jc w:val="both"/>
        <w:rPr>
          <w:rFonts w:ascii="Bookman Old Style" w:eastAsia="Bookman Old Style" w:hAnsi="Bookman Old Style" w:cs="Bookman Old Style"/>
          <w:i/>
          <w:iCs/>
        </w:rPr>
      </w:pPr>
      <w:r w:rsidRPr="00284E60">
        <w:rPr>
          <w:rFonts w:ascii="Bookman Old Style" w:eastAsia="Bookman Old Style" w:hAnsi="Bookman Old Style" w:cs="Bookman Old Style"/>
          <w:i/>
          <w:iCs/>
        </w:rPr>
        <w:t xml:space="preserve">El Comercializador deberá mantener actualizada la información relativa a los saldos acumulados y el histórico de los valores que se trasladan a la tarifa del usuario final. </w:t>
      </w:r>
    </w:p>
    <w:p w14:paraId="5292C76E" w14:textId="77777777" w:rsidR="00284E60" w:rsidRPr="009E6B36" w:rsidRDefault="00284E60" w:rsidP="009E6B36">
      <w:pPr>
        <w:ind w:left="1134" w:hanging="567"/>
        <w:rPr>
          <w:rFonts w:ascii="Bookman Old Style" w:eastAsia="Bookman Old Style" w:hAnsi="Bookman Old Style" w:cs="Bookman Old Style"/>
          <w:i/>
          <w:iCs/>
          <w:sz w:val="22"/>
          <w:szCs w:val="22"/>
        </w:rPr>
      </w:pPr>
    </w:p>
    <w:p w14:paraId="63F9A4FE" w14:textId="08A94337" w:rsidR="00284E60" w:rsidRPr="009E6B36" w:rsidRDefault="00284E60" w:rsidP="00D13356">
      <w:pPr>
        <w:widowControl w:val="0"/>
        <w:numPr>
          <w:ilvl w:val="0"/>
          <w:numId w:val="18"/>
        </w:numPr>
        <w:ind w:left="1134" w:hanging="567"/>
        <w:jc w:val="both"/>
        <w:rPr>
          <w:rFonts w:ascii="Bookman Old Style" w:eastAsia="Bookman Old Style" w:hAnsi="Bookman Old Style" w:cs="Bookman Old Style"/>
          <w:i/>
          <w:iCs/>
        </w:rPr>
      </w:pPr>
      <w:r w:rsidRPr="009E6B36">
        <w:rPr>
          <w:rFonts w:ascii="Bookman Old Style" w:eastAsia="Bookman Old Style" w:hAnsi="Bookman Old Style" w:cs="Bookman Old Style"/>
          <w:i/>
          <w:iCs/>
        </w:rPr>
        <w:t>Además de lo establecido en la regulación vigente en relación con la información que debe contener la factura, el comercializador deberá incluir el Costo de Prestación del Servicio obtenido con la Opción Tarifaria y la tarifa que corresponda.</w:t>
      </w:r>
    </w:p>
    <w:p w14:paraId="7B3BA2E6" w14:textId="77777777" w:rsidR="00284E60" w:rsidRPr="009E6B36" w:rsidRDefault="00284E60" w:rsidP="009E6B36">
      <w:pPr>
        <w:widowControl w:val="0"/>
        <w:ind w:left="1134" w:hanging="567"/>
        <w:jc w:val="both"/>
        <w:rPr>
          <w:rFonts w:ascii="Bookman Old Style" w:eastAsia="Bookman Old Style" w:hAnsi="Bookman Old Style" w:cs="Bookman Old Style"/>
          <w:i/>
          <w:iCs/>
          <w:sz w:val="22"/>
          <w:szCs w:val="22"/>
        </w:rPr>
      </w:pPr>
    </w:p>
    <w:p w14:paraId="39E550B5" w14:textId="77777777" w:rsidR="00284E60" w:rsidRPr="009E6B36" w:rsidRDefault="00284E60" w:rsidP="00D13356">
      <w:pPr>
        <w:widowControl w:val="0"/>
        <w:numPr>
          <w:ilvl w:val="0"/>
          <w:numId w:val="18"/>
        </w:numPr>
        <w:ind w:left="1134" w:hanging="567"/>
        <w:jc w:val="both"/>
        <w:rPr>
          <w:rFonts w:ascii="Bookman Old Style" w:eastAsia="Bookman Old Style" w:hAnsi="Bookman Old Style" w:cs="Bookman Old Style"/>
          <w:i/>
          <w:iCs/>
        </w:rPr>
      </w:pPr>
      <w:r w:rsidRPr="009E6B36">
        <w:rPr>
          <w:rFonts w:ascii="Bookman Old Style" w:eastAsia="Bookman Old Style" w:hAnsi="Bookman Old Style" w:cs="Bookman Old Style"/>
          <w:i/>
          <w:iCs/>
        </w:rPr>
        <w:t xml:space="preserve">Una vez el Comercializador determine el Componente Variable del Costo Unitario de Prestación del Servicio Público de Gas Combustible por Redes de Tubería que se traslada a los usuarios residenciales de estratos 1 y 2 con base en la Opción Tarifaria Transitoria de que trata este Artículo, aplicará las disposiciones vigentes en materia de subsidios para efectos de determinar la tarifa. </w:t>
      </w:r>
    </w:p>
    <w:p w14:paraId="52005927" w14:textId="2B34F2B8" w:rsidR="00284E60" w:rsidRDefault="00284E60" w:rsidP="00506714">
      <w:pPr>
        <w:pStyle w:val="ARTICULOS"/>
        <w:numPr>
          <w:ilvl w:val="0"/>
          <w:numId w:val="0"/>
        </w:numPr>
        <w:tabs>
          <w:tab w:val="clear" w:pos="1559"/>
        </w:tabs>
        <w:outlineLvl w:val="0"/>
        <w:rPr>
          <w:bCs w:val="0"/>
          <w:i/>
          <w:iCs/>
          <w:u w:val="single"/>
          <w:lang w:val="es-CO"/>
        </w:rPr>
      </w:pPr>
    </w:p>
    <w:p w14:paraId="29504AFF" w14:textId="77777777" w:rsidR="003F01A2" w:rsidRPr="008B35CE" w:rsidRDefault="003F01A2" w:rsidP="00506714">
      <w:pPr>
        <w:pStyle w:val="ARTICULOS"/>
        <w:numPr>
          <w:ilvl w:val="0"/>
          <w:numId w:val="0"/>
        </w:numPr>
        <w:tabs>
          <w:tab w:val="clear" w:pos="1559"/>
        </w:tabs>
        <w:outlineLvl w:val="0"/>
        <w:rPr>
          <w:bCs w:val="0"/>
          <w:i/>
          <w:iCs/>
          <w:u w:val="single"/>
          <w:lang w:val="es-CO"/>
        </w:rPr>
      </w:pPr>
    </w:p>
    <w:p w14:paraId="2E684C3A" w14:textId="2BAC14BE" w:rsidR="002A6A86" w:rsidRPr="005263BE" w:rsidRDefault="002A6A86" w:rsidP="00506714">
      <w:pPr>
        <w:pStyle w:val="Ttulo1"/>
        <w:ind w:left="0"/>
        <w:jc w:val="both"/>
        <w:rPr>
          <w:rFonts w:ascii="Bookman Old Style" w:hAnsi="Bookman Old Style"/>
          <w:szCs w:val="24"/>
        </w:rPr>
      </w:pPr>
      <w:r w:rsidRPr="005263BE">
        <w:rPr>
          <w:rFonts w:ascii="Bookman Old Style" w:hAnsi="Bookman Old Style"/>
          <w:szCs w:val="24"/>
        </w:rPr>
        <w:t xml:space="preserve">ARTÍCULO </w:t>
      </w:r>
      <w:r w:rsidR="003F01A2">
        <w:rPr>
          <w:rFonts w:ascii="Bookman Old Style" w:hAnsi="Bookman Old Style"/>
          <w:szCs w:val="24"/>
        </w:rPr>
        <w:t>2</w:t>
      </w:r>
      <w:r w:rsidRPr="005263BE">
        <w:rPr>
          <w:rFonts w:ascii="Bookman Old Style" w:hAnsi="Bookman Old Style"/>
          <w:szCs w:val="24"/>
        </w:rPr>
        <w:t xml:space="preserve">. Vigencia de la Presente Resolución.  </w:t>
      </w:r>
      <w:r w:rsidRPr="005263BE">
        <w:rPr>
          <w:rFonts w:ascii="Bookman Old Style" w:hAnsi="Bookman Old Style"/>
          <w:b w:val="0"/>
          <w:bCs/>
          <w:szCs w:val="24"/>
        </w:rPr>
        <w:t xml:space="preserve">La presente resolución rige a partir de la fecha de su publicación en el </w:t>
      </w:r>
      <w:r w:rsidRPr="005263BE">
        <w:rPr>
          <w:rFonts w:ascii="Bookman Old Style" w:hAnsi="Bookman Old Style"/>
          <w:b w:val="0"/>
          <w:bCs/>
          <w:i/>
          <w:szCs w:val="24"/>
        </w:rPr>
        <w:t>Diario Oficial.</w:t>
      </w:r>
    </w:p>
    <w:p w14:paraId="460BE682" w14:textId="41E7F4E4" w:rsidR="002A6A86" w:rsidRDefault="002A6A86" w:rsidP="00506714">
      <w:pPr>
        <w:autoSpaceDE w:val="0"/>
        <w:autoSpaceDN w:val="0"/>
        <w:adjustRightInd w:val="0"/>
        <w:ind w:left="0"/>
        <w:jc w:val="both"/>
        <w:rPr>
          <w:rFonts w:ascii="Bookman Old Style" w:hAnsi="Bookman Old Style"/>
          <w:color w:val="000000"/>
        </w:rPr>
      </w:pPr>
    </w:p>
    <w:p w14:paraId="7AAA9C13" w14:textId="77777777" w:rsidR="0076160E" w:rsidRPr="005263BE" w:rsidRDefault="0076160E" w:rsidP="00506714">
      <w:pPr>
        <w:autoSpaceDE w:val="0"/>
        <w:autoSpaceDN w:val="0"/>
        <w:adjustRightInd w:val="0"/>
        <w:ind w:left="0"/>
        <w:jc w:val="both"/>
        <w:rPr>
          <w:rFonts w:ascii="Bookman Old Style" w:hAnsi="Bookman Old Style"/>
          <w:color w:val="000000"/>
        </w:rPr>
      </w:pPr>
    </w:p>
    <w:p w14:paraId="5196F2A6" w14:textId="77777777" w:rsidR="002A6A86" w:rsidRPr="005263BE" w:rsidRDefault="002A6A86" w:rsidP="00506714">
      <w:pPr>
        <w:tabs>
          <w:tab w:val="left" w:pos="1843"/>
        </w:tabs>
        <w:ind w:left="0"/>
        <w:jc w:val="center"/>
        <w:rPr>
          <w:rFonts w:ascii="Bookman Old Style" w:hAnsi="Bookman Old Style"/>
          <w:b/>
        </w:rPr>
      </w:pPr>
      <w:r w:rsidRPr="005263BE">
        <w:rPr>
          <w:rFonts w:ascii="Bookman Old Style" w:hAnsi="Bookman Old Style"/>
          <w:b/>
        </w:rPr>
        <w:t>PUBLÍQUESE Y CÚMPLASE</w:t>
      </w:r>
    </w:p>
    <w:p w14:paraId="26E7B9F3" w14:textId="77777777" w:rsidR="002A6A86" w:rsidRPr="00825F63" w:rsidRDefault="002A6A86" w:rsidP="00506714">
      <w:pPr>
        <w:autoSpaceDE w:val="0"/>
        <w:autoSpaceDN w:val="0"/>
        <w:adjustRightInd w:val="0"/>
        <w:ind w:left="0"/>
        <w:jc w:val="both"/>
        <w:rPr>
          <w:rFonts w:ascii="Bookman Old Style" w:hAnsi="Bookman Old Style"/>
          <w:color w:val="000000"/>
          <w:sz w:val="22"/>
          <w:szCs w:val="22"/>
        </w:rPr>
      </w:pPr>
    </w:p>
    <w:sectPr w:rsidR="002A6A86" w:rsidRPr="00825F63" w:rsidSect="00825F63">
      <w:headerReference w:type="default" r:id="rId15"/>
      <w:headerReference w:type="first" r:id="rId16"/>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7803" w14:textId="77777777" w:rsidR="00CC17D6" w:rsidRDefault="00CC17D6">
      <w:r>
        <w:separator/>
      </w:r>
    </w:p>
  </w:endnote>
  <w:endnote w:type="continuationSeparator" w:id="0">
    <w:p w14:paraId="56CFAA41" w14:textId="77777777" w:rsidR="00CC17D6" w:rsidRDefault="00CC17D6">
      <w:r>
        <w:continuationSeparator/>
      </w:r>
    </w:p>
  </w:endnote>
  <w:endnote w:type="continuationNotice" w:id="1">
    <w:p w14:paraId="203F5B4B" w14:textId="77777777" w:rsidR="00CC17D6" w:rsidRDefault="00CC1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039FD" w14:textId="77777777" w:rsidR="00CC17D6" w:rsidRDefault="00CC17D6">
      <w:r>
        <w:separator/>
      </w:r>
    </w:p>
  </w:footnote>
  <w:footnote w:type="continuationSeparator" w:id="0">
    <w:p w14:paraId="79591DB8" w14:textId="77777777" w:rsidR="00CC17D6" w:rsidRDefault="00CC17D6">
      <w:r>
        <w:continuationSeparator/>
      </w:r>
    </w:p>
  </w:footnote>
  <w:footnote w:type="continuationNotice" w:id="1">
    <w:p w14:paraId="2FCE6ED6" w14:textId="77777777" w:rsidR="00CC17D6" w:rsidRDefault="00CC1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BBB8" w14:textId="77777777" w:rsidR="00967374" w:rsidRDefault="00967374" w:rsidP="00951F79">
    <w:pPr>
      <w:pStyle w:val="Ttulo1"/>
      <w:ind w:right="6"/>
      <w:jc w:val="left"/>
      <w:rPr>
        <w:rFonts w:ascii="Bookman Old Style" w:hAnsi="Bookman Old Style" w:cs="Arial"/>
        <w:b w:val="0"/>
        <w:sz w:val="22"/>
        <w:szCs w:val="22"/>
      </w:rPr>
    </w:pPr>
  </w:p>
  <w:p w14:paraId="77D67B39" w14:textId="2E8EAE42" w:rsidR="00967374" w:rsidRPr="00951F79" w:rsidRDefault="00A92970" w:rsidP="009F4BEC">
    <w:pPr>
      <w:pStyle w:val="Ttulo1"/>
      <w:ind w:left="0" w:right="6"/>
      <w:jc w:val="left"/>
      <w:rPr>
        <w:rFonts w:ascii="Bookman Old Style" w:hAnsi="Bookman Old Style" w:cs="Arial"/>
        <w:b w:val="0"/>
        <w:sz w:val="22"/>
        <w:szCs w:val="22"/>
      </w:rPr>
    </w:pPr>
    <w:r>
      <w:rPr>
        <w:rFonts w:ascii="Bookman Old Style" w:hAnsi="Bookman Old Style" w:cs="Arial"/>
        <w:b w:val="0"/>
        <w:sz w:val="22"/>
        <w:szCs w:val="22"/>
      </w:rPr>
      <w:t xml:space="preserve">PROYECTO DE </w:t>
    </w:r>
    <w:r w:rsidR="00967374" w:rsidRPr="00654384">
      <w:rPr>
        <w:rFonts w:ascii="Bookman Old Style" w:hAnsi="Bookman Old Style" w:cs="Arial"/>
        <w:b w:val="0"/>
        <w:sz w:val="22"/>
        <w:szCs w:val="22"/>
      </w:rPr>
      <w:t>RESOLUCIÓN No</w:t>
    </w:r>
    <w:r w:rsidR="00967374" w:rsidRPr="00E104BE">
      <w:rPr>
        <w:rFonts w:ascii="Bookman Old Style" w:hAnsi="Bookman Old Style" w:cs="Arial"/>
        <w:b w:val="0"/>
        <w:szCs w:val="24"/>
      </w:rPr>
      <w:t>.</w:t>
    </w:r>
    <w:r w:rsidR="00967374" w:rsidRPr="00E104BE">
      <w:rPr>
        <w:rFonts w:ascii="Bookman Old Style" w:hAnsi="Bookman Old Style" w:cs="Arial"/>
        <w:bCs/>
        <w:szCs w:val="24"/>
        <w:u w:val="single"/>
      </w:rPr>
      <w:t xml:space="preserve"> </w:t>
    </w:r>
    <w:r w:rsidR="003222E7">
      <w:rPr>
        <w:rFonts w:ascii="Bookman Old Style" w:hAnsi="Bookman Old Style" w:cs="Arial"/>
        <w:bCs/>
        <w:szCs w:val="24"/>
        <w:u w:val="single"/>
      </w:rPr>
      <w:t>702 0</w:t>
    </w:r>
    <w:r w:rsidR="00504A57">
      <w:rPr>
        <w:rFonts w:ascii="Bookman Old Style" w:hAnsi="Bookman Old Style" w:cs="Arial"/>
        <w:bCs/>
        <w:szCs w:val="24"/>
        <w:u w:val="single"/>
      </w:rPr>
      <w:t>11</w:t>
    </w:r>
    <w:r w:rsidR="00825F63">
      <w:rPr>
        <w:rFonts w:ascii="Bookman Old Style" w:hAnsi="Bookman Old Style" w:cs="Arial"/>
        <w:bCs/>
        <w:szCs w:val="24"/>
        <w:u w:val="single"/>
      </w:rPr>
      <w:t xml:space="preserve"> </w:t>
    </w:r>
    <w:r w:rsidR="00967374">
      <w:rPr>
        <w:rFonts w:ascii="Bookman Old Style" w:hAnsi="Bookman Old Style" w:cs="Arial"/>
        <w:b w:val="0"/>
        <w:sz w:val="22"/>
        <w:szCs w:val="22"/>
      </w:rPr>
      <w:t xml:space="preserve">DE   </w:t>
    </w:r>
    <w:r w:rsidR="00504A57">
      <w:rPr>
        <w:rFonts w:ascii="Bookman Old Style" w:hAnsi="Bookman Old Style" w:cs="Arial"/>
        <w:bCs/>
        <w:szCs w:val="24"/>
        <w:u w:val="single"/>
      </w:rPr>
      <w:t>26</w:t>
    </w:r>
    <w:r w:rsidR="00205A01">
      <w:rPr>
        <w:rFonts w:ascii="Bookman Old Style" w:hAnsi="Bookman Old Style" w:cs="Arial"/>
        <w:bCs/>
        <w:szCs w:val="24"/>
        <w:u w:val="single"/>
      </w:rPr>
      <w:t xml:space="preserve"> DIC</w:t>
    </w:r>
    <w:r w:rsidR="005B1ACF">
      <w:rPr>
        <w:rFonts w:ascii="Bookman Old Style" w:hAnsi="Bookman Old Style" w:cs="Arial"/>
        <w:bCs/>
        <w:szCs w:val="24"/>
        <w:u w:val="single"/>
      </w:rPr>
      <w:t>.</w:t>
    </w:r>
    <w:r w:rsidR="008C19A2">
      <w:rPr>
        <w:rFonts w:ascii="Bookman Old Style" w:hAnsi="Bookman Old Style" w:cs="Arial"/>
        <w:bCs/>
        <w:szCs w:val="24"/>
        <w:u w:val="single"/>
      </w:rPr>
      <w:t xml:space="preserve"> 2022</w:t>
    </w:r>
    <w:r w:rsidR="00967374">
      <w:rPr>
        <w:rFonts w:ascii="Bookman Old Style" w:hAnsi="Bookman Old Style" w:cs="Arial"/>
        <w:b w:val="0"/>
        <w:sz w:val="22"/>
        <w:szCs w:val="22"/>
      </w:rPr>
      <w:t xml:space="preserve">    </w:t>
    </w:r>
    <w:r w:rsidR="00967374" w:rsidRPr="00654384">
      <w:rPr>
        <w:rFonts w:ascii="Bookman Old Style" w:hAnsi="Bookman Old Style" w:cs="Arial"/>
        <w:b w:val="0"/>
        <w:sz w:val="22"/>
        <w:szCs w:val="22"/>
      </w:rPr>
      <w:t xml:space="preserve">HOJA No. </w:t>
    </w:r>
    <w:r w:rsidR="00967374" w:rsidRPr="00654384">
      <w:rPr>
        <w:rFonts w:ascii="Bookman Old Style" w:hAnsi="Bookman Old Style" w:cs="Arial"/>
        <w:b w:val="0"/>
        <w:sz w:val="22"/>
        <w:szCs w:val="22"/>
      </w:rPr>
      <w:fldChar w:fldCharType="begin"/>
    </w:r>
    <w:r w:rsidR="00967374" w:rsidRPr="00654384">
      <w:rPr>
        <w:rFonts w:ascii="Bookman Old Style" w:hAnsi="Bookman Old Style" w:cs="Arial"/>
        <w:b w:val="0"/>
        <w:sz w:val="22"/>
        <w:szCs w:val="22"/>
      </w:rPr>
      <w:instrText xml:space="preserve"> PAGE   \* MERGEFORMAT </w:instrText>
    </w:r>
    <w:r w:rsidR="00967374" w:rsidRPr="00654384">
      <w:rPr>
        <w:rFonts w:ascii="Bookman Old Style" w:hAnsi="Bookman Old Style" w:cs="Arial"/>
        <w:b w:val="0"/>
        <w:sz w:val="22"/>
        <w:szCs w:val="22"/>
      </w:rPr>
      <w:fldChar w:fldCharType="separate"/>
    </w:r>
    <w:r w:rsidR="00E51411">
      <w:rPr>
        <w:rFonts w:ascii="Bookman Old Style" w:hAnsi="Bookman Old Style" w:cs="Arial"/>
        <w:b w:val="0"/>
        <w:noProof/>
        <w:sz w:val="22"/>
        <w:szCs w:val="22"/>
      </w:rPr>
      <w:t>12</w:t>
    </w:r>
    <w:r w:rsidR="00967374" w:rsidRPr="00654384">
      <w:rPr>
        <w:rFonts w:ascii="Bookman Old Style" w:hAnsi="Bookman Old Style" w:cs="Arial"/>
        <w:b w:val="0"/>
        <w:sz w:val="22"/>
        <w:szCs w:val="22"/>
      </w:rPr>
      <w:fldChar w:fldCharType="end"/>
    </w:r>
    <w:r w:rsidR="00967374" w:rsidRPr="00654384">
      <w:rPr>
        <w:rFonts w:ascii="Bookman Old Style" w:hAnsi="Bookman Old Style" w:cs="Arial"/>
        <w:b w:val="0"/>
        <w:sz w:val="22"/>
        <w:szCs w:val="22"/>
      </w:rPr>
      <w:t>/</w:t>
    </w:r>
    <w:fldSimple w:instr="NUMPAGES  \* MERGEFORMAT">
      <w:r w:rsidR="00E51411" w:rsidRPr="00E51411">
        <w:rPr>
          <w:rFonts w:ascii="Bookman Old Style" w:hAnsi="Bookman Old Style" w:cs="Arial"/>
          <w:b w:val="0"/>
          <w:noProof/>
          <w:sz w:val="22"/>
          <w:szCs w:val="22"/>
        </w:rPr>
        <w:t>12</w:t>
      </w:r>
    </w:fldSimple>
  </w:p>
  <w:p w14:paraId="7A4243CC" w14:textId="77777777" w:rsidR="00967374" w:rsidRDefault="0096737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0B8D0" id="Rectangle 1" o:spid="_x0000_s1026" style="position:absolute;margin-left:-14.55pt;margin-top:7pt;width:493.5pt;height:7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qUGQIAABUEAAAOAAAAZHJzL2Uyb0RvYy54bWysU1GP0zAMfkfiP0R5Z22nbXer1p1OOw4h&#10;HXDi4AdkadpGpHFwsnXj1+Ok2xjwhuhDZNfO58+fndXdoTdsr9BrsBUvJjlnykqotW0r/vXL45tb&#10;znwQthYGrKr4UXl+t379ajW4Uk2hA1MrZARifTm4inchuDLLvOxUL/wEnLIUbAB7EcjFNqtRDITe&#10;m2ya54tsAKwdglTe09+HMcjXCb9plAyfmsarwEzFiVtIJ6ZzG89svRJli8J1Wp5oiH9g0QttqegF&#10;6kEEwXao/4LqtUTw0ISJhD6DptFSpR6omyL/o5uXTjiVeiFxvLvI5P8frPy4f0am64pPObOipxF9&#10;JtGEbY1iRZRncL6krBf3jLFB755AfvPMwqajLHWPCEOnRE2kUn7224XoeLrKtsMHqAld7AIkpQ4N&#10;9hGQNGCHNJDjZSDqEJikn4vp4mY2p7lJii2XRT6bzSOnTJTn6w59eKegZ9GoOBL5BC/2Tz6MqeeU&#10;WM3CozYmTd1YNhDnZU4FUmdgdB2jycF2uzHI9iIuTvpOhf11Wq8Dra/RfcVvL0mijHq8tXUqE4Q2&#10;o02sjSXyZ01GbbdQH0kfhHE36S2R0QH+4Gygvay4/74TqDgz7y1pvCxms7jIyZnNb6bk4HVkex0R&#10;VhJUxQNno7kJ4/LvHOq2o0pF6t3CPc2l0UmxyG9kdSJLu5c0P72TuNzXfsr69ZrXPwEAAP//AwBQ&#10;SwMEFAAGAAgAAAAhAK5SSsPiAAAACwEAAA8AAABkcnMvZG93bnJldi54bWxMj8FOwzAQRO9I/IO1&#10;SFxQ67RKmyaNU1VInEBCBCqVm2tvk4jYDrbbpn/PcoLjzjzNzpSb0fTsjD50zgqYTRNgaJXTnW0E&#10;fLw/TVbAQpRWy95ZFHDFAJvq9qaUhXYX+4bnOjaMQmwopIA2xqHgPKgWjQxTN6Al7+i8kZFO33Dt&#10;5YXCTc/nSbLkRnaWPrRywMcW1Vd9MgIe0qXRu/331X/Wz/vd60ptX4IS4v5u3K6BRRzjHwy/9ak6&#10;VNTp4E5WB9YLmMzzGaFkpLSJgHyR5cAOJCyyNANelfz/huoHAAD//wMAUEsBAi0AFAAGAAgAAAAh&#10;ALaDOJL+AAAA4QEAABMAAAAAAAAAAAAAAAAAAAAAAFtDb250ZW50X1R5cGVzXS54bWxQSwECLQAU&#10;AAYACAAAACEAOP0h/9YAAACUAQAACwAAAAAAAAAAAAAAAAAvAQAAX3JlbHMvLnJlbHNQSwECLQAU&#10;AAYACAAAACEAHUcalBkCAAAVBAAADgAAAAAAAAAAAAAAAAAuAgAAZHJzL2Uyb0RvYy54bWxQSwEC&#10;LQAUAAYACAAAACEArlJKw+IAAAALAQAADwAAAAAAAAAAAAAAAABzBAAAZHJzL2Rvd25yZXYueG1s&#10;UEsFBgAAAAAEAAQA8wAAAIIFAAAAAA==&#10;" filled="f" strokeweight="1.5pt"/>
          </w:pict>
        </mc:Fallback>
      </mc:AlternateContent>
    </w:r>
  </w:p>
  <w:p w14:paraId="2E75DAA6" w14:textId="3B6E6D76" w:rsidR="00967374" w:rsidRDefault="00967374" w:rsidP="00C17D57">
    <w:pPr>
      <w:pBdr>
        <w:bottom w:val="single" w:sz="4" w:space="1" w:color="auto"/>
      </w:pBdr>
      <w:ind w:left="0"/>
      <w:jc w:val="both"/>
      <w:rPr>
        <w:rFonts w:ascii="Bookman Old Style" w:hAnsi="Bookman Old Style" w:cs="Arial"/>
      </w:rPr>
    </w:pPr>
    <w:bookmarkStart w:id="5" w:name="_Hlk43385608"/>
  </w:p>
  <w:bookmarkEnd w:i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1BB8" w14:textId="6D29E974" w:rsidR="00967374" w:rsidRDefault="00967374" w:rsidP="0076160E">
    <w:pPr>
      <w:pStyle w:val="Encabezado"/>
      <w:ind w:left="0"/>
      <w:jc w:val="center"/>
      <w:rPr>
        <w:rFonts w:ascii="Arial" w:hAnsi="Arial" w:cs="Arial"/>
        <w:spacing w:val="20"/>
        <w:sz w:val="20"/>
      </w:rPr>
    </w:pPr>
    <w:r>
      <w:rPr>
        <w:rFonts w:ascii="Arial" w:hAnsi="Arial" w:cs="Arial"/>
        <w:spacing w:val="20"/>
        <w:sz w:val="20"/>
      </w:rPr>
      <w:t>República de Colombia</w:t>
    </w:r>
  </w:p>
  <w:p w14:paraId="133854F0" w14:textId="77777777" w:rsidR="00967374" w:rsidRDefault="00967374">
    <w:pPr>
      <w:pStyle w:val="Encabezado"/>
      <w:jc w:val="center"/>
      <w:rPr>
        <w:rFonts w:ascii="Arial" w:hAnsi="Arial" w:cs="Arial"/>
        <w:spacing w:val="20"/>
        <w:sz w:val="20"/>
      </w:rPr>
    </w:pPr>
  </w:p>
  <w:p w14:paraId="731F2EA9" w14:textId="77777777" w:rsidR="00967374" w:rsidRDefault="0096737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FA3A0CB" wp14:editId="035C6597">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426FA"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A54A8"/>
    <w:multiLevelType w:val="hybridMultilevel"/>
    <w:tmpl w:val="0B80A7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1A2BAF"/>
    <w:multiLevelType w:val="multilevel"/>
    <w:tmpl w:val="6784AA1E"/>
    <w:lvl w:ilvl="0">
      <w:start w:val="7"/>
      <w:numFmt w:val="decimal"/>
      <w:lvlText w:val="%1."/>
      <w:lvlJc w:val="left"/>
      <w:pPr>
        <w:ind w:left="705" w:hanging="705"/>
      </w:pPr>
      <w:rPr>
        <w:rFonts w:hint="default"/>
      </w:rPr>
    </w:lvl>
    <w:lvl w:ilvl="1">
      <w:start w:val="1"/>
      <w:numFmt w:val="lowerLetter"/>
      <w:lvlText w:val="%2."/>
      <w:lvlJc w:val="left"/>
      <w:pPr>
        <w:ind w:left="-2530" w:hanging="360"/>
      </w:pPr>
      <w:rPr>
        <w:rFonts w:hint="default"/>
      </w:rPr>
    </w:lvl>
    <w:lvl w:ilvl="2">
      <w:start w:val="1"/>
      <w:numFmt w:val="lowerRoman"/>
      <w:lvlText w:val="%3."/>
      <w:lvlJc w:val="right"/>
      <w:pPr>
        <w:ind w:left="-1810" w:hanging="180"/>
      </w:pPr>
      <w:rPr>
        <w:rFonts w:hint="default"/>
      </w:rPr>
    </w:lvl>
    <w:lvl w:ilvl="3">
      <w:start w:val="1"/>
      <w:numFmt w:val="decimal"/>
      <w:lvlText w:val="%4."/>
      <w:lvlJc w:val="left"/>
      <w:pPr>
        <w:ind w:left="-1090" w:hanging="360"/>
      </w:pPr>
      <w:rPr>
        <w:rFonts w:hint="default"/>
      </w:rPr>
    </w:lvl>
    <w:lvl w:ilvl="4">
      <w:start w:val="1"/>
      <w:numFmt w:val="lowerLetter"/>
      <w:lvlText w:val="%5."/>
      <w:lvlJc w:val="left"/>
      <w:pPr>
        <w:ind w:left="-370" w:hanging="360"/>
      </w:pPr>
      <w:rPr>
        <w:rFonts w:hint="default"/>
      </w:rPr>
    </w:lvl>
    <w:lvl w:ilvl="5">
      <w:start w:val="1"/>
      <w:numFmt w:val="lowerRoman"/>
      <w:lvlText w:val="%6."/>
      <w:lvlJc w:val="right"/>
      <w:pPr>
        <w:ind w:left="350" w:hanging="180"/>
      </w:pPr>
      <w:rPr>
        <w:rFonts w:hint="default"/>
      </w:rPr>
    </w:lvl>
    <w:lvl w:ilvl="6">
      <w:start w:val="1"/>
      <w:numFmt w:val="decimal"/>
      <w:lvlText w:val="%7."/>
      <w:lvlJc w:val="left"/>
      <w:pPr>
        <w:ind w:left="1070" w:hanging="360"/>
      </w:pPr>
      <w:rPr>
        <w:rFonts w:hint="default"/>
      </w:rPr>
    </w:lvl>
    <w:lvl w:ilvl="7">
      <w:start w:val="1"/>
      <w:numFmt w:val="lowerLetter"/>
      <w:lvlText w:val="%8."/>
      <w:lvlJc w:val="left"/>
      <w:pPr>
        <w:ind w:left="1790" w:hanging="360"/>
      </w:pPr>
      <w:rPr>
        <w:rFonts w:hint="default"/>
      </w:rPr>
    </w:lvl>
    <w:lvl w:ilvl="8">
      <w:start w:val="1"/>
      <w:numFmt w:val="lowerRoman"/>
      <w:lvlText w:val="%9."/>
      <w:lvlJc w:val="right"/>
      <w:pPr>
        <w:ind w:left="2510" w:hanging="180"/>
      </w:pPr>
      <w:rPr>
        <w:rFonts w:hint="default"/>
      </w:rPr>
    </w:lvl>
  </w:abstractNum>
  <w:abstractNum w:abstractNumId="5" w15:restartNumberingAfterBreak="0">
    <w:nsid w:val="1B89009A"/>
    <w:multiLevelType w:val="hybridMultilevel"/>
    <w:tmpl w:val="DB02575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C97738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21B143D1"/>
    <w:multiLevelType w:val="hybridMultilevel"/>
    <w:tmpl w:val="0C44FF92"/>
    <w:lvl w:ilvl="0" w:tplc="240A000B">
      <w:start w:val="1"/>
      <w:numFmt w:val="bullet"/>
      <w:lvlText w:val=""/>
      <w:lvlJc w:val="left"/>
      <w:pPr>
        <w:ind w:left="784" w:hanging="360"/>
      </w:pPr>
      <w:rPr>
        <w:rFonts w:ascii="Wingdings" w:hAnsi="Wingdings"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8" w15:restartNumberingAfterBreak="0">
    <w:nsid w:val="2B412862"/>
    <w:multiLevelType w:val="hybridMultilevel"/>
    <w:tmpl w:val="D6807706"/>
    <w:lvl w:ilvl="0" w:tplc="89E0F3C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3C688C"/>
    <w:multiLevelType w:val="multilevel"/>
    <w:tmpl w:val="37C01CC4"/>
    <w:lvl w:ilvl="0">
      <w:start w:val="1"/>
      <w:numFmt w:val="decimal"/>
      <w:lvlText w:val="%1."/>
      <w:lvlJc w:val="left"/>
      <w:pPr>
        <w:ind w:left="705" w:hanging="705"/>
      </w:pPr>
    </w:lvl>
    <w:lvl w:ilvl="1">
      <w:start w:val="1"/>
      <w:numFmt w:val="lowerLetter"/>
      <w:lvlText w:val="%2."/>
      <w:lvlJc w:val="left"/>
      <w:pPr>
        <w:ind w:left="-2530" w:hanging="360"/>
      </w:pPr>
    </w:lvl>
    <w:lvl w:ilvl="2">
      <w:start w:val="1"/>
      <w:numFmt w:val="lowerRoman"/>
      <w:lvlText w:val="%3."/>
      <w:lvlJc w:val="right"/>
      <w:pPr>
        <w:ind w:left="-1810" w:hanging="180"/>
      </w:pPr>
    </w:lvl>
    <w:lvl w:ilvl="3">
      <w:start w:val="1"/>
      <w:numFmt w:val="decimal"/>
      <w:lvlText w:val="%4."/>
      <w:lvlJc w:val="left"/>
      <w:pPr>
        <w:ind w:left="-1090" w:hanging="360"/>
      </w:pPr>
    </w:lvl>
    <w:lvl w:ilvl="4">
      <w:start w:val="1"/>
      <w:numFmt w:val="lowerLetter"/>
      <w:lvlText w:val="%5."/>
      <w:lvlJc w:val="left"/>
      <w:pPr>
        <w:ind w:left="-370" w:hanging="360"/>
      </w:pPr>
    </w:lvl>
    <w:lvl w:ilvl="5">
      <w:start w:val="1"/>
      <w:numFmt w:val="lowerRoman"/>
      <w:lvlText w:val="%6."/>
      <w:lvlJc w:val="right"/>
      <w:pPr>
        <w:ind w:left="350" w:hanging="180"/>
      </w:pPr>
    </w:lvl>
    <w:lvl w:ilvl="6">
      <w:start w:val="1"/>
      <w:numFmt w:val="decimal"/>
      <w:lvlText w:val="%7."/>
      <w:lvlJc w:val="left"/>
      <w:pPr>
        <w:ind w:left="1070" w:hanging="360"/>
      </w:pPr>
    </w:lvl>
    <w:lvl w:ilvl="7">
      <w:start w:val="1"/>
      <w:numFmt w:val="lowerLetter"/>
      <w:lvlText w:val="%8."/>
      <w:lvlJc w:val="left"/>
      <w:pPr>
        <w:ind w:left="1790" w:hanging="360"/>
      </w:pPr>
    </w:lvl>
    <w:lvl w:ilvl="8">
      <w:start w:val="1"/>
      <w:numFmt w:val="lowerRoman"/>
      <w:lvlText w:val="%9."/>
      <w:lvlJc w:val="right"/>
      <w:pPr>
        <w:ind w:left="2510" w:hanging="180"/>
      </w:pPr>
    </w:lvl>
  </w:abstractNum>
  <w:abstractNum w:abstractNumId="10" w15:restartNumberingAfterBreak="0">
    <w:nsid w:val="42DE00A8"/>
    <w:multiLevelType w:val="hybridMultilevel"/>
    <w:tmpl w:val="C76AA288"/>
    <w:lvl w:ilvl="0" w:tplc="C1B6FB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9371BD"/>
    <w:multiLevelType w:val="hybridMultilevel"/>
    <w:tmpl w:val="7C3A534C"/>
    <w:lvl w:ilvl="0" w:tplc="376C9D24">
      <w:numFmt w:val="bullet"/>
      <w:lvlText w:val="-"/>
      <w:lvlJc w:val="left"/>
      <w:pPr>
        <w:ind w:left="360" w:hanging="360"/>
      </w:pPr>
      <w:rPr>
        <w:rFonts w:ascii="Bookman Old Style" w:eastAsia="Times New Roman" w:hAnsi="Bookman Old Style"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767057C"/>
    <w:multiLevelType w:val="hybridMultilevel"/>
    <w:tmpl w:val="57803344"/>
    <w:lvl w:ilvl="0" w:tplc="95F43A42">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5BC1482B"/>
    <w:multiLevelType w:val="hybridMultilevel"/>
    <w:tmpl w:val="06683888"/>
    <w:lvl w:ilvl="0" w:tplc="CFF2F9A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F145312"/>
    <w:multiLevelType w:val="hybridMultilevel"/>
    <w:tmpl w:val="57803344"/>
    <w:lvl w:ilvl="0" w:tplc="95F43A42">
      <w:start w:val="1"/>
      <w:numFmt w:val="lowerRoman"/>
      <w:lvlText w:val="%1."/>
      <w:lvlJc w:val="left"/>
      <w:pPr>
        <w:ind w:left="851" w:hanging="720"/>
      </w:pPr>
      <w:rPr>
        <w:rFonts w:hint="default"/>
      </w:rPr>
    </w:lvl>
    <w:lvl w:ilvl="1" w:tplc="240A0019" w:tentative="1">
      <w:start w:val="1"/>
      <w:numFmt w:val="lowerLetter"/>
      <w:lvlText w:val="%2."/>
      <w:lvlJc w:val="left"/>
      <w:pPr>
        <w:ind w:left="1211" w:hanging="360"/>
      </w:pPr>
    </w:lvl>
    <w:lvl w:ilvl="2" w:tplc="240A001B" w:tentative="1">
      <w:start w:val="1"/>
      <w:numFmt w:val="lowerRoman"/>
      <w:lvlText w:val="%3."/>
      <w:lvlJc w:val="right"/>
      <w:pPr>
        <w:ind w:left="1931" w:hanging="180"/>
      </w:pPr>
    </w:lvl>
    <w:lvl w:ilvl="3" w:tplc="240A000F" w:tentative="1">
      <w:start w:val="1"/>
      <w:numFmt w:val="decimal"/>
      <w:lvlText w:val="%4."/>
      <w:lvlJc w:val="left"/>
      <w:pPr>
        <w:ind w:left="2651" w:hanging="360"/>
      </w:pPr>
    </w:lvl>
    <w:lvl w:ilvl="4" w:tplc="240A0019" w:tentative="1">
      <w:start w:val="1"/>
      <w:numFmt w:val="lowerLetter"/>
      <w:lvlText w:val="%5."/>
      <w:lvlJc w:val="left"/>
      <w:pPr>
        <w:ind w:left="3371" w:hanging="360"/>
      </w:pPr>
    </w:lvl>
    <w:lvl w:ilvl="5" w:tplc="240A001B" w:tentative="1">
      <w:start w:val="1"/>
      <w:numFmt w:val="lowerRoman"/>
      <w:lvlText w:val="%6."/>
      <w:lvlJc w:val="right"/>
      <w:pPr>
        <w:ind w:left="4091" w:hanging="180"/>
      </w:pPr>
    </w:lvl>
    <w:lvl w:ilvl="6" w:tplc="240A000F" w:tentative="1">
      <w:start w:val="1"/>
      <w:numFmt w:val="decimal"/>
      <w:lvlText w:val="%7."/>
      <w:lvlJc w:val="left"/>
      <w:pPr>
        <w:ind w:left="4811" w:hanging="360"/>
      </w:pPr>
    </w:lvl>
    <w:lvl w:ilvl="7" w:tplc="240A0019" w:tentative="1">
      <w:start w:val="1"/>
      <w:numFmt w:val="lowerLetter"/>
      <w:lvlText w:val="%8."/>
      <w:lvlJc w:val="left"/>
      <w:pPr>
        <w:ind w:left="5531" w:hanging="360"/>
      </w:pPr>
    </w:lvl>
    <w:lvl w:ilvl="8" w:tplc="240A001B" w:tentative="1">
      <w:start w:val="1"/>
      <w:numFmt w:val="lowerRoman"/>
      <w:lvlText w:val="%9."/>
      <w:lvlJc w:val="right"/>
      <w:pPr>
        <w:ind w:left="6251" w:hanging="180"/>
      </w:pPr>
    </w:lvl>
  </w:abstractNum>
  <w:abstractNum w:abstractNumId="16" w15:restartNumberingAfterBreak="0">
    <w:nsid w:val="60AC0024"/>
    <w:multiLevelType w:val="hybridMultilevel"/>
    <w:tmpl w:val="142076BE"/>
    <w:lvl w:ilvl="0" w:tplc="376C9D24">
      <w:numFmt w:val="bullet"/>
      <w:lvlText w:val="-"/>
      <w:lvlJc w:val="left"/>
      <w:pPr>
        <w:ind w:left="360" w:hanging="360"/>
      </w:pPr>
      <w:rPr>
        <w:rFonts w:ascii="Bookman Old Style" w:eastAsia="Times New Roman" w:hAnsi="Bookman Old Style"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648D53D4"/>
    <w:multiLevelType w:val="hybridMultilevel"/>
    <w:tmpl w:val="5EC40454"/>
    <w:lvl w:ilvl="0" w:tplc="83CA4AD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9" w15:restartNumberingAfterBreak="0">
    <w:nsid w:val="73432BD8"/>
    <w:multiLevelType w:val="hybridMultilevel"/>
    <w:tmpl w:val="CD8859D2"/>
    <w:lvl w:ilvl="0" w:tplc="3E349DFC">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abstractNum w:abstractNumId="20" w15:restartNumberingAfterBreak="0">
    <w:nsid w:val="73542D4A"/>
    <w:multiLevelType w:val="multilevel"/>
    <w:tmpl w:val="658899FE"/>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A25827"/>
    <w:multiLevelType w:val="hybridMultilevel"/>
    <w:tmpl w:val="32A089AC"/>
    <w:lvl w:ilvl="0" w:tplc="5478DAB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FAD5E43"/>
    <w:multiLevelType w:val="hybridMultilevel"/>
    <w:tmpl w:val="5C84B200"/>
    <w:lvl w:ilvl="0" w:tplc="24AEA0C2">
      <w:start w:val="1"/>
      <w:numFmt w:val="lowerLetter"/>
      <w:lvlText w:val="%1)"/>
      <w:lvlJc w:val="left"/>
      <w:pPr>
        <w:ind w:left="1571" w:hanging="360"/>
      </w:pPr>
      <w:rPr>
        <w:b w:val="0"/>
        <w:sz w:val="24"/>
        <w:szCs w:val="24"/>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num w:numId="1" w16cid:durableId="1298989909">
    <w:abstractNumId w:val="1"/>
  </w:num>
  <w:num w:numId="2" w16cid:durableId="312680826">
    <w:abstractNumId w:val="19"/>
  </w:num>
  <w:num w:numId="3" w16cid:durableId="997152613">
    <w:abstractNumId w:val="14"/>
  </w:num>
  <w:num w:numId="4" w16cid:durableId="1225339499">
    <w:abstractNumId w:val="18"/>
  </w:num>
  <w:num w:numId="5" w16cid:durableId="1665276133">
    <w:abstractNumId w:val="6"/>
  </w:num>
  <w:num w:numId="6" w16cid:durableId="2033721479">
    <w:abstractNumId w:val="21"/>
  </w:num>
  <w:num w:numId="7" w16cid:durableId="1136797643">
    <w:abstractNumId w:val="2"/>
  </w:num>
  <w:num w:numId="8" w16cid:durableId="1863591672">
    <w:abstractNumId w:val="22"/>
  </w:num>
  <w:num w:numId="9" w16cid:durableId="289750484">
    <w:abstractNumId w:val="12"/>
  </w:num>
  <w:num w:numId="10" w16cid:durableId="1293711678">
    <w:abstractNumId w:val="3"/>
  </w:num>
  <w:num w:numId="11" w16cid:durableId="1504738883">
    <w:abstractNumId w:val="13"/>
  </w:num>
  <w:num w:numId="12" w16cid:durableId="1011570417">
    <w:abstractNumId w:val="17"/>
  </w:num>
  <w:num w:numId="13" w16cid:durableId="1453088680">
    <w:abstractNumId w:val="10"/>
  </w:num>
  <w:num w:numId="14" w16cid:durableId="481241663">
    <w:abstractNumId w:val="15"/>
  </w:num>
  <w:num w:numId="15" w16cid:durableId="1321229965">
    <w:abstractNumId w:val="8"/>
  </w:num>
  <w:num w:numId="16" w16cid:durableId="159546214">
    <w:abstractNumId w:val="9"/>
  </w:num>
  <w:num w:numId="17" w16cid:durableId="1425148646">
    <w:abstractNumId w:val="20"/>
  </w:num>
  <w:num w:numId="18" w16cid:durableId="1806122591">
    <w:abstractNumId w:val="4"/>
  </w:num>
  <w:num w:numId="19" w16cid:durableId="775951190">
    <w:abstractNumId w:val="5"/>
  </w:num>
  <w:num w:numId="20" w16cid:durableId="1805346247">
    <w:abstractNumId w:val="11"/>
  </w:num>
  <w:num w:numId="21" w16cid:durableId="1188642005">
    <w:abstractNumId w:val="16"/>
  </w:num>
  <w:num w:numId="22" w16cid:durableId="64778790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Formatting/>
  <w:defaultTabStop w:val="709"/>
  <w:hyphenationZone w:val="425"/>
  <w:drawingGridHorizontalSpacing w:val="120"/>
  <w:displayHorizontalDrawingGridEvery w:val="2"/>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0E9"/>
    <w:rsid w:val="00001656"/>
    <w:rsid w:val="00001EF7"/>
    <w:rsid w:val="00002F35"/>
    <w:rsid w:val="000035D8"/>
    <w:rsid w:val="00004771"/>
    <w:rsid w:val="000048CF"/>
    <w:rsid w:val="00005474"/>
    <w:rsid w:val="00005C9F"/>
    <w:rsid w:val="000063DB"/>
    <w:rsid w:val="00006AE2"/>
    <w:rsid w:val="000076A1"/>
    <w:rsid w:val="00007FA4"/>
    <w:rsid w:val="00010519"/>
    <w:rsid w:val="000109AB"/>
    <w:rsid w:val="00011554"/>
    <w:rsid w:val="000117E2"/>
    <w:rsid w:val="00012259"/>
    <w:rsid w:val="00012FF5"/>
    <w:rsid w:val="0001308F"/>
    <w:rsid w:val="00014270"/>
    <w:rsid w:val="00014494"/>
    <w:rsid w:val="00015C2D"/>
    <w:rsid w:val="00016485"/>
    <w:rsid w:val="0001684A"/>
    <w:rsid w:val="0002016E"/>
    <w:rsid w:val="00022653"/>
    <w:rsid w:val="00022E36"/>
    <w:rsid w:val="00023077"/>
    <w:rsid w:val="000239BC"/>
    <w:rsid w:val="0002463B"/>
    <w:rsid w:val="00025383"/>
    <w:rsid w:val="0002594D"/>
    <w:rsid w:val="00026312"/>
    <w:rsid w:val="000269DB"/>
    <w:rsid w:val="00026A44"/>
    <w:rsid w:val="0002758D"/>
    <w:rsid w:val="00027613"/>
    <w:rsid w:val="00030581"/>
    <w:rsid w:val="0003149D"/>
    <w:rsid w:val="0003357B"/>
    <w:rsid w:val="00036B0C"/>
    <w:rsid w:val="00037645"/>
    <w:rsid w:val="00037BA8"/>
    <w:rsid w:val="00040754"/>
    <w:rsid w:val="00042618"/>
    <w:rsid w:val="000445E9"/>
    <w:rsid w:val="00045D3D"/>
    <w:rsid w:val="00047117"/>
    <w:rsid w:val="00047282"/>
    <w:rsid w:val="000473B1"/>
    <w:rsid w:val="0004758F"/>
    <w:rsid w:val="00047884"/>
    <w:rsid w:val="000511CB"/>
    <w:rsid w:val="00051AED"/>
    <w:rsid w:val="000527ED"/>
    <w:rsid w:val="00052B53"/>
    <w:rsid w:val="00054171"/>
    <w:rsid w:val="000544A5"/>
    <w:rsid w:val="00054705"/>
    <w:rsid w:val="00055FAF"/>
    <w:rsid w:val="0005731D"/>
    <w:rsid w:val="000603B7"/>
    <w:rsid w:val="000608BF"/>
    <w:rsid w:val="00062672"/>
    <w:rsid w:val="00063657"/>
    <w:rsid w:val="000649D5"/>
    <w:rsid w:val="00064EB3"/>
    <w:rsid w:val="0006623F"/>
    <w:rsid w:val="0006778D"/>
    <w:rsid w:val="000716AF"/>
    <w:rsid w:val="000730F2"/>
    <w:rsid w:val="000752AE"/>
    <w:rsid w:val="00075426"/>
    <w:rsid w:val="00075A0D"/>
    <w:rsid w:val="00075F00"/>
    <w:rsid w:val="000761E5"/>
    <w:rsid w:val="00076680"/>
    <w:rsid w:val="0007694F"/>
    <w:rsid w:val="00076A1D"/>
    <w:rsid w:val="000771A6"/>
    <w:rsid w:val="0008073E"/>
    <w:rsid w:val="00080BF2"/>
    <w:rsid w:val="00080C32"/>
    <w:rsid w:val="00080D86"/>
    <w:rsid w:val="00081333"/>
    <w:rsid w:val="00082B6D"/>
    <w:rsid w:val="00083519"/>
    <w:rsid w:val="00083D38"/>
    <w:rsid w:val="00083E01"/>
    <w:rsid w:val="0008471F"/>
    <w:rsid w:val="0008472C"/>
    <w:rsid w:val="00085142"/>
    <w:rsid w:val="000855D5"/>
    <w:rsid w:val="00086FB3"/>
    <w:rsid w:val="00091141"/>
    <w:rsid w:val="00091351"/>
    <w:rsid w:val="00091C7D"/>
    <w:rsid w:val="00091CDB"/>
    <w:rsid w:val="00091D4D"/>
    <w:rsid w:val="00092CFF"/>
    <w:rsid w:val="00096BA8"/>
    <w:rsid w:val="000A0B9D"/>
    <w:rsid w:val="000A1340"/>
    <w:rsid w:val="000A19AC"/>
    <w:rsid w:val="000A1F6A"/>
    <w:rsid w:val="000A218C"/>
    <w:rsid w:val="000A2D06"/>
    <w:rsid w:val="000A3257"/>
    <w:rsid w:val="000A6B7C"/>
    <w:rsid w:val="000A70F9"/>
    <w:rsid w:val="000B1B24"/>
    <w:rsid w:val="000B1D81"/>
    <w:rsid w:val="000B238D"/>
    <w:rsid w:val="000B27DA"/>
    <w:rsid w:val="000B2EC9"/>
    <w:rsid w:val="000B3DAD"/>
    <w:rsid w:val="000B4077"/>
    <w:rsid w:val="000B4520"/>
    <w:rsid w:val="000B4E09"/>
    <w:rsid w:val="000B5008"/>
    <w:rsid w:val="000B5728"/>
    <w:rsid w:val="000B6CAE"/>
    <w:rsid w:val="000B7806"/>
    <w:rsid w:val="000C4990"/>
    <w:rsid w:val="000C4F37"/>
    <w:rsid w:val="000C74A5"/>
    <w:rsid w:val="000D006C"/>
    <w:rsid w:val="000D060F"/>
    <w:rsid w:val="000D0AFB"/>
    <w:rsid w:val="000D0D1D"/>
    <w:rsid w:val="000D0EBA"/>
    <w:rsid w:val="000D17DE"/>
    <w:rsid w:val="000D1B52"/>
    <w:rsid w:val="000D20E0"/>
    <w:rsid w:val="000D26F8"/>
    <w:rsid w:val="000D33F2"/>
    <w:rsid w:val="000D37C0"/>
    <w:rsid w:val="000D50CB"/>
    <w:rsid w:val="000D5E13"/>
    <w:rsid w:val="000E0702"/>
    <w:rsid w:val="000E11E6"/>
    <w:rsid w:val="000E1BB4"/>
    <w:rsid w:val="000E3C09"/>
    <w:rsid w:val="000E4E47"/>
    <w:rsid w:val="000E5692"/>
    <w:rsid w:val="000E6A42"/>
    <w:rsid w:val="000E7256"/>
    <w:rsid w:val="000F1FCE"/>
    <w:rsid w:val="000F221D"/>
    <w:rsid w:val="000F2FD2"/>
    <w:rsid w:val="000F30CF"/>
    <w:rsid w:val="000F3577"/>
    <w:rsid w:val="000F3BCC"/>
    <w:rsid w:val="000F4A64"/>
    <w:rsid w:val="00100555"/>
    <w:rsid w:val="001013AB"/>
    <w:rsid w:val="001013D8"/>
    <w:rsid w:val="00101788"/>
    <w:rsid w:val="0010187C"/>
    <w:rsid w:val="001025FD"/>
    <w:rsid w:val="00103D45"/>
    <w:rsid w:val="00104E31"/>
    <w:rsid w:val="0010551E"/>
    <w:rsid w:val="00105573"/>
    <w:rsid w:val="0010581E"/>
    <w:rsid w:val="00106654"/>
    <w:rsid w:val="0010688D"/>
    <w:rsid w:val="00107D3B"/>
    <w:rsid w:val="00107F73"/>
    <w:rsid w:val="00110A09"/>
    <w:rsid w:val="00110F99"/>
    <w:rsid w:val="00111009"/>
    <w:rsid w:val="00112D1A"/>
    <w:rsid w:val="00112EE0"/>
    <w:rsid w:val="0011321D"/>
    <w:rsid w:val="001142C1"/>
    <w:rsid w:val="0011571B"/>
    <w:rsid w:val="00116031"/>
    <w:rsid w:val="00116B31"/>
    <w:rsid w:val="00116D67"/>
    <w:rsid w:val="001178EE"/>
    <w:rsid w:val="00120BA8"/>
    <w:rsid w:val="00122146"/>
    <w:rsid w:val="00122627"/>
    <w:rsid w:val="00123480"/>
    <w:rsid w:val="0012635F"/>
    <w:rsid w:val="00127966"/>
    <w:rsid w:val="00127C86"/>
    <w:rsid w:val="00127D52"/>
    <w:rsid w:val="00127DC1"/>
    <w:rsid w:val="00127E30"/>
    <w:rsid w:val="00130459"/>
    <w:rsid w:val="00130523"/>
    <w:rsid w:val="00131CED"/>
    <w:rsid w:val="00132013"/>
    <w:rsid w:val="00133A3E"/>
    <w:rsid w:val="0013526C"/>
    <w:rsid w:val="00135F8D"/>
    <w:rsid w:val="00137A29"/>
    <w:rsid w:val="001405C6"/>
    <w:rsid w:val="00141013"/>
    <w:rsid w:val="0014157E"/>
    <w:rsid w:val="00141700"/>
    <w:rsid w:val="00143390"/>
    <w:rsid w:val="00143FCA"/>
    <w:rsid w:val="00144F38"/>
    <w:rsid w:val="00145CE9"/>
    <w:rsid w:val="00145ED1"/>
    <w:rsid w:val="0014628D"/>
    <w:rsid w:val="00146C94"/>
    <w:rsid w:val="00147594"/>
    <w:rsid w:val="00147B67"/>
    <w:rsid w:val="00147CBF"/>
    <w:rsid w:val="001504E2"/>
    <w:rsid w:val="00150599"/>
    <w:rsid w:val="00150998"/>
    <w:rsid w:val="0015163E"/>
    <w:rsid w:val="00153E3A"/>
    <w:rsid w:val="00154D44"/>
    <w:rsid w:val="00156522"/>
    <w:rsid w:val="0015758F"/>
    <w:rsid w:val="00161344"/>
    <w:rsid w:val="00161BAA"/>
    <w:rsid w:val="00162608"/>
    <w:rsid w:val="00162D1A"/>
    <w:rsid w:val="00162DB9"/>
    <w:rsid w:val="00171884"/>
    <w:rsid w:val="00173161"/>
    <w:rsid w:val="001745DA"/>
    <w:rsid w:val="00176CAF"/>
    <w:rsid w:val="00178B49"/>
    <w:rsid w:val="00180C55"/>
    <w:rsid w:val="00181A1E"/>
    <w:rsid w:val="00183498"/>
    <w:rsid w:val="00183A0A"/>
    <w:rsid w:val="00183C00"/>
    <w:rsid w:val="00183C16"/>
    <w:rsid w:val="00184352"/>
    <w:rsid w:val="00185268"/>
    <w:rsid w:val="00185559"/>
    <w:rsid w:val="0018688C"/>
    <w:rsid w:val="00186B10"/>
    <w:rsid w:val="00186C96"/>
    <w:rsid w:val="001908F1"/>
    <w:rsid w:val="001912B8"/>
    <w:rsid w:val="00191638"/>
    <w:rsid w:val="00191A35"/>
    <w:rsid w:val="00192572"/>
    <w:rsid w:val="00192684"/>
    <w:rsid w:val="00192CBF"/>
    <w:rsid w:val="00192FF1"/>
    <w:rsid w:val="00193949"/>
    <w:rsid w:val="001945B4"/>
    <w:rsid w:val="001949B5"/>
    <w:rsid w:val="00195AB1"/>
    <w:rsid w:val="0019694D"/>
    <w:rsid w:val="00196E11"/>
    <w:rsid w:val="001A0F66"/>
    <w:rsid w:val="001A10FD"/>
    <w:rsid w:val="001A1567"/>
    <w:rsid w:val="001A1704"/>
    <w:rsid w:val="001A1CBF"/>
    <w:rsid w:val="001A26E1"/>
    <w:rsid w:val="001A2AFE"/>
    <w:rsid w:val="001A398B"/>
    <w:rsid w:val="001A455B"/>
    <w:rsid w:val="001A4CF2"/>
    <w:rsid w:val="001A581F"/>
    <w:rsid w:val="001A5F1B"/>
    <w:rsid w:val="001A601E"/>
    <w:rsid w:val="001A689E"/>
    <w:rsid w:val="001A6E03"/>
    <w:rsid w:val="001A729F"/>
    <w:rsid w:val="001B0793"/>
    <w:rsid w:val="001B1374"/>
    <w:rsid w:val="001B180B"/>
    <w:rsid w:val="001B1C22"/>
    <w:rsid w:val="001B1F08"/>
    <w:rsid w:val="001B27ED"/>
    <w:rsid w:val="001B34C6"/>
    <w:rsid w:val="001B412E"/>
    <w:rsid w:val="001B433C"/>
    <w:rsid w:val="001B56B2"/>
    <w:rsid w:val="001B598F"/>
    <w:rsid w:val="001B59BB"/>
    <w:rsid w:val="001B5EE8"/>
    <w:rsid w:val="001B5EED"/>
    <w:rsid w:val="001B5FF0"/>
    <w:rsid w:val="001B6DEF"/>
    <w:rsid w:val="001C084D"/>
    <w:rsid w:val="001C0B9B"/>
    <w:rsid w:val="001C0EEF"/>
    <w:rsid w:val="001C1237"/>
    <w:rsid w:val="001C235C"/>
    <w:rsid w:val="001C52BD"/>
    <w:rsid w:val="001C568F"/>
    <w:rsid w:val="001C758B"/>
    <w:rsid w:val="001C7DE4"/>
    <w:rsid w:val="001D0193"/>
    <w:rsid w:val="001D1AE4"/>
    <w:rsid w:val="001D6131"/>
    <w:rsid w:val="001D74C6"/>
    <w:rsid w:val="001D7832"/>
    <w:rsid w:val="001E038A"/>
    <w:rsid w:val="001E0C33"/>
    <w:rsid w:val="001E0D96"/>
    <w:rsid w:val="001E1278"/>
    <w:rsid w:val="001E1F89"/>
    <w:rsid w:val="001E240E"/>
    <w:rsid w:val="001E37C0"/>
    <w:rsid w:val="001E4D39"/>
    <w:rsid w:val="001E75DE"/>
    <w:rsid w:val="001F0168"/>
    <w:rsid w:val="001F0883"/>
    <w:rsid w:val="001F1574"/>
    <w:rsid w:val="001F3642"/>
    <w:rsid w:val="001F36C9"/>
    <w:rsid w:val="001F370A"/>
    <w:rsid w:val="001F5920"/>
    <w:rsid w:val="001F7027"/>
    <w:rsid w:val="00200B64"/>
    <w:rsid w:val="00200F0B"/>
    <w:rsid w:val="00201584"/>
    <w:rsid w:val="002015DF"/>
    <w:rsid w:val="002018EB"/>
    <w:rsid w:val="00201956"/>
    <w:rsid w:val="00202544"/>
    <w:rsid w:val="00203268"/>
    <w:rsid w:val="00203634"/>
    <w:rsid w:val="00203A3B"/>
    <w:rsid w:val="00204390"/>
    <w:rsid w:val="002047B8"/>
    <w:rsid w:val="00205578"/>
    <w:rsid w:val="00205A01"/>
    <w:rsid w:val="002065F8"/>
    <w:rsid w:val="002068C9"/>
    <w:rsid w:val="0020758C"/>
    <w:rsid w:val="00207EC4"/>
    <w:rsid w:val="00210DC1"/>
    <w:rsid w:val="00211D34"/>
    <w:rsid w:val="0021201B"/>
    <w:rsid w:val="0021285F"/>
    <w:rsid w:val="00212EDC"/>
    <w:rsid w:val="002135CA"/>
    <w:rsid w:val="00213975"/>
    <w:rsid w:val="00214EF0"/>
    <w:rsid w:val="00214F04"/>
    <w:rsid w:val="002156F4"/>
    <w:rsid w:val="00215D17"/>
    <w:rsid w:val="00220021"/>
    <w:rsid w:val="002204A4"/>
    <w:rsid w:val="0022105E"/>
    <w:rsid w:val="00221574"/>
    <w:rsid w:val="00221E41"/>
    <w:rsid w:val="0022202E"/>
    <w:rsid w:val="00222124"/>
    <w:rsid w:val="00223412"/>
    <w:rsid w:val="002237D9"/>
    <w:rsid w:val="00223B0D"/>
    <w:rsid w:val="00223D38"/>
    <w:rsid w:val="002241B2"/>
    <w:rsid w:val="002256B8"/>
    <w:rsid w:val="002270A7"/>
    <w:rsid w:val="0023022E"/>
    <w:rsid w:val="002317C3"/>
    <w:rsid w:val="002317EE"/>
    <w:rsid w:val="00232030"/>
    <w:rsid w:val="0023219F"/>
    <w:rsid w:val="00232F58"/>
    <w:rsid w:val="00233588"/>
    <w:rsid w:val="002352B9"/>
    <w:rsid w:val="002354ED"/>
    <w:rsid w:val="00235914"/>
    <w:rsid w:val="00235C85"/>
    <w:rsid w:val="002366D6"/>
    <w:rsid w:val="00237512"/>
    <w:rsid w:val="00237C08"/>
    <w:rsid w:val="00237E66"/>
    <w:rsid w:val="00237EE6"/>
    <w:rsid w:val="00241A6D"/>
    <w:rsid w:val="00241DFA"/>
    <w:rsid w:val="0024284E"/>
    <w:rsid w:val="002434F0"/>
    <w:rsid w:val="00243AAA"/>
    <w:rsid w:val="00245F6D"/>
    <w:rsid w:val="00246C90"/>
    <w:rsid w:val="00247A21"/>
    <w:rsid w:val="002504A4"/>
    <w:rsid w:val="00253178"/>
    <w:rsid w:val="002537CE"/>
    <w:rsid w:val="0025434E"/>
    <w:rsid w:val="00255C97"/>
    <w:rsid w:val="00260C14"/>
    <w:rsid w:val="00260CED"/>
    <w:rsid w:val="002618D1"/>
    <w:rsid w:val="00261B35"/>
    <w:rsid w:val="0026251B"/>
    <w:rsid w:val="00263230"/>
    <w:rsid w:val="00263E00"/>
    <w:rsid w:val="002666AA"/>
    <w:rsid w:val="00266A7A"/>
    <w:rsid w:val="00266CD6"/>
    <w:rsid w:val="0026701E"/>
    <w:rsid w:val="0026736A"/>
    <w:rsid w:val="002673AC"/>
    <w:rsid w:val="00270098"/>
    <w:rsid w:val="00270601"/>
    <w:rsid w:val="0027240A"/>
    <w:rsid w:val="00272789"/>
    <w:rsid w:val="00272BD8"/>
    <w:rsid w:val="0027379C"/>
    <w:rsid w:val="00275DAB"/>
    <w:rsid w:val="002762D0"/>
    <w:rsid w:val="002763EE"/>
    <w:rsid w:val="002763F5"/>
    <w:rsid w:val="0027718C"/>
    <w:rsid w:val="00277C8B"/>
    <w:rsid w:val="002800CC"/>
    <w:rsid w:val="00280ABD"/>
    <w:rsid w:val="00282EAF"/>
    <w:rsid w:val="00284E60"/>
    <w:rsid w:val="00285C53"/>
    <w:rsid w:val="002862C1"/>
    <w:rsid w:val="002869F5"/>
    <w:rsid w:val="002903C0"/>
    <w:rsid w:val="00291021"/>
    <w:rsid w:val="0029153E"/>
    <w:rsid w:val="00291C3D"/>
    <w:rsid w:val="00292604"/>
    <w:rsid w:val="00293CFB"/>
    <w:rsid w:val="0029428B"/>
    <w:rsid w:val="00295E1E"/>
    <w:rsid w:val="00295E5E"/>
    <w:rsid w:val="002969B9"/>
    <w:rsid w:val="002973A3"/>
    <w:rsid w:val="00297D48"/>
    <w:rsid w:val="002A05C0"/>
    <w:rsid w:val="002A0BF4"/>
    <w:rsid w:val="002A10B1"/>
    <w:rsid w:val="002A2813"/>
    <w:rsid w:val="002A2AF4"/>
    <w:rsid w:val="002A2F66"/>
    <w:rsid w:val="002A47B9"/>
    <w:rsid w:val="002A4B2A"/>
    <w:rsid w:val="002A61B8"/>
    <w:rsid w:val="002A6A86"/>
    <w:rsid w:val="002A6FC1"/>
    <w:rsid w:val="002A782A"/>
    <w:rsid w:val="002B09DB"/>
    <w:rsid w:val="002B11E2"/>
    <w:rsid w:val="002B24B8"/>
    <w:rsid w:val="002B3DD4"/>
    <w:rsid w:val="002B3EB9"/>
    <w:rsid w:val="002B4349"/>
    <w:rsid w:val="002B4581"/>
    <w:rsid w:val="002B546F"/>
    <w:rsid w:val="002C137E"/>
    <w:rsid w:val="002C21BB"/>
    <w:rsid w:val="002C33C3"/>
    <w:rsid w:val="002C3C7B"/>
    <w:rsid w:val="002C3E80"/>
    <w:rsid w:val="002C5F72"/>
    <w:rsid w:val="002C6127"/>
    <w:rsid w:val="002C6FFB"/>
    <w:rsid w:val="002C7825"/>
    <w:rsid w:val="002C7F8B"/>
    <w:rsid w:val="002D0E07"/>
    <w:rsid w:val="002D1B0D"/>
    <w:rsid w:val="002D1F63"/>
    <w:rsid w:val="002D3AE9"/>
    <w:rsid w:val="002D4510"/>
    <w:rsid w:val="002D4D9F"/>
    <w:rsid w:val="002D5922"/>
    <w:rsid w:val="002D5E61"/>
    <w:rsid w:val="002D5EFA"/>
    <w:rsid w:val="002D6D7C"/>
    <w:rsid w:val="002D7E9A"/>
    <w:rsid w:val="002E18A4"/>
    <w:rsid w:val="002E1D22"/>
    <w:rsid w:val="002E23CF"/>
    <w:rsid w:val="002E2508"/>
    <w:rsid w:val="002E369D"/>
    <w:rsid w:val="002E42B4"/>
    <w:rsid w:val="002E458F"/>
    <w:rsid w:val="002E53F0"/>
    <w:rsid w:val="002F0734"/>
    <w:rsid w:val="002F1104"/>
    <w:rsid w:val="002F3C7E"/>
    <w:rsid w:val="002F3D0A"/>
    <w:rsid w:val="002F3F00"/>
    <w:rsid w:val="002F46E7"/>
    <w:rsid w:val="002F49D3"/>
    <w:rsid w:val="002F699A"/>
    <w:rsid w:val="002F6A98"/>
    <w:rsid w:val="00300164"/>
    <w:rsid w:val="00300308"/>
    <w:rsid w:val="00300A10"/>
    <w:rsid w:val="00300BB9"/>
    <w:rsid w:val="00301058"/>
    <w:rsid w:val="0030343F"/>
    <w:rsid w:val="003043C8"/>
    <w:rsid w:val="003043DD"/>
    <w:rsid w:val="00305AF1"/>
    <w:rsid w:val="003101DA"/>
    <w:rsid w:val="00310AC8"/>
    <w:rsid w:val="003111C3"/>
    <w:rsid w:val="00311DF4"/>
    <w:rsid w:val="003120D6"/>
    <w:rsid w:val="00312D43"/>
    <w:rsid w:val="00313E16"/>
    <w:rsid w:val="00314757"/>
    <w:rsid w:val="00314D64"/>
    <w:rsid w:val="003160FC"/>
    <w:rsid w:val="003163BC"/>
    <w:rsid w:val="003176AE"/>
    <w:rsid w:val="003211CE"/>
    <w:rsid w:val="003222E7"/>
    <w:rsid w:val="00322AA5"/>
    <w:rsid w:val="003234BA"/>
    <w:rsid w:val="00324CFF"/>
    <w:rsid w:val="00325B53"/>
    <w:rsid w:val="0032644A"/>
    <w:rsid w:val="00326C2D"/>
    <w:rsid w:val="003305C8"/>
    <w:rsid w:val="00330A27"/>
    <w:rsid w:val="00331EDB"/>
    <w:rsid w:val="00332625"/>
    <w:rsid w:val="00332942"/>
    <w:rsid w:val="00332984"/>
    <w:rsid w:val="00332B6A"/>
    <w:rsid w:val="0033409A"/>
    <w:rsid w:val="00335239"/>
    <w:rsid w:val="0033638F"/>
    <w:rsid w:val="00336820"/>
    <w:rsid w:val="00337CE5"/>
    <w:rsid w:val="0034004D"/>
    <w:rsid w:val="00342717"/>
    <w:rsid w:val="00343051"/>
    <w:rsid w:val="0034478A"/>
    <w:rsid w:val="00344A6F"/>
    <w:rsid w:val="00344AB6"/>
    <w:rsid w:val="00350A8E"/>
    <w:rsid w:val="00350E3E"/>
    <w:rsid w:val="00353A23"/>
    <w:rsid w:val="00353B2F"/>
    <w:rsid w:val="00353D5D"/>
    <w:rsid w:val="0035403A"/>
    <w:rsid w:val="00354FAC"/>
    <w:rsid w:val="00355382"/>
    <w:rsid w:val="00356FE0"/>
    <w:rsid w:val="00356FF5"/>
    <w:rsid w:val="003570AE"/>
    <w:rsid w:val="0036120E"/>
    <w:rsid w:val="00361B68"/>
    <w:rsid w:val="00361DB2"/>
    <w:rsid w:val="003624F4"/>
    <w:rsid w:val="0036394B"/>
    <w:rsid w:val="00364CDB"/>
    <w:rsid w:val="00366C7F"/>
    <w:rsid w:val="00366CBC"/>
    <w:rsid w:val="00366DB6"/>
    <w:rsid w:val="003677D4"/>
    <w:rsid w:val="003679C8"/>
    <w:rsid w:val="00370099"/>
    <w:rsid w:val="0037021B"/>
    <w:rsid w:val="00370505"/>
    <w:rsid w:val="003709B5"/>
    <w:rsid w:val="003717BB"/>
    <w:rsid w:val="0037270E"/>
    <w:rsid w:val="00372A11"/>
    <w:rsid w:val="00372DC6"/>
    <w:rsid w:val="00372E59"/>
    <w:rsid w:val="00373087"/>
    <w:rsid w:val="003736F3"/>
    <w:rsid w:val="00374414"/>
    <w:rsid w:val="00374A00"/>
    <w:rsid w:val="003759C2"/>
    <w:rsid w:val="00375B7E"/>
    <w:rsid w:val="003761C8"/>
    <w:rsid w:val="003766D7"/>
    <w:rsid w:val="003767C4"/>
    <w:rsid w:val="00376BB2"/>
    <w:rsid w:val="00377A0B"/>
    <w:rsid w:val="00380750"/>
    <w:rsid w:val="00381E12"/>
    <w:rsid w:val="0038485A"/>
    <w:rsid w:val="003850FF"/>
    <w:rsid w:val="00385B14"/>
    <w:rsid w:val="003907A2"/>
    <w:rsid w:val="0039082D"/>
    <w:rsid w:val="00391111"/>
    <w:rsid w:val="00391228"/>
    <w:rsid w:val="00391F54"/>
    <w:rsid w:val="0039233D"/>
    <w:rsid w:val="00392E1D"/>
    <w:rsid w:val="003931AB"/>
    <w:rsid w:val="0039454B"/>
    <w:rsid w:val="00394CED"/>
    <w:rsid w:val="00396BB0"/>
    <w:rsid w:val="00396F14"/>
    <w:rsid w:val="00397365"/>
    <w:rsid w:val="00397B38"/>
    <w:rsid w:val="00397C85"/>
    <w:rsid w:val="003A0980"/>
    <w:rsid w:val="003A1299"/>
    <w:rsid w:val="003A1938"/>
    <w:rsid w:val="003A19AA"/>
    <w:rsid w:val="003A2004"/>
    <w:rsid w:val="003A2F08"/>
    <w:rsid w:val="003A31F6"/>
    <w:rsid w:val="003A3345"/>
    <w:rsid w:val="003A4771"/>
    <w:rsid w:val="003A5A17"/>
    <w:rsid w:val="003A5E28"/>
    <w:rsid w:val="003B0B7C"/>
    <w:rsid w:val="003B0B84"/>
    <w:rsid w:val="003B1E66"/>
    <w:rsid w:val="003B30F0"/>
    <w:rsid w:val="003B3891"/>
    <w:rsid w:val="003B54F0"/>
    <w:rsid w:val="003B5A04"/>
    <w:rsid w:val="003B75A3"/>
    <w:rsid w:val="003C18E1"/>
    <w:rsid w:val="003C2B63"/>
    <w:rsid w:val="003C31A8"/>
    <w:rsid w:val="003C3447"/>
    <w:rsid w:val="003C451D"/>
    <w:rsid w:val="003C52AF"/>
    <w:rsid w:val="003C6FF3"/>
    <w:rsid w:val="003C79B7"/>
    <w:rsid w:val="003D076C"/>
    <w:rsid w:val="003D07DC"/>
    <w:rsid w:val="003D0EA4"/>
    <w:rsid w:val="003D15A7"/>
    <w:rsid w:val="003D15F8"/>
    <w:rsid w:val="003D2879"/>
    <w:rsid w:val="003D30EC"/>
    <w:rsid w:val="003D4327"/>
    <w:rsid w:val="003D4919"/>
    <w:rsid w:val="003D4B7D"/>
    <w:rsid w:val="003D4BC6"/>
    <w:rsid w:val="003D6592"/>
    <w:rsid w:val="003D7A1B"/>
    <w:rsid w:val="003E02CF"/>
    <w:rsid w:val="003E12AA"/>
    <w:rsid w:val="003E172C"/>
    <w:rsid w:val="003E189A"/>
    <w:rsid w:val="003E1DF7"/>
    <w:rsid w:val="003E2540"/>
    <w:rsid w:val="003E3BA0"/>
    <w:rsid w:val="003E54E8"/>
    <w:rsid w:val="003E5520"/>
    <w:rsid w:val="003E6355"/>
    <w:rsid w:val="003E67A1"/>
    <w:rsid w:val="003E6E09"/>
    <w:rsid w:val="003E6E66"/>
    <w:rsid w:val="003E75CA"/>
    <w:rsid w:val="003E767C"/>
    <w:rsid w:val="003E78B5"/>
    <w:rsid w:val="003E7B06"/>
    <w:rsid w:val="003F0132"/>
    <w:rsid w:val="003F01A2"/>
    <w:rsid w:val="003F0DF4"/>
    <w:rsid w:val="003F1AA2"/>
    <w:rsid w:val="003F33F9"/>
    <w:rsid w:val="003F3FFC"/>
    <w:rsid w:val="003F481C"/>
    <w:rsid w:val="003F4866"/>
    <w:rsid w:val="003F4CCE"/>
    <w:rsid w:val="003F671A"/>
    <w:rsid w:val="0040014E"/>
    <w:rsid w:val="0040374E"/>
    <w:rsid w:val="004039CF"/>
    <w:rsid w:val="004059CE"/>
    <w:rsid w:val="00405AFD"/>
    <w:rsid w:val="00405B0A"/>
    <w:rsid w:val="00407FD0"/>
    <w:rsid w:val="00415BAB"/>
    <w:rsid w:val="00415BB4"/>
    <w:rsid w:val="00415ED2"/>
    <w:rsid w:val="00417D37"/>
    <w:rsid w:val="004200DA"/>
    <w:rsid w:val="0042068C"/>
    <w:rsid w:val="00421E2D"/>
    <w:rsid w:val="00423156"/>
    <w:rsid w:val="004241CF"/>
    <w:rsid w:val="00426612"/>
    <w:rsid w:val="00427213"/>
    <w:rsid w:val="004318F0"/>
    <w:rsid w:val="00431B2A"/>
    <w:rsid w:val="00432472"/>
    <w:rsid w:val="0043354A"/>
    <w:rsid w:val="00434C96"/>
    <w:rsid w:val="00435284"/>
    <w:rsid w:val="00435D6E"/>
    <w:rsid w:val="00436E01"/>
    <w:rsid w:val="00436E0D"/>
    <w:rsid w:val="0043716C"/>
    <w:rsid w:val="004378A2"/>
    <w:rsid w:val="00437A07"/>
    <w:rsid w:val="004403C4"/>
    <w:rsid w:val="004408E5"/>
    <w:rsid w:val="00441827"/>
    <w:rsid w:val="004422F2"/>
    <w:rsid w:val="004427FD"/>
    <w:rsid w:val="00442E8E"/>
    <w:rsid w:val="0044318E"/>
    <w:rsid w:val="00443695"/>
    <w:rsid w:val="00443784"/>
    <w:rsid w:val="00443B35"/>
    <w:rsid w:val="004452B2"/>
    <w:rsid w:val="00445531"/>
    <w:rsid w:val="004455B7"/>
    <w:rsid w:val="00446C20"/>
    <w:rsid w:val="004502D2"/>
    <w:rsid w:val="00450796"/>
    <w:rsid w:val="00452445"/>
    <w:rsid w:val="004541F5"/>
    <w:rsid w:val="00456FAD"/>
    <w:rsid w:val="00457215"/>
    <w:rsid w:val="00457A67"/>
    <w:rsid w:val="00460EB9"/>
    <w:rsid w:val="004614CF"/>
    <w:rsid w:val="00461D30"/>
    <w:rsid w:val="00461D98"/>
    <w:rsid w:val="0046253B"/>
    <w:rsid w:val="004654D5"/>
    <w:rsid w:val="00466E77"/>
    <w:rsid w:val="00470C43"/>
    <w:rsid w:val="0047122B"/>
    <w:rsid w:val="00471370"/>
    <w:rsid w:val="004718B6"/>
    <w:rsid w:val="00473B7A"/>
    <w:rsid w:val="004750D6"/>
    <w:rsid w:val="0047757C"/>
    <w:rsid w:val="00480F0A"/>
    <w:rsid w:val="00481147"/>
    <w:rsid w:val="004812BD"/>
    <w:rsid w:val="0048203E"/>
    <w:rsid w:val="004820B5"/>
    <w:rsid w:val="00482784"/>
    <w:rsid w:val="004832F5"/>
    <w:rsid w:val="00484AEF"/>
    <w:rsid w:val="00484EEF"/>
    <w:rsid w:val="0048599A"/>
    <w:rsid w:val="004859EB"/>
    <w:rsid w:val="00485AA2"/>
    <w:rsid w:val="00486088"/>
    <w:rsid w:val="00486986"/>
    <w:rsid w:val="00486F16"/>
    <w:rsid w:val="004870CE"/>
    <w:rsid w:val="00487F49"/>
    <w:rsid w:val="004902C5"/>
    <w:rsid w:val="00490B76"/>
    <w:rsid w:val="00490E18"/>
    <w:rsid w:val="00491511"/>
    <w:rsid w:val="00493A48"/>
    <w:rsid w:val="00494789"/>
    <w:rsid w:val="0049563A"/>
    <w:rsid w:val="004958CC"/>
    <w:rsid w:val="00495ED8"/>
    <w:rsid w:val="004960E9"/>
    <w:rsid w:val="00496D0A"/>
    <w:rsid w:val="0049712C"/>
    <w:rsid w:val="00497C5F"/>
    <w:rsid w:val="004A07BA"/>
    <w:rsid w:val="004A1818"/>
    <w:rsid w:val="004A1B99"/>
    <w:rsid w:val="004A1D11"/>
    <w:rsid w:val="004A212A"/>
    <w:rsid w:val="004A22C4"/>
    <w:rsid w:val="004A2E88"/>
    <w:rsid w:val="004A2F16"/>
    <w:rsid w:val="004A34A7"/>
    <w:rsid w:val="004A48AA"/>
    <w:rsid w:val="004A5305"/>
    <w:rsid w:val="004A54F0"/>
    <w:rsid w:val="004A5533"/>
    <w:rsid w:val="004A5F4A"/>
    <w:rsid w:val="004B0F53"/>
    <w:rsid w:val="004B17EE"/>
    <w:rsid w:val="004B1A39"/>
    <w:rsid w:val="004B2153"/>
    <w:rsid w:val="004B32B1"/>
    <w:rsid w:val="004B3921"/>
    <w:rsid w:val="004B3A46"/>
    <w:rsid w:val="004B5C3E"/>
    <w:rsid w:val="004B77FC"/>
    <w:rsid w:val="004B78F2"/>
    <w:rsid w:val="004B7C8A"/>
    <w:rsid w:val="004B7CE9"/>
    <w:rsid w:val="004B7F94"/>
    <w:rsid w:val="004C1323"/>
    <w:rsid w:val="004C19EA"/>
    <w:rsid w:val="004C1AB9"/>
    <w:rsid w:val="004C43F6"/>
    <w:rsid w:val="004C45DF"/>
    <w:rsid w:val="004C4C1E"/>
    <w:rsid w:val="004C5510"/>
    <w:rsid w:val="004D1779"/>
    <w:rsid w:val="004D4046"/>
    <w:rsid w:val="004D4B9F"/>
    <w:rsid w:val="004D51A7"/>
    <w:rsid w:val="004D5B32"/>
    <w:rsid w:val="004D5E7B"/>
    <w:rsid w:val="004D663E"/>
    <w:rsid w:val="004D6ECF"/>
    <w:rsid w:val="004D7634"/>
    <w:rsid w:val="004D76D8"/>
    <w:rsid w:val="004D7A24"/>
    <w:rsid w:val="004E0649"/>
    <w:rsid w:val="004E148F"/>
    <w:rsid w:val="004E1AE0"/>
    <w:rsid w:val="004E32EA"/>
    <w:rsid w:val="004E492A"/>
    <w:rsid w:val="004E5D70"/>
    <w:rsid w:val="004E611A"/>
    <w:rsid w:val="004E67D3"/>
    <w:rsid w:val="004E7073"/>
    <w:rsid w:val="004F2096"/>
    <w:rsid w:val="004F22D3"/>
    <w:rsid w:val="004F240F"/>
    <w:rsid w:val="004F263E"/>
    <w:rsid w:val="004F363A"/>
    <w:rsid w:val="004F3D10"/>
    <w:rsid w:val="004F3E0C"/>
    <w:rsid w:val="004F4993"/>
    <w:rsid w:val="004F4F84"/>
    <w:rsid w:val="004F5711"/>
    <w:rsid w:val="004F6460"/>
    <w:rsid w:val="004F6F00"/>
    <w:rsid w:val="004F791A"/>
    <w:rsid w:val="004F792F"/>
    <w:rsid w:val="004F7F48"/>
    <w:rsid w:val="00500E18"/>
    <w:rsid w:val="005015DE"/>
    <w:rsid w:val="005018F8"/>
    <w:rsid w:val="0050232C"/>
    <w:rsid w:val="005037D4"/>
    <w:rsid w:val="00504A57"/>
    <w:rsid w:val="00505754"/>
    <w:rsid w:val="0050592D"/>
    <w:rsid w:val="005066CA"/>
    <w:rsid w:val="00506714"/>
    <w:rsid w:val="005102EF"/>
    <w:rsid w:val="005110EC"/>
    <w:rsid w:val="005117C1"/>
    <w:rsid w:val="005123FB"/>
    <w:rsid w:val="005139B0"/>
    <w:rsid w:val="00513EB1"/>
    <w:rsid w:val="00514597"/>
    <w:rsid w:val="00514923"/>
    <w:rsid w:val="00515E4B"/>
    <w:rsid w:val="00517401"/>
    <w:rsid w:val="0051751E"/>
    <w:rsid w:val="00517A67"/>
    <w:rsid w:val="00517D52"/>
    <w:rsid w:val="005204AA"/>
    <w:rsid w:val="0052108A"/>
    <w:rsid w:val="00521492"/>
    <w:rsid w:val="00521DC9"/>
    <w:rsid w:val="00522198"/>
    <w:rsid w:val="00523762"/>
    <w:rsid w:val="00523C58"/>
    <w:rsid w:val="00523DA5"/>
    <w:rsid w:val="005241FF"/>
    <w:rsid w:val="00524783"/>
    <w:rsid w:val="00524C90"/>
    <w:rsid w:val="00525212"/>
    <w:rsid w:val="00525C64"/>
    <w:rsid w:val="00526385"/>
    <w:rsid w:val="005263BE"/>
    <w:rsid w:val="00527258"/>
    <w:rsid w:val="00527DD5"/>
    <w:rsid w:val="005300D3"/>
    <w:rsid w:val="00532AD3"/>
    <w:rsid w:val="00532E11"/>
    <w:rsid w:val="005338B8"/>
    <w:rsid w:val="005339F0"/>
    <w:rsid w:val="00533DF5"/>
    <w:rsid w:val="00534785"/>
    <w:rsid w:val="00534BA7"/>
    <w:rsid w:val="00534BF1"/>
    <w:rsid w:val="00540862"/>
    <w:rsid w:val="0054237D"/>
    <w:rsid w:val="00542A10"/>
    <w:rsid w:val="00542D6C"/>
    <w:rsid w:val="00542E84"/>
    <w:rsid w:val="00542E85"/>
    <w:rsid w:val="00544E96"/>
    <w:rsid w:val="00544F82"/>
    <w:rsid w:val="00547B19"/>
    <w:rsid w:val="00547C92"/>
    <w:rsid w:val="005509D2"/>
    <w:rsid w:val="00550B5A"/>
    <w:rsid w:val="005515E3"/>
    <w:rsid w:val="00551C9F"/>
    <w:rsid w:val="00553037"/>
    <w:rsid w:val="005538F6"/>
    <w:rsid w:val="00553993"/>
    <w:rsid w:val="00554BD0"/>
    <w:rsid w:val="00555F63"/>
    <w:rsid w:val="005625B2"/>
    <w:rsid w:val="00564564"/>
    <w:rsid w:val="00564F5C"/>
    <w:rsid w:val="00567084"/>
    <w:rsid w:val="0056744E"/>
    <w:rsid w:val="00567CDA"/>
    <w:rsid w:val="005707F2"/>
    <w:rsid w:val="00571051"/>
    <w:rsid w:val="00571A48"/>
    <w:rsid w:val="0057281A"/>
    <w:rsid w:val="00573E5D"/>
    <w:rsid w:val="00574DCD"/>
    <w:rsid w:val="005757EC"/>
    <w:rsid w:val="00575998"/>
    <w:rsid w:val="005763BD"/>
    <w:rsid w:val="00576D67"/>
    <w:rsid w:val="0057769B"/>
    <w:rsid w:val="005777EB"/>
    <w:rsid w:val="00577D7A"/>
    <w:rsid w:val="0058024A"/>
    <w:rsid w:val="00580784"/>
    <w:rsid w:val="005816D8"/>
    <w:rsid w:val="00581F8D"/>
    <w:rsid w:val="005821F8"/>
    <w:rsid w:val="005831BF"/>
    <w:rsid w:val="00583B2A"/>
    <w:rsid w:val="005848B8"/>
    <w:rsid w:val="0058651A"/>
    <w:rsid w:val="0058689C"/>
    <w:rsid w:val="00592202"/>
    <w:rsid w:val="0059232B"/>
    <w:rsid w:val="005930B7"/>
    <w:rsid w:val="00593C4F"/>
    <w:rsid w:val="005946A8"/>
    <w:rsid w:val="00594B2A"/>
    <w:rsid w:val="00596243"/>
    <w:rsid w:val="00597D50"/>
    <w:rsid w:val="005A040D"/>
    <w:rsid w:val="005A1EB3"/>
    <w:rsid w:val="005A1F1A"/>
    <w:rsid w:val="005A22C3"/>
    <w:rsid w:val="005A243D"/>
    <w:rsid w:val="005A38CC"/>
    <w:rsid w:val="005A4407"/>
    <w:rsid w:val="005A5879"/>
    <w:rsid w:val="005A59EF"/>
    <w:rsid w:val="005A6164"/>
    <w:rsid w:val="005B1ACF"/>
    <w:rsid w:val="005B1C7E"/>
    <w:rsid w:val="005B2029"/>
    <w:rsid w:val="005B3ECE"/>
    <w:rsid w:val="005B61C0"/>
    <w:rsid w:val="005B6B06"/>
    <w:rsid w:val="005B6B09"/>
    <w:rsid w:val="005B6E28"/>
    <w:rsid w:val="005B74A9"/>
    <w:rsid w:val="005B7799"/>
    <w:rsid w:val="005B7983"/>
    <w:rsid w:val="005B7D22"/>
    <w:rsid w:val="005C1C4F"/>
    <w:rsid w:val="005C2372"/>
    <w:rsid w:val="005C2CAC"/>
    <w:rsid w:val="005C3535"/>
    <w:rsid w:val="005C3940"/>
    <w:rsid w:val="005C458B"/>
    <w:rsid w:val="005C4DAC"/>
    <w:rsid w:val="005C661F"/>
    <w:rsid w:val="005C6976"/>
    <w:rsid w:val="005C7FF1"/>
    <w:rsid w:val="005D07ED"/>
    <w:rsid w:val="005D1817"/>
    <w:rsid w:val="005D3531"/>
    <w:rsid w:val="005D36A8"/>
    <w:rsid w:val="005D41CA"/>
    <w:rsid w:val="005D5874"/>
    <w:rsid w:val="005D5FBD"/>
    <w:rsid w:val="005D6207"/>
    <w:rsid w:val="005D6401"/>
    <w:rsid w:val="005D6EF1"/>
    <w:rsid w:val="005D7131"/>
    <w:rsid w:val="005D73FE"/>
    <w:rsid w:val="005E0CD7"/>
    <w:rsid w:val="005E0E2C"/>
    <w:rsid w:val="005E3300"/>
    <w:rsid w:val="005E43BD"/>
    <w:rsid w:val="005E507E"/>
    <w:rsid w:val="005E63F5"/>
    <w:rsid w:val="005E6C19"/>
    <w:rsid w:val="005E767E"/>
    <w:rsid w:val="005F02F0"/>
    <w:rsid w:val="005F0368"/>
    <w:rsid w:val="005F048D"/>
    <w:rsid w:val="005F050A"/>
    <w:rsid w:val="005F0E12"/>
    <w:rsid w:val="005F137F"/>
    <w:rsid w:val="005F18FA"/>
    <w:rsid w:val="005F1D4B"/>
    <w:rsid w:val="005F31A4"/>
    <w:rsid w:val="005F31BD"/>
    <w:rsid w:val="005F3D8B"/>
    <w:rsid w:val="005F4E77"/>
    <w:rsid w:val="005F5387"/>
    <w:rsid w:val="005F5BAB"/>
    <w:rsid w:val="005F61AC"/>
    <w:rsid w:val="005F6230"/>
    <w:rsid w:val="005F6801"/>
    <w:rsid w:val="005F6946"/>
    <w:rsid w:val="005F6A46"/>
    <w:rsid w:val="005F6F15"/>
    <w:rsid w:val="005F6F41"/>
    <w:rsid w:val="00601B78"/>
    <w:rsid w:val="006020D0"/>
    <w:rsid w:val="00602255"/>
    <w:rsid w:val="00602563"/>
    <w:rsid w:val="00604BAD"/>
    <w:rsid w:val="00605039"/>
    <w:rsid w:val="00607678"/>
    <w:rsid w:val="00610031"/>
    <w:rsid w:val="00613FA5"/>
    <w:rsid w:val="00615909"/>
    <w:rsid w:val="006164D1"/>
    <w:rsid w:val="006202BD"/>
    <w:rsid w:val="006214A7"/>
    <w:rsid w:val="00621A20"/>
    <w:rsid w:val="006241DC"/>
    <w:rsid w:val="00624A2F"/>
    <w:rsid w:val="00624EFC"/>
    <w:rsid w:val="00625DC6"/>
    <w:rsid w:val="00626198"/>
    <w:rsid w:val="00627886"/>
    <w:rsid w:val="00632B0D"/>
    <w:rsid w:val="006338EF"/>
    <w:rsid w:val="00633919"/>
    <w:rsid w:val="0063447A"/>
    <w:rsid w:val="00635FAB"/>
    <w:rsid w:val="006373AD"/>
    <w:rsid w:val="00637A2E"/>
    <w:rsid w:val="00640875"/>
    <w:rsid w:val="00640CE8"/>
    <w:rsid w:val="00641D05"/>
    <w:rsid w:val="00641D2E"/>
    <w:rsid w:val="00642115"/>
    <w:rsid w:val="006431D7"/>
    <w:rsid w:val="006436F1"/>
    <w:rsid w:val="0064382D"/>
    <w:rsid w:val="006438A6"/>
    <w:rsid w:val="0064391D"/>
    <w:rsid w:val="00643DDC"/>
    <w:rsid w:val="00643EED"/>
    <w:rsid w:val="006448B3"/>
    <w:rsid w:val="00645758"/>
    <w:rsid w:val="00645760"/>
    <w:rsid w:val="00645D4B"/>
    <w:rsid w:val="006510FE"/>
    <w:rsid w:val="00651334"/>
    <w:rsid w:val="00651821"/>
    <w:rsid w:val="00651E6C"/>
    <w:rsid w:val="0065294B"/>
    <w:rsid w:val="00652C39"/>
    <w:rsid w:val="00654384"/>
    <w:rsid w:val="00654BF8"/>
    <w:rsid w:val="0065506A"/>
    <w:rsid w:val="0065522C"/>
    <w:rsid w:val="00655465"/>
    <w:rsid w:val="00655ACE"/>
    <w:rsid w:val="00655AF6"/>
    <w:rsid w:val="00656994"/>
    <w:rsid w:val="0065736C"/>
    <w:rsid w:val="0065773B"/>
    <w:rsid w:val="00657E62"/>
    <w:rsid w:val="0066040E"/>
    <w:rsid w:val="00660970"/>
    <w:rsid w:val="006610F6"/>
    <w:rsid w:val="006620D6"/>
    <w:rsid w:val="00662D91"/>
    <w:rsid w:val="00662F8F"/>
    <w:rsid w:val="00663351"/>
    <w:rsid w:val="00663FBB"/>
    <w:rsid w:val="00664665"/>
    <w:rsid w:val="006651E1"/>
    <w:rsid w:val="006675CD"/>
    <w:rsid w:val="006703BB"/>
    <w:rsid w:val="00670D3C"/>
    <w:rsid w:val="0067152D"/>
    <w:rsid w:val="00672116"/>
    <w:rsid w:val="0067268C"/>
    <w:rsid w:val="006731B7"/>
    <w:rsid w:val="006734EE"/>
    <w:rsid w:val="0067359E"/>
    <w:rsid w:val="00673791"/>
    <w:rsid w:val="006747DB"/>
    <w:rsid w:val="00674B00"/>
    <w:rsid w:val="00675409"/>
    <w:rsid w:val="00677386"/>
    <w:rsid w:val="0068004C"/>
    <w:rsid w:val="00680D90"/>
    <w:rsid w:val="00681326"/>
    <w:rsid w:val="00681946"/>
    <w:rsid w:val="00681FD3"/>
    <w:rsid w:val="00682B99"/>
    <w:rsid w:val="00683519"/>
    <w:rsid w:val="00684550"/>
    <w:rsid w:val="00684D9B"/>
    <w:rsid w:val="0068510A"/>
    <w:rsid w:val="00685D65"/>
    <w:rsid w:val="006877B2"/>
    <w:rsid w:val="006877EA"/>
    <w:rsid w:val="00687E5A"/>
    <w:rsid w:val="00690993"/>
    <w:rsid w:val="00690C71"/>
    <w:rsid w:val="00691B18"/>
    <w:rsid w:val="00692D56"/>
    <w:rsid w:val="006934AA"/>
    <w:rsid w:val="006945DC"/>
    <w:rsid w:val="00694648"/>
    <w:rsid w:val="006950C1"/>
    <w:rsid w:val="006954B9"/>
    <w:rsid w:val="00695C23"/>
    <w:rsid w:val="00697556"/>
    <w:rsid w:val="00697696"/>
    <w:rsid w:val="006A09E2"/>
    <w:rsid w:val="006A0C67"/>
    <w:rsid w:val="006A0E0F"/>
    <w:rsid w:val="006A12DC"/>
    <w:rsid w:val="006A14B0"/>
    <w:rsid w:val="006A3A12"/>
    <w:rsid w:val="006A3B7A"/>
    <w:rsid w:val="006A4BCD"/>
    <w:rsid w:val="006A6451"/>
    <w:rsid w:val="006A75D3"/>
    <w:rsid w:val="006A76F7"/>
    <w:rsid w:val="006A7C1C"/>
    <w:rsid w:val="006B18B9"/>
    <w:rsid w:val="006B23EE"/>
    <w:rsid w:val="006B32CE"/>
    <w:rsid w:val="006B38B1"/>
    <w:rsid w:val="006B3C5F"/>
    <w:rsid w:val="006B4245"/>
    <w:rsid w:val="006B4647"/>
    <w:rsid w:val="006B4980"/>
    <w:rsid w:val="006B49AA"/>
    <w:rsid w:val="006B4C2B"/>
    <w:rsid w:val="006B56B6"/>
    <w:rsid w:val="006B588C"/>
    <w:rsid w:val="006B5B43"/>
    <w:rsid w:val="006B6194"/>
    <w:rsid w:val="006B6D47"/>
    <w:rsid w:val="006C0768"/>
    <w:rsid w:val="006C126E"/>
    <w:rsid w:val="006C2082"/>
    <w:rsid w:val="006C33A6"/>
    <w:rsid w:val="006C35C8"/>
    <w:rsid w:val="006C37C7"/>
    <w:rsid w:val="006C4C1C"/>
    <w:rsid w:val="006C5113"/>
    <w:rsid w:val="006C5696"/>
    <w:rsid w:val="006C5AFE"/>
    <w:rsid w:val="006C61FE"/>
    <w:rsid w:val="006C66F1"/>
    <w:rsid w:val="006C6ADE"/>
    <w:rsid w:val="006C6E62"/>
    <w:rsid w:val="006D016C"/>
    <w:rsid w:val="006D1F84"/>
    <w:rsid w:val="006D2226"/>
    <w:rsid w:val="006D237E"/>
    <w:rsid w:val="006D26E6"/>
    <w:rsid w:val="006D27A4"/>
    <w:rsid w:val="006D3C8A"/>
    <w:rsid w:val="006D4807"/>
    <w:rsid w:val="006D51C9"/>
    <w:rsid w:val="006D60AB"/>
    <w:rsid w:val="006D7E6E"/>
    <w:rsid w:val="006E10AD"/>
    <w:rsid w:val="006E1174"/>
    <w:rsid w:val="006E1783"/>
    <w:rsid w:val="006E1D33"/>
    <w:rsid w:val="006E26D3"/>
    <w:rsid w:val="006E3537"/>
    <w:rsid w:val="006E4210"/>
    <w:rsid w:val="006E5EA7"/>
    <w:rsid w:val="006E68C7"/>
    <w:rsid w:val="006E6DD1"/>
    <w:rsid w:val="006E78B6"/>
    <w:rsid w:val="006F11C4"/>
    <w:rsid w:val="006F1944"/>
    <w:rsid w:val="006F25B4"/>
    <w:rsid w:val="006F2EC8"/>
    <w:rsid w:val="006F2F9B"/>
    <w:rsid w:val="006F3819"/>
    <w:rsid w:val="006F421C"/>
    <w:rsid w:val="006F49E5"/>
    <w:rsid w:val="006F5F27"/>
    <w:rsid w:val="006F6D95"/>
    <w:rsid w:val="006F7F48"/>
    <w:rsid w:val="00701080"/>
    <w:rsid w:val="00701E00"/>
    <w:rsid w:val="00701E7C"/>
    <w:rsid w:val="00702D82"/>
    <w:rsid w:val="00702E91"/>
    <w:rsid w:val="007033C9"/>
    <w:rsid w:val="00703B3B"/>
    <w:rsid w:val="00704053"/>
    <w:rsid w:val="0070410C"/>
    <w:rsid w:val="00704121"/>
    <w:rsid w:val="007042FE"/>
    <w:rsid w:val="00704985"/>
    <w:rsid w:val="00704A1A"/>
    <w:rsid w:val="0070601E"/>
    <w:rsid w:val="00706F13"/>
    <w:rsid w:val="007072E8"/>
    <w:rsid w:val="007100C6"/>
    <w:rsid w:val="007104CE"/>
    <w:rsid w:val="00710DF3"/>
    <w:rsid w:val="00710F7F"/>
    <w:rsid w:val="0071165D"/>
    <w:rsid w:val="007116B2"/>
    <w:rsid w:val="00712A9E"/>
    <w:rsid w:val="00714D4C"/>
    <w:rsid w:val="00716188"/>
    <w:rsid w:val="0071618D"/>
    <w:rsid w:val="00717076"/>
    <w:rsid w:val="00717151"/>
    <w:rsid w:val="00717775"/>
    <w:rsid w:val="0072207C"/>
    <w:rsid w:val="00722BBE"/>
    <w:rsid w:val="00725641"/>
    <w:rsid w:val="00725FA4"/>
    <w:rsid w:val="00726AB4"/>
    <w:rsid w:val="00727350"/>
    <w:rsid w:val="00730D69"/>
    <w:rsid w:val="0073290D"/>
    <w:rsid w:val="00732B40"/>
    <w:rsid w:val="00734700"/>
    <w:rsid w:val="00734962"/>
    <w:rsid w:val="007355B0"/>
    <w:rsid w:val="00737151"/>
    <w:rsid w:val="0073727F"/>
    <w:rsid w:val="00740446"/>
    <w:rsid w:val="0074099B"/>
    <w:rsid w:val="00740AEF"/>
    <w:rsid w:val="00740EE9"/>
    <w:rsid w:val="0074105A"/>
    <w:rsid w:val="00741461"/>
    <w:rsid w:val="00741B21"/>
    <w:rsid w:val="00741B40"/>
    <w:rsid w:val="00742A28"/>
    <w:rsid w:val="007438A9"/>
    <w:rsid w:val="00743F27"/>
    <w:rsid w:val="0074491E"/>
    <w:rsid w:val="00745B0E"/>
    <w:rsid w:val="00746053"/>
    <w:rsid w:val="00746526"/>
    <w:rsid w:val="007476D8"/>
    <w:rsid w:val="00747D4B"/>
    <w:rsid w:val="00751433"/>
    <w:rsid w:val="00751600"/>
    <w:rsid w:val="00752640"/>
    <w:rsid w:val="00752836"/>
    <w:rsid w:val="0075338A"/>
    <w:rsid w:val="007561EF"/>
    <w:rsid w:val="00756A85"/>
    <w:rsid w:val="00757001"/>
    <w:rsid w:val="00757C5E"/>
    <w:rsid w:val="0076160E"/>
    <w:rsid w:val="00761737"/>
    <w:rsid w:val="0076247A"/>
    <w:rsid w:val="007624E3"/>
    <w:rsid w:val="00762EA3"/>
    <w:rsid w:val="0076569B"/>
    <w:rsid w:val="007659BB"/>
    <w:rsid w:val="00765FD6"/>
    <w:rsid w:val="007663BD"/>
    <w:rsid w:val="00766D58"/>
    <w:rsid w:val="00766D63"/>
    <w:rsid w:val="007677BD"/>
    <w:rsid w:val="007677EF"/>
    <w:rsid w:val="00767F75"/>
    <w:rsid w:val="00771D1E"/>
    <w:rsid w:val="0077238E"/>
    <w:rsid w:val="00772D32"/>
    <w:rsid w:val="0077368E"/>
    <w:rsid w:val="00774EC6"/>
    <w:rsid w:val="00775964"/>
    <w:rsid w:val="007765FE"/>
    <w:rsid w:val="00776930"/>
    <w:rsid w:val="00776A00"/>
    <w:rsid w:val="0078019F"/>
    <w:rsid w:val="00781875"/>
    <w:rsid w:val="00782BD6"/>
    <w:rsid w:val="00783991"/>
    <w:rsid w:val="00784345"/>
    <w:rsid w:val="00785A05"/>
    <w:rsid w:val="00785B77"/>
    <w:rsid w:val="0078667F"/>
    <w:rsid w:val="007903DC"/>
    <w:rsid w:val="007909C8"/>
    <w:rsid w:val="00790BBF"/>
    <w:rsid w:val="00791572"/>
    <w:rsid w:val="00791718"/>
    <w:rsid w:val="00792B19"/>
    <w:rsid w:val="00793ED7"/>
    <w:rsid w:val="007948D3"/>
    <w:rsid w:val="00794E2E"/>
    <w:rsid w:val="00795211"/>
    <w:rsid w:val="00795BFB"/>
    <w:rsid w:val="007960F0"/>
    <w:rsid w:val="0079668F"/>
    <w:rsid w:val="007A0846"/>
    <w:rsid w:val="007A15D4"/>
    <w:rsid w:val="007A1AC5"/>
    <w:rsid w:val="007A2460"/>
    <w:rsid w:val="007A2609"/>
    <w:rsid w:val="007A2673"/>
    <w:rsid w:val="007A2A20"/>
    <w:rsid w:val="007A4422"/>
    <w:rsid w:val="007A46DE"/>
    <w:rsid w:val="007A513B"/>
    <w:rsid w:val="007A5667"/>
    <w:rsid w:val="007A6646"/>
    <w:rsid w:val="007A710F"/>
    <w:rsid w:val="007B154E"/>
    <w:rsid w:val="007B1B48"/>
    <w:rsid w:val="007B1BC1"/>
    <w:rsid w:val="007B2760"/>
    <w:rsid w:val="007B3187"/>
    <w:rsid w:val="007B3C68"/>
    <w:rsid w:val="007B48B0"/>
    <w:rsid w:val="007B51D6"/>
    <w:rsid w:val="007B52A2"/>
    <w:rsid w:val="007B5396"/>
    <w:rsid w:val="007B594A"/>
    <w:rsid w:val="007B7EDC"/>
    <w:rsid w:val="007C007F"/>
    <w:rsid w:val="007C0365"/>
    <w:rsid w:val="007C16C1"/>
    <w:rsid w:val="007C16C8"/>
    <w:rsid w:val="007C2446"/>
    <w:rsid w:val="007C27BF"/>
    <w:rsid w:val="007C27FC"/>
    <w:rsid w:val="007C3ED5"/>
    <w:rsid w:val="007C5604"/>
    <w:rsid w:val="007C650D"/>
    <w:rsid w:val="007C73E0"/>
    <w:rsid w:val="007C7D57"/>
    <w:rsid w:val="007D0878"/>
    <w:rsid w:val="007D0898"/>
    <w:rsid w:val="007D1599"/>
    <w:rsid w:val="007D1DEF"/>
    <w:rsid w:val="007D2D30"/>
    <w:rsid w:val="007D4BA9"/>
    <w:rsid w:val="007D6578"/>
    <w:rsid w:val="007D71A2"/>
    <w:rsid w:val="007D7E2C"/>
    <w:rsid w:val="007E1938"/>
    <w:rsid w:val="007E1AAD"/>
    <w:rsid w:val="007E2009"/>
    <w:rsid w:val="007E2C27"/>
    <w:rsid w:val="007E30D2"/>
    <w:rsid w:val="007E3735"/>
    <w:rsid w:val="007E49DC"/>
    <w:rsid w:val="007E54AB"/>
    <w:rsid w:val="007E54C9"/>
    <w:rsid w:val="007E5C1D"/>
    <w:rsid w:val="007E7CF6"/>
    <w:rsid w:val="007F0D5E"/>
    <w:rsid w:val="007F186B"/>
    <w:rsid w:val="007F38B2"/>
    <w:rsid w:val="007F432C"/>
    <w:rsid w:val="007F4A2E"/>
    <w:rsid w:val="008004E9"/>
    <w:rsid w:val="0080171E"/>
    <w:rsid w:val="00802568"/>
    <w:rsid w:val="008025A6"/>
    <w:rsid w:val="00802F19"/>
    <w:rsid w:val="0080402C"/>
    <w:rsid w:val="00805BF4"/>
    <w:rsid w:val="00805D48"/>
    <w:rsid w:val="00805F1C"/>
    <w:rsid w:val="008061E4"/>
    <w:rsid w:val="0080632D"/>
    <w:rsid w:val="00806628"/>
    <w:rsid w:val="00806C01"/>
    <w:rsid w:val="0080706B"/>
    <w:rsid w:val="008073EC"/>
    <w:rsid w:val="00807AB2"/>
    <w:rsid w:val="008125A6"/>
    <w:rsid w:val="008139CF"/>
    <w:rsid w:val="00813AC3"/>
    <w:rsid w:val="00813FF1"/>
    <w:rsid w:val="008148CC"/>
    <w:rsid w:val="00814A52"/>
    <w:rsid w:val="0081584B"/>
    <w:rsid w:val="00815E5A"/>
    <w:rsid w:val="00817224"/>
    <w:rsid w:val="00817EA6"/>
    <w:rsid w:val="00820E10"/>
    <w:rsid w:val="008211A4"/>
    <w:rsid w:val="00821A4A"/>
    <w:rsid w:val="00821B42"/>
    <w:rsid w:val="00822640"/>
    <w:rsid w:val="008234D5"/>
    <w:rsid w:val="00823A4D"/>
    <w:rsid w:val="00824F92"/>
    <w:rsid w:val="008251D1"/>
    <w:rsid w:val="00825F63"/>
    <w:rsid w:val="00827356"/>
    <w:rsid w:val="00827CFD"/>
    <w:rsid w:val="008304D7"/>
    <w:rsid w:val="00830EE1"/>
    <w:rsid w:val="00832FB1"/>
    <w:rsid w:val="00834778"/>
    <w:rsid w:val="00834C9A"/>
    <w:rsid w:val="008363BA"/>
    <w:rsid w:val="00836545"/>
    <w:rsid w:val="00837105"/>
    <w:rsid w:val="008377BB"/>
    <w:rsid w:val="008404C6"/>
    <w:rsid w:val="008406DD"/>
    <w:rsid w:val="00840FFB"/>
    <w:rsid w:val="00841015"/>
    <w:rsid w:val="0084130D"/>
    <w:rsid w:val="00841F49"/>
    <w:rsid w:val="00842285"/>
    <w:rsid w:val="00842748"/>
    <w:rsid w:val="00844369"/>
    <w:rsid w:val="00845ACC"/>
    <w:rsid w:val="00845C98"/>
    <w:rsid w:val="0084693A"/>
    <w:rsid w:val="00847868"/>
    <w:rsid w:val="0085009E"/>
    <w:rsid w:val="00850C34"/>
    <w:rsid w:val="008516A2"/>
    <w:rsid w:val="0085498C"/>
    <w:rsid w:val="008554A6"/>
    <w:rsid w:val="008561E9"/>
    <w:rsid w:val="00856396"/>
    <w:rsid w:val="00857D42"/>
    <w:rsid w:val="00860D85"/>
    <w:rsid w:val="00862DA1"/>
    <w:rsid w:val="008632EA"/>
    <w:rsid w:val="00863FB2"/>
    <w:rsid w:val="008642DA"/>
    <w:rsid w:val="0086510C"/>
    <w:rsid w:val="0086751C"/>
    <w:rsid w:val="008702C7"/>
    <w:rsid w:val="008702FB"/>
    <w:rsid w:val="00871305"/>
    <w:rsid w:val="00872533"/>
    <w:rsid w:val="00873150"/>
    <w:rsid w:val="008743D5"/>
    <w:rsid w:val="00874DB4"/>
    <w:rsid w:val="008755CE"/>
    <w:rsid w:val="00875F93"/>
    <w:rsid w:val="0087657D"/>
    <w:rsid w:val="00876804"/>
    <w:rsid w:val="00876E21"/>
    <w:rsid w:val="0087709F"/>
    <w:rsid w:val="00880567"/>
    <w:rsid w:val="008807D5"/>
    <w:rsid w:val="00880832"/>
    <w:rsid w:val="00880B78"/>
    <w:rsid w:val="00881749"/>
    <w:rsid w:val="0088225E"/>
    <w:rsid w:val="008822BC"/>
    <w:rsid w:val="00883A02"/>
    <w:rsid w:val="00884AAE"/>
    <w:rsid w:val="008854CC"/>
    <w:rsid w:val="008866F1"/>
    <w:rsid w:val="00886AEA"/>
    <w:rsid w:val="00886EE1"/>
    <w:rsid w:val="0088727D"/>
    <w:rsid w:val="00887E6B"/>
    <w:rsid w:val="0089032B"/>
    <w:rsid w:val="00891B83"/>
    <w:rsid w:val="008924D0"/>
    <w:rsid w:val="00893FBF"/>
    <w:rsid w:val="008968B0"/>
    <w:rsid w:val="00897055"/>
    <w:rsid w:val="00897C75"/>
    <w:rsid w:val="008A0055"/>
    <w:rsid w:val="008A30BC"/>
    <w:rsid w:val="008A3436"/>
    <w:rsid w:val="008A3B76"/>
    <w:rsid w:val="008A410C"/>
    <w:rsid w:val="008A666A"/>
    <w:rsid w:val="008A69B8"/>
    <w:rsid w:val="008A761F"/>
    <w:rsid w:val="008A79C2"/>
    <w:rsid w:val="008B05AF"/>
    <w:rsid w:val="008B35CE"/>
    <w:rsid w:val="008B395A"/>
    <w:rsid w:val="008B43A5"/>
    <w:rsid w:val="008B4A22"/>
    <w:rsid w:val="008B5A84"/>
    <w:rsid w:val="008B5EEF"/>
    <w:rsid w:val="008B7220"/>
    <w:rsid w:val="008B7291"/>
    <w:rsid w:val="008B748F"/>
    <w:rsid w:val="008C1130"/>
    <w:rsid w:val="008C19A2"/>
    <w:rsid w:val="008C2631"/>
    <w:rsid w:val="008C294E"/>
    <w:rsid w:val="008C35D8"/>
    <w:rsid w:val="008C498E"/>
    <w:rsid w:val="008C52C6"/>
    <w:rsid w:val="008C6C2D"/>
    <w:rsid w:val="008C6DD6"/>
    <w:rsid w:val="008C73EF"/>
    <w:rsid w:val="008C7DB3"/>
    <w:rsid w:val="008D0B24"/>
    <w:rsid w:val="008D18E6"/>
    <w:rsid w:val="008D4DFB"/>
    <w:rsid w:val="008D5F92"/>
    <w:rsid w:val="008D7A9B"/>
    <w:rsid w:val="008E0060"/>
    <w:rsid w:val="008E1C89"/>
    <w:rsid w:val="008E2019"/>
    <w:rsid w:val="008E21B5"/>
    <w:rsid w:val="008E2F56"/>
    <w:rsid w:val="008E33DA"/>
    <w:rsid w:val="008E4652"/>
    <w:rsid w:val="008E4A1F"/>
    <w:rsid w:val="008E4A47"/>
    <w:rsid w:val="008E4DE3"/>
    <w:rsid w:val="008E57C3"/>
    <w:rsid w:val="008E57EC"/>
    <w:rsid w:val="008E6F10"/>
    <w:rsid w:val="008E7091"/>
    <w:rsid w:val="008E70C7"/>
    <w:rsid w:val="008E74CD"/>
    <w:rsid w:val="008E76AC"/>
    <w:rsid w:val="008E7A5A"/>
    <w:rsid w:val="008F1323"/>
    <w:rsid w:val="008F1F2A"/>
    <w:rsid w:val="008F20C7"/>
    <w:rsid w:val="008F21F6"/>
    <w:rsid w:val="008F42EC"/>
    <w:rsid w:val="008F579A"/>
    <w:rsid w:val="008F5F07"/>
    <w:rsid w:val="008F675E"/>
    <w:rsid w:val="00900116"/>
    <w:rsid w:val="0090213D"/>
    <w:rsid w:val="00902196"/>
    <w:rsid w:val="009032F2"/>
    <w:rsid w:val="0090612F"/>
    <w:rsid w:val="009063DD"/>
    <w:rsid w:val="009107C5"/>
    <w:rsid w:val="00910848"/>
    <w:rsid w:val="009108CC"/>
    <w:rsid w:val="00911CF5"/>
    <w:rsid w:val="009128BC"/>
    <w:rsid w:val="009128E9"/>
    <w:rsid w:val="00913869"/>
    <w:rsid w:val="009151C1"/>
    <w:rsid w:val="009154C8"/>
    <w:rsid w:val="009156FA"/>
    <w:rsid w:val="00916009"/>
    <w:rsid w:val="009178D0"/>
    <w:rsid w:val="0092089E"/>
    <w:rsid w:val="00921E8D"/>
    <w:rsid w:val="0092224B"/>
    <w:rsid w:val="00922CA4"/>
    <w:rsid w:val="0092342A"/>
    <w:rsid w:val="00923608"/>
    <w:rsid w:val="00924238"/>
    <w:rsid w:val="0092494C"/>
    <w:rsid w:val="009249CE"/>
    <w:rsid w:val="00930230"/>
    <w:rsid w:val="00931A17"/>
    <w:rsid w:val="00931D3B"/>
    <w:rsid w:val="0093302B"/>
    <w:rsid w:val="00936516"/>
    <w:rsid w:val="009379DF"/>
    <w:rsid w:val="009413A7"/>
    <w:rsid w:val="0094161D"/>
    <w:rsid w:val="00943994"/>
    <w:rsid w:val="0094433F"/>
    <w:rsid w:val="009448F4"/>
    <w:rsid w:val="00945047"/>
    <w:rsid w:val="009454A8"/>
    <w:rsid w:val="00946190"/>
    <w:rsid w:val="009462E2"/>
    <w:rsid w:val="00946F3E"/>
    <w:rsid w:val="00946FE4"/>
    <w:rsid w:val="009500E8"/>
    <w:rsid w:val="00950B26"/>
    <w:rsid w:val="00950B5D"/>
    <w:rsid w:val="0095123B"/>
    <w:rsid w:val="00951F79"/>
    <w:rsid w:val="00952EF2"/>
    <w:rsid w:val="009539A0"/>
    <w:rsid w:val="009551F2"/>
    <w:rsid w:val="009567D7"/>
    <w:rsid w:val="00956E00"/>
    <w:rsid w:val="00957DCA"/>
    <w:rsid w:val="00963B3B"/>
    <w:rsid w:val="00965B48"/>
    <w:rsid w:val="00966178"/>
    <w:rsid w:val="0096704E"/>
    <w:rsid w:val="00967374"/>
    <w:rsid w:val="00967495"/>
    <w:rsid w:val="00970399"/>
    <w:rsid w:val="0097047D"/>
    <w:rsid w:val="00970CA5"/>
    <w:rsid w:val="00971A08"/>
    <w:rsid w:val="00971C7C"/>
    <w:rsid w:val="00973B5B"/>
    <w:rsid w:val="009746C9"/>
    <w:rsid w:val="00974AB5"/>
    <w:rsid w:val="00974B19"/>
    <w:rsid w:val="00974C77"/>
    <w:rsid w:val="009753F2"/>
    <w:rsid w:val="009766AB"/>
    <w:rsid w:val="009773EA"/>
    <w:rsid w:val="00977C1F"/>
    <w:rsid w:val="0098057F"/>
    <w:rsid w:val="009812F8"/>
    <w:rsid w:val="00981386"/>
    <w:rsid w:val="009835C3"/>
    <w:rsid w:val="00983778"/>
    <w:rsid w:val="0098454D"/>
    <w:rsid w:val="00984CD9"/>
    <w:rsid w:val="0098706D"/>
    <w:rsid w:val="00987209"/>
    <w:rsid w:val="00987C63"/>
    <w:rsid w:val="0099018C"/>
    <w:rsid w:val="00992AA6"/>
    <w:rsid w:val="00992D74"/>
    <w:rsid w:val="0099322C"/>
    <w:rsid w:val="009935FB"/>
    <w:rsid w:val="009938EE"/>
    <w:rsid w:val="00993E9C"/>
    <w:rsid w:val="00994922"/>
    <w:rsid w:val="00994EBB"/>
    <w:rsid w:val="00995885"/>
    <w:rsid w:val="009A0929"/>
    <w:rsid w:val="009A0D79"/>
    <w:rsid w:val="009A1082"/>
    <w:rsid w:val="009A1B0F"/>
    <w:rsid w:val="009A21D5"/>
    <w:rsid w:val="009A2E35"/>
    <w:rsid w:val="009A3337"/>
    <w:rsid w:val="009A3F6D"/>
    <w:rsid w:val="009A4B1F"/>
    <w:rsid w:val="009A5674"/>
    <w:rsid w:val="009A56CB"/>
    <w:rsid w:val="009A5887"/>
    <w:rsid w:val="009A635B"/>
    <w:rsid w:val="009A7AB1"/>
    <w:rsid w:val="009B1ADE"/>
    <w:rsid w:val="009B2885"/>
    <w:rsid w:val="009B2F63"/>
    <w:rsid w:val="009B314A"/>
    <w:rsid w:val="009B37D9"/>
    <w:rsid w:val="009B4779"/>
    <w:rsid w:val="009B6081"/>
    <w:rsid w:val="009B6B1C"/>
    <w:rsid w:val="009B72A7"/>
    <w:rsid w:val="009C2E7B"/>
    <w:rsid w:val="009C2ED8"/>
    <w:rsid w:val="009C4BD6"/>
    <w:rsid w:val="009C5A71"/>
    <w:rsid w:val="009C66A8"/>
    <w:rsid w:val="009C7D1E"/>
    <w:rsid w:val="009D06DF"/>
    <w:rsid w:val="009D14CA"/>
    <w:rsid w:val="009D1A93"/>
    <w:rsid w:val="009D39D9"/>
    <w:rsid w:val="009D441B"/>
    <w:rsid w:val="009D6B03"/>
    <w:rsid w:val="009D6F90"/>
    <w:rsid w:val="009E0642"/>
    <w:rsid w:val="009E21BF"/>
    <w:rsid w:val="009E4921"/>
    <w:rsid w:val="009E5F17"/>
    <w:rsid w:val="009E61AB"/>
    <w:rsid w:val="009E6B36"/>
    <w:rsid w:val="009E7356"/>
    <w:rsid w:val="009F0D52"/>
    <w:rsid w:val="009F13D2"/>
    <w:rsid w:val="009F1BE8"/>
    <w:rsid w:val="009F4794"/>
    <w:rsid w:val="009F4A54"/>
    <w:rsid w:val="009F4BEC"/>
    <w:rsid w:val="009F4E1B"/>
    <w:rsid w:val="009F5184"/>
    <w:rsid w:val="009F5373"/>
    <w:rsid w:val="009F5874"/>
    <w:rsid w:val="009F6E13"/>
    <w:rsid w:val="009F75E4"/>
    <w:rsid w:val="009F7E39"/>
    <w:rsid w:val="00A00046"/>
    <w:rsid w:val="00A00C00"/>
    <w:rsid w:val="00A015AC"/>
    <w:rsid w:val="00A01A2D"/>
    <w:rsid w:val="00A03059"/>
    <w:rsid w:val="00A035F3"/>
    <w:rsid w:val="00A0467C"/>
    <w:rsid w:val="00A051CD"/>
    <w:rsid w:val="00A0609D"/>
    <w:rsid w:val="00A065BB"/>
    <w:rsid w:val="00A07E39"/>
    <w:rsid w:val="00A109E2"/>
    <w:rsid w:val="00A1246A"/>
    <w:rsid w:val="00A12A97"/>
    <w:rsid w:val="00A12EF8"/>
    <w:rsid w:val="00A131BF"/>
    <w:rsid w:val="00A137BA"/>
    <w:rsid w:val="00A13876"/>
    <w:rsid w:val="00A14247"/>
    <w:rsid w:val="00A14628"/>
    <w:rsid w:val="00A1517A"/>
    <w:rsid w:val="00A1643C"/>
    <w:rsid w:val="00A2039F"/>
    <w:rsid w:val="00A20A80"/>
    <w:rsid w:val="00A20D95"/>
    <w:rsid w:val="00A22178"/>
    <w:rsid w:val="00A22357"/>
    <w:rsid w:val="00A248B3"/>
    <w:rsid w:val="00A25A0A"/>
    <w:rsid w:val="00A25FD7"/>
    <w:rsid w:val="00A261DF"/>
    <w:rsid w:val="00A27193"/>
    <w:rsid w:val="00A31465"/>
    <w:rsid w:val="00A31570"/>
    <w:rsid w:val="00A322B9"/>
    <w:rsid w:val="00A32BB7"/>
    <w:rsid w:val="00A3385A"/>
    <w:rsid w:val="00A33962"/>
    <w:rsid w:val="00A34069"/>
    <w:rsid w:val="00A34653"/>
    <w:rsid w:val="00A35A30"/>
    <w:rsid w:val="00A368BE"/>
    <w:rsid w:val="00A36DE5"/>
    <w:rsid w:val="00A36F63"/>
    <w:rsid w:val="00A37F9D"/>
    <w:rsid w:val="00A4030E"/>
    <w:rsid w:val="00A4046F"/>
    <w:rsid w:val="00A4089D"/>
    <w:rsid w:val="00A42225"/>
    <w:rsid w:val="00A42572"/>
    <w:rsid w:val="00A42F26"/>
    <w:rsid w:val="00A43976"/>
    <w:rsid w:val="00A43AFF"/>
    <w:rsid w:val="00A43E30"/>
    <w:rsid w:val="00A44A50"/>
    <w:rsid w:val="00A451D8"/>
    <w:rsid w:val="00A45ED8"/>
    <w:rsid w:val="00A4647C"/>
    <w:rsid w:val="00A47137"/>
    <w:rsid w:val="00A473E8"/>
    <w:rsid w:val="00A5011E"/>
    <w:rsid w:val="00A504A0"/>
    <w:rsid w:val="00A50BBD"/>
    <w:rsid w:val="00A50ED2"/>
    <w:rsid w:val="00A513EF"/>
    <w:rsid w:val="00A525BB"/>
    <w:rsid w:val="00A5264E"/>
    <w:rsid w:val="00A53527"/>
    <w:rsid w:val="00A53619"/>
    <w:rsid w:val="00A54108"/>
    <w:rsid w:val="00A5585B"/>
    <w:rsid w:val="00A5648C"/>
    <w:rsid w:val="00A569CC"/>
    <w:rsid w:val="00A57188"/>
    <w:rsid w:val="00A5784D"/>
    <w:rsid w:val="00A600C5"/>
    <w:rsid w:val="00A6199B"/>
    <w:rsid w:val="00A63E4D"/>
    <w:rsid w:val="00A64136"/>
    <w:rsid w:val="00A67275"/>
    <w:rsid w:val="00A7127F"/>
    <w:rsid w:val="00A725B1"/>
    <w:rsid w:val="00A7375B"/>
    <w:rsid w:val="00A73ACE"/>
    <w:rsid w:val="00A748EE"/>
    <w:rsid w:val="00A74EE6"/>
    <w:rsid w:val="00A75B1D"/>
    <w:rsid w:val="00A76393"/>
    <w:rsid w:val="00A764CA"/>
    <w:rsid w:val="00A77888"/>
    <w:rsid w:val="00A7793A"/>
    <w:rsid w:val="00A804F7"/>
    <w:rsid w:val="00A80F17"/>
    <w:rsid w:val="00A80F61"/>
    <w:rsid w:val="00A8211C"/>
    <w:rsid w:val="00A831C6"/>
    <w:rsid w:val="00A83320"/>
    <w:rsid w:val="00A83461"/>
    <w:rsid w:val="00A84163"/>
    <w:rsid w:val="00A8423E"/>
    <w:rsid w:val="00A846CD"/>
    <w:rsid w:val="00A849AA"/>
    <w:rsid w:val="00A8643D"/>
    <w:rsid w:val="00A865C2"/>
    <w:rsid w:val="00A87BA8"/>
    <w:rsid w:val="00A87DCD"/>
    <w:rsid w:val="00A9003C"/>
    <w:rsid w:val="00A90105"/>
    <w:rsid w:val="00A905F6"/>
    <w:rsid w:val="00A90A04"/>
    <w:rsid w:val="00A90D70"/>
    <w:rsid w:val="00A91D4C"/>
    <w:rsid w:val="00A91F05"/>
    <w:rsid w:val="00A91FEB"/>
    <w:rsid w:val="00A92970"/>
    <w:rsid w:val="00A93A3F"/>
    <w:rsid w:val="00A93E76"/>
    <w:rsid w:val="00A96FD8"/>
    <w:rsid w:val="00A97D04"/>
    <w:rsid w:val="00AA1840"/>
    <w:rsid w:val="00AA1C91"/>
    <w:rsid w:val="00AA1DDA"/>
    <w:rsid w:val="00AA4BDD"/>
    <w:rsid w:val="00AA4CC7"/>
    <w:rsid w:val="00AA5E8E"/>
    <w:rsid w:val="00AA5F8B"/>
    <w:rsid w:val="00AA69FD"/>
    <w:rsid w:val="00AA704B"/>
    <w:rsid w:val="00AA753B"/>
    <w:rsid w:val="00AB05A6"/>
    <w:rsid w:val="00AB0B84"/>
    <w:rsid w:val="00AB1831"/>
    <w:rsid w:val="00AB1C7F"/>
    <w:rsid w:val="00AB2BAD"/>
    <w:rsid w:val="00AB400E"/>
    <w:rsid w:val="00AB4C42"/>
    <w:rsid w:val="00AB5DE3"/>
    <w:rsid w:val="00AB682D"/>
    <w:rsid w:val="00AB6CA7"/>
    <w:rsid w:val="00AC04DE"/>
    <w:rsid w:val="00AC1219"/>
    <w:rsid w:val="00AC189E"/>
    <w:rsid w:val="00AC1CC4"/>
    <w:rsid w:val="00AC4489"/>
    <w:rsid w:val="00AC4D51"/>
    <w:rsid w:val="00AC5F08"/>
    <w:rsid w:val="00AC6A41"/>
    <w:rsid w:val="00AD01E4"/>
    <w:rsid w:val="00AD0858"/>
    <w:rsid w:val="00AD093F"/>
    <w:rsid w:val="00AD135E"/>
    <w:rsid w:val="00AD1389"/>
    <w:rsid w:val="00AD1802"/>
    <w:rsid w:val="00AD1C1C"/>
    <w:rsid w:val="00AD225B"/>
    <w:rsid w:val="00AD44AB"/>
    <w:rsid w:val="00AD46A3"/>
    <w:rsid w:val="00AD47B2"/>
    <w:rsid w:val="00AD5270"/>
    <w:rsid w:val="00AD55A9"/>
    <w:rsid w:val="00AD5771"/>
    <w:rsid w:val="00AD67F0"/>
    <w:rsid w:val="00AD6872"/>
    <w:rsid w:val="00AE02E3"/>
    <w:rsid w:val="00AE2321"/>
    <w:rsid w:val="00AE24EC"/>
    <w:rsid w:val="00AE47F2"/>
    <w:rsid w:val="00AE502B"/>
    <w:rsid w:val="00AE7340"/>
    <w:rsid w:val="00AE79B5"/>
    <w:rsid w:val="00AF1BAE"/>
    <w:rsid w:val="00AF1BBD"/>
    <w:rsid w:val="00AF2608"/>
    <w:rsid w:val="00AF3513"/>
    <w:rsid w:val="00AF3B89"/>
    <w:rsid w:val="00AF42E2"/>
    <w:rsid w:val="00AF44C9"/>
    <w:rsid w:val="00AF49CF"/>
    <w:rsid w:val="00AF595C"/>
    <w:rsid w:val="00AF5F35"/>
    <w:rsid w:val="00AF63B9"/>
    <w:rsid w:val="00AF74EE"/>
    <w:rsid w:val="00AF7F35"/>
    <w:rsid w:val="00B003B0"/>
    <w:rsid w:val="00B004C5"/>
    <w:rsid w:val="00B00B75"/>
    <w:rsid w:val="00B0101A"/>
    <w:rsid w:val="00B011AF"/>
    <w:rsid w:val="00B01335"/>
    <w:rsid w:val="00B01931"/>
    <w:rsid w:val="00B01F2D"/>
    <w:rsid w:val="00B020CD"/>
    <w:rsid w:val="00B042CD"/>
    <w:rsid w:val="00B0506D"/>
    <w:rsid w:val="00B065CA"/>
    <w:rsid w:val="00B07287"/>
    <w:rsid w:val="00B072D7"/>
    <w:rsid w:val="00B10207"/>
    <w:rsid w:val="00B12BF7"/>
    <w:rsid w:val="00B1386E"/>
    <w:rsid w:val="00B141E7"/>
    <w:rsid w:val="00B156F5"/>
    <w:rsid w:val="00B1683F"/>
    <w:rsid w:val="00B20523"/>
    <w:rsid w:val="00B20A8C"/>
    <w:rsid w:val="00B21E13"/>
    <w:rsid w:val="00B22266"/>
    <w:rsid w:val="00B23594"/>
    <w:rsid w:val="00B23A09"/>
    <w:rsid w:val="00B24C79"/>
    <w:rsid w:val="00B25396"/>
    <w:rsid w:val="00B259DC"/>
    <w:rsid w:val="00B3007C"/>
    <w:rsid w:val="00B30245"/>
    <w:rsid w:val="00B30897"/>
    <w:rsid w:val="00B31302"/>
    <w:rsid w:val="00B31BE8"/>
    <w:rsid w:val="00B3298C"/>
    <w:rsid w:val="00B330C6"/>
    <w:rsid w:val="00B341DC"/>
    <w:rsid w:val="00B34A6C"/>
    <w:rsid w:val="00B34B33"/>
    <w:rsid w:val="00B34CB9"/>
    <w:rsid w:val="00B351B4"/>
    <w:rsid w:val="00B3681A"/>
    <w:rsid w:val="00B36F02"/>
    <w:rsid w:val="00B37680"/>
    <w:rsid w:val="00B3781D"/>
    <w:rsid w:val="00B410B5"/>
    <w:rsid w:val="00B4132F"/>
    <w:rsid w:val="00B42DEB"/>
    <w:rsid w:val="00B43C9F"/>
    <w:rsid w:val="00B43E02"/>
    <w:rsid w:val="00B45348"/>
    <w:rsid w:val="00B46BCA"/>
    <w:rsid w:val="00B472EC"/>
    <w:rsid w:val="00B478AA"/>
    <w:rsid w:val="00B50082"/>
    <w:rsid w:val="00B5048A"/>
    <w:rsid w:val="00B5102E"/>
    <w:rsid w:val="00B51183"/>
    <w:rsid w:val="00B511E2"/>
    <w:rsid w:val="00B514F6"/>
    <w:rsid w:val="00B51E0F"/>
    <w:rsid w:val="00B54996"/>
    <w:rsid w:val="00B56018"/>
    <w:rsid w:val="00B5658C"/>
    <w:rsid w:val="00B56B09"/>
    <w:rsid w:val="00B56B35"/>
    <w:rsid w:val="00B60511"/>
    <w:rsid w:val="00B60558"/>
    <w:rsid w:val="00B61B9E"/>
    <w:rsid w:val="00B631E8"/>
    <w:rsid w:val="00B640C0"/>
    <w:rsid w:val="00B6433B"/>
    <w:rsid w:val="00B64FD3"/>
    <w:rsid w:val="00B66A03"/>
    <w:rsid w:val="00B66E8D"/>
    <w:rsid w:val="00B67C76"/>
    <w:rsid w:val="00B707D2"/>
    <w:rsid w:val="00B70D32"/>
    <w:rsid w:val="00B731F5"/>
    <w:rsid w:val="00B73501"/>
    <w:rsid w:val="00B735FC"/>
    <w:rsid w:val="00B73EFC"/>
    <w:rsid w:val="00B73FD1"/>
    <w:rsid w:val="00B73FDC"/>
    <w:rsid w:val="00B745E1"/>
    <w:rsid w:val="00B74A05"/>
    <w:rsid w:val="00B75453"/>
    <w:rsid w:val="00B75D08"/>
    <w:rsid w:val="00B7678C"/>
    <w:rsid w:val="00B76A0D"/>
    <w:rsid w:val="00B83E6E"/>
    <w:rsid w:val="00B85C32"/>
    <w:rsid w:val="00B87806"/>
    <w:rsid w:val="00B878BC"/>
    <w:rsid w:val="00B87EC9"/>
    <w:rsid w:val="00B908F1"/>
    <w:rsid w:val="00B90C3D"/>
    <w:rsid w:val="00B916E1"/>
    <w:rsid w:val="00B92B29"/>
    <w:rsid w:val="00B93874"/>
    <w:rsid w:val="00B94AAF"/>
    <w:rsid w:val="00B951CA"/>
    <w:rsid w:val="00B96FEF"/>
    <w:rsid w:val="00B97E5F"/>
    <w:rsid w:val="00BA0BD8"/>
    <w:rsid w:val="00BA2408"/>
    <w:rsid w:val="00BA26F0"/>
    <w:rsid w:val="00BA2D9B"/>
    <w:rsid w:val="00BA6974"/>
    <w:rsid w:val="00BB00CF"/>
    <w:rsid w:val="00BB1EC8"/>
    <w:rsid w:val="00BB2358"/>
    <w:rsid w:val="00BB3550"/>
    <w:rsid w:val="00BB355A"/>
    <w:rsid w:val="00BB4022"/>
    <w:rsid w:val="00BB4880"/>
    <w:rsid w:val="00BB60CF"/>
    <w:rsid w:val="00BB7B5E"/>
    <w:rsid w:val="00BB7F7F"/>
    <w:rsid w:val="00BC1CBA"/>
    <w:rsid w:val="00BC366B"/>
    <w:rsid w:val="00BC38FD"/>
    <w:rsid w:val="00BC54D3"/>
    <w:rsid w:val="00BC5758"/>
    <w:rsid w:val="00BC5777"/>
    <w:rsid w:val="00BC6253"/>
    <w:rsid w:val="00BC6348"/>
    <w:rsid w:val="00BC64C1"/>
    <w:rsid w:val="00BC64DA"/>
    <w:rsid w:val="00BC7C0D"/>
    <w:rsid w:val="00BC7D1B"/>
    <w:rsid w:val="00BD00CC"/>
    <w:rsid w:val="00BD22F4"/>
    <w:rsid w:val="00BD285A"/>
    <w:rsid w:val="00BD389C"/>
    <w:rsid w:val="00BD55C1"/>
    <w:rsid w:val="00BD6BC9"/>
    <w:rsid w:val="00BD7596"/>
    <w:rsid w:val="00BE153C"/>
    <w:rsid w:val="00BE1B2F"/>
    <w:rsid w:val="00BE6F36"/>
    <w:rsid w:val="00BE7DDD"/>
    <w:rsid w:val="00BE7FEB"/>
    <w:rsid w:val="00BF068E"/>
    <w:rsid w:val="00BF0CD2"/>
    <w:rsid w:val="00BF1774"/>
    <w:rsid w:val="00BF2A42"/>
    <w:rsid w:val="00BF3296"/>
    <w:rsid w:val="00BF4FA4"/>
    <w:rsid w:val="00BF7CD0"/>
    <w:rsid w:val="00BF7D74"/>
    <w:rsid w:val="00C0016D"/>
    <w:rsid w:val="00C00624"/>
    <w:rsid w:val="00C0181F"/>
    <w:rsid w:val="00C01BE5"/>
    <w:rsid w:val="00C01CAF"/>
    <w:rsid w:val="00C0236C"/>
    <w:rsid w:val="00C02375"/>
    <w:rsid w:val="00C034CB"/>
    <w:rsid w:val="00C04AC6"/>
    <w:rsid w:val="00C051A8"/>
    <w:rsid w:val="00C054BC"/>
    <w:rsid w:val="00C06052"/>
    <w:rsid w:val="00C06680"/>
    <w:rsid w:val="00C074FB"/>
    <w:rsid w:val="00C1026C"/>
    <w:rsid w:val="00C1084B"/>
    <w:rsid w:val="00C10A0B"/>
    <w:rsid w:val="00C10E6B"/>
    <w:rsid w:val="00C13FF4"/>
    <w:rsid w:val="00C14F5D"/>
    <w:rsid w:val="00C1533D"/>
    <w:rsid w:val="00C1540C"/>
    <w:rsid w:val="00C15F8C"/>
    <w:rsid w:val="00C17501"/>
    <w:rsid w:val="00C17897"/>
    <w:rsid w:val="00C17D57"/>
    <w:rsid w:val="00C213E2"/>
    <w:rsid w:val="00C21EAB"/>
    <w:rsid w:val="00C227B1"/>
    <w:rsid w:val="00C22AF5"/>
    <w:rsid w:val="00C23DB6"/>
    <w:rsid w:val="00C23F1A"/>
    <w:rsid w:val="00C2422E"/>
    <w:rsid w:val="00C242CC"/>
    <w:rsid w:val="00C246BB"/>
    <w:rsid w:val="00C253C1"/>
    <w:rsid w:val="00C25C94"/>
    <w:rsid w:val="00C25E26"/>
    <w:rsid w:val="00C26031"/>
    <w:rsid w:val="00C265E7"/>
    <w:rsid w:val="00C26D7D"/>
    <w:rsid w:val="00C30DC3"/>
    <w:rsid w:val="00C33CD8"/>
    <w:rsid w:val="00C40034"/>
    <w:rsid w:val="00C409D5"/>
    <w:rsid w:val="00C41164"/>
    <w:rsid w:val="00C435C3"/>
    <w:rsid w:val="00C438DF"/>
    <w:rsid w:val="00C44DC4"/>
    <w:rsid w:val="00C44E5F"/>
    <w:rsid w:val="00C45174"/>
    <w:rsid w:val="00C45E34"/>
    <w:rsid w:val="00C46B6E"/>
    <w:rsid w:val="00C47051"/>
    <w:rsid w:val="00C47CFE"/>
    <w:rsid w:val="00C47FF0"/>
    <w:rsid w:val="00C50871"/>
    <w:rsid w:val="00C50EE2"/>
    <w:rsid w:val="00C51A54"/>
    <w:rsid w:val="00C51B7C"/>
    <w:rsid w:val="00C52251"/>
    <w:rsid w:val="00C53FFC"/>
    <w:rsid w:val="00C544CA"/>
    <w:rsid w:val="00C556D2"/>
    <w:rsid w:val="00C55791"/>
    <w:rsid w:val="00C57AF6"/>
    <w:rsid w:val="00C57F7E"/>
    <w:rsid w:val="00C609D2"/>
    <w:rsid w:val="00C60F32"/>
    <w:rsid w:val="00C6234B"/>
    <w:rsid w:val="00C62869"/>
    <w:rsid w:val="00C63789"/>
    <w:rsid w:val="00C63EAE"/>
    <w:rsid w:val="00C64A8C"/>
    <w:rsid w:val="00C70412"/>
    <w:rsid w:val="00C7081C"/>
    <w:rsid w:val="00C72BEF"/>
    <w:rsid w:val="00C72EA3"/>
    <w:rsid w:val="00C73260"/>
    <w:rsid w:val="00C73325"/>
    <w:rsid w:val="00C73486"/>
    <w:rsid w:val="00C74835"/>
    <w:rsid w:val="00C75645"/>
    <w:rsid w:val="00C75C3A"/>
    <w:rsid w:val="00C761D8"/>
    <w:rsid w:val="00C7629F"/>
    <w:rsid w:val="00C81EEF"/>
    <w:rsid w:val="00C827B5"/>
    <w:rsid w:val="00C82C16"/>
    <w:rsid w:val="00C84023"/>
    <w:rsid w:val="00C8455A"/>
    <w:rsid w:val="00C851D7"/>
    <w:rsid w:val="00C85E73"/>
    <w:rsid w:val="00C862EC"/>
    <w:rsid w:val="00C8661B"/>
    <w:rsid w:val="00C86F3B"/>
    <w:rsid w:val="00C909F8"/>
    <w:rsid w:val="00C91306"/>
    <w:rsid w:val="00C913F9"/>
    <w:rsid w:val="00C917AF"/>
    <w:rsid w:val="00C92565"/>
    <w:rsid w:val="00C92FE8"/>
    <w:rsid w:val="00C936EF"/>
    <w:rsid w:val="00C9488A"/>
    <w:rsid w:val="00C950F6"/>
    <w:rsid w:val="00C95CE1"/>
    <w:rsid w:val="00C96539"/>
    <w:rsid w:val="00C976AF"/>
    <w:rsid w:val="00C9783D"/>
    <w:rsid w:val="00C97994"/>
    <w:rsid w:val="00CA0359"/>
    <w:rsid w:val="00CA03C8"/>
    <w:rsid w:val="00CA139A"/>
    <w:rsid w:val="00CA2899"/>
    <w:rsid w:val="00CA297C"/>
    <w:rsid w:val="00CA2FA2"/>
    <w:rsid w:val="00CA3252"/>
    <w:rsid w:val="00CA33B0"/>
    <w:rsid w:val="00CA3588"/>
    <w:rsid w:val="00CA3698"/>
    <w:rsid w:val="00CA373C"/>
    <w:rsid w:val="00CA38E7"/>
    <w:rsid w:val="00CA3A3D"/>
    <w:rsid w:val="00CA3AA6"/>
    <w:rsid w:val="00CA4078"/>
    <w:rsid w:val="00CA4EE6"/>
    <w:rsid w:val="00CA59F7"/>
    <w:rsid w:val="00CA5A98"/>
    <w:rsid w:val="00CA638D"/>
    <w:rsid w:val="00CA6E83"/>
    <w:rsid w:val="00CA77FB"/>
    <w:rsid w:val="00CA7825"/>
    <w:rsid w:val="00CB0609"/>
    <w:rsid w:val="00CB0A1D"/>
    <w:rsid w:val="00CB1875"/>
    <w:rsid w:val="00CB1BAD"/>
    <w:rsid w:val="00CB1D8B"/>
    <w:rsid w:val="00CB22D6"/>
    <w:rsid w:val="00CB28F2"/>
    <w:rsid w:val="00CB379B"/>
    <w:rsid w:val="00CB3BFF"/>
    <w:rsid w:val="00CB541F"/>
    <w:rsid w:val="00CB598F"/>
    <w:rsid w:val="00CB599C"/>
    <w:rsid w:val="00CB5DD0"/>
    <w:rsid w:val="00CB5EF0"/>
    <w:rsid w:val="00CB770B"/>
    <w:rsid w:val="00CB7737"/>
    <w:rsid w:val="00CC17D6"/>
    <w:rsid w:val="00CC1CEE"/>
    <w:rsid w:val="00CC4C0B"/>
    <w:rsid w:val="00CC51D4"/>
    <w:rsid w:val="00CC5355"/>
    <w:rsid w:val="00CC53FA"/>
    <w:rsid w:val="00CC5D12"/>
    <w:rsid w:val="00CC65A9"/>
    <w:rsid w:val="00CC65DA"/>
    <w:rsid w:val="00CD1BD9"/>
    <w:rsid w:val="00CD1F3E"/>
    <w:rsid w:val="00CD236F"/>
    <w:rsid w:val="00CD764E"/>
    <w:rsid w:val="00CD7E65"/>
    <w:rsid w:val="00CE0E25"/>
    <w:rsid w:val="00CE2245"/>
    <w:rsid w:val="00CE2D1F"/>
    <w:rsid w:val="00CE2DCB"/>
    <w:rsid w:val="00CF052F"/>
    <w:rsid w:val="00CF1352"/>
    <w:rsid w:val="00CF1FB4"/>
    <w:rsid w:val="00CF21B9"/>
    <w:rsid w:val="00CF2A30"/>
    <w:rsid w:val="00CF3A49"/>
    <w:rsid w:val="00CF447C"/>
    <w:rsid w:val="00CF5241"/>
    <w:rsid w:val="00CF5515"/>
    <w:rsid w:val="00CF620F"/>
    <w:rsid w:val="00CF633C"/>
    <w:rsid w:val="00CF6BF9"/>
    <w:rsid w:val="00CF72DC"/>
    <w:rsid w:val="00CF7481"/>
    <w:rsid w:val="00D00184"/>
    <w:rsid w:val="00D01E90"/>
    <w:rsid w:val="00D01ED5"/>
    <w:rsid w:val="00D026F5"/>
    <w:rsid w:val="00D03800"/>
    <w:rsid w:val="00D0439E"/>
    <w:rsid w:val="00D04C60"/>
    <w:rsid w:val="00D04CD8"/>
    <w:rsid w:val="00D05A94"/>
    <w:rsid w:val="00D065D3"/>
    <w:rsid w:val="00D07D82"/>
    <w:rsid w:val="00D10EEA"/>
    <w:rsid w:val="00D111EA"/>
    <w:rsid w:val="00D12664"/>
    <w:rsid w:val="00D12E3F"/>
    <w:rsid w:val="00D13356"/>
    <w:rsid w:val="00D139FD"/>
    <w:rsid w:val="00D14C94"/>
    <w:rsid w:val="00D14FA1"/>
    <w:rsid w:val="00D156BF"/>
    <w:rsid w:val="00D1577D"/>
    <w:rsid w:val="00D17BF1"/>
    <w:rsid w:val="00D21A37"/>
    <w:rsid w:val="00D22DE3"/>
    <w:rsid w:val="00D23688"/>
    <w:rsid w:val="00D23D6A"/>
    <w:rsid w:val="00D2413F"/>
    <w:rsid w:val="00D24226"/>
    <w:rsid w:val="00D2447E"/>
    <w:rsid w:val="00D24853"/>
    <w:rsid w:val="00D24EC2"/>
    <w:rsid w:val="00D26458"/>
    <w:rsid w:val="00D26790"/>
    <w:rsid w:val="00D267E4"/>
    <w:rsid w:val="00D26A3C"/>
    <w:rsid w:val="00D304AB"/>
    <w:rsid w:val="00D3067D"/>
    <w:rsid w:val="00D32FC6"/>
    <w:rsid w:val="00D33579"/>
    <w:rsid w:val="00D33647"/>
    <w:rsid w:val="00D338E1"/>
    <w:rsid w:val="00D342A6"/>
    <w:rsid w:val="00D35278"/>
    <w:rsid w:val="00D35785"/>
    <w:rsid w:val="00D35E11"/>
    <w:rsid w:val="00D3697A"/>
    <w:rsid w:val="00D37455"/>
    <w:rsid w:val="00D409E6"/>
    <w:rsid w:val="00D40E76"/>
    <w:rsid w:val="00D40EB5"/>
    <w:rsid w:val="00D427A2"/>
    <w:rsid w:val="00D42C1B"/>
    <w:rsid w:val="00D42C47"/>
    <w:rsid w:val="00D42E24"/>
    <w:rsid w:val="00D42E4C"/>
    <w:rsid w:val="00D441FB"/>
    <w:rsid w:val="00D449EA"/>
    <w:rsid w:val="00D44CF4"/>
    <w:rsid w:val="00D45CA6"/>
    <w:rsid w:val="00D464BF"/>
    <w:rsid w:val="00D51889"/>
    <w:rsid w:val="00D526CC"/>
    <w:rsid w:val="00D530CD"/>
    <w:rsid w:val="00D539EC"/>
    <w:rsid w:val="00D53E26"/>
    <w:rsid w:val="00D5451F"/>
    <w:rsid w:val="00D54B38"/>
    <w:rsid w:val="00D55292"/>
    <w:rsid w:val="00D56EF1"/>
    <w:rsid w:val="00D571C0"/>
    <w:rsid w:val="00D57BF7"/>
    <w:rsid w:val="00D6068D"/>
    <w:rsid w:val="00D613BF"/>
    <w:rsid w:val="00D61509"/>
    <w:rsid w:val="00D6174E"/>
    <w:rsid w:val="00D62447"/>
    <w:rsid w:val="00D6282E"/>
    <w:rsid w:val="00D628F7"/>
    <w:rsid w:val="00D6348E"/>
    <w:rsid w:val="00D6351F"/>
    <w:rsid w:val="00D63A08"/>
    <w:rsid w:val="00D660F0"/>
    <w:rsid w:val="00D676B9"/>
    <w:rsid w:val="00D7086D"/>
    <w:rsid w:val="00D71049"/>
    <w:rsid w:val="00D71F2C"/>
    <w:rsid w:val="00D73319"/>
    <w:rsid w:val="00D735AE"/>
    <w:rsid w:val="00D740A9"/>
    <w:rsid w:val="00D7441F"/>
    <w:rsid w:val="00D75A5D"/>
    <w:rsid w:val="00D766FB"/>
    <w:rsid w:val="00D776B4"/>
    <w:rsid w:val="00D801B7"/>
    <w:rsid w:val="00D83D83"/>
    <w:rsid w:val="00D83E0C"/>
    <w:rsid w:val="00D84025"/>
    <w:rsid w:val="00D841BA"/>
    <w:rsid w:val="00D84F86"/>
    <w:rsid w:val="00D91F26"/>
    <w:rsid w:val="00D9290B"/>
    <w:rsid w:val="00D92E56"/>
    <w:rsid w:val="00D937AF"/>
    <w:rsid w:val="00D938EF"/>
    <w:rsid w:val="00D93C12"/>
    <w:rsid w:val="00D94F96"/>
    <w:rsid w:val="00D950C0"/>
    <w:rsid w:val="00D95399"/>
    <w:rsid w:val="00D96A48"/>
    <w:rsid w:val="00D97234"/>
    <w:rsid w:val="00D97D06"/>
    <w:rsid w:val="00D97E89"/>
    <w:rsid w:val="00DA0BFE"/>
    <w:rsid w:val="00DA1291"/>
    <w:rsid w:val="00DA2090"/>
    <w:rsid w:val="00DA35BF"/>
    <w:rsid w:val="00DA57F0"/>
    <w:rsid w:val="00DA5AC9"/>
    <w:rsid w:val="00DA66CE"/>
    <w:rsid w:val="00DA6DD9"/>
    <w:rsid w:val="00DA7488"/>
    <w:rsid w:val="00DB182C"/>
    <w:rsid w:val="00DB1CE0"/>
    <w:rsid w:val="00DB22AD"/>
    <w:rsid w:val="00DB2553"/>
    <w:rsid w:val="00DB2694"/>
    <w:rsid w:val="00DB2934"/>
    <w:rsid w:val="00DB2C73"/>
    <w:rsid w:val="00DB2D97"/>
    <w:rsid w:val="00DB346E"/>
    <w:rsid w:val="00DB401C"/>
    <w:rsid w:val="00DB560A"/>
    <w:rsid w:val="00DB56E0"/>
    <w:rsid w:val="00DB729E"/>
    <w:rsid w:val="00DB7502"/>
    <w:rsid w:val="00DC08AE"/>
    <w:rsid w:val="00DC30F4"/>
    <w:rsid w:val="00DC343B"/>
    <w:rsid w:val="00DC4256"/>
    <w:rsid w:val="00DC4E0B"/>
    <w:rsid w:val="00DC6B1A"/>
    <w:rsid w:val="00DD015E"/>
    <w:rsid w:val="00DD11A2"/>
    <w:rsid w:val="00DD2288"/>
    <w:rsid w:val="00DD25B1"/>
    <w:rsid w:val="00DD3A0B"/>
    <w:rsid w:val="00DD4F0E"/>
    <w:rsid w:val="00DD544C"/>
    <w:rsid w:val="00DD5E50"/>
    <w:rsid w:val="00DD7392"/>
    <w:rsid w:val="00DD7BAB"/>
    <w:rsid w:val="00DE08D8"/>
    <w:rsid w:val="00DE09C5"/>
    <w:rsid w:val="00DE1092"/>
    <w:rsid w:val="00DE1AB8"/>
    <w:rsid w:val="00DE2D2E"/>
    <w:rsid w:val="00DE4AF6"/>
    <w:rsid w:val="00DE60B6"/>
    <w:rsid w:val="00DE7F46"/>
    <w:rsid w:val="00DF0BF0"/>
    <w:rsid w:val="00DF1E6F"/>
    <w:rsid w:val="00DF2889"/>
    <w:rsid w:val="00DF2EC9"/>
    <w:rsid w:val="00DF3CA2"/>
    <w:rsid w:val="00DF3DAD"/>
    <w:rsid w:val="00DF4F58"/>
    <w:rsid w:val="00DF5F2F"/>
    <w:rsid w:val="00DF6010"/>
    <w:rsid w:val="00DF7A40"/>
    <w:rsid w:val="00E00987"/>
    <w:rsid w:val="00E00A43"/>
    <w:rsid w:val="00E01463"/>
    <w:rsid w:val="00E01F9B"/>
    <w:rsid w:val="00E024FD"/>
    <w:rsid w:val="00E03322"/>
    <w:rsid w:val="00E03603"/>
    <w:rsid w:val="00E036A2"/>
    <w:rsid w:val="00E04D63"/>
    <w:rsid w:val="00E0515E"/>
    <w:rsid w:val="00E05217"/>
    <w:rsid w:val="00E05E0A"/>
    <w:rsid w:val="00E060BE"/>
    <w:rsid w:val="00E06D7B"/>
    <w:rsid w:val="00E0750F"/>
    <w:rsid w:val="00E07E7E"/>
    <w:rsid w:val="00E1018C"/>
    <w:rsid w:val="00E104BE"/>
    <w:rsid w:val="00E105FF"/>
    <w:rsid w:val="00E10E66"/>
    <w:rsid w:val="00E113B3"/>
    <w:rsid w:val="00E131BB"/>
    <w:rsid w:val="00E16139"/>
    <w:rsid w:val="00E169F5"/>
    <w:rsid w:val="00E2062E"/>
    <w:rsid w:val="00E249CF"/>
    <w:rsid w:val="00E2573D"/>
    <w:rsid w:val="00E259CC"/>
    <w:rsid w:val="00E26C20"/>
    <w:rsid w:val="00E27F42"/>
    <w:rsid w:val="00E302B9"/>
    <w:rsid w:val="00E310E2"/>
    <w:rsid w:val="00E319FC"/>
    <w:rsid w:val="00E31B35"/>
    <w:rsid w:val="00E32119"/>
    <w:rsid w:val="00E32E90"/>
    <w:rsid w:val="00E37372"/>
    <w:rsid w:val="00E3793D"/>
    <w:rsid w:val="00E40101"/>
    <w:rsid w:val="00E40567"/>
    <w:rsid w:val="00E4103E"/>
    <w:rsid w:val="00E41268"/>
    <w:rsid w:val="00E42D84"/>
    <w:rsid w:val="00E43081"/>
    <w:rsid w:val="00E43564"/>
    <w:rsid w:val="00E44F5D"/>
    <w:rsid w:val="00E45FEE"/>
    <w:rsid w:val="00E466CF"/>
    <w:rsid w:val="00E5071A"/>
    <w:rsid w:val="00E5089D"/>
    <w:rsid w:val="00E50937"/>
    <w:rsid w:val="00E50F86"/>
    <w:rsid w:val="00E51411"/>
    <w:rsid w:val="00E52A49"/>
    <w:rsid w:val="00E52D90"/>
    <w:rsid w:val="00E534CF"/>
    <w:rsid w:val="00E53D16"/>
    <w:rsid w:val="00E567F5"/>
    <w:rsid w:val="00E56D1F"/>
    <w:rsid w:val="00E56DC0"/>
    <w:rsid w:val="00E5761C"/>
    <w:rsid w:val="00E61EA4"/>
    <w:rsid w:val="00E62294"/>
    <w:rsid w:val="00E62320"/>
    <w:rsid w:val="00E62712"/>
    <w:rsid w:val="00E62E3B"/>
    <w:rsid w:val="00E62F45"/>
    <w:rsid w:val="00E63984"/>
    <w:rsid w:val="00E67D49"/>
    <w:rsid w:val="00E703CE"/>
    <w:rsid w:val="00E70D87"/>
    <w:rsid w:val="00E71942"/>
    <w:rsid w:val="00E71B77"/>
    <w:rsid w:val="00E72D94"/>
    <w:rsid w:val="00E737B9"/>
    <w:rsid w:val="00E7397F"/>
    <w:rsid w:val="00E73C9E"/>
    <w:rsid w:val="00E73E90"/>
    <w:rsid w:val="00E74CDC"/>
    <w:rsid w:val="00E75205"/>
    <w:rsid w:val="00E76D66"/>
    <w:rsid w:val="00E771A1"/>
    <w:rsid w:val="00E80186"/>
    <w:rsid w:val="00E8020E"/>
    <w:rsid w:val="00E80F0F"/>
    <w:rsid w:val="00E81CB4"/>
    <w:rsid w:val="00E827D8"/>
    <w:rsid w:val="00E856CF"/>
    <w:rsid w:val="00E8585B"/>
    <w:rsid w:val="00E85A17"/>
    <w:rsid w:val="00E86498"/>
    <w:rsid w:val="00E86789"/>
    <w:rsid w:val="00E87F41"/>
    <w:rsid w:val="00E90883"/>
    <w:rsid w:val="00E912C1"/>
    <w:rsid w:val="00E915C3"/>
    <w:rsid w:val="00E9221A"/>
    <w:rsid w:val="00E931FA"/>
    <w:rsid w:val="00E94370"/>
    <w:rsid w:val="00E947A1"/>
    <w:rsid w:val="00E94BC7"/>
    <w:rsid w:val="00E94DC1"/>
    <w:rsid w:val="00E94E6F"/>
    <w:rsid w:val="00E9566E"/>
    <w:rsid w:val="00E96CF9"/>
    <w:rsid w:val="00E9761E"/>
    <w:rsid w:val="00E97758"/>
    <w:rsid w:val="00EA076C"/>
    <w:rsid w:val="00EA1973"/>
    <w:rsid w:val="00EA2513"/>
    <w:rsid w:val="00EA366E"/>
    <w:rsid w:val="00EA3F15"/>
    <w:rsid w:val="00EA493F"/>
    <w:rsid w:val="00EA4A30"/>
    <w:rsid w:val="00EA6073"/>
    <w:rsid w:val="00EA633B"/>
    <w:rsid w:val="00EA7847"/>
    <w:rsid w:val="00EA7B6E"/>
    <w:rsid w:val="00EB0C9E"/>
    <w:rsid w:val="00EB148E"/>
    <w:rsid w:val="00EB177E"/>
    <w:rsid w:val="00EB18F0"/>
    <w:rsid w:val="00EB24DB"/>
    <w:rsid w:val="00EB2F53"/>
    <w:rsid w:val="00EB34F4"/>
    <w:rsid w:val="00EB350B"/>
    <w:rsid w:val="00EB3D5A"/>
    <w:rsid w:val="00EB433E"/>
    <w:rsid w:val="00EB44D9"/>
    <w:rsid w:val="00EB4AC5"/>
    <w:rsid w:val="00EB4C2F"/>
    <w:rsid w:val="00EB5078"/>
    <w:rsid w:val="00EB53D1"/>
    <w:rsid w:val="00EB5485"/>
    <w:rsid w:val="00EB5704"/>
    <w:rsid w:val="00EC082E"/>
    <w:rsid w:val="00EC09D1"/>
    <w:rsid w:val="00EC22BF"/>
    <w:rsid w:val="00EC2D39"/>
    <w:rsid w:val="00EC51A7"/>
    <w:rsid w:val="00EC644F"/>
    <w:rsid w:val="00EC64A8"/>
    <w:rsid w:val="00EC6EE7"/>
    <w:rsid w:val="00EC7B65"/>
    <w:rsid w:val="00EC7ECD"/>
    <w:rsid w:val="00ED187D"/>
    <w:rsid w:val="00ED26AD"/>
    <w:rsid w:val="00ED2BC2"/>
    <w:rsid w:val="00ED476B"/>
    <w:rsid w:val="00ED69C3"/>
    <w:rsid w:val="00ED6C47"/>
    <w:rsid w:val="00ED7C1C"/>
    <w:rsid w:val="00EE02B4"/>
    <w:rsid w:val="00EE0ECD"/>
    <w:rsid w:val="00EE125E"/>
    <w:rsid w:val="00EE1426"/>
    <w:rsid w:val="00EE2E6E"/>
    <w:rsid w:val="00EE3F50"/>
    <w:rsid w:val="00EE4E64"/>
    <w:rsid w:val="00EE5CF6"/>
    <w:rsid w:val="00EE62B1"/>
    <w:rsid w:val="00EE6AC0"/>
    <w:rsid w:val="00EE7373"/>
    <w:rsid w:val="00EE782C"/>
    <w:rsid w:val="00EE7CEC"/>
    <w:rsid w:val="00EE7E8D"/>
    <w:rsid w:val="00EF1930"/>
    <w:rsid w:val="00EF2125"/>
    <w:rsid w:val="00EF2272"/>
    <w:rsid w:val="00EF6C88"/>
    <w:rsid w:val="00F00649"/>
    <w:rsid w:val="00F00B87"/>
    <w:rsid w:val="00F010AA"/>
    <w:rsid w:val="00F01B2C"/>
    <w:rsid w:val="00F01CB8"/>
    <w:rsid w:val="00F01F36"/>
    <w:rsid w:val="00F02392"/>
    <w:rsid w:val="00F0320D"/>
    <w:rsid w:val="00F0437E"/>
    <w:rsid w:val="00F054BA"/>
    <w:rsid w:val="00F0593B"/>
    <w:rsid w:val="00F06829"/>
    <w:rsid w:val="00F0759E"/>
    <w:rsid w:val="00F0777A"/>
    <w:rsid w:val="00F07944"/>
    <w:rsid w:val="00F10383"/>
    <w:rsid w:val="00F12A11"/>
    <w:rsid w:val="00F137EF"/>
    <w:rsid w:val="00F13C3C"/>
    <w:rsid w:val="00F14797"/>
    <w:rsid w:val="00F14B07"/>
    <w:rsid w:val="00F154EB"/>
    <w:rsid w:val="00F1595B"/>
    <w:rsid w:val="00F15B30"/>
    <w:rsid w:val="00F16649"/>
    <w:rsid w:val="00F16946"/>
    <w:rsid w:val="00F16A43"/>
    <w:rsid w:val="00F21803"/>
    <w:rsid w:val="00F21EA4"/>
    <w:rsid w:val="00F25208"/>
    <w:rsid w:val="00F2613A"/>
    <w:rsid w:val="00F26194"/>
    <w:rsid w:val="00F261C9"/>
    <w:rsid w:val="00F30EFC"/>
    <w:rsid w:val="00F31FF2"/>
    <w:rsid w:val="00F32005"/>
    <w:rsid w:val="00F3361C"/>
    <w:rsid w:val="00F33EC5"/>
    <w:rsid w:val="00F35056"/>
    <w:rsid w:val="00F37470"/>
    <w:rsid w:val="00F379AE"/>
    <w:rsid w:val="00F37A30"/>
    <w:rsid w:val="00F40B25"/>
    <w:rsid w:val="00F4262C"/>
    <w:rsid w:val="00F42634"/>
    <w:rsid w:val="00F42B94"/>
    <w:rsid w:val="00F42D80"/>
    <w:rsid w:val="00F43D58"/>
    <w:rsid w:val="00F44D66"/>
    <w:rsid w:val="00F45699"/>
    <w:rsid w:val="00F45920"/>
    <w:rsid w:val="00F45F8E"/>
    <w:rsid w:val="00F46780"/>
    <w:rsid w:val="00F46F9E"/>
    <w:rsid w:val="00F47BFE"/>
    <w:rsid w:val="00F50BAF"/>
    <w:rsid w:val="00F50DD8"/>
    <w:rsid w:val="00F51ACB"/>
    <w:rsid w:val="00F51E4B"/>
    <w:rsid w:val="00F5245B"/>
    <w:rsid w:val="00F528FB"/>
    <w:rsid w:val="00F52B8B"/>
    <w:rsid w:val="00F536EB"/>
    <w:rsid w:val="00F547C1"/>
    <w:rsid w:val="00F560AB"/>
    <w:rsid w:val="00F60D0E"/>
    <w:rsid w:val="00F61222"/>
    <w:rsid w:val="00F6318A"/>
    <w:rsid w:val="00F634AB"/>
    <w:rsid w:val="00F64F29"/>
    <w:rsid w:val="00F65569"/>
    <w:rsid w:val="00F65D0B"/>
    <w:rsid w:val="00F66B68"/>
    <w:rsid w:val="00F66ECE"/>
    <w:rsid w:val="00F71F5B"/>
    <w:rsid w:val="00F75B63"/>
    <w:rsid w:val="00F76B1E"/>
    <w:rsid w:val="00F77D2D"/>
    <w:rsid w:val="00F80182"/>
    <w:rsid w:val="00F8019F"/>
    <w:rsid w:val="00F821A3"/>
    <w:rsid w:val="00F82CC6"/>
    <w:rsid w:val="00F836EF"/>
    <w:rsid w:val="00F83A6C"/>
    <w:rsid w:val="00F83EA8"/>
    <w:rsid w:val="00F84BA0"/>
    <w:rsid w:val="00F84C06"/>
    <w:rsid w:val="00F86F63"/>
    <w:rsid w:val="00F87432"/>
    <w:rsid w:val="00F8770D"/>
    <w:rsid w:val="00F91549"/>
    <w:rsid w:val="00F929BB"/>
    <w:rsid w:val="00F9314A"/>
    <w:rsid w:val="00F939D1"/>
    <w:rsid w:val="00F940B2"/>
    <w:rsid w:val="00F944DE"/>
    <w:rsid w:val="00F96566"/>
    <w:rsid w:val="00F96F81"/>
    <w:rsid w:val="00FA36BB"/>
    <w:rsid w:val="00FA442D"/>
    <w:rsid w:val="00FA6EEE"/>
    <w:rsid w:val="00FA7C5C"/>
    <w:rsid w:val="00FB0A1B"/>
    <w:rsid w:val="00FB1C41"/>
    <w:rsid w:val="00FB26C1"/>
    <w:rsid w:val="00FB2722"/>
    <w:rsid w:val="00FB382E"/>
    <w:rsid w:val="00FB3E61"/>
    <w:rsid w:val="00FB5910"/>
    <w:rsid w:val="00FB6C7E"/>
    <w:rsid w:val="00FC0E03"/>
    <w:rsid w:val="00FC2B3E"/>
    <w:rsid w:val="00FC58EF"/>
    <w:rsid w:val="00FC6C9A"/>
    <w:rsid w:val="00FC78BF"/>
    <w:rsid w:val="00FC7B12"/>
    <w:rsid w:val="00FC7C13"/>
    <w:rsid w:val="00FC7DEB"/>
    <w:rsid w:val="00FD06A9"/>
    <w:rsid w:val="00FD1B5E"/>
    <w:rsid w:val="00FD1C91"/>
    <w:rsid w:val="00FD1F9A"/>
    <w:rsid w:val="00FD2ACE"/>
    <w:rsid w:val="00FD33DF"/>
    <w:rsid w:val="00FD3669"/>
    <w:rsid w:val="00FD4453"/>
    <w:rsid w:val="00FD460D"/>
    <w:rsid w:val="00FD4746"/>
    <w:rsid w:val="00FD5CA5"/>
    <w:rsid w:val="00FD7490"/>
    <w:rsid w:val="00FE02F1"/>
    <w:rsid w:val="00FE0A4C"/>
    <w:rsid w:val="00FE3533"/>
    <w:rsid w:val="00FE39D7"/>
    <w:rsid w:val="00FE3C6F"/>
    <w:rsid w:val="00FE528B"/>
    <w:rsid w:val="00FE704F"/>
    <w:rsid w:val="00FE75EC"/>
    <w:rsid w:val="00FE7EEC"/>
    <w:rsid w:val="00FF1FA2"/>
    <w:rsid w:val="00FF36C4"/>
    <w:rsid w:val="00FF47AB"/>
    <w:rsid w:val="00FF5382"/>
    <w:rsid w:val="00FF7722"/>
    <w:rsid w:val="00FF78B5"/>
    <w:rsid w:val="016563CE"/>
    <w:rsid w:val="01812944"/>
    <w:rsid w:val="01D159C6"/>
    <w:rsid w:val="02388373"/>
    <w:rsid w:val="024A59B5"/>
    <w:rsid w:val="032E99C2"/>
    <w:rsid w:val="039D9A67"/>
    <w:rsid w:val="04834D17"/>
    <w:rsid w:val="04D0FFC8"/>
    <w:rsid w:val="0573AD3A"/>
    <w:rsid w:val="0598DC7B"/>
    <w:rsid w:val="05E040B2"/>
    <w:rsid w:val="0715ED18"/>
    <w:rsid w:val="07B5B45F"/>
    <w:rsid w:val="0A6D64D8"/>
    <w:rsid w:val="0A9791BD"/>
    <w:rsid w:val="0B7D16A0"/>
    <w:rsid w:val="0BD3C970"/>
    <w:rsid w:val="0C0CB613"/>
    <w:rsid w:val="0C41918B"/>
    <w:rsid w:val="0D0A80A0"/>
    <w:rsid w:val="0E9CAAEB"/>
    <w:rsid w:val="0EA0A7BD"/>
    <w:rsid w:val="0F7874D8"/>
    <w:rsid w:val="0FB04C74"/>
    <w:rsid w:val="0FEF26D8"/>
    <w:rsid w:val="10A5D097"/>
    <w:rsid w:val="111023F1"/>
    <w:rsid w:val="11499AEB"/>
    <w:rsid w:val="123802F2"/>
    <w:rsid w:val="13230507"/>
    <w:rsid w:val="13A6E521"/>
    <w:rsid w:val="13DCBF40"/>
    <w:rsid w:val="13DE4445"/>
    <w:rsid w:val="14553689"/>
    <w:rsid w:val="147703D6"/>
    <w:rsid w:val="14F98F1D"/>
    <w:rsid w:val="14FFA853"/>
    <w:rsid w:val="15B81DB8"/>
    <w:rsid w:val="15C9C504"/>
    <w:rsid w:val="15E4B7AC"/>
    <w:rsid w:val="1620125D"/>
    <w:rsid w:val="16DEB00C"/>
    <w:rsid w:val="170208B6"/>
    <w:rsid w:val="175F2F0F"/>
    <w:rsid w:val="1783FEEA"/>
    <w:rsid w:val="178802D8"/>
    <w:rsid w:val="18B4D7B7"/>
    <w:rsid w:val="18D82ADC"/>
    <w:rsid w:val="1A1DA7D8"/>
    <w:rsid w:val="1B17A799"/>
    <w:rsid w:val="1B5D34CF"/>
    <w:rsid w:val="1B7FAF27"/>
    <w:rsid w:val="1BF436EB"/>
    <w:rsid w:val="1CDD8A38"/>
    <w:rsid w:val="1D65B293"/>
    <w:rsid w:val="1DC6DF49"/>
    <w:rsid w:val="1E1958F7"/>
    <w:rsid w:val="1E7A7A31"/>
    <w:rsid w:val="1E7F74EE"/>
    <w:rsid w:val="1EE2846C"/>
    <w:rsid w:val="1EEBFCDA"/>
    <w:rsid w:val="2042EC07"/>
    <w:rsid w:val="20E6FFDD"/>
    <w:rsid w:val="216DCA62"/>
    <w:rsid w:val="227E7E01"/>
    <w:rsid w:val="23462898"/>
    <w:rsid w:val="2396626A"/>
    <w:rsid w:val="249A63F8"/>
    <w:rsid w:val="261B5A6B"/>
    <w:rsid w:val="26A8AEF3"/>
    <w:rsid w:val="27F79E2B"/>
    <w:rsid w:val="288CF2B3"/>
    <w:rsid w:val="28AE2D1A"/>
    <w:rsid w:val="2993BB05"/>
    <w:rsid w:val="29C6C71C"/>
    <w:rsid w:val="29EF7638"/>
    <w:rsid w:val="2B352E07"/>
    <w:rsid w:val="2BC4A06E"/>
    <w:rsid w:val="2C040813"/>
    <w:rsid w:val="2C68BFBB"/>
    <w:rsid w:val="2C86E530"/>
    <w:rsid w:val="2CE80007"/>
    <w:rsid w:val="2CF168DA"/>
    <w:rsid w:val="2DE09EC1"/>
    <w:rsid w:val="2F053A46"/>
    <w:rsid w:val="2F1914D9"/>
    <w:rsid w:val="2F23BEFF"/>
    <w:rsid w:val="2F269F5F"/>
    <w:rsid w:val="306D1EA3"/>
    <w:rsid w:val="30C410AF"/>
    <w:rsid w:val="30DD1873"/>
    <w:rsid w:val="31325534"/>
    <w:rsid w:val="314FAD03"/>
    <w:rsid w:val="315C67E9"/>
    <w:rsid w:val="3176BF79"/>
    <w:rsid w:val="31D4840D"/>
    <w:rsid w:val="31E9E726"/>
    <w:rsid w:val="32A96F83"/>
    <w:rsid w:val="33557113"/>
    <w:rsid w:val="34953CED"/>
    <w:rsid w:val="34B5FE84"/>
    <w:rsid w:val="35F0F912"/>
    <w:rsid w:val="37092415"/>
    <w:rsid w:val="371612CF"/>
    <w:rsid w:val="378AFFE9"/>
    <w:rsid w:val="37AF3F85"/>
    <w:rsid w:val="38234BCC"/>
    <w:rsid w:val="3A3367ED"/>
    <w:rsid w:val="3B24AEDE"/>
    <w:rsid w:val="3B661561"/>
    <w:rsid w:val="3C0C9C7B"/>
    <w:rsid w:val="3C841F41"/>
    <w:rsid w:val="3C8FCA64"/>
    <w:rsid w:val="3C9BD4F6"/>
    <w:rsid w:val="3CE222F3"/>
    <w:rsid w:val="3D102B35"/>
    <w:rsid w:val="3D16F7CD"/>
    <w:rsid w:val="3D8D8949"/>
    <w:rsid w:val="3E3959CC"/>
    <w:rsid w:val="3E521770"/>
    <w:rsid w:val="3E620FA2"/>
    <w:rsid w:val="3E9ADE82"/>
    <w:rsid w:val="3F9D0A71"/>
    <w:rsid w:val="3FAAA3D1"/>
    <w:rsid w:val="3FF1066F"/>
    <w:rsid w:val="3FF87724"/>
    <w:rsid w:val="405E6806"/>
    <w:rsid w:val="406348A6"/>
    <w:rsid w:val="43153EA4"/>
    <w:rsid w:val="43B0DA48"/>
    <w:rsid w:val="44E867CE"/>
    <w:rsid w:val="45D16B60"/>
    <w:rsid w:val="45F3FD7E"/>
    <w:rsid w:val="4605AF23"/>
    <w:rsid w:val="463F5934"/>
    <w:rsid w:val="466D24E4"/>
    <w:rsid w:val="466E4B76"/>
    <w:rsid w:val="47826535"/>
    <w:rsid w:val="485038A2"/>
    <w:rsid w:val="48AD999B"/>
    <w:rsid w:val="48ADEAFA"/>
    <w:rsid w:val="49363915"/>
    <w:rsid w:val="4951186D"/>
    <w:rsid w:val="4970F7B3"/>
    <w:rsid w:val="49C3F82C"/>
    <w:rsid w:val="4A4CEA7A"/>
    <w:rsid w:val="4ADC395F"/>
    <w:rsid w:val="4B41916B"/>
    <w:rsid w:val="4C8F2072"/>
    <w:rsid w:val="4CD77004"/>
    <w:rsid w:val="4D17CF92"/>
    <w:rsid w:val="4D590474"/>
    <w:rsid w:val="4E857DDF"/>
    <w:rsid w:val="4EE2B976"/>
    <w:rsid w:val="4EF22026"/>
    <w:rsid w:val="4F4D713D"/>
    <w:rsid w:val="4FF06CC1"/>
    <w:rsid w:val="5150522C"/>
    <w:rsid w:val="51ED478D"/>
    <w:rsid w:val="539A119B"/>
    <w:rsid w:val="540C633D"/>
    <w:rsid w:val="54DFE30C"/>
    <w:rsid w:val="54EA4BF2"/>
    <w:rsid w:val="54FCA8D1"/>
    <w:rsid w:val="55B0DFE7"/>
    <w:rsid w:val="568CC7B9"/>
    <w:rsid w:val="576A5D29"/>
    <w:rsid w:val="5786F19B"/>
    <w:rsid w:val="57D6CB80"/>
    <w:rsid w:val="581A39B6"/>
    <w:rsid w:val="58AAE27A"/>
    <w:rsid w:val="58B3F7EA"/>
    <w:rsid w:val="58EAD9B4"/>
    <w:rsid w:val="5933227C"/>
    <w:rsid w:val="5A074F0A"/>
    <w:rsid w:val="5A667DC9"/>
    <w:rsid w:val="5A7F9560"/>
    <w:rsid w:val="5BD36518"/>
    <w:rsid w:val="5C51DF99"/>
    <w:rsid w:val="5CBF9558"/>
    <w:rsid w:val="5D8A558C"/>
    <w:rsid w:val="5DE43586"/>
    <w:rsid w:val="5E191C09"/>
    <w:rsid w:val="5E5D4DC9"/>
    <w:rsid w:val="5EC34954"/>
    <w:rsid w:val="5F0F5F1D"/>
    <w:rsid w:val="5F25710B"/>
    <w:rsid w:val="606D6B4A"/>
    <w:rsid w:val="613700C1"/>
    <w:rsid w:val="6144BFD8"/>
    <w:rsid w:val="6173C728"/>
    <w:rsid w:val="62356123"/>
    <w:rsid w:val="6290375B"/>
    <w:rsid w:val="62C6761B"/>
    <w:rsid w:val="62F4A495"/>
    <w:rsid w:val="62FCB5BB"/>
    <w:rsid w:val="64FF432A"/>
    <w:rsid w:val="65C1BC22"/>
    <w:rsid w:val="65F6D57A"/>
    <w:rsid w:val="663B26AF"/>
    <w:rsid w:val="67122C9D"/>
    <w:rsid w:val="6772595B"/>
    <w:rsid w:val="67C87968"/>
    <w:rsid w:val="69332A60"/>
    <w:rsid w:val="6A37178E"/>
    <w:rsid w:val="6AFC85E3"/>
    <w:rsid w:val="6B244EBE"/>
    <w:rsid w:val="6CBCC454"/>
    <w:rsid w:val="6D4817F6"/>
    <w:rsid w:val="6D548EE0"/>
    <w:rsid w:val="6D76FA09"/>
    <w:rsid w:val="6D99E1E7"/>
    <w:rsid w:val="6E09F30C"/>
    <w:rsid w:val="6EA79526"/>
    <w:rsid w:val="6F09957B"/>
    <w:rsid w:val="7041CB6F"/>
    <w:rsid w:val="704FC11D"/>
    <w:rsid w:val="70609F1D"/>
    <w:rsid w:val="709800D3"/>
    <w:rsid w:val="70A6E64F"/>
    <w:rsid w:val="71289891"/>
    <w:rsid w:val="716B8964"/>
    <w:rsid w:val="71E75829"/>
    <w:rsid w:val="728B8694"/>
    <w:rsid w:val="735E795C"/>
    <w:rsid w:val="737C1FA8"/>
    <w:rsid w:val="747C8DC4"/>
    <w:rsid w:val="74B50CDF"/>
    <w:rsid w:val="74CB1495"/>
    <w:rsid w:val="74CC5C39"/>
    <w:rsid w:val="74FBD2AC"/>
    <w:rsid w:val="75ECE324"/>
    <w:rsid w:val="7637A0B8"/>
    <w:rsid w:val="76391538"/>
    <w:rsid w:val="776970BC"/>
    <w:rsid w:val="7986895C"/>
    <w:rsid w:val="79B57495"/>
    <w:rsid w:val="79E55E98"/>
    <w:rsid w:val="7A0FA538"/>
    <w:rsid w:val="7A55999B"/>
    <w:rsid w:val="7A5A294C"/>
    <w:rsid w:val="7A925F76"/>
    <w:rsid w:val="7B072E3F"/>
    <w:rsid w:val="7B6D1A30"/>
    <w:rsid w:val="7B894BD7"/>
    <w:rsid w:val="7BFF967F"/>
    <w:rsid w:val="7CAC6E82"/>
    <w:rsid w:val="7D137CAE"/>
    <w:rsid w:val="7D5A77D6"/>
    <w:rsid w:val="7D775112"/>
    <w:rsid w:val="7DB59557"/>
    <w:rsid w:val="7DDBD645"/>
    <w:rsid w:val="7E9CFD05"/>
    <w:rsid w:val="7EEAA8B5"/>
    <w:rsid w:val="7EEE8541"/>
    <w:rsid w:val="7F084CDF"/>
    <w:rsid w:val="7F47AF5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150D3E4"/>
  <w15:chartTrackingRefBased/>
  <w15:docId w15:val="{6CFC8118-03C9-4EE4-9DE9-70B54D80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1C"/>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FC7B12"/>
    <w:pPr>
      <w:widowControl w:val="0"/>
      <w:numPr>
        <w:numId w:val="2"/>
      </w:numPr>
      <w:tabs>
        <w:tab w:val="left" w:pos="1559"/>
      </w:tabs>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uiPriority w:val="99"/>
    <w:semiHidden/>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semiHidden/>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ind w:left="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ind w:left="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rsid w:val="00203634"/>
    <w:pPr>
      <w:ind w:left="0"/>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basedOn w:val="Fuentedeprrafopredeter"/>
    <w:link w:val="Textonotapie"/>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semiHidden/>
    <w:rsid w:val="00203634"/>
    <w:rPr>
      <w:rFonts w:ascii="Arial" w:hAnsi="Arial"/>
      <w:lang w:val="es-ES_tradnl"/>
    </w:rPr>
  </w:style>
  <w:style w:type="character" w:customStyle="1" w:styleId="Ttulo1Car">
    <w:name w:val="Título 1 Car"/>
    <w:link w:val="Ttulo1"/>
    <w:rsid w:val="00203634"/>
    <w:rPr>
      <w:rFonts w:ascii="CG Times" w:hAnsi="CG Times"/>
      <w:b/>
      <w:sz w:val="24"/>
      <w:lang w:eastAsia="es-ES"/>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unhideWhenUsed/>
    <w:rsid w:val="00203634"/>
    <w:pPr>
      <w:spacing w:before="100" w:beforeAutospacing="1" w:after="100" w:afterAutospacing="1"/>
      <w:ind w:left="0"/>
    </w:pPr>
    <w:rPr>
      <w:lang w:val="es-CO"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pPr>
    <w:rPr>
      <w:i/>
      <w:iCs/>
      <w:color w:val="44546A" w:themeColor="text2"/>
      <w:sz w:val="18"/>
      <w:szCs w:val="18"/>
    </w:rPr>
  </w:style>
  <w:style w:type="paragraph" w:customStyle="1" w:styleId="paragraph">
    <w:name w:val="paragraph"/>
    <w:basedOn w:val="Normal"/>
    <w:rsid w:val="002135CA"/>
    <w:pPr>
      <w:spacing w:before="100" w:beforeAutospacing="1" w:after="100" w:afterAutospacing="1"/>
      <w:ind w:left="0"/>
    </w:pPr>
    <w:rPr>
      <w:lang w:val="es-CO" w:eastAsia="es-CO"/>
    </w:rPr>
  </w:style>
  <w:style w:type="character" w:customStyle="1" w:styleId="normaltextrun">
    <w:name w:val="normaltextrun"/>
    <w:basedOn w:val="Fuentedeprrafopredeter"/>
    <w:rsid w:val="002135CA"/>
  </w:style>
  <w:style w:type="character" w:customStyle="1" w:styleId="eop">
    <w:name w:val="eop"/>
    <w:basedOn w:val="Fuentedeprrafopredeter"/>
    <w:rsid w:val="0021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4637">
      <w:bodyDiv w:val="1"/>
      <w:marLeft w:val="0"/>
      <w:marRight w:val="0"/>
      <w:marTop w:val="0"/>
      <w:marBottom w:val="0"/>
      <w:divBdr>
        <w:top w:val="none" w:sz="0" w:space="0" w:color="auto"/>
        <w:left w:val="none" w:sz="0" w:space="0" w:color="auto"/>
        <w:bottom w:val="none" w:sz="0" w:space="0" w:color="auto"/>
        <w:right w:val="none" w:sz="0" w:space="0" w:color="auto"/>
      </w:divBdr>
    </w:div>
    <w:div w:id="206453004">
      <w:bodyDiv w:val="1"/>
      <w:marLeft w:val="0"/>
      <w:marRight w:val="0"/>
      <w:marTop w:val="0"/>
      <w:marBottom w:val="0"/>
      <w:divBdr>
        <w:top w:val="none" w:sz="0" w:space="0" w:color="auto"/>
        <w:left w:val="none" w:sz="0" w:space="0" w:color="auto"/>
        <w:bottom w:val="none" w:sz="0" w:space="0" w:color="auto"/>
        <w:right w:val="none" w:sz="0" w:space="0" w:color="auto"/>
      </w:divBdr>
    </w:div>
    <w:div w:id="224340834">
      <w:bodyDiv w:val="1"/>
      <w:marLeft w:val="0"/>
      <w:marRight w:val="0"/>
      <w:marTop w:val="0"/>
      <w:marBottom w:val="0"/>
      <w:divBdr>
        <w:top w:val="none" w:sz="0" w:space="0" w:color="auto"/>
        <w:left w:val="none" w:sz="0" w:space="0" w:color="auto"/>
        <w:bottom w:val="none" w:sz="0" w:space="0" w:color="auto"/>
        <w:right w:val="none" w:sz="0" w:space="0" w:color="auto"/>
      </w:divBdr>
      <w:divsChild>
        <w:div w:id="569119842">
          <w:marLeft w:val="547"/>
          <w:marRight w:val="0"/>
          <w:marTop w:val="0"/>
          <w:marBottom w:val="0"/>
          <w:divBdr>
            <w:top w:val="none" w:sz="0" w:space="0" w:color="auto"/>
            <w:left w:val="none" w:sz="0" w:space="0" w:color="auto"/>
            <w:bottom w:val="none" w:sz="0" w:space="0" w:color="auto"/>
            <w:right w:val="none" w:sz="0" w:space="0" w:color="auto"/>
          </w:divBdr>
        </w:div>
      </w:divsChild>
    </w:div>
    <w:div w:id="272253261">
      <w:bodyDiv w:val="1"/>
      <w:marLeft w:val="0"/>
      <w:marRight w:val="0"/>
      <w:marTop w:val="0"/>
      <w:marBottom w:val="0"/>
      <w:divBdr>
        <w:top w:val="none" w:sz="0" w:space="0" w:color="auto"/>
        <w:left w:val="none" w:sz="0" w:space="0" w:color="auto"/>
        <w:bottom w:val="none" w:sz="0" w:space="0" w:color="auto"/>
        <w:right w:val="none" w:sz="0" w:space="0" w:color="auto"/>
      </w:divBdr>
      <w:divsChild>
        <w:div w:id="375351217">
          <w:marLeft w:val="1080"/>
          <w:marRight w:val="0"/>
          <w:marTop w:val="100"/>
          <w:marBottom w:val="0"/>
          <w:divBdr>
            <w:top w:val="none" w:sz="0" w:space="0" w:color="auto"/>
            <w:left w:val="none" w:sz="0" w:space="0" w:color="auto"/>
            <w:bottom w:val="none" w:sz="0" w:space="0" w:color="auto"/>
            <w:right w:val="none" w:sz="0" w:space="0" w:color="auto"/>
          </w:divBdr>
        </w:div>
      </w:divsChild>
    </w:div>
    <w:div w:id="463474670">
      <w:bodyDiv w:val="1"/>
      <w:marLeft w:val="0"/>
      <w:marRight w:val="0"/>
      <w:marTop w:val="0"/>
      <w:marBottom w:val="0"/>
      <w:divBdr>
        <w:top w:val="none" w:sz="0" w:space="0" w:color="auto"/>
        <w:left w:val="none" w:sz="0" w:space="0" w:color="auto"/>
        <w:bottom w:val="none" w:sz="0" w:space="0" w:color="auto"/>
        <w:right w:val="none" w:sz="0" w:space="0" w:color="auto"/>
      </w:divBdr>
      <w:divsChild>
        <w:div w:id="8025668">
          <w:marLeft w:val="0"/>
          <w:marRight w:val="0"/>
          <w:marTop w:val="0"/>
          <w:marBottom w:val="0"/>
          <w:divBdr>
            <w:top w:val="none" w:sz="0" w:space="0" w:color="auto"/>
            <w:left w:val="none" w:sz="0" w:space="0" w:color="auto"/>
            <w:bottom w:val="none" w:sz="0" w:space="0" w:color="auto"/>
            <w:right w:val="none" w:sz="0" w:space="0" w:color="auto"/>
          </w:divBdr>
        </w:div>
        <w:div w:id="315764874">
          <w:marLeft w:val="0"/>
          <w:marRight w:val="0"/>
          <w:marTop w:val="0"/>
          <w:marBottom w:val="0"/>
          <w:divBdr>
            <w:top w:val="none" w:sz="0" w:space="0" w:color="auto"/>
            <w:left w:val="none" w:sz="0" w:space="0" w:color="auto"/>
            <w:bottom w:val="none" w:sz="0" w:space="0" w:color="auto"/>
            <w:right w:val="none" w:sz="0" w:space="0" w:color="auto"/>
          </w:divBdr>
        </w:div>
        <w:div w:id="383145860">
          <w:marLeft w:val="0"/>
          <w:marRight w:val="0"/>
          <w:marTop w:val="0"/>
          <w:marBottom w:val="0"/>
          <w:divBdr>
            <w:top w:val="none" w:sz="0" w:space="0" w:color="auto"/>
            <w:left w:val="none" w:sz="0" w:space="0" w:color="auto"/>
            <w:bottom w:val="none" w:sz="0" w:space="0" w:color="auto"/>
            <w:right w:val="none" w:sz="0" w:space="0" w:color="auto"/>
          </w:divBdr>
        </w:div>
        <w:div w:id="392436395">
          <w:marLeft w:val="0"/>
          <w:marRight w:val="0"/>
          <w:marTop w:val="0"/>
          <w:marBottom w:val="0"/>
          <w:divBdr>
            <w:top w:val="none" w:sz="0" w:space="0" w:color="auto"/>
            <w:left w:val="none" w:sz="0" w:space="0" w:color="auto"/>
            <w:bottom w:val="none" w:sz="0" w:space="0" w:color="auto"/>
            <w:right w:val="none" w:sz="0" w:space="0" w:color="auto"/>
          </w:divBdr>
        </w:div>
        <w:div w:id="553003895">
          <w:marLeft w:val="0"/>
          <w:marRight w:val="0"/>
          <w:marTop w:val="0"/>
          <w:marBottom w:val="0"/>
          <w:divBdr>
            <w:top w:val="none" w:sz="0" w:space="0" w:color="auto"/>
            <w:left w:val="none" w:sz="0" w:space="0" w:color="auto"/>
            <w:bottom w:val="none" w:sz="0" w:space="0" w:color="auto"/>
            <w:right w:val="none" w:sz="0" w:space="0" w:color="auto"/>
          </w:divBdr>
        </w:div>
        <w:div w:id="651831984">
          <w:marLeft w:val="0"/>
          <w:marRight w:val="0"/>
          <w:marTop w:val="0"/>
          <w:marBottom w:val="0"/>
          <w:divBdr>
            <w:top w:val="none" w:sz="0" w:space="0" w:color="auto"/>
            <w:left w:val="none" w:sz="0" w:space="0" w:color="auto"/>
            <w:bottom w:val="none" w:sz="0" w:space="0" w:color="auto"/>
            <w:right w:val="none" w:sz="0" w:space="0" w:color="auto"/>
          </w:divBdr>
        </w:div>
        <w:div w:id="716318310">
          <w:marLeft w:val="0"/>
          <w:marRight w:val="0"/>
          <w:marTop w:val="0"/>
          <w:marBottom w:val="0"/>
          <w:divBdr>
            <w:top w:val="none" w:sz="0" w:space="0" w:color="auto"/>
            <w:left w:val="none" w:sz="0" w:space="0" w:color="auto"/>
            <w:bottom w:val="none" w:sz="0" w:space="0" w:color="auto"/>
            <w:right w:val="none" w:sz="0" w:space="0" w:color="auto"/>
          </w:divBdr>
        </w:div>
        <w:div w:id="78350249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1507161694">
          <w:marLeft w:val="0"/>
          <w:marRight w:val="0"/>
          <w:marTop w:val="0"/>
          <w:marBottom w:val="0"/>
          <w:divBdr>
            <w:top w:val="none" w:sz="0" w:space="0" w:color="auto"/>
            <w:left w:val="none" w:sz="0" w:space="0" w:color="auto"/>
            <w:bottom w:val="none" w:sz="0" w:space="0" w:color="auto"/>
            <w:right w:val="none" w:sz="0" w:space="0" w:color="auto"/>
          </w:divBdr>
        </w:div>
      </w:divsChild>
    </w:div>
    <w:div w:id="591743926">
      <w:bodyDiv w:val="1"/>
      <w:marLeft w:val="0"/>
      <w:marRight w:val="0"/>
      <w:marTop w:val="0"/>
      <w:marBottom w:val="0"/>
      <w:divBdr>
        <w:top w:val="none" w:sz="0" w:space="0" w:color="auto"/>
        <w:left w:val="none" w:sz="0" w:space="0" w:color="auto"/>
        <w:bottom w:val="none" w:sz="0" w:space="0" w:color="auto"/>
        <w:right w:val="none" w:sz="0" w:space="0" w:color="auto"/>
      </w:divBdr>
      <w:divsChild>
        <w:div w:id="118645281">
          <w:marLeft w:val="360"/>
          <w:marRight w:val="0"/>
          <w:marTop w:val="200"/>
          <w:marBottom w:val="0"/>
          <w:divBdr>
            <w:top w:val="none" w:sz="0" w:space="0" w:color="auto"/>
            <w:left w:val="none" w:sz="0" w:space="0" w:color="auto"/>
            <w:bottom w:val="none" w:sz="0" w:space="0" w:color="auto"/>
            <w:right w:val="none" w:sz="0" w:space="0" w:color="auto"/>
          </w:divBdr>
        </w:div>
        <w:div w:id="720908614">
          <w:marLeft w:val="360"/>
          <w:marRight w:val="0"/>
          <w:marTop w:val="200"/>
          <w:marBottom w:val="0"/>
          <w:divBdr>
            <w:top w:val="none" w:sz="0" w:space="0" w:color="auto"/>
            <w:left w:val="none" w:sz="0" w:space="0" w:color="auto"/>
            <w:bottom w:val="none" w:sz="0" w:space="0" w:color="auto"/>
            <w:right w:val="none" w:sz="0" w:space="0" w:color="auto"/>
          </w:divBdr>
        </w:div>
        <w:div w:id="1845119966">
          <w:marLeft w:val="1080"/>
          <w:marRight w:val="0"/>
          <w:marTop w:val="100"/>
          <w:marBottom w:val="0"/>
          <w:divBdr>
            <w:top w:val="none" w:sz="0" w:space="0" w:color="auto"/>
            <w:left w:val="none" w:sz="0" w:space="0" w:color="auto"/>
            <w:bottom w:val="none" w:sz="0" w:space="0" w:color="auto"/>
            <w:right w:val="none" w:sz="0" w:space="0" w:color="auto"/>
          </w:divBdr>
        </w:div>
        <w:div w:id="2029135680">
          <w:marLeft w:val="1080"/>
          <w:marRight w:val="0"/>
          <w:marTop w:val="100"/>
          <w:marBottom w:val="0"/>
          <w:divBdr>
            <w:top w:val="none" w:sz="0" w:space="0" w:color="auto"/>
            <w:left w:val="none" w:sz="0" w:space="0" w:color="auto"/>
            <w:bottom w:val="none" w:sz="0" w:space="0" w:color="auto"/>
            <w:right w:val="none" w:sz="0" w:space="0" w:color="auto"/>
          </w:divBdr>
        </w:div>
      </w:divsChild>
    </w:div>
    <w:div w:id="1155685935">
      <w:bodyDiv w:val="1"/>
      <w:marLeft w:val="0"/>
      <w:marRight w:val="0"/>
      <w:marTop w:val="0"/>
      <w:marBottom w:val="0"/>
      <w:divBdr>
        <w:top w:val="none" w:sz="0" w:space="0" w:color="auto"/>
        <w:left w:val="none" w:sz="0" w:space="0" w:color="auto"/>
        <w:bottom w:val="none" w:sz="0" w:space="0" w:color="auto"/>
        <w:right w:val="none" w:sz="0" w:space="0" w:color="auto"/>
      </w:divBdr>
      <w:divsChild>
        <w:div w:id="698168822">
          <w:marLeft w:val="0"/>
          <w:marRight w:val="0"/>
          <w:marTop w:val="0"/>
          <w:marBottom w:val="0"/>
          <w:divBdr>
            <w:top w:val="none" w:sz="0" w:space="0" w:color="auto"/>
            <w:left w:val="none" w:sz="0" w:space="0" w:color="auto"/>
            <w:bottom w:val="none" w:sz="0" w:space="0" w:color="auto"/>
            <w:right w:val="none" w:sz="0" w:space="0" w:color="auto"/>
          </w:divBdr>
        </w:div>
      </w:divsChild>
    </w:div>
    <w:div w:id="1337340601">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770198403">
      <w:bodyDiv w:val="1"/>
      <w:marLeft w:val="0"/>
      <w:marRight w:val="0"/>
      <w:marTop w:val="0"/>
      <w:marBottom w:val="0"/>
      <w:divBdr>
        <w:top w:val="none" w:sz="0" w:space="0" w:color="auto"/>
        <w:left w:val="none" w:sz="0" w:space="0" w:color="auto"/>
        <w:bottom w:val="none" w:sz="0" w:space="0" w:color="auto"/>
        <w:right w:val="none" w:sz="0" w:space="0" w:color="auto"/>
      </w:divBdr>
    </w:div>
    <w:div w:id="1890922872">
      <w:bodyDiv w:val="1"/>
      <w:marLeft w:val="0"/>
      <w:marRight w:val="0"/>
      <w:marTop w:val="0"/>
      <w:marBottom w:val="0"/>
      <w:divBdr>
        <w:top w:val="none" w:sz="0" w:space="0" w:color="auto"/>
        <w:left w:val="none" w:sz="0" w:space="0" w:color="auto"/>
        <w:bottom w:val="none" w:sz="0" w:space="0" w:color="auto"/>
        <w:right w:val="none" w:sz="0" w:space="0" w:color="auto"/>
      </w:divBdr>
      <w:divsChild>
        <w:div w:id="1226532857">
          <w:marLeft w:val="1080"/>
          <w:marRight w:val="0"/>
          <w:marTop w:val="100"/>
          <w:marBottom w:val="0"/>
          <w:divBdr>
            <w:top w:val="none" w:sz="0" w:space="0" w:color="auto"/>
            <w:left w:val="none" w:sz="0" w:space="0" w:color="auto"/>
            <w:bottom w:val="none" w:sz="0" w:space="0" w:color="auto"/>
            <w:right w:val="none" w:sz="0" w:space="0" w:color="auto"/>
          </w:divBdr>
        </w:div>
      </w:divsChild>
    </w:div>
    <w:div w:id="2135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2" ma:contentTypeDescription="Crear nuevo documento." ma:contentTypeScope="" ma:versionID="63c92538b28d5b713d16874c15cb8d52">
  <xsd:schema xmlns:xsd="http://www.w3.org/2001/XMLSchema" xmlns:xs="http://www.w3.org/2001/XMLSchema" xmlns:p="http://schemas.microsoft.com/office/2006/metadata/properties" xmlns:ns2="0f90cc45-9d06-4234-8034-eeec6c0c7cc1" targetNamespace="http://schemas.microsoft.com/office/2006/metadata/properties" ma:root="true" ma:fieldsID="f4593a53156f1345ddb7249d4a7fc36b" ns2:_="">
    <xsd:import namespace="0f90cc45-9d06-4234-8034-eeec6c0c7c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278E6-4CC3-4CE4-A2AF-126BCD1BE7FD}">
  <ds:schemaRefs>
    <ds:schemaRef ds:uri="http://schemas.openxmlformats.org/officeDocument/2006/bibliography"/>
  </ds:schemaRefs>
</ds:datastoreItem>
</file>

<file path=customXml/itemProps2.xml><?xml version="1.0" encoding="utf-8"?>
<ds:datastoreItem xmlns:ds="http://schemas.openxmlformats.org/officeDocument/2006/customXml" ds:itemID="{CE6C3844-5965-4CE7-A8A1-4F05C82905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40255-2E2E-4EE3-8CE5-80D98E7A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AFADF-B7FA-49FD-BE2F-54B9E5B80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19</TotalTime>
  <Pages>10</Pages>
  <Words>3640</Words>
  <Characters>20022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Diana Patino</cp:lastModifiedBy>
  <cp:revision>7</cp:revision>
  <cp:lastPrinted>2023-03-07T14:23:00Z</cp:lastPrinted>
  <dcterms:created xsi:type="dcterms:W3CDTF">2023-02-08T14:04:00Z</dcterms:created>
  <dcterms:modified xsi:type="dcterms:W3CDTF">2023-03-07T14:23:00Z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