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D67A57" w14:textId="6C665CB3" w:rsidR="000776BE" w:rsidRPr="00F340A2" w:rsidRDefault="00741E93" w:rsidP="006A4116">
      <w:pPr>
        <w:pStyle w:val="Encabezado"/>
        <w:tabs>
          <w:tab w:val="clear" w:pos="8504"/>
        </w:tabs>
        <w:ind w:left="0"/>
        <w:jc w:val="both"/>
        <w:rPr>
          <w:rFonts w:ascii="Bookman Old Style" w:hAnsi="Bookman Old Style"/>
        </w:rPr>
      </w:pPr>
      <w:r>
        <w:rPr>
          <w:rFonts w:ascii="Bookman Old Style" w:hAnsi="Bookman Old Style"/>
          <w:noProof/>
          <w:szCs w:val="24"/>
        </w:rPr>
        <w:object w:dxaOrig="1440" w:dyaOrig="1440" w14:anchorId="0612AA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202.4pt;margin-top:-53.35pt;width:52.5pt;height:48.75pt;z-index:251658240" fillcolor="#0c9">
            <v:imagedata r:id="rId11" o:title=""/>
          </v:shape>
          <o:OLEObject Type="Embed" ProgID="PBrush" ShapeID="_x0000_s1029" DrawAspect="Content" ObjectID="_1682948229" r:id="rId12"/>
        </w:object>
      </w:r>
    </w:p>
    <w:p w14:paraId="1E205EBB" w14:textId="77777777" w:rsidR="000776BE" w:rsidRPr="00F340A2" w:rsidRDefault="000776BE" w:rsidP="004214F7">
      <w:pPr>
        <w:ind w:left="0"/>
        <w:jc w:val="center"/>
        <w:rPr>
          <w:rFonts w:ascii="Bookman Old Style" w:hAnsi="Bookman Old Style"/>
          <w:b/>
          <w:noProof/>
        </w:rPr>
      </w:pPr>
      <w:r w:rsidRPr="00F340A2">
        <w:rPr>
          <w:rFonts w:ascii="Bookman Old Style" w:hAnsi="Bookman Old Style"/>
        </w:rPr>
        <w:t>Ministerio de Minas y Energía</w:t>
      </w:r>
    </w:p>
    <w:p w14:paraId="4E134733" w14:textId="77777777" w:rsidR="00F512CB" w:rsidRDefault="00F512CB" w:rsidP="1CF7EFF7">
      <w:pPr>
        <w:jc w:val="center"/>
        <w:rPr>
          <w:rFonts w:ascii="Bookman Old Style" w:eastAsia="Bookman Old Style" w:hAnsi="Bookman Old Style" w:cs="Bookman Old Style"/>
          <w:lang w:val="es"/>
        </w:rPr>
      </w:pPr>
    </w:p>
    <w:p w14:paraId="12BCB04F" w14:textId="77777777" w:rsidR="00F512CB" w:rsidRPr="007849C7" w:rsidRDefault="00F512CB" w:rsidP="004C6E70">
      <w:pPr>
        <w:ind w:left="0"/>
        <w:jc w:val="center"/>
        <w:rPr>
          <w:rFonts w:ascii="Bookman Old Style" w:eastAsia="Bookman Old Style" w:hAnsi="Bookman Old Style" w:cs="Bookman Old Style"/>
          <w:b/>
          <w:bCs/>
          <w:lang w:val="es"/>
        </w:rPr>
      </w:pPr>
      <w:r w:rsidRPr="007849C7">
        <w:rPr>
          <w:rFonts w:ascii="Bookman Old Style" w:eastAsia="Bookman Old Style" w:hAnsi="Bookman Old Style" w:cs="Bookman Old Style"/>
          <w:b/>
          <w:bCs/>
          <w:lang w:val="es"/>
        </w:rPr>
        <w:t>COMISIÓN DE REGULACIÓN DE ENERGÍA Y GAS</w:t>
      </w:r>
    </w:p>
    <w:p w14:paraId="6BC48736" w14:textId="77777777" w:rsidR="00F512CB" w:rsidRPr="007849C7" w:rsidRDefault="00F512CB" w:rsidP="00F512CB">
      <w:pPr>
        <w:jc w:val="center"/>
        <w:rPr>
          <w:rFonts w:ascii="Bookman Old Style" w:eastAsia="Bookman Old Style" w:hAnsi="Bookman Old Style" w:cs="Bookman Old Style"/>
          <w:b/>
          <w:bCs/>
          <w:lang w:val="es"/>
        </w:rPr>
      </w:pPr>
    </w:p>
    <w:p w14:paraId="7DBAAC2E" w14:textId="4A5AA0A8" w:rsidR="00F512CB" w:rsidRPr="007849C7" w:rsidRDefault="00F512CB" w:rsidP="00055C8A">
      <w:pPr>
        <w:ind w:left="0"/>
        <w:jc w:val="center"/>
        <w:rPr>
          <w:rFonts w:ascii="Bookman Old Style" w:eastAsia="Bookman Old Style" w:hAnsi="Bookman Old Style" w:cs="Bookman Old Style"/>
          <w:b/>
          <w:bCs/>
          <w:lang w:val="es"/>
        </w:rPr>
      </w:pPr>
      <w:r w:rsidRPr="007849C7">
        <w:rPr>
          <w:rFonts w:ascii="Bookman Old Style" w:eastAsia="Bookman Old Style" w:hAnsi="Bookman Old Style" w:cs="Bookman Old Style"/>
          <w:b/>
          <w:bCs/>
          <w:lang w:val="es"/>
        </w:rPr>
        <w:t>RESOLUCIÓN No.</w:t>
      </w:r>
      <w:r w:rsidR="005D2116">
        <w:rPr>
          <w:rFonts w:ascii="Bookman Old Style" w:eastAsia="Bookman Old Style" w:hAnsi="Bookman Old Style" w:cs="Bookman Old Style"/>
          <w:b/>
          <w:bCs/>
          <w:lang w:val="es"/>
        </w:rPr>
        <w:t xml:space="preserve"> </w:t>
      </w:r>
      <w:r w:rsidR="005047AF" w:rsidRPr="005047AF">
        <w:rPr>
          <w:rFonts w:ascii="Bookman Old Style" w:eastAsia="Bookman Old Style" w:hAnsi="Bookman Old Style" w:cs="Bookman Old Style"/>
          <w:b/>
          <w:bCs/>
          <w:sz w:val="32"/>
          <w:szCs w:val="32"/>
          <w:lang w:val="es"/>
        </w:rPr>
        <w:t>038</w:t>
      </w:r>
      <w:r w:rsidRPr="007849C7">
        <w:rPr>
          <w:rFonts w:ascii="Bookman Old Style" w:eastAsia="Bookman Old Style" w:hAnsi="Bookman Old Style" w:cs="Bookman Old Style"/>
          <w:b/>
          <w:bCs/>
          <w:lang w:val="es"/>
        </w:rPr>
        <w:t xml:space="preserve">  DE 202</w:t>
      </w:r>
      <w:r w:rsidR="005D2116">
        <w:rPr>
          <w:rFonts w:ascii="Bookman Old Style" w:eastAsia="Bookman Old Style" w:hAnsi="Bookman Old Style" w:cs="Bookman Old Style"/>
          <w:b/>
          <w:bCs/>
          <w:lang w:val="es"/>
        </w:rPr>
        <w:t>1</w:t>
      </w:r>
    </w:p>
    <w:p w14:paraId="7D6C49D5" w14:textId="77777777" w:rsidR="00F512CB" w:rsidRPr="007849C7" w:rsidRDefault="00F512CB" w:rsidP="00F512CB">
      <w:pPr>
        <w:jc w:val="center"/>
        <w:rPr>
          <w:rFonts w:ascii="Bookman Old Style" w:eastAsia="Bookman Old Style" w:hAnsi="Bookman Old Style" w:cs="Bookman Old Style"/>
          <w:b/>
          <w:bCs/>
          <w:lang w:val="es"/>
        </w:rPr>
      </w:pPr>
    </w:p>
    <w:p w14:paraId="01270649" w14:textId="629F496D" w:rsidR="00F512CB" w:rsidRPr="007849C7" w:rsidRDefault="00F512CB" w:rsidP="004C6E70">
      <w:pPr>
        <w:ind w:left="0"/>
        <w:jc w:val="center"/>
        <w:rPr>
          <w:rFonts w:ascii="Bookman Old Style" w:eastAsia="Bookman Old Style" w:hAnsi="Bookman Old Style" w:cs="Bookman Old Style"/>
          <w:b/>
          <w:bCs/>
          <w:lang w:val="es"/>
        </w:rPr>
      </w:pPr>
      <w:r w:rsidRPr="007849C7">
        <w:rPr>
          <w:rFonts w:ascii="Bookman Old Style" w:eastAsia="Bookman Old Style" w:hAnsi="Bookman Old Style" w:cs="Bookman Old Style"/>
          <w:b/>
          <w:bCs/>
          <w:lang w:val="es"/>
        </w:rPr>
        <w:t xml:space="preserve">(  </w:t>
      </w:r>
      <w:r w:rsidRPr="007849C7">
        <w:rPr>
          <w:rFonts w:ascii="Bookman Old Style" w:eastAsia="Bookman Old Style" w:hAnsi="Bookman Old Style" w:cs="Bookman Old Style"/>
          <w:b/>
          <w:bCs/>
          <w:sz w:val="32"/>
          <w:szCs w:val="32"/>
          <w:lang w:val="es"/>
        </w:rPr>
        <w:t xml:space="preserve"> </w:t>
      </w:r>
      <w:r w:rsidR="005047AF">
        <w:rPr>
          <w:rFonts w:ascii="Bookman Old Style" w:eastAsia="Bookman Old Style" w:hAnsi="Bookman Old Style" w:cs="Bookman Old Style"/>
          <w:b/>
          <w:bCs/>
          <w:sz w:val="32"/>
          <w:szCs w:val="32"/>
          <w:lang w:val="es"/>
        </w:rPr>
        <w:t>30</w:t>
      </w:r>
      <w:r w:rsidR="007849C7" w:rsidRPr="007849C7">
        <w:rPr>
          <w:rFonts w:ascii="Bookman Old Style" w:eastAsia="Bookman Old Style" w:hAnsi="Bookman Old Style" w:cs="Bookman Old Style"/>
          <w:b/>
          <w:bCs/>
          <w:sz w:val="32"/>
          <w:szCs w:val="32"/>
          <w:lang w:val="es"/>
        </w:rPr>
        <w:t xml:space="preserve"> </w:t>
      </w:r>
      <w:r w:rsidR="005D2116">
        <w:rPr>
          <w:rFonts w:ascii="Bookman Old Style" w:eastAsia="Bookman Old Style" w:hAnsi="Bookman Old Style" w:cs="Bookman Old Style"/>
          <w:b/>
          <w:bCs/>
          <w:sz w:val="32"/>
          <w:szCs w:val="32"/>
          <w:lang w:val="es"/>
        </w:rPr>
        <w:t>ABR</w:t>
      </w:r>
      <w:r w:rsidR="007849C7" w:rsidRPr="007849C7">
        <w:rPr>
          <w:rFonts w:ascii="Bookman Old Style" w:eastAsia="Bookman Old Style" w:hAnsi="Bookman Old Style" w:cs="Bookman Old Style"/>
          <w:b/>
          <w:bCs/>
          <w:sz w:val="32"/>
          <w:szCs w:val="32"/>
          <w:lang w:val="es"/>
        </w:rPr>
        <w:t>. 202</w:t>
      </w:r>
      <w:r w:rsidR="005D2116">
        <w:rPr>
          <w:rFonts w:ascii="Bookman Old Style" w:eastAsia="Bookman Old Style" w:hAnsi="Bookman Old Style" w:cs="Bookman Old Style"/>
          <w:b/>
          <w:bCs/>
          <w:sz w:val="32"/>
          <w:szCs w:val="32"/>
          <w:lang w:val="es"/>
        </w:rPr>
        <w:t>1</w:t>
      </w:r>
      <w:r w:rsidRPr="007849C7">
        <w:rPr>
          <w:rFonts w:ascii="Bookman Old Style" w:eastAsia="Bookman Old Style" w:hAnsi="Bookman Old Style" w:cs="Bookman Old Style"/>
          <w:b/>
          <w:bCs/>
          <w:sz w:val="32"/>
          <w:szCs w:val="32"/>
          <w:lang w:val="es"/>
        </w:rPr>
        <w:t xml:space="preserve">   </w:t>
      </w:r>
      <w:r w:rsidRPr="007849C7">
        <w:rPr>
          <w:rFonts w:ascii="Bookman Old Style" w:eastAsia="Bookman Old Style" w:hAnsi="Bookman Old Style" w:cs="Bookman Old Style"/>
          <w:b/>
          <w:bCs/>
          <w:lang w:val="es"/>
        </w:rPr>
        <w:t>)</w:t>
      </w:r>
    </w:p>
    <w:p w14:paraId="25EA76DD" w14:textId="13D0D303" w:rsidR="00F512CB" w:rsidRDefault="00F512CB" w:rsidP="1CF7EFF7">
      <w:pPr>
        <w:jc w:val="center"/>
        <w:rPr>
          <w:rFonts w:ascii="Bookman Old Style" w:eastAsia="Bookman Old Style" w:hAnsi="Bookman Old Style" w:cs="Bookman Old Style"/>
          <w:lang w:val="es"/>
        </w:rPr>
      </w:pPr>
    </w:p>
    <w:p w14:paraId="4D3BC998" w14:textId="77777777" w:rsidR="005047AF" w:rsidRDefault="005047AF" w:rsidP="1CF7EFF7">
      <w:pPr>
        <w:jc w:val="center"/>
        <w:rPr>
          <w:rFonts w:ascii="Bookman Old Style" w:eastAsia="Bookman Old Style" w:hAnsi="Bookman Old Style" w:cs="Bookman Old Style"/>
          <w:lang w:val="es"/>
        </w:rPr>
      </w:pPr>
    </w:p>
    <w:p w14:paraId="1F81213B" w14:textId="4928F9EA" w:rsidR="000776BE" w:rsidRPr="00F340A2" w:rsidRDefault="0A93618F" w:rsidP="4A18DC85">
      <w:pPr>
        <w:ind w:left="0" w:right="51"/>
        <w:jc w:val="center"/>
        <w:rPr>
          <w:rFonts w:ascii="Bookman Old Style" w:hAnsi="Bookman Old Style"/>
          <w:b/>
        </w:rPr>
      </w:pPr>
      <w:r w:rsidRPr="1CF7EFF7">
        <w:rPr>
          <w:rFonts w:ascii="Bookman Old Style" w:eastAsia="Bookman Old Style" w:hAnsi="Bookman Old Style" w:cs="Bookman Old Style"/>
          <w:lang w:val="es"/>
        </w:rPr>
        <w:t>Por la cual se ordena hacer público un proyecto de resolución de carácter general, “</w:t>
      </w:r>
      <w:r w:rsidRPr="3BCBBF8E">
        <w:rPr>
          <w:rFonts w:ascii="Bookman Old Style" w:eastAsia="Bookman Old Style" w:hAnsi="Bookman Old Style" w:cs="Arial"/>
        </w:rPr>
        <w:t xml:space="preserve">Por la cual se </w:t>
      </w:r>
      <w:r w:rsidR="005D2116">
        <w:rPr>
          <w:rFonts w:ascii="Bookman Old Style" w:eastAsia="Bookman Old Style" w:hAnsi="Bookman Old Style" w:cs="Arial"/>
        </w:rPr>
        <w:t>modifica la Resolución CREG 00</w:t>
      </w:r>
      <w:r w:rsidR="00EE550C">
        <w:rPr>
          <w:rFonts w:ascii="Bookman Old Style" w:eastAsia="Bookman Old Style" w:hAnsi="Bookman Old Style" w:cs="Arial"/>
        </w:rPr>
        <w:t>4 de 2021</w:t>
      </w:r>
      <w:r w:rsidRPr="1CF7EFF7">
        <w:rPr>
          <w:rFonts w:ascii="Bookman Old Style" w:eastAsia="Bookman Old Style" w:hAnsi="Bookman Old Style" w:cs="Bookman Old Style"/>
          <w:lang w:val="es"/>
        </w:rPr>
        <w:t>”</w:t>
      </w:r>
    </w:p>
    <w:p w14:paraId="4072F98B" w14:textId="093908F7"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111739A4" w14:textId="52FDB59B"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2722A18E" w14:textId="069404C0" w:rsidR="000776BE" w:rsidRPr="00F340A2" w:rsidRDefault="0A93618F" w:rsidP="00055C8A">
      <w:pPr>
        <w:ind w:left="0"/>
        <w:jc w:val="center"/>
      </w:pPr>
      <w:r w:rsidRPr="1CF7EFF7">
        <w:rPr>
          <w:rFonts w:ascii="Bookman Old Style" w:eastAsia="Bookman Old Style" w:hAnsi="Bookman Old Style" w:cs="Bookman Old Style"/>
          <w:b/>
          <w:bCs/>
          <w:lang w:val="es"/>
        </w:rPr>
        <w:t>LA COMISIÓN DE REGULACIÓN DE ENERGÍA Y GAS</w:t>
      </w:r>
    </w:p>
    <w:p w14:paraId="3A766DE8" w14:textId="7E0FB916"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6EB57456" w14:textId="6A5EDFA6"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7AA45C94" w14:textId="2AC55BE8" w:rsidR="000776BE" w:rsidRPr="00142119" w:rsidRDefault="0A93618F" w:rsidP="00142119">
      <w:pPr>
        <w:ind w:left="0"/>
        <w:jc w:val="center"/>
      </w:pPr>
      <w:r w:rsidRPr="00E8644D">
        <w:rPr>
          <w:rFonts w:ascii="Bookman Old Style" w:eastAsia="Bookman Old Style" w:hAnsi="Bookman Old Style" w:cs="Bookman Old Style"/>
          <w:lang w:val="es"/>
        </w:rPr>
        <w:t>En ejercicio de sus atribuciones constitucionales y legales, en especial las conferidas por las Leyes 142 y 143 de 1994, y en desarrollo de los Decretos 1524 y 2253 de 1994 y 1260 de 2013.</w:t>
      </w:r>
    </w:p>
    <w:p w14:paraId="3D5EDB68" w14:textId="0C217019"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76310963" w14:textId="173D0A1B"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7A6925A9" w14:textId="7A73F2DD" w:rsidR="000776BE" w:rsidRPr="00F340A2" w:rsidRDefault="0A93618F" w:rsidP="00E8644D">
      <w:pPr>
        <w:ind w:left="0"/>
        <w:jc w:val="center"/>
      </w:pPr>
      <w:r w:rsidRPr="1CF7EFF7">
        <w:rPr>
          <w:rFonts w:ascii="Bookman Old Style" w:eastAsia="Bookman Old Style" w:hAnsi="Bookman Old Style" w:cs="Bookman Old Style"/>
          <w:b/>
          <w:bCs/>
          <w:lang w:val="es"/>
        </w:rPr>
        <w:t xml:space="preserve">C O N S I D E R A N D O </w:t>
      </w:r>
      <w:r w:rsidR="00142119">
        <w:rPr>
          <w:rFonts w:ascii="Bookman Old Style" w:eastAsia="Bookman Old Style" w:hAnsi="Bookman Old Style" w:cs="Bookman Old Style"/>
          <w:b/>
          <w:bCs/>
          <w:lang w:val="es"/>
        </w:rPr>
        <w:t xml:space="preserve"> </w:t>
      </w:r>
      <w:r w:rsidRPr="1CF7EFF7">
        <w:rPr>
          <w:rFonts w:ascii="Bookman Old Style" w:eastAsia="Bookman Old Style" w:hAnsi="Bookman Old Style" w:cs="Bookman Old Style"/>
          <w:b/>
          <w:bCs/>
          <w:lang w:val="es"/>
        </w:rPr>
        <w:t xml:space="preserve"> Q U E:</w:t>
      </w:r>
    </w:p>
    <w:p w14:paraId="675607DF" w14:textId="590645F4" w:rsidR="000776BE" w:rsidRPr="00F340A2" w:rsidRDefault="0A93618F" w:rsidP="1CF7EFF7">
      <w:pPr>
        <w:jc w:val="center"/>
      </w:pPr>
      <w:r w:rsidRPr="1CF7EFF7">
        <w:rPr>
          <w:rFonts w:ascii="Bookman Old Style" w:eastAsia="Bookman Old Style" w:hAnsi="Bookman Old Style" w:cs="Bookman Old Style"/>
          <w:b/>
          <w:bCs/>
          <w:lang w:val="es"/>
        </w:rPr>
        <w:t xml:space="preserve"> </w:t>
      </w:r>
    </w:p>
    <w:p w14:paraId="2AD8A1FA" w14:textId="5320E35F" w:rsidR="000776BE" w:rsidRPr="00F340A2" w:rsidRDefault="0A93618F" w:rsidP="1CF7EFF7">
      <w:pPr>
        <w:jc w:val="both"/>
      </w:pPr>
      <w:r w:rsidRPr="1CF7EFF7">
        <w:rPr>
          <w:rFonts w:ascii="Bookman Old Style" w:eastAsia="Bookman Old Style" w:hAnsi="Bookman Old Style" w:cs="Bookman Old Style"/>
          <w:lang w:val="es"/>
        </w:rPr>
        <w:t xml:space="preserve"> </w:t>
      </w:r>
    </w:p>
    <w:p w14:paraId="1824CB45" w14:textId="531C82D4" w:rsidR="000776BE" w:rsidRPr="00F340A2" w:rsidRDefault="0A93618F" w:rsidP="00CF2BA9">
      <w:pPr>
        <w:ind w:left="0"/>
        <w:jc w:val="both"/>
      </w:pPr>
      <w:r w:rsidRPr="1CF7EFF7">
        <w:rPr>
          <w:rFonts w:ascii="Bookman Old Style" w:eastAsia="Bookman Old Style" w:hAnsi="Bookman Old Style" w:cs="Bookman Old Style"/>
          <w:lang w:val="es"/>
        </w:rPr>
        <w:t>Conforme a lo dispuesto por el artículo 8 del Código de Procedimiento Administrativo y de lo Contencioso Administrativo</w:t>
      </w:r>
      <w:r w:rsidR="00CC782B">
        <w:rPr>
          <w:rFonts w:ascii="Bookman Old Style" w:eastAsia="Bookman Old Style" w:hAnsi="Bookman Old Style" w:cs="Bookman Old Style"/>
          <w:lang w:val="es"/>
        </w:rPr>
        <w:t>,</w:t>
      </w:r>
      <w:r w:rsidRPr="1CF7EFF7">
        <w:rPr>
          <w:rFonts w:ascii="Bookman Old Style" w:eastAsia="Bookman Old Style" w:hAnsi="Bookman Old Style" w:cs="Bookman Old Style"/>
          <w:lang w:val="es"/>
        </w:rPr>
        <w:t xml:space="preserve"> y el artículo 33 de la Resolución CREG 039 de 2017, la Comisión debe hacer público en su página web todos los proyectos de resolución de carácter general que pretenda adoptar.</w:t>
      </w:r>
    </w:p>
    <w:p w14:paraId="2DF89C18" w14:textId="40DB0B02" w:rsidR="000776BE" w:rsidRPr="00F340A2" w:rsidRDefault="000776BE" w:rsidP="00CF2BA9">
      <w:pPr>
        <w:ind w:left="0"/>
        <w:jc w:val="both"/>
      </w:pPr>
    </w:p>
    <w:p w14:paraId="27C2C4D1" w14:textId="58C96227" w:rsidR="000776BE" w:rsidRPr="00F340A2" w:rsidRDefault="0A93618F" w:rsidP="00CF2BA9">
      <w:pPr>
        <w:ind w:left="0"/>
        <w:jc w:val="both"/>
      </w:pPr>
      <w:r w:rsidRPr="1CF7EFF7">
        <w:rPr>
          <w:rFonts w:ascii="Bookman Old Style" w:eastAsia="Bookman Old Style" w:hAnsi="Bookman Old Style" w:cs="Bookman Old Style"/>
          <w:lang w:val="es"/>
        </w:rPr>
        <w:t>La Comisión de Regulación de Energía y Gas, en su sesión No</w:t>
      </w:r>
      <w:r w:rsidRPr="00AE53F7">
        <w:rPr>
          <w:rFonts w:ascii="Bookman Old Style" w:eastAsia="Bookman Old Style" w:hAnsi="Bookman Old Style" w:cs="Bookman Old Style"/>
          <w:lang w:val="es"/>
        </w:rPr>
        <w:t>.</w:t>
      </w:r>
      <w:r w:rsidR="005047AF">
        <w:rPr>
          <w:rFonts w:ascii="Bookman Old Style" w:eastAsia="Bookman Old Style" w:hAnsi="Bookman Old Style" w:cs="Bookman Old Style"/>
          <w:lang w:val="es"/>
        </w:rPr>
        <w:t>1093</w:t>
      </w:r>
      <w:r w:rsidRPr="00AE53F7">
        <w:rPr>
          <w:rFonts w:ascii="Bookman Old Style" w:eastAsia="Bookman Old Style" w:hAnsi="Bookman Old Style" w:cs="Bookman Old Style"/>
          <w:lang w:val="es"/>
        </w:rPr>
        <w:t xml:space="preserve"> d</w:t>
      </w:r>
      <w:r w:rsidRPr="1CF7EFF7">
        <w:rPr>
          <w:rFonts w:ascii="Bookman Old Style" w:eastAsia="Bookman Old Style" w:hAnsi="Bookman Old Style" w:cs="Bookman Old Style"/>
          <w:lang w:val="es"/>
        </w:rPr>
        <w:t xml:space="preserve">el </w:t>
      </w:r>
      <w:r w:rsidR="005047AF">
        <w:rPr>
          <w:rFonts w:ascii="Bookman Old Style" w:eastAsia="Bookman Old Style" w:hAnsi="Bookman Old Style" w:cs="Bookman Old Style"/>
          <w:lang w:val="es"/>
        </w:rPr>
        <w:t>30</w:t>
      </w:r>
      <w:r w:rsidRPr="1CF7EFF7">
        <w:rPr>
          <w:rFonts w:ascii="Bookman Old Style" w:eastAsia="Bookman Old Style" w:hAnsi="Bookman Old Style" w:cs="Bookman Old Style"/>
          <w:lang w:val="es"/>
        </w:rPr>
        <w:t xml:space="preserve"> de </w:t>
      </w:r>
      <w:r w:rsidR="00EE550C">
        <w:rPr>
          <w:rFonts w:ascii="Bookman Old Style" w:eastAsia="Bookman Old Style" w:hAnsi="Bookman Old Style" w:cs="Bookman Old Style"/>
          <w:lang w:val="es"/>
        </w:rPr>
        <w:t>abril</w:t>
      </w:r>
      <w:r w:rsidR="004E7925">
        <w:rPr>
          <w:rFonts w:ascii="Bookman Old Style" w:eastAsia="Bookman Old Style" w:hAnsi="Bookman Old Style" w:cs="Bookman Old Style"/>
          <w:lang w:val="es"/>
        </w:rPr>
        <w:t xml:space="preserve"> </w:t>
      </w:r>
      <w:r w:rsidRPr="1CF7EFF7">
        <w:rPr>
          <w:rFonts w:ascii="Bookman Old Style" w:eastAsia="Bookman Old Style" w:hAnsi="Bookman Old Style" w:cs="Bookman Old Style"/>
          <w:lang w:val="es"/>
        </w:rPr>
        <w:t>de 202</w:t>
      </w:r>
      <w:r w:rsidR="00345381">
        <w:rPr>
          <w:rFonts w:ascii="Bookman Old Style" w:eastAsia="Bookman Old Style" w:hAnsi="Bookman Old Style" w:cs="Bookman Old Style"/>
          <w:lang w:val="es"/>
        </w:rPr>
        <w:t>1</w:t>
      </w:r>
      <w:r w:rsidRPr="1CF7EFF7">
        <w:rPr>
          <w:rFonts w:ascii="Bookman Old Style" w:eastAsia="Bookman Old Style" w:hAnsi="Bookman Old Style" w:cs="Bookman Old Style"/>
          <w:lang w:val="es"/>
        </w:rPr>
        <w:t xml:space="preserve">, aprobó hacer público el proyecto de resolución </w:t>
      </w:r>
      <w:r w:rsidRPr="13B515B7">
        <w:rPr>
          <w:rFonts w:ascii="Bookman Old Style" w:eastAsia="Bookman Old Style" w:hAnsi="Bookman Old Style" w:cs="Bookman Old Style"/>
          <w:lang w:val="es"/>
        </w:rPr>
        <w:t>“</w:t>
      </w:r>
      <w:r w:rsidR="36477D5E" w:rsidRPr="13B515B7">
        <w:rPr>
          <w:rFonts w:ascii="Bookman Old Style" w:hAnsi="Bookman Old Style" w:cs="Arial"/>
        </w:rPr>
        <w:t>Por la cual se</w:t>
      </w:r>
      <w:r w:rsidR="00890C1F">
        <w:rPr>
          <w:rFonts w:ascii="Bookman Old Style" w:hAnsi="Bookman Old Style" w:cs="Arial"/>
        </w:rPr>
        <w:t xml:space="preserve"> </w:t>
      </w:r>
      <w:r w:rsidR="00345381">
        <w:rPr>
          <w:rFonts w:ascii="Bookman Old Style" w:hAnsi="Bookman Old Style" w:cs="Arial"/>
        </w:rPr>
        <w:t xml:space="preserve">modifica la Resolución </w:t>
      </w:r>
      <w:r w:rsidR="003A4B74">
        <w:rPr>
          <w:rFonts w:ascii="Bookman Old Style" w:hAnsi="Bookman Old Style" w:cs="Arial"/>
        </w:rPr>
        <w:t xml:space="preserve">CREG </w:t>
      </w:r>
      <w:r w:rsidR="00DB41AB">
        <w:rPr>
          <w:rFonts w:ascii="Bookman Old Style" w:hAnsi="Bookman Old Style" w:cs="Arial"/>
        </w:rPr>
        <w:t xml:space="preserve">004 de </w:t>
      </w:r>
      <w:r w:rsidR="003A4B74">
        <w:rPr>
          <w:rFonts w:ascii="Bookman Old Style" w:hAnsi="Bookman Old Style" w:cs="Arial"/>
        </w:rPr>
        <w:t>2021</w:t>
      </w:r>
      <w:r w:rsidRPr="13B515B7">
        <w:rPr>
          <w:rFonts w:ascii="Bookman Old Style" w:eastAsia="Bookman Old Style" w:hAnsi="Bookman Old Style" w:cs="Bookman Old Style"/>
          <w:i/>
          <w:iCs/>
          <w:lang w:val="es"/>
        </w:rPr>
        <w:t>”.</w:t>
      </w:r>
    </w:p>
    <w:p w14:paraId="2B8BEBD1" w14:textId="1A3ED8BA" w:rsidR="000776BE" w:rsidRPr="00F340A2" w:rsidRDefault="000776BE" w:rsidP="1CF7EFF7">
      <w:pPr>
        <w:jc w:val="center"/>
      </w:pPr>
    </w:p>
    <w:p w14:paraId="5F99F431" w14:textId="77777777" w:rsidR="00530329" w:rsidRPr="00F340A2" w:rsidRDefault="00530329" w:rsidP="00CF2BA9">
      <w:pPr>
        <w:ind w:left="0"/>
        <w:jc w:val="center"/>
      </w:pPr>
    </w:p>
    <w:p w14:paraId="65F30AAC" w14:textId="311C6D2D" w:rsidR="000776BE" w:rsidRPr="00F340A2" w:rsidRDefault="0A93618F" w:rsidP="00CF2BA9">
      <w:pPr>
        <w:ind w:left="0"/>
        <w:jc w:val="center"/>
      </w:pPr>
      <w:r w:rsidRPr="1CF7EFF7">
        <w:rPr>
          <w:rFonts w:ascii="Bookman Old Style" w:eastAsia="Bookman Old Style" w:hAnsi="Bookman Old Style" w:cs="Bookman Old Style"/>
          <w:b/>
          <w:bCs/>
          <w:lang w:val="es"/>
        </w:rPr>
        <w:t>R E S U E L V E:</w:t>
      </w:r>
    </w:p>
    <w:p w14:paraId="0F6EF882" w14:textId="26F7C256" w:rsidR="000776BE" w:rsidRPr="00F340A2" w:rsidRDefault="000776BE" w:rsidP="00CF2BA9">
      <w:pPr>
        <w:ind w:left="0"/>
        <w:jc w:val="center"/>
      </w:pPr>
    </w:p>
    <w:p w14:paraId="352A28B3" w14:textId="5864EF83" w:rsidR="000776BE" w:rsidRPr="00F340A2" w:rsidRDefault="0A93618F" w:rsidP="00CF2BA9">
      <w:pPr>
        <w:ind w:left="0"/>
        <w:jc w:val="both"/>
      </w:pPr>
      <w:r w:rsidRPr="1CF7EFF7">
        <w:rPr>
          <w:rFonts w:ascii="Bookman Old Style" w:eastAsia="Bookman Old Style" w:hAnsi="Bookman Old Style" w:cs="Bookman Old Style"/>
          <w:b/>
          <w:bCs/>
          <w:lang w:val="es"/>
        </w:rPr>
        <w:t xml:space="preserve"> </w:t>
      </w:r>
    </w:p>
    <w:p w14:paraId="3F6B50A5" w14:textId="7C50A315" w:rsidR="000776BE" w:rsidRPr="00F340A2" w:rsidRDefault="0A93618F" w:rsidP="00CF2BA9">
      <w:pPr>
        <w:ind w:left="0"/>
        <w:jc w:val="both"/>
      </w:pPr>
      <w:r w:rsidRPr="1CF7EFF7">
        <w:rPr>
          <w:rFonts w:ascii="Bookman Old Style" w:eastAsia="Bookman Old Style" w:hAnsi="Bookman Old Style" w:cs="Bookman Old Style"/>
          <w:b/>
          <w:bCs/>
          <w:lang w:val="es"/>
        </w:rPr>
        <w:t>ARTÍCULO 1.</w:t>
      </w:r>
      <w:r w:rsidRPr="1CF7EFF7">
        <w:rPr>
          <w:rFonts w:ascii="Bookman Old Style" w:eastAsia="Bookman Old Style" w:hAnsi="Bookman Old Style" w:cs="Bookman Old Style"/>
          <w:lang w:val="es"/>
        </w:rPr>
        <w:t xml:space="preserve"> Hágase público el proyecto de resolución </w:t>
      </w:r>
      <w:r w:rsidR="00890C1F" w:rsidRPr="13B515B7">
        <w:rPr>
          <w:rFonts w:ascii="Bookman Old Style" w:eastAsia="Bookman Old Style" w:hAnsi="Bookman Old Style" w:cs="Bookman Old Style"/>
          <w:lang w:val="es"/>
        </w:rPr>
        <w:t>“</w:t>
      </w:r>
      <w:r w:rsidR="00890C1F" w:rsidRPr="13B515B7">
        <w:rPr>
          <w:rFonts w:ascii="Bookman Old Style" w:hAnsi="Bookman Old Style" w:cs="Arial"/>
        </w:rPr>
        <w:t>Por la cual se</w:t>
      </w:r>
      <w:r w:rsidR="00890C1F">
        <w:rPr>
          <w:rFonts w:ascii="Bookman Old Style" w:hAnsi="Bookman Old Style" w:cs="Arial"/>
        </w:rPr>
        <w:t xml:space="preserve"> modifica la Resolución CREG</w:t>
      </w:r>
      <w:r w:rsidR="00E97B43">
        <w:rPr>
          <w:rFonts w:ascii="Bookman Old Style" w:hAnsi="Bookman Old Style" w:cs="Arial"/>
        </w:rPr>
        <w:t xml:space="preserve"> 004 de</w:t>
      </w:r>
      <w:r w:rsidR="00890C1F">
        <w:rPr>
          <w:rFonts w:ascii="Bookman Old Style" w:hAnsi="Bookman Old Style" w:cs="Arial"/>
        </w:rPr>
        <w:t xml:space="preserve"> 2021</w:t>
      </w:r>
      <w:r w:rsidRPr="1CF7EFF7">
        <w:rPr>
          <w:rFonts w:ascii="Bookman Old Style" w:eastAsia="Bookman Old Style" w:hAnsi="Bookman Old Style" w:cs="Bookman Old Style"/>
          <w:lang w:val="es"/>
        </w:rPr>
        <w:t xml:space="preserve">”. </w:t>
      </w:r>
    </w:p>
    <w:p w14:paraId="40536DDC" w14:textId="4CDBFD7F" w:rsidR="000776BE" w:rsidRPr="00F340A2" w:rsidRDefault="0A93618F" w:rsidP="00CF2BA9">
      <w:pPr>
        <w:ind w:left="0"/>
        <w:jc w:val="center"/>
      </w:pPr>
      <w:r w:rsidRPr="1CF7EFF7">
        <w:rPr>
          <w:rFonts w:ascii="Bookman Old Style" w:eastAsia="Bookman Old Style" w:hAnsi="Bookman Old Style" w:cs="Bookman Old Style"/>
          <w:lang w:val="es"/>
        </w:rPr>
        <w:t xml:space="preserve"> </w:t>
      </w:r>
    </w:p>
    <w:p w14:paraId="4BC7FA67" w14:textId="4A62473A" w:rsidR="000776BE" w:rsidRPr="00F340A2" w:rsidRDefault="0A93618F" w:rsidP="00CF2BA9">
      <w:pPr>
        <w:ind w:left="0"/>
        <w:jc w:val="both"/>
      </w:pPr>
      <w:r w:rsidRPr="1CF7EFF7">
        <w:rPr>
          <w:rFonts w:ascii="Bookman Old Style" w:eastAsia="Bookman Old Style" w:hAnsi="Bookman Old Style" w:cs="Bookman Old Style"/>
          <w:b/>
          <w:bCs/>
          <w:lang w:val="es"/>
        </w:rPr>
        <w:t>ARTÍCULO 2.</w:t>
      </w:r>
      <w:r w:rsidRPr="1CF7EFF7">
        <w:rPr>
          <w:rFonts w:ascii="Bookman Old Style" w:eastAsia="Bookman Old Style" w:hAnsi="Bookman Old Style" w:cs="Bookman Old Style"/>
          <w:i/>
          <w:iCs/>
          <w:sz w:val="22"/>
          <w:szCs w:val="22"/>
          <w:lang w:val="es"/>
        </w:rPr>
        <w:t xml:space="preserve">  </w:t>
      </w:r>
      <w:r w:rsidRPr="1CF7EFF7">
        <w:rPr>
          <w:rFonts w:ascii="Bookman Old Style" w:eastAsia="Bookman Old Style" w:hAnsi="Bookman Old Style" w:cs="Bookman Old Style"/>
          <w:lang w:val="es"/>
        </w:rPr>
        <w:t xml:space="preserve">Se invita a los agentes, a los </w:t>
      </w:r>
      <w:r w:rsidRPr="00E8644D">
        <w:rPr>
          <w:rFonts w:ascii="Bookman Old Style" w:eastAsia="Bookman Old Style" w:hAnsi="Bookman Old Style" w:cs="Bookman Old Style"/>
          <w:lang w:val="es"/>
        </w:rPr>
        <w:t>usuarios, a las autoridades locales municipales y departamentales competentes</w:t>
      </w:r>
      <w:r w:rsidR="00CC782B" w:rsidRPr="009D1F65">
        <w:rPr>
          <w:rFonts w:ascii="Bookman Old Style" w:eastAsia="Bookman Old Style" w:hAnsi="Bookman Old Style" w:cs="Bookman Old Style"/>
          <w:lang w:val="es"/>
        </w:rPr>
        <w:t>,</w:t>
      </w:r>
      <w:r w:rsidRPr="000562B0">
        <w:rPr>
          <w:rFonts w:ascii="Bookman Old Style" w:eastAsia="Bookman Old Style" w:hAnsi="Bookman Old Style" w:cs="Bookman Old Style"/>
          <w:lang w:val="es"/>
        </w:rPr>
        <w:t xml:space="preserve"> y a la Superintendencia de Servicios Públicos Domiciliarios, para que remitan sus observaciones o sugerencias sobre la propuesta, den</w:t>
      </w:r>
      <w:r w:rsidRPr="00E8644D">
        <w:rPr>
          <w:rFonts w:ascii="Bookman Old Style" w:eastAsia="Bookman Old Style" w:hAnsi="Bookman Old Style" w:cs="Bookman Old Style"/>
          <w:lang w:val="es"/>
        </w:rPr>
        <w:t xml:space="preserve">tro de los </w:t>
      </w:r>
      <w:r w:rsidR="00B7176F" w:rsidRPr="00E8644D">
        <w:rPr>
          <w:rFonts w:ascii="Bookman Old Style" w:eastAsia="Bookman Old Style" w:hAnsi="Bookman Old Style" w:cs="Bookman Old Style"/>
          <w:lang w:val="es"/>
        </w:rPr>
        <w:t xml:space="preserve">tres </w:t>
      </w:r>
      <w:r w:rsidRPr="00E8644D">
        <w:rPr>
          <w:rFonts w:ascii="Bookman Old Style" w:eastAsia="Bookman Old Style" w:hAnsi="Bookman Old Style" w:cs="Bookman Old Style"/>
          <w:lang w:val="es"/>
        </w:rPr>
        <w:t>(</w:t>
      </w:r>
      <w:r w:rsidR="00B7176F" w:rsidRPr="00E8644D">
        <w:rPr>
          <w:rFonts w:ascii="Bookman Old Style" w:eastAsia="Bookman Old Style" w:hAnsi="Bookman Old Style" w:cs="Bookman Old Style"/>
          <w:lang w:val="es"/>
        </w:rPr>
        <w:t>3</w:t>
      </w:r>
      <w:r w:rsidRPr="00E8644D">
        <w:rPr>
          <w:rFonts w:ascii="Bookman Old Style" w:eastAsia="Bookman Old Style" w:hAnsi="Bookman Old Style" w:cs="Bookman Old Style"/>
          <w:lang w:val="es"/>
        </w:rPr>
        <w:t>)</w:t>
      </w:r>
      <w:r w:rsidRPr="1CF7EFF7">
        <w:rPr>
          <w:rFonts w:ascii="Bookman Old Style" w:eastAsia="Bookman Old Style" w:hAnsi="Bookman Old Style" w:cs="Bookman Old Style"/>
          <w:lang w:val="es"/>
        </w:rPr>
        <w:t xml:space="preserve"> días </w:t>
      </w:r>
      <w:r w:rsidR="00B81C07">
        <w:rPr>
          <w:rFonts w:ascii="Bookman Old Style" w:eastAsia="Bookman Old Style" w:hAnsi="Bookman Old Style" w:cs="Bookman Old Style"/>
          <w:lang w:val="es"/>
        </w:rPr>
        <w:t xml:space="preserve">calendario </w:t>
      </w:r>
      <w:r w:rsidRPr="1CF7EFF7">
        <w:rPr>
          <w:rFonts w:ascii="Bookman Old Style" w:eastAsia="Bookman Old Style" w:hAnsi="Bookman Old Style" w:cs="Bookman Old Style"/>
          <w:lang w:val="es"/>
        </w:rPr>
        <w:t>siguientes a la publicación de la presente resolución en la página Web de la Comisión de Regulación de Energía y Gas.</w:t>
      </w:r>
    </w:p>
    <w:p w14:paraId="2C23BC97" w14:textId="15CA1903" w:rsidR="000776BE" w:rsidRPr="00F340A2" w:rsidRDefault="000776BE" w:rsidP="00CF2BA9">
      <w:pPr>
        <w:ind w:left="0"/>
        <w:jc w:val="both"/>
      </w:pPr>
    </w:p>
    <w:p w14:paraId="15633F15" w14:textId="35BCD01F" w:rsidR="00232CAB" w:rsidRPr="00E8644D" w:rsidRDefault="00232CAB" w:rsidP="00CF2BA9">
      <w:pPr>
        <w:ind w:left="0"/>
        <w:jc w:val="both"/>
        <w:rPr>
          <w:rFonts w:ascii="Bookman Old Style" w:eastAsia="Bookman Old Style" w:hAnsi="Bookman Old Style" w:cs="Bookman Old Style"/>
          <w:b/>
          <w:bCs/>
          <w:lang w:val="es"/>
        </w:rPr>
      </w:pPr>
      <w:r w:rsidRPr="00232CAB">
        <w:rPr>
          <w:rFonts w:ascii="Bookman Old Style" w:eastAsia="Bookman Old Style" w:hAnsi="Bookman Old Style" w:cs="Bookman Old Style"/>
          <w:b/>
          <w:bCs/>
          <w:lang w:val="es"/>
        </w:rPr>
        <w:t xml:space="preserve">ARTÍCULO 3. </w:t>
      </w:r>
      <w:r w:rsidRPr="00232CAB">
        <w:rPr>
          <w:rFonts w:ascii="Bookman Old Style" w:eastAsia="Bookman Old Style" w:hAnsi="Bookman Old Style" w:cs="Bookman Old Style"/>
          <w:lang w:val="es"/>
        </w:rPr>
        <w:t xml:space="preserve">Información del proyecto a la Superintendencia de Industria y Comercio. </w:t>
      </w:r>
      <w:r w:rsidRPr="00E8644D">
        <w:rPr>
          <w:rFonts w:ascii="Bookman Old Style" w:eastAsia="Bookman Old Style" w:hAnsi="Bookman Old Style" w:cs="Bookman Old Style"/>
          <w:lang w:val="es"/>
        </w:rPr>
        <w:t xml:space="preserve">Al vencimiento de la consulta pública, la CREG determinará si el proyecto debe ser informado a la Superintendencia de Industria y Comercio, </w:t>
      </w:r>
      <w:r w:rsidRPr="00E8644D">
        <w:rPr>
          <w:rFonts w:ascii="Bookman Old Style" w:eastAsia="Bookman Old Style" w:hAnsi="Bookman Old Style" w:cs="Bookman Old Style"/>
          <w:lang w:val="es"/>
        </w:rPr>
        <w:lastRenderedPageBreak/>
        <w:t>para el ejercicio de la Abogacía de la Competencia, con fundamento en las disposiciones del Decreto 1074 de 2015, Artículo 2.2.2.30.5.</w:t>
      </w:r>
      <w:r w:rsidRPr="00E8644D">
        <w:rPr>
          <w:rFonts w:ascii="Bookman Old Style" w:eastAsia="Bookman Old Style" w:hAnsi="Bookman Old Style" w:cs="Bookman Old Style"/>
          <w:b/>
          <w:bCs/>
          <w:lang w:val="es"/>
        </w:rPr>
        <w:t xml:space="preserve">   </w:t>
      </w:r>
    </w:p>
    <w:p w14:paraId="44F69E80" w14:textId="77777777" w:rsidR="00232CAB" w:rsidRPr="00E8644D" w:rsidRDefault="00232CAB" w:rsidP="00CF2BA9">
      <w:pPr>
        <w:ind w:left="0"/>
        <w:jc w:val="both"/>
        <w:rPr>
          <w:rFonts w:ascii="Bookman Old Style" w:eastAsia="Bookman Old Style" w:hAnsi="Bookman Old Style" w:cs="Bookman Old Style"/>
          <w:b/>
          <w:bCs/>
        </w:rPr>
      </w:pPr>
    </w:p>
    <w:p w14:paraId="1263488E" w14:textId="04184C42" w:rsidR="000776BE" w:rsidRPr="006A4116" w:rsidRDefault="0A93618F" w:rsidP="00CF2BA9">
      <w:pPr>
        <w:ind w:left="0"/>
        <w:jc w:val="both"/>
        <w:rPr>
          <w:rFonts w:ascii="Bookman Old Style" w:eastAsia="Bookman Old Style" w:hAnsi="Bookman Old Style" w:cs="Bookman Old Style"/>
          <w:lang w:val="es"/>
        </w:rPr>
      </w:pPr>
      <w:r w:rsidRPr="1CF7EFF7">
        <w:rPr>
          <w:rFonts w:ascii="Bookman Old Style" w:eastAsia="Bookman Old Style" w:hAnsi="Bookman Old Style" w:cs="Bookman Old Style"/>
          <w:b/>
          <w:bCs/>
          <w:lang w:val="es"/>
        </w:rPr>
        <w:t xml:space="preserve">ARTÍCULO </w:t>
      </w:r>
      <w:r w:rsidR="00232CAB">
        <w:rPr>
          <w:rFonts w:ascii="Bookman Old Style" w:eastAsia="Bookman Old Style" w:hAnsi="Bookman Old Style" w:cs="Bookman Old Style"/>
          <w:b/>
          <w:bCs/>
          <w:lang w:val="es"/>
        </w:rPr>
        <w:t>4</w:t>
      </w:r>
      <w:r w:rsidRPr="1CF7EFF7">
        <w:rPr>
          <w:rFonts w:ascii="Bookman Old Style" w:eastAsia="Bookman Old Style" w:hAnsi="Bookman Old Style" w:cs="Bookman Old Style"/>
          <w:lang w:val="es"/>
        </w:rPr>
        <w:t>. Las observaciones y sugerencias sobre el proyecto deberán dirigirse al Director Ejecutivo de la Comisión, a la siguiente dirección</w:t>
      </w:r>
      <w:r w:rsidR="00E06423">
        <w:rPr>
          <w:rFonts w:ascii="Bookman Old Style" w:eastAsia="Bookman Old Style" w:hAnsi="Bookman Old Style" w:cs="Bookman Old Style"/>
          <w:lang w:val="es"/>
        </w:rPr>
        <w:t xml:space="preserve"> electrónica</w:t>
      </w:r>
      <w:r w:rsidRPr="1CF7EFF7">
        <w:rPr>
          <w:rFonts w:ascii="Bookman Old Style" w:eastAsia="Bookman Old Style" w:hAnsi="Bookman Old Style" w:cs="Bookman Old Style"/>
          <w:lang w:val="es"/>
        </w:rPr>
        <w:t xml:space="preserve">: </w:t>
      </w:r>
      <w:hyperlink r:id="rId13">
        <w:r w:rsidRPr="006A4116">
          <w:rPr>
            <w:rFonts w:ascii="Bookman Old Style" w:eastAsia="Bookman Old Style" w:hAnsi="Bookman Old Style" w:cs="Bookman Old Style"/>
            <w:lang w:val="es"/>
          </w:rPr>
          <w:t>creg@creg.gov.co</w:t>
        </w:r>
      </w:hyperlink>
      <w:r w:rsidR="0044557A" w:rsidRPr="006A4116">
        <w:rPr>
          <w:rFonts w:ascii="Bookman Old Style" w:eastAsia="Bookman Old Style" w:hAnsi="Bookman Old Style" w:cs="Bookman Old Style"/>
          <w:lang w:val="es"/>
        </w:rPr>
        <w:t xml:space="preserve">, mediante </w:t>
      </w:r>
      <w:r w:rsidR="00055C8A" w:rsidRPr="006A4116">
        <w:rPr>
          <w:rFonts w:ascii="Bookman Old Style" w:eastAsia="Bookman Old Style" w:hAnsi="Bookman Old Style" w:cs="Bookman Old Style"/>
          <w:lang w:val="es"/>
        </w:rPr>
        <w:t>el formato MS Excel “Comentarios Resolución Ajuste Res 004 de 2021”.</w:t>
      </w:r>
      <w:r w:rsidRPr="1CF7EFF7">
        <w:rPr>
          <w:rFonts w:ascii="Bookman Old Style" w:eastAsia="Bookman Old Style" w:hAnsi="Bookman Old Style" w:cs="Bookman Old Style"/>
          <w:lang w:val="es"/>
        </w:rPr>
        <w:t xml:space="preserve"> </w:t>
      </w:r>
    </w:p>
    <w:p w14:paraId="2C13237F" w14:textId="052E4516" w:rsidR="000776BE" w:rsidRPr="006A4116" w:rsidRDefault="000776BE" w:rsidP="00CF2BA9">
      <w:pPr>
        <w:ind w:left="0"/>
        <w:jc w:val="both"/>
        <w:rPr>
          <w:rFonts w:ascii="Bookman Old Style" w:eastAsia="Bookman Old Style" w:hAnsi="Bookman Old Style" w:cs="Bookman Old Style"/>
          <w:lang w:val="es"/>
        </w:rPr>
      </w:pPr>
    </w:p>
    <w:p w14:paraId="03192E53" w14:textId="333238C6" w:rsidR="000776BE" w:rsidRPr="00F340A2" w:rsidRDefault="0A93618F" w:rsidP="00CF2BA9">
      <w:pPr>
        <w:ind w:left="0"/>
        <w:jc w:val="both"/>
      </w:pPr>
      <w:r w:rsidRPr="1CF7EFF7">
        <w:rPr>
          <w:rFonts w:ascii="Bookman Old Style" w:eastAsia="Bookman Old Style" w:hAnsi="Bookman Old Style" w:cs="Bookman Old Style"/>
          <w:b/>
          <w:bCs/>
          <w:lang w:val="es"/>
        </w:rPr>
        <w:t xml:space="preserve">ARTÍCULO </w:t>
      </w:r>
      <w:r w:rsidR="00232CAB">
        <w:rPr>
          <w:rFonts w:ascii="Bookman Old Style" w:eastAsia="Bookman Old Style" w:hAnsi="Bookman Old Style" w:cs="Bookman Old Style"/>
          <w:b/>
          <w:bCs/>
          <w:lang w:val="es"/>
        </w:rPr>
        <w:t>5</w:t>
      </w:r>
      <w:r w:rsidRPr="1CF7EFF7">
        <w:rPr>
          <w:rFonts w:ascii="Bookman Old Style" w:eastAsia="Bookman Old Style" w:hAnsi="Bookman Old Style" w:cs="Bookman Old Style"/>
          <w:lang w:val="es"/>
        </w:rPr>
        <w:t>. La presente resolución no deroga ni modifica disposiciones vigentes por tratarse de un acto de trámite.</w:t>
      </w:r>
    </w:p>
    <w:p w14:paraId="4BC05423" w14:textId="5B45A31A" w:rsidR="000776BE" w:rsidRPr="00F340A2" w:rsidRDefault="0A93618F" w:rsidP="00CF2BA9">
      <w:pPr>
        <w:ind w:left="0"/>
        <w:jc w:val="center"/>
      </w:pPr>
      <w:r w:rsidRPr="1CF7EFF7">
        <w:rPr>
          <w:rFonts w:ascii="Bookman Old Style" w:eastAsia="Bookman Old Style" w:hAnsi="Bookman Old Style" w:cs="Bookman Old Style"/>
          <w:lang w:val="es"/>
        </w:rPr>
        <w:t xml:space="preserve"> </w:t>
      </w:r>
    </w:p>
    <w:p w14:paraId="39561EC2" w14:textId="05ACC99D" w:rsidR="000776BE" w:rsidRPr="00F340A2" w:rsidRDefault="0A93618F" w:rsidP="00CF2BA9">
      <w:pPr>
        <w:ind w:left="0"/>
        <w:jc w:val="center"/>
      </w:pPr>
      <w:r w:rsidRPr="1CF7EFF7">
        <w:rPr>
          <w:rFonts w:ascii="Bookman Old Style" w:eastAsia="Bookman Old Style" w:hAnsi="Bookman Old Style" w:cs="Bookman Old Style"/>
          <w:lang w:val="es"/>
        </w:rPr>
        <w:t xml:space="preserve"> </w:t>
      </w:r>
    </w:p>
    <w:p w14:paraId="5578F307" w14:textId="12A24727" w:rsidR="000776BE" w:rsidRPr="00F340A2" w:rsidRDefault="0A93618F" w:rsidP="00CF2BA9">
      <w:pPr>
        <w:ind w:left="0"/>
        <w:jc w:val="center"/>
      </w:pPr>
      <w:r w:rsidRPr="1CF7EFF7">
        <w:rPr>
          <w:rFonts w:ascii="Bookman Old Style" w:eastAsia="Bookman Old Style" w:hAnsi="Bookman Old Style" w:cs="Bookman Old Style"/>
          <w:b/>
          <w:bCs/>
          <w:lang w:val="es"/>
        </w:rPr>
        <w:t>PUBLÍQUESE Y CÚMPLASE</w:t>
      </w:r>
    </w:p>
    <w:p w14:paraId="7CC626DB" w14:textId="6497E236" w:rsidR="000776BE" w:rsidRPr="00F340A2" w:rsidRDefault="0A93618F" w:rsidP="00CF2BA9">
      <w:pPr>
        <w:ind w:left="0"/>
        <w:jc w:val="center"/>
      </w:pPr>
      <w:r w:rsidRPr="1CF7EFF7">
        <w:rPr>
          <w:rFonts w:ascii="Bookman Old Style" w:eastAsia="Bookman Old Style" w:hAnsi="Bookman Old Style" w:cs="Bookman Old Style"/>
          <w:lang w:val="es"/>
        </w:rPr>
        <w:t xml:space="preserve">  </w:t>
      </w:r>
    </w:p>
    <w:p w14:paraId="43EA51F6" w14:textId="174BAC6E" w:rsidR="000776BE" w:rsidRPr="005047AF" w:rsidRDefault="0A93618F" w:rsidP="00CF2BA9">
      <w:pPr>
        <w:ind w:left="0"/>
        <w:rPr>
          <w:b/>
          <w:bCs/>
        </w:rPr>
      </w:pPr>
      <w:r w:rsidRPr="1CF7EFF7">
        <w:rPr>
          <w:rFonts w:ascii="Bookman Old Style" w:eastAsia="Bookman Old Style" w:hAnsi="Bookman Old Style" w:cs="Bookman Old Style"/>
          <w:lang w:val="es"/>
        </w:rPr>
        <w:t>Dada en Bogotá, D.C. a</w:t>
      </w:r>
      <w:r w:rsidR="005047AF">
        <w:rPr>
          <w:rFonts w:ascii="Bookman Old Style" w:eastAsia="Bookman Old Style" w:hAnsi="Bookman Old Style" w:cs="Bookman Old Style"/>
          <w:lang w:val="es"/>
        </w:rPr>
        <w:t xml:space="preserve"> </w:t>
      </w:r>
      <w:r w:rsidR="005047AF" w:rsidRPr="005047AF">
        <w:rPr>
          <w:rFonts w:ascii="Bookman Old Style" w:eastAsia="Bookman Old Style" w:hAnsi="Bookman Old Style" w:cs="Bookman Old Style"/>
          <w:b/>
          <w:bCs/>
          <w:lang w:val="es"/>
        </w:rPr>
        <w:t>30 ABR. 2021</w:t>
      </w:r>
    </w:p>
    <w:p w14:paraId="162C06B8" w14:textId="193C2C0A" w:rsidR="000776BE" w:rsidRDefault="000776BE" w:rsidP="1CF7EFF7">
      <w:pPr>
        <w:jc w:val="center"/>
        <w:rPr>
          <w:rFonts w:ascii="Bookman Old Style" w:eastAsia="Bookman Old Style" w:hAnsi="Bookman Old Style" w:cs="Bookman Old Style"/>
          <w:lang w:val="es"/>
        </w:rPr>
      </w:pPr>
    </w:p>
    <w:p w14:paraId="638CE2B8" w14:textId="77777777" w:rsidR="008973B9" w:rsidRDefault="008973B9" w:rsidP="1CF7EFF7">
      <w:pPr>
        <w:jc w:val="center"/>
        <w:rPr>
          <w:rFonts w:ascii="Bookman Old Style" w:eastAsia="Bookman Old Style" w:hAnsi="Bookman Old Style" w:cs="Bookman Old Style"/>
          <w:lang w:val="es"/>
        </w:rPr>
      </w:pPr>
    </w:p>
    <w:p w14:paraId="0D26AE57" w14:textId="77777777" w:rsidR="008973B9" w:rsidRDefault="008973B9" w:rsidP="1CF7EFF7">
      <w:pPr>
        <w:jc w:val="center"/>
        <w:rPr>
          <w:rFonts w:ascii="Bookman Old Style" w:eastAsia="Bookman Old Style" w:hAnsi="Bookman Old Style" w:cs="Bookman Old Style"/>
          <w:lang w:val="es"/>
        </w:rPr>
      </w:pPr>
    </w:p>
    <w:p w14:paraId="3652FAFB" w14:textId="77777777" w:rsidR="008973B9" w:rsidRDefault="008973B9" w:rsidP="007B7FB7">
      <w:pPr>
        <w:ind w:left="0"/>
        <w:jc w:val="center"/>
        <w:rPr>
          <w:rFonts w:ascii="Bookman Old Style" w:eastAsia="Bookman Old Style" w:hAnsi="Bookman Old Style" w:cs="Bookman Old Style"/>
          <w:lang w:val="es"/>
        </w:rPr>
      </w:pPr>
    </w:p>
    <w:p w14:paraId="48889D5E" w14:textId="77777777" w:rsidR="008973B9" w:rsidRDefault="008973B9" w:rsidP="007B7FB7">
      <w:pPr>
        <w:ind w:left="0"/>
        <w:jc w:val="center"/>
        <w:rPr>
          <w:rFonts w:ascii="Bookman Old Style" w:eastAsia="Bookman Old Style" w:hAnsi="Bookman Old Style" w:cs="Bookman Old Style"/>
          <w:lang w:val="es"/>
        </w:rPr>
      </w:pPr>
    </w:p>
    <w:tbl>
      <w:tblPr>
        <w:tblW w:w="9781" w:type="dxa"/>
        <w:jc w:val="center"/>
        <w:tblLayout w:type="fixed"/>
        <w:tblCellMar>
          <w:left w:w="70" w:type="dxa"/>
          <w:right w:w="70" w:type="dxa"/>
        </w:tblCellMar>
        <w:tblLook w:val="04A0" w:firstRow="1" w:lastRow="0" w:firstColumn="1" w:lastColumn="0" w:noHBand="0" w:noVBand="1"/>
      </w:tblPr>
      <w:tblGrid>
        <w:gridCol w:w="4962"/>
        <w:gridCol w:w="4819"/>
      </w:tblGrid>
      <w:tr w:rsidR="008973B9" w:rsidRPr="00F340A2" w14:paraId="1FFFBCE1" w14:textId="77777777" w:rsidTr="00FF37D3">
        <w:trPr>
          <w:jc w:val="center"/>
        </w:trPr>
        <w:tc>
          <w:tcPr>
            <w:tcW w:w="4962" w:type="dxa"/>
            <w:hideMark/>
          </w:tcPr>
          <w:p w14:paraId="54D2E6D9" w14:textId="10CA56A5" w:rsidR="008973B9" w:rsidRPr="006A4116" w:rsidRDefault="00C47F9A" w:rsidP="007B7FB7">
            <w:pPr>
              <w:ind w:left="0" w:firstLine="142"/>
              <w:jc w:val="center"/>
              <w:rPr>
                <w:rFonts w:ascii="Bookman Old Style" w:hAnsi="Bookman Old Style" w:cs="Arial"/>
                <w:b/>
                <w:spacing w:val="-3"/>
                <w:lang w:val="es-ES_tradnl"/>
              </w:rPr>
            </w:pPr>
            <w:r w:rsidRPr="006A4116">
              <w:rPr>
                <w:rFonts w:ascii="Bookman Old Style" w:hAnsi="Bookman Old Style" w:cs="Arial"/>
                <w:b/>
                <w:spacing w:val="-3"/>
              </w:rPr>
              <w:t>MIGUEL LOTERO ROBLEDO</w:t>
            </w:r>
          </w:p>
        </w:tc>
        <w:tc>
          <w:tcPr>
            <w:tcW w:w="4819" w:type="dxa"/>
            <w:hideMark/>
          </w:tcPr>
          <w:p w14:paraId="39EEFA29" w14:textId="77777777" w:rsidR="008973B9" w:rsidRPr="00F340A2" w:rsidRDefault="008973B9" w:rsidP="007B7FB7">
            <w:pPr>
              <w:ind w:left="0" w:right="-142"/>
              <w:jc w:val="center"/>
              <w:rPr>
                <w:rFonts w:ascii="Bookman Old Style" w:hAnsi="Bookman Old Style" w:cs="Arial"/>
                <w:b/>
                <w:spacing w:val="-3"/>
                <w:lang w:val="es-ES_tradnl"/>
              </w:rPr>
            </w:pPr>
            <w:r w:rsidRPr="00D7492C">
              <w:rPr>
                <w:rFonts w:ascii="Bookman Old Style" w:hAnsi="Bookman Old Style" w:cs="Arial"/>
                <w:b/>
                <w:spacing w:val="-3"/>
                <w:lang w:val="es-ES_tradnl"/>
              </w:rPr>
              <w:t>JORGE ALBERTO VALENCIA MARÍN</w:t>
            </w:r>
          </w:p>
        </w:tc>
      </w:tr>
      <w:tr w:rsidR="008973B9" w14:paraId="662A6B65" w14:textId="77777777" w:rsidTr="00FF37D3">
        <w:trPr>
          <w:jc w:val="center"/>
        </w:trPr>
        <w:tc>
          <w:tcPr>
            <w:tcW w:w="4962" w:type="dxa"/>
            <w:hideMark/>
          </w:tcPr>
          <w:p w14:paraId="30FDD03E" w14:textId="23BAABE6" w:rsidR="008973B9" w:rsidRPr="006A4116" w:rsidRDefault="00C47F9A" w:rsidP="00B35EB7">
            <w:pPr>
              <w:ind w:left="0"/>
              <w:jc w:val="center"/>
              <w:rPr>
                <w:rFonts w:ascii="Bookman Old Style" w:hAnsi="Bookman Old Style" w:cs="Arial"/>
                <w:spacing w:val="-3"/>
                <w:lang w:val="es-ES_tradnl"/>
              </w:rPr>
            </w:pPr>
            <w:r w:rsidRPr="006A4116">
              <w:rPr>
                <w:rFonts w:ascii="Bookman Old Style" w:hAnsi="Bookman Old Style" w:cs="Arial"/>
                <w:spacing w:val="-3"/>
                <w:lang w:val="es-ES_tradnl"/>
              </w:rPr>
              <w:t>Vicem</w:t>
            </w:r>
            <w:r w:rsidR="008973B9" w:rsidRPr="006A4116">
              <w:rPr>
                <w:rFonts w:ascii="Bookman Old Style" w:hAnsi="Bookman Old Style" w:cs="Arial"/>
                <w:spacing w:val="-3"/>
                <w:lang w:val="es-ES_tradnl"/>
              </w:rPr>
              <w:t>inistr</w:t>
            </w:r>
            <w:r w:rsidR="003D60DE" w:rsidRPr="006A4116">
              <w:rPr>
                <w:rFonts w:ascii="Bookman Old Style" w:hAnsi="Bookman Old Style" w:cs="Arial"/>
                <w:spacing w:val="-3"/>
                <w:lang w:val="es-ES_tradnl"/>
              </w:rPr>
              <w:t>o</w:t>
            </w:r>
            <w:r w:rsidR="008973B9" w:rsidRPr="006A4116">
              <w:rPr>
                <w:rFonts w:ascii="Bookman Old Style" w:hAnsi="Bookman Old Style" w:cs="Arial"/>
                <w:spacing w:val="-3"/>
                <w:lang w:val="es-ES_tradnl"/>
              </w:rPr>
              <w:t xml:space="preserve"> de</w:t>
            </w:r>
            <w:r w:rsidR="00B2789C" w:rsidRPr="006A4116">
              <w:rPr>
                <w:rFonts w:ascii="Bookman Old Style" w:hAnsi="Bookman Old Style" w:cs="Arial"/>
                <w:spacing w:val="-3"/>
                <w:lang w:val="es-ES_tradnl"/>
              </w:rPr>
              <w:t xml:space="preserve"> Energía. Delegado del Ministro de </w:t>
            </w:r>
            <w:r w:rsidR="008973B9" w:rsidRPr="006A4116">
              <w:rPr>
                <w:rFonts w:ascii="Bookman Old Style" w:hAnsi="Bookman Old Style" w:cs="Arial"/>
                <w:spacing w:val="-3"/>
                <w:lang w:val="es-ES_tradnl"/>
              </w:rPr>
              <w:t xml:space="preserve">Minas y Energía </w:t>
            </w:r>
          </w:p>
          <w:p w14:paraId="142A9F76" w14:textId="77777777" w:rsidR="008973B9" w:rsidRPr="006A4116" w:rsidRDefault="008973B9">
            <w:pPr>
              <w:ind w:left="0"/>
              <w:jc w:val="center"/>
              <w:rPr>
                <w:rFonts w:ascii="Bookman Old Style" w:hAnsi="Bookman Old Style" w:cs="Arial"/>
                <w:spacing w:val="-3"/>
                <w:lang w:val="es-ES_tradnl"/>
              </w:rPr>
            </w:pPr>
            <w:r w:rsidRPr="006A4116">
              <w:rPr>
                <w:rFonts w:ascii="Bookman Old Style" w:hAnsi="Bookman Old Style" w:cs="Arial"/>
                <w:spacing w:val="-3"/>
              </w:rPr>
              <w:t>Presidente</w:t>
            </w:r>
            <w:r w:rsidRPr="006A4116" w:rsidDel="00F9100C">
              <w:rPr>
                <w:rFonts w:ascii="Bookman Old Style" w:hAnsi="Bookman Old Style" w:cs="Arial"/>
                <w:spacing w:val="-3"/>
                <w:lang w:val="es-ES_tradnl"/>
              </w:rPr>
              <w:t xml:space="preserve"> </w:t>
            </w:r>
          </w:p>
        </w:tc>
        <w:tc>
          <w:tcPr>
            <w:tcW w:w="4819" w:type="dxa"/>
            <w:hideMark/>
          </w:tcPr>
          <w:p w14:paraId="4234298A" w14:textId="77777777" w:rsidR="008973B9" w:rsidRDefault="008973B9" w:rsidP="007B7FB7">
            <w:pPr>
              <w:ind w:left="0"/>
              <w:jc w:val="center"/>
              <w:rPr>
                <w:rFonts w:ascii="Bookman Old Style" w:hAnsi="Bookman Old Style" w:cs="Arial"/>
                <w:spacing w:val="-3"/>
                <w:lang w:val="es-ES_tradnl"/>
              </w:rPr>
            </w:pPr>
            <w:r w:rsidRPr="00F340A2">
              <w:rPr>
                <w:rFonts w:ascii="Bookman Old Style" w:hAnsi="Bookman Old Style" w:cs="Arial"/>
                <w:spacing w:val="-3"/>
                <w:lang w:val="es-ES_tradnl"/>
              </w:rPr>
              <w:t>Director Ejecutivo</w:t>
            </w:r>
          </w:p>
        </w:tc>
      </w:tr>
    </w:tbl>
    <w:p w14:paraId="6714A2E6" w14:textId="77777777" w:rsidR="008973B9" w:rsidRDefault="008973B9" w:rsidP="007B7FB7">
      <w:pPr>
        <w:ind w:left="0"/>
        <w:jc w:val="center"/>
        <w:rPr>
          <w:rFonts w:ascii="Bookman Old Style" w:eastAsia="Bookman Old Style" w:hAnsi="Bookman Old Style" w:cs="Bookman Old Style"/>
          <w:lang w:val="es"/>
        </w:rPr>
      </w:pPr>
    </w:p>
    <w:p w14:paraId="0AE02AB4" w14:textId="77777777" w:rsidR="008973B9" w:rsidRPr="00F340A2" w:rsidRDefault="008973B9" w:rsidP="1CF7EFF7">
      <w:pPr>
        <w:jc w:val="center"/>
      </w:pPr>
    </w:p>
    <w:p w14:paraId="327B293D" w14:textId="740A1063" w:rsidR="000776BE" w:rsidRPr="00F340A2" w:rsidRDefault="000776BE" w:rsidP="1CF7EFF7">
      <w:pPr>
        <w:jc w:val="center"/>
      </w:pPr>
    </w:p>
    <w:p w14:paraId="2AC1EA9D" w14:textId="71C3AAF4" w:rsidR="000776BE" w:rsidRPr="00F340A2" w:rsidRDefault="0A93618F" w:rsidP="1CF7EFF7">
      <w:pPr>
        <w:jc w:val="center"/>
      </w:pPr>
      <w:r w:rsidRPr="1CF7EFF7">
        <w:rPr>
          <w:rFonts w:ascii="Bookman Old Style" w:eastAsia="Bookman Old Style" w:hAnsi="Bookman Old Style" w:cs="Bookman Old Style"/>
        </w:rPr>
        <w:t xml:space="preserve"> </w:t>
      </w:r>
    </w:p>
    <w:p w14:paraId="62C9C76A" w14:textId="00664EAA" w:rsidR="000776BE" w:rsidRPr="00F340A2" w:rsidRDefault="0A93618F" w:rsidP="1CF7EFF7">
      <w:pPr>
        <w:jc w:val="center"/>
      </w:pPr>
      <w:r w:rsidRPr="1CF7EFF7">
        <w:rPr>
          <w:rFonts w:ascii="Bookman Old Style" w:eastAsia="Bookman Old Style" w:hAnsi="Bookman Old Style" w:cs="Bookman Old Style"/>
        </w:rPr>
        <w:t xml:space="preserve"> </w:t>
      </w:r>
    </w:p>
    <w:p w14:paraId="32AC7C54" w14:textId="4BC6A675" w:rsidR="000776BE" w:rsidRPr="00F340A2" w:rsidRDefault="0A93618F" w:rsidP="1CF7EFF7">
      <w:pPr>
        <w:jc w:val="center"/>
      </w:pPr>
      <w:r w:rsidRPr="1CF7EFF7">
        <w:rPr>
          <w:rFonts w:ascii="Bookman Old Style" w:eastAsia="Bookman Old Style" w:hAnsi="Bookman Old Style" w:cs="Bookman Old Style"/>
        </w:rPr>
        <w:t xml:space="preserve"> </w:t>
      </w:r>
    </w:p>
    <w:p w14:paraId="702E806C" w14:textId="71B0B4BB" w:rsidR="000776BE" w:rsidRPr="00F340A2" w:rsidRDefault="000776BE" w:rsidP="1CF7EFF7">
      <w:pPr>
        <w:jc w:val="center"/>
        <w:rPr>
          <w:rFonts w:ascii="Bookman Old Style" w:eastAsia="Bookman Old Style" w:hAnsi="Bookman Old Style" w:cs="Bookman Old Style"/>
        </w:rPr>
      </w:pPr>
    </w:p>
    <w:p w14:paraId="25C902E3" w14:textId="370BB003" w:rsidR="000776BE" w:rsidRPr="00F340A2" w:rsidRDefault="000776BE" w:rsidP="000776BE">
      <w:pPr>
        <w:ind w:left="0"/>
        <w:jc w:val="center"/>
        <w:rPr>
          <w:rFonts w:ascii="Bookman Old Style" w:hAnsi="Bookman Old Style"/>
        </w:rPr>
      </w:pPr>
    </w:p>
    <w:p w14:paraId="7F543A86" w14:textId="77777777" w:rsidR="006A01AB" w:rsidRPr="00F340A2" w:rsidRDefault="006A01AB" w:rsidP="006A01AB">
      <w:pPr>
        <w:ind w:left="0"/>
        <w:jc w:val="center"/>
        <w:rPr>
          <w:rFonts w:ascii="Bookman Old Style" w:hAnsi="Bookman Old Style"/>
        </w:rPr>
      </w:pPr>
    </w:p>
    <w:p w14:paraId="1901A4C8" w14:textId="2837B672" w:rsidR="59A197AF" w:rsidRDefault="59A197AF" w:rsidP="59A197AF">
      <w:pPr>
        <w:ind w:left="0"/>
        <w:jc w:val="center"/>
        <w:rPr>
          <w:rFonts w:ascii="Bookman Old Style" w:hAnsi="Bookman Old Style"/>
        </w:rPr>
      </w:pPr>
    </w:p>
    <w:p w14:paraId="3C55120D" w14:textId="2C78622D" w:rsidR="59A197AF" w:rsidRDefault="59A197AF" w:rsidP="59A197AF">
      <w:pPr>
        <w:ind w:left="0"/>
        <w:jc w:val="center"/>
        <w:rPr>
          <w:rFonts w:ascii="Bookman Old Style" w:hAnsi="Bookman Old Style"/>
        </w:rPr>
      </w:pPr>
    </w:p>
    <w:p w14:paraId="2B577C77" w14:textId="453A98FF" w:rsidR="59A197AF" w:rsidRDefault="59A197AF" w:rsidP="59A197AF">
      <w:pPr>
        <w:ind w:left="0"/>
        <w:jc w:val="center"/>
        <w:rPr>
          <w:rFonts w:ascii="Bookman Old Style" w:hAnsi="Bookman Old Style"/>
        </w:rPr>
      </w:pPr>
    </w:p>
    <w:p w14:paraId="1E416BD0" w14:textId="611788AB" w:rsidR="59A197AF" w:rsidRDefault="59A197AF" w:rsidP="59A197AF">
      <w:pPr>
        <w:ind w:left="0"/>
        <w:jc w:val="center"/>
        <w:rPr>
          <w:rFonts w:ascii="Bookman Old Style" w:hAnsi="Bookman Old Style"/>
        </w:rPr>
      </w:pPr>
    </w:p>
    <w:p w14:paraId="49BCD847" w14:textId="532C5BD2" w:rsidR="59A197AF" w:rsidRDefault="59A197AF" w:rsidP="59A197AF">
      <w:pPr>
        <w:ind w:left="0"/>
        <w:jc w:val="center"/>
        <w:rPr>
          <w:rFonts w:ascii="Bookman Old Style" w:hAnsi="Bookman Old Style"/>
        </w:rPr>
      </w:pPr>
    </w:p>
    <w:p w14:paraId="57129DEF" w14:textId="74CFC221" w:rsidR="59A197AF" w:rsidRDefault="59A197AF" w:rsidP="59A197AF">
      <w:pPr>
        <w:ind w:left="0"/>
        <w:jc w:val="center"/>
        <w:rPr>
          <w:rFonts w:ascii="Bookman Old Style" w:hAnsi="Bookman Old Style"/>
        </w:rPr>
      </w:pPr>
    </w:p>
    <w:p w14:paraId="4610C7F3" w14:textId="783E84FA" w:rsidR="59A197AF" w:rsidRDefault="59A197AF" w:rsidP="59A197AF">
      <w:pPr>
        <w:ind w:left="0"/>
        <w:jc w:val="center"/>
        <w:rPr>
          <w:rFonts w:ascii="Bookman Old Style" w:hAnsi="Bookman Old Style"/>
        </w:rPr>
      </w:pPr>
    </w:p>
    <w:p w14:paraId="4989A2E4" w14:textId="2A440409" w:rsidR="59A197AF" w:rsidRDefault="59A197AF" w:rsidP="59A197AF">
      <w:pPr>
        <w:ind w:left="0"/>
        <w:jc w:val="center"/>
        <w:rPr>
          <w:rFonts w:ascii="Bookman Old Style" w:hAnsi="Bookman Old Style"/>
        </w:rPr>
      </w:pPr>
    </w:p>
    <w:p w14:paraId="34BCE1D5" w14:textId="03F0D654" w:rsidR="59A197AF" w:rsidRDefault="59A197AF" w:rsidP="59A197AF">
      <w:pPr>
        <w:ind w:left="0"/>
        <w:jc w:val="center"/>
        <w:rPr>
          <w:rFonts w:ascii="Bookman Old Style" w:hAnsi="Bookman Old Style"/>
        </w:rPr>
      </w:pPr>
    </w:p>
    <w:p w14:paraId="63719107" w14:textId="1795CE70" w:rsidR="59A197AF" w:rsidRDefault="59A197AF" w:rsidP="59A197AF">
      <w:pPr>
        <w:ind w:left="0"/>
        <w:jc w:val="center"/>
        <w:rPr>
          <w:rFonts w:ascii="Bookman Old Style" w:hAnsi="Bookman Old Style"/>
        </w:rPr>
      </w:pPr>
    </w:p>
    <w:p w14:paraId="57FE59FB" w14:textId="4D22B6C0" w:rsidR="59A197AF" w:rsidRDefault="59A197AF" w:rsidP="59A197AF">
      <w:pPr>
        <w:ind w:left="0"/>
        <w:jc w:val="center"/>
        <w:rPr>
          <w:rFonts w:ascii="Bookman Old Style" w:hAnsi="Bookman Old Style"/>
        </w:rPr>
      </w:pPr>
    </w:p>
    <w:p w14:paraId="47C9C5D5" w14:textId="22B74D4E" w:rsidR="005047AF" w:rsidRDefault="005047AF" w:rsidP="59A197AF">
      <w:pPr>
        <w:ind w:left="0"/>
        <w:jc w:val="center"/>
        <w:rPr>
          <w:rFonts w:ascii="Bookman Old Style" w:hAnsi="Bookman Old Style"/>
        </w:rPr>
      </w:pPr>
    </w:p>
    <w:p w14:paraId="6D1D6367" w14:textId="1B7B5DDB" w:rsidR="005047AF" w:rsidRDefault="005047AF" w:rsidP="59A197AF">
      <w:pPr>
        <w:ind w:left="0"/>
        <w:jc w:val="center"/>
        <w:rPr>
          <w:rFonts w:ascii="Bookman Old Style" w:hAnsi="Bookman Old Style"/>
        </w:rPr>
      </w:pPr>
    </w:p>
    <w:p w14:paraId="66CC62B6" w14:textId="49F3DD3F" w:rsidR="005047AF" w:rsidRDefault="005047AF" w:rsidP="59A197AF">
      <w:pPr>
        <w:ind w:left="0"/>
        <w:jc w:val="center"/>
        <w:rPr>
          <w:rFonts w:ascii="Bookman Old Style" w:hAnsi="Bookman Old Style"/>
        </w:rPr>
      </w:pPr>
    </w:p>
    <w:p w14:paraId="2B7BA0C4" w14:textId="40D341BD" w:rsidR="005047AF" w:rsidRDefault="005047AF" w:rsidP="59A197AF">
      <w:pPr>
        <w:ind w:left="0"/>
        <w:jc w:val="center"/>
        <w:rPr>
          <w:rFonts w:ascii="Bookman Old Style" w:hAnsi="Bookman Old Style"/>
        </w:rPr>
      </w:pPr>
    </w:p>
    <w:p w14:paraId="038DD4E4" w14:textId="732CF183" w:rsidR="005047AF" w:rsidRDefault="005047AF" w:rsidP="59A197AF">
      <w:pPr>
        <w:ind w:left="0"/>
        <w:jc w:val="center"/>
        <w:rPr>
          <w:rFonts w:ascii="Bookman Old Style" w:hAnsi="Bookman Old Style"/>
        </w:rPr>
      </w:pPr>
    </w:p>
    <w:p w14:paraId="1E3A21C2" w14:textId="77777777" w:rsidR="005047AF" w:rsidRDefault="005047AF" w:rsidP="59A197AF">
      <w:pPr>
        <w:ind w:left="0"/>
        <w:jc w:val="center"/>
        <w:rPr>
          <w:rFonts w:ascii="Bookman Old Style" w:hAnsi="Bookman Old Style"/>
        </w:rPr>
      </w:pPr>
    </w:p>
    <w:p w14:paraId="37BA8631" w14:textId="77777777" w:rsidR="00E06423" w:rsidRDefault="00E06423" w:rsidP="115DE82D">
      <w:pPr>
        <w:ind w:left="0"/>
        <w:jc w:val="center"/>
        <w:rPr>
          <w:rFonts w:ascii="Bookman Old Style" w:hAnsi="Bookman Old Style"/>
          <w:b/>
        </w:rPr>
      </w:pPr>
    </w:p>
    <w:p w14:paraId="5DAFEFF4" w14:textId="77777777" w:rsidR="00E06423" w:rsidRDefault="00E06423" w:rsidP="115DE82D">
      <w:pPr>
        <w:ind w:left="0"/>
        <w:jc w:val="center"/>
        <w:rPr>
          <w:rFonts w:ascii="Bookman Old Style" w:hAnsi="Bookman Old Style"/>
          <w:b/>
        </w:rPr>
      </w:pPr>
    </w:p>
    <w:p w14:paraId="5A55FA41" w14:textId="09BAC8A4" w:rsidR="115DE82D" w:rsidRDefault="78CB0C99" w:rsidP="115DE82D">
      <w:pPr>
        <w:ind w:left="0"/>
        <w:jc w:val="center"/>
        <w:rPr>
          <w:rFonts w:ascii="Bookman Old Style" w:hAnsi="Bookman Old Style"/>
          <w:b/>
        </w:rPr>
      </w:pPr>
      <w:r w:rsidRPr="38B23840">
        <w:rPr>
          <w:rFonts w:ascii="Bookman Old Style" w:hAnsi="Bookman Old Style"/>
          <w:b/>
        </w:rPr>
        <w:t>PROYECTO DE RESOLUCIÓN</w:t>
      </w:r>
    </w:p>
    <w:p w14:paraId="5E1B9AEF" w14:textId="2C2201B8" w:rsidR="115DE82D" w:rsidRDefault="115DE82D" w:rsidP="115DE82D">
      <w:pPr>
        <w:ind w:left="0"/>
        <w:jc w:val="center"/>
        <w:rPr>
          <w:rFonts w:ascii="Bookman Old Style" w:hAnsi="Bookman Old Style"/>
        </w:rPr>
      </w:pPr>
    </w:p>
    <w:p w14:paraId="6BC2F562" w14:textId="047CF840" w:rsidR="115DE82D" w:rsidRDefault="115DE82D" w:rsidP="115DE82D">
      <w:pPr>
        <w:ind w:left="0"/>
        <w:jc w:val="center"/>
        <w:rPr>
          <w:rFonts w:ascii="Bookman Old Style" w:hAnsi="Bookman Old Style"/>
        </w:rPr>
      </w:pPr>
    </w:p>
    <w:p w14:paraId="5D56108D" w14:textId="4E0937F7" w:rsidR="000776BE" w:rsidRPr="004A0E95" w:rsidRDefault="00E06423" w:rsidP="00A94013">
      <w:pPr>
        <w:ind w:left="0" w:right="51"/>
        <w:jc w:val="center"/>
        <w:rPr>
          <w:rFonts w:ascii="Bookman Old Style" w:hAnsi="Bookman Old Style"/>
          <w:b/>
        </w:rPr>
      </w:pPr>
      <w:r>
        <w:rPr>
          <w:rFonts w:ascii="Bookman Old Style" w:hAnsi="Bookman Old Style" w:cs="Arial"/>
        </w:rPr>
        <w:t>Por la cual se modifica la Resolución CREG 004 de 2021</w:t>
      </w:r>
    </w:p>
    <w:p w14:paraId="47D78AC6" w14:textId="77777777" w:rsidR="000776BE" w:rsidRDefault="000776BE" w:rsidP="000776BE">
      <w:pPr>
        <w:ind w:left="0"/>
        <w:jc w:val="both"/>
        <w:rPr>
          <w:rFonts w:ascii="Bookman Old Style" w:hAnsi="Bookman Old Style"/>
          <w:highlight w:val="yellow"/>
        </w:rPr>
      </w:pPr>
    </w:p>
    <w:p w14:paraId="5E712D73" w14:textId="77777777" w:rsidR="00006C1C" w:rsidRPr="005358DC" w:rsidRDefault="00006C1C" w:rsidP="000776BE">
      <w:pPr>
        <w:ind w:left="0"/>
        <w:jc w:val="both"/>
        <w:rPr>
          <w:rFonts w:ascii="Bookman Old Style" w:hAnsi="Bookman Old Style"/>
          <w:highlight w:val="yellow"/>
        </w:rPr>
      </w:pPr>
    </w:p>
    <w:p w14:paraId="32F39B7B" w14:textId="77777777" w:rsidR="000776BE" w:rsidRPr="005358DC" w:rsidRDefault="000776BE" w:rsidP="000776BE">
      <w:pPr>
        <w:ind w:left="0"/>
        <w:jc w:val="center"/>
        <w:rPr>
          <w:rFonts w:ascii="Bookman Old Style" w:hAnsi="Bookman Old Style"/>
          <w:b/>
        </w:rPr>
      </w:pPr>
      <w:r w:rsidRPr="3D0CA364">
        <w:rPr>
          <w:rFonts w:ascii="Bookman Old Style" w:hAnsi="Bookman Old Style"/>
          <w:b/>
        </w:rPr>
        <w:t>LA COMISIÓN DE REGULACIÓN DE ENERGÍA Y GAS</w:t>
      </w:r>
    </w:p>
    <w:p w14:paraId="46A09773" w14:textId="77777777" w:rsidR="000776BE" w:rsidRPr="005358DC" w:rsidRDefault="000776BE" w:rsidP="000776BE">
      <w:pPr>
        <w:ind w:left="0"/>
        <w:rPr>
          <w:rFonts w:ascii="Bookman Old Style" w:hAnsi="Bookman Old Style"/>
          <w:highlight w:val="yellow"/>
        </w:rPr>
      </w:pPr>
    </w:p>
    <w:p w14:paraId="19DEE17C" w14:textId="04BA8115" w:rsidR="000776BE" w:rsidRDefault="000776BE" w:rsidP="000776BE">
      <w:pPr>
        <w:ind w:left="0"/>
        <w:rPr>
          <w:rFonts w:ascii="Bookman Old Style" w:hAnsi="Bookman Old Style"/>
          <w:highlight w:val="yellow"/>
        </w:rPr>
      </w:pPr>
    </w:p>
    <w:p w14:paraId="01F6B1EA" w14:textId="258EEDDA" w:rsidR="00F512CB" w:rsidRDefault="00F512CB" w:rsidP="00D56D7E">
      <w:pPr>
        <w:ind w:left="0"/>
        <w:jc w:val="center"/>
        <w:rPr>
          <w:rFonts w:ascii="Bookman Old Style" w:hAnsi="Bookman Old Style"/>
          <w:highlight w:val="yellow"/>
        </w:rPr>
      </w:pPr>
      <w:r w:rsidRPr="00F512CB">
        <w:rPr>
          <w:rFonts w:ascii="Bookman Old Style" w:hAnsi="Bookman Old Style"/>
        </w:rPr>
        <w:t>En ejercicio de sus atribuciones legales, en especial las conferidas por las leyes 142 y 143 de 1994, y en desarrollo de los Decretos 1524, 2253 de 1994 y 1260 de 2013.</w:t>
      </w:r>
    </w:p>
    <w:p w14:paraId="238615BB" w14:textId="77777777" w:rsidR="000776BE" w:rsidRDefault="000776BE" w:rsidP="00852B5F">
      <w:pPr>
        <w:ind w:left="0" w:right="51"/>
        <w:rPr>
          <w:rFonts w:ascii="Bookman Old Style" w:hAnsi="Bookman Old Style"/>
        </w:rPr>
      </w:pPr>
    </w:p>
    <w:p w14:paraId="49B3BA73" w14:textId="77777777" w:rsidR="00852B5F" w:rsidRPr="005358DC" w:rsidRDefault="00852B5F" w:rsidP="00852B5F">
      <w:pPr>
        <w:ind w:left="0" w:right="51"/>
        <w:rPr>
          <w:rFonts w:ascii="Bookman Old Style" w:hAnsi="Bookman Old Style"/>
        </w:rPr>
      </w:pPr>
    </w:p>
    <w:p w14:paraId="69FC6127" w14:textId="7595D10B" w:rsidR="000776BE" w:rsidRPr="005358DC" w:rsidRDefault="000776BE" w:rsidP="007B7FB7">
      <w:pPr>
        <w:ind w:left="0" w:right="51"/>
        <w:jc w:val="center"/>
        <w:rPr>
          <w:rFonts w:ascii="Bookman Old Style" w:hAnsi="Bookman Old Style"/>
          <w:b/>
        </w:rPr>
      </w:pPr>
      <w:r w:rsidRPr="7B6B6B74">
        <w:rPr>
          <w:rFonts w:ascii="Bookman Old Style" w:hAnsi="Bookman Old Style"/>
          <w:b/>
        </w:rPr>
        <w:t xml:space="preserve">C O N S I D E R A N D O </w:t>
      </w:r>
      <w:r w:rsidR="003248C5" w:rsidRPr="7B6B6B74">
        <w:rPr>
          <w:rFonts w:ascii="Bookman Old Style" w:hAnsi="Bookman Old Style"/>
          <w:b/>
        </w:rPr>
        <w:t xml:space="preserve"> </w:t>
      </w:r>
      <w:r w:rsidRPr="7B6B6B74">
        <w:rPr>
          <w:rFonts w:ascii="Bookman Old Style" w:hAnsi="Bookman Old Style"/>
          <w:b/>
        </w:rPr>
        <w:t xml:space="preserve"> Q U E:</w:t>
      </w:r>
    </w:p>
    <w:p w14:paraId="1227F42E" w14:textId="77777777" w:rsidR="000776BE" w:rsidRPr="005358DC" w:rsidRDefault="000776BE" w:rsidP="000776BE">
      <w:pPr>
        <w:ind w:left="0"/>
        <w:jc w:val="both"/>
        <w:rPr>
          <w:rFonts w:ascii="Bookman Old Style" w:hAnsi="Bookman Old Style"/>
          <w:highlight w:val="yellow"/>
        </w:rPr>
      </w:pPr>
    </w:p>
    <w:p w14:paraId="21CF487A" w14:textId="77777777" w:rsidR="000776BE" w:rsidRPr="005358DC" w:rsidRDefault="000776BE" w:rsidP="000776BE">
      <w:pPr>
        <w:ind w:left="0"/>
        <w:jc w:val="both"/>
        <w:rPr>
          <w:rFonts w:ascii="Bookman Old Style" w:hAnsi="Bookman Old Style"/>
          <w:highlight w:val="yellow"/>
        </w:rPr>
      </w:pPr>
    </w:p>
    <w:p w14:paraId="281C39E7" w14:textId="6BD8759A" w:rsidR="000776BE" w:rsidRPr="005358DC" w:rsidRDefault="000776BE" w:rsidP="000776BE">
      <w:pPr>
        <w:ind w:left="0"/>
        <w:jc w:val="both"/>
        <w:rPr>
          <w:rFonts w:ascii="Bookman Old Style" w:hAnsi="Bookman Old Style" w:cs="Arial"/>
          <w:spacing w:val="-3"/>
        </w:rPr>
      </w:pPr>
      <w:r w:rsidRPr="381C9F2E">
        <w:rPr>
          <w:rFonts w:ascii="Bookman Old Style" w:hAnsi="Bookman Old Style" w:cs="Arial"/>
        </w:rPr>
        <w:t>Según el</w:t>
      </w:r>
      <w:r w:rsidRPr="381C9F2E">
        <w:rPr>
          <w:rFonts w:ascii="Bookman Old Style" w:hAnsi="Bookman Old Style" w:cs="Arial"/>
          <w:lang w:val="pt-BR"/>
        </w:rPr>
        <w:t xml:space="preserve"> </w:t>
      </w:r>
      <w:r w:rsidRPr="381C9F2E">
        <w:rPr>
          <w:rFonts w:ascii="Bookman Old Style" w:hAnsi="Bookman Old Style" w:cs="Arial"/>
        </w:rPr>
        <w:t>artículo 74</w:t>
      </w:r>
      <w:r w:rsidR="5B8CC2FE" w:rsidRPr="5F170CC3">
        <w:rPr>
          <w:rFonts w:ascii="Bookman Old Style" w:hAnsi="Bookman Old Style" w:cs="Arial"/>
        </w:rPr>
        <w:t xml:space="preserve"> numeral </w:t>
      </w:r>
      <w:r w:rsidRPr="381C9F2E">
        <w:rPr>
          <w:rFonts w:ascii="Bookman Old Style" w:hAnsi="Bookman Old Style" w:cs="Arial"/>
        </w:rPr>
        <w:t>1 de la Ley 142 de 1994</w:t>
      </w:r>
      <w:r w:rsidR="00043803" w:rsidRPr="381C9F2E">
        <w:rPr>
          <w:rFonts w:ascii="Bookman Old Style" w:hAnsi="Bookman Old Style" w:cs="Arial"/>
        </w:rPr>
        <w:t>,</w:t>
      </w:r>
      <w:r w:rsidRPr="381C9F2E">
        <w:rPr>
          <w:rFonts w:ascii="Bookman Old Style" w:hAnsi="Bookman Old Style" w:cs="Arial"/>
        </w:rPr>
        <w:t xml:space="preserve"> la Comisión de Regulación de Energía y Gas</w:t>
      </w:r>
      <w:r w:rsidR="00F71DDD">
        <w:rPr>
          <w:rFonts w:ascii="Bookman Old Style" w:hAnsi="Bookman Old Style" w:cs="Arial"/>
        </w:rPr>
        <w:t xml:space="preserve">, </w:t>
      </w:r>
      <w:r w:rsidR="00FF792C" w:rsidRPr="381C9F2E">
        <w:rPr>
          <w:rFonts w:ascii="Bookman Old Style" w:hAnsi="Bookman Old Style" w:cs="Arial"/>
        </w:rPr>
        <w:t>CREG</w:t>
      </w:r>
      <w:r w:rsidR="00F71DDD">
        <w:rPr>
          <w:rFonts w:ascii="Bookman Old Style" w:hAnsi="Bookman Old Style" w:cs="Arial"/>
        </w:rPr>
        <w:t>,</w:t>
      </w:r>
      <w:r w:rsidR="00FF792C" w:rsidRPr="381C9F2E">
        <w:rPr>
          <w:rFonts w:ascii="Bookman Old Style" w:hAnsi="Bookman Old Style" w:cs="Arial"/>
        </w:rPr>
        <w:t xml:space="preserve"> </w:t>
      </w:r>
      <w:r w:rsidRPr="381C9F2E">
        <w:rPr>
          <w:rFonts w:ascii="Bookman Old Style" w:hAnsi="Bookman Old Style" w:cs="Arial"/>
        </w:rPr>
        <w:t xml:space="preserve">es competente para </w:t>
      </w:r>
      <w:r w:rsidRPr="381C9F2E">
        <w:rPr>
          <w:rFonts w:ascii="Bookman Old Style" w:hAnsi="Bookman Old Style" w:cs="Arial"/>
          <w:spacing w:val="-3"/>
        </w:rPr>
        <w:t>regular el ejercicio de las actividades de los sectores de energía eléctrica y gas combustible.</w:t>
      </w:r>
    </w:p>
    <w:p w14:paraId="5DE614A1" w14:textId="77777777" w:rsidR="000776BE" w:rsidRPr="005358DC" w:rsidRDefault="000776BE" w:rsidP="000776BE">
      <w:pPr>
        <w:ind w:left="0"/>
        <w:jc w:val="both"/>
        <w:rPr>
          <w:rFonts w:ascii="Bookman Old Style" w:hAnsi="Bookman Old Style" w:cs="Arial"/>
          <w:highlight w:val="yellow"/>
        </w:rPr>
      </w:pPr>
    </w:p>
    <w:p w14:paraId="5EB249CA" w14:textId="2219EF81" w:rsidR="000776BE" w:rsidRPr="005358DC" w:rsidRDefault="000776BE" w:rsidP="000776BE">
      <w:pPr>
        <w:ind w:left="0"/>
        <w:jc w:val="both"/>
        <w:rPr>
          <w:rFonts w:ascii="Bookman Old Style" w:hAnsi="Bookman Old Style" w:cs="Arial"/>
        </w:rPr>
      </w:pPr>
      <w:r w:rsidRPr="7ABADD25">
        <w:rPr>
          <w:rFonts w:ascii="Bookman Old Style" w:hAnsi="Bookman Old Style" w:cs="Arial"/>
        </w:rPr>
        <w:t>La Comisión de Regulación de Energía y Gas tiene la función de regular los monopolios en la prestación del servicio público domiciliario de energía eléctrica y gas combustible cuando la competencia no sea, de hecho, posible; y en los demás casos, la de promover la competencia entre quienes presten servicios públicos, para que las operaciones de los monopolistas o de los competidores sean económicamente eficientes, no impliquen abuso de la posición dominante y produzcan servicios de calidad</w:t>
      </w:r>
      <w:r w:rsidRPr="7ABADD25">
        <w:rPr>
          <w:rFonts w:ascii="Bookman Old Style" w:hAnsi="Bookman Old Style" w:cs="Arial"/>
          <w:spacing w:val="-3"/>
        </w:rPr>
        <w:t>.</w:t>
      </w:r>
    </w:p>
    <w:p w14:paraId="78C5BA66" w14:textId="77777777" w:rsidR="000776BE" w:rsidRPr="005358DC" w:rsidRDefault="000776BE" w:rsidP="000776BE">
      <w:pPr>
        <w:ind w:left="0"/>
        <w:rPr>
          <w:rFonts w:ascii="Bookman Old Style" w:hAnsi="Bookman Old Style"/>
          <w:highlight w:val="yellow"/>
        </w:rPr>
      </w:pPr>
    </w:p>
    <w:p w14:paraId="548CCA19" w14:textId="6A046ECD" w:rsidR="00275215" w:rsidRPr="00275215" w:rsidRDefault="000776BE" w:rsidP="00275215">
      <w:pPr>
        <w:ind w:left="0"/>
        <w:jc w:val="both"/>
        <w:rPr>
          <w:rFonts w:ascii="Bookman Old Style" w:hAnsi="Bookman Old Style" w:cs="Arial"/>
        </w:rPr>
      </w:pPr>
      <w:r w:rsidRPr="3AD3BD04">
        <w:rPr>
          <w:rFonts w:ascii="Bookman Old Style" w:hAnsi="Bookman Old Style" w:cs="Arial"/>
        </w:rPr>
        <w:t xml:space="preserve">Según el criterio de suficiencia financiera definido por el artículo </w:t>
      </w:r>
      <w:r w:rsidRPr="43B94241">
        <w:rPr>
          <w:rFonts w:ascii="Bookman Old Style" w:hAnsi="Bookman Old Style" w:cs="Arial"/>
        </w:rPr>
        <w:t>8</w:t>
      </w:r>
      <w:r w:rsidR="67945250" w:rsidRPr="43B94241">
        <w:rPr>
          <w:rFonts w:ascii="Bookman Old Style" w:hAnsi="Bookman Old Style" w:cs="Arial"/>
        </w:rPr>
        <w:t xml:space="preserve"> numeral</w:t>
      </w:r>
      <w:r w:rsidR="00CC782B">
        <w:rPr>
          <w:rFonts w:ascii="Bookman Old Style" w:hAnsi="Bookman Old Style" w:cs="Arial"/>
        </w:rPr>
        <w:t xml:space="preserve"> </w:t>
      </w:r>
      <w:r w:rsidRPr="3AD3BD04">
        <w:rPr>
          <w:rFonts w:ascii="Bookman Old Style" w:hAnsi="Bookman Old Style" w:cs="Arial"/>
        </w:rPr>
        <w:t>4 de la Ley 142 de 1994, las fórmulas tarifarias que establezca la CREG deben permitir remunerar el patrimonio de los accionistas en la misma forma en la que lo habría remunerado una empresa eficiente en un sector de riesgo comparable.</w:t>
      </w:r>
    </w:p>
    <w:p w14:paraId="70575397" w14:textId="24539B8F" w:rsidR="07F704A8" w:rsidRDefault="07F704A8" w:rsidP="07F704A8">
      <w:pPr>
        <w:ind w:left="0"/>
        <w:jc w:val="both"/>
        <w:rPr>
          <w:rFonts w:ascii="Bookman Old Style" w:hAnsi="Bookman Old Style" w:cs="Arial"/>
        </w:rPr>
      </w:pPr>
    </w:p>
    <w:p w14:paraId="20074C60" w14:textId="471B9D4B" w:rsidR="07F704A8" w:rsidRDefault="605A31D6" w:rsidP="07F704A8">
      <w:pPr>
        <w:ind w:left="0"/>
        <w:jc w:val="both"/>
        <w:rPr>
          <w:rFonts w:ascii="Bookman Old Style" w:hAnsi="Bookman Old Style" w:cs="Arial"/>
        </w:rPr>
      </w:pPr>
      <w:r w:rsidRPr="4FE8CDEA">
        <w:rPr>
          <w:rFonts w:ascii="Bookman Old Style" w:hAnsi="Bookman Old Style" w:cs="Arial"/>
        </w:rPr>
        <w:t xml:space="preserve">Conforme al artículo 4 literal </w:t>
      </w:r>
      <w:r w:rsidRPr="6FC40744">
        <w:rPr>
          <w:rFonts w:ascii="Bookman Old Style" w:hAnsi="Bookman Old Style" w:cs="Arial"/>
        </w:rPr>
        <w:t>b</w:t>
      </w:r>
      <w:r w:rsidR="00CD2C4B">
        <w:rPr>
          <w:rFonts w:ascii="Bookman Old Style" w:hAnsi="Bookman Old Style" w:cs="Arial"/>
        </w:rPr>
        <w:t xml:space="preserve"> numeral 3</w:t>
      </w:r>
      <w:r w:rsidRPr="6FC40744">
        <w:rPr>
          <w:rFonts w:ascii="Bookman Old Style" w:hAnsi="Bookman Old Style" w:cs="Arial"/>
        </w:rPr>
        <w:t xml:space="preserve"> del Decreto </w:t>
      </w:r>
      <w:r w:rsidR="00CD2C4B">
        <w:rPr>
          <w:rFonts w:ascii="Bookman Old Style" w:hAnsi="Bookman Old Style" w:cs="Arial"/>
        </w:rPr>
        <w:t>12</w:t>
      </w:r>
      <w:r w:rsidRPr="6FC40744">
        <w:rPr>
          <w:rFonts w:ascii="Bookman Old Style" w:hAnsi="Bookman Old Style" w:cs="Arial"/>
        </w:rPr>
        <w:t xml:space="preserve">60 de 2013, le </w:t>
      </w:r>
      <w:r w:rsidRPr="212DD505">
        <w:rPr>
          <w:rFonts w:ascii="Bookman Old Style" w:hAnsi="Bookman Old Style" w:cs="Arial"/>
        </w:rPr>
        <w:t>corresponde a la CREG</w:t>
      </w:r>
      <w:r w:rsidRPr="3ED4DA2B">
        <w:rPr>
          <w:rFonts w:ascii="Bookman Old Style" w:hAnsi="Bookman Old Style" w:cs="Arial"/>
        </w:rPr>
        <w:t xml:space="preserve"> con relación </w:t>
      </w:r>
      <w:r w:rsidRPr="24A082D5">
        <w:rPr>
          <w:rFonts w:ascii="Bookman Old Style" w:hAnsi="Bookman Old Style" w:cs="Arial"/>
        </w:rPr>
        <w:t>a</w:t>
      </w:r>
      <w:r w:rsidR="27CFD5A4" w:rsidRPr="24A082D5">
        <w:rPr>
          <w:rFonts w:ascii="Bookman Old Style" w:hAnsi="Bookman Old Style" w:cs="Arial"/>
        </w:rPr>
        <w:t>l sector de combustibles líquidos y</w:t>
      </w:r>
      <w:r w:rsidR="27CFD5A4" w:rsidRPr="56E40ABA">
        <w:rPr>
          <w:rFonts w:ascii="Bookman Old Style" w:hAnsi="Bookman Old Style" w:cs="Arial"/>
        </w:rPr>
        <w:t xml:space="preserve"> derivados del </w:t>
      </w:r>
      <w:r w:rsidR="18B6B3E5" w:rsidRPr="3BCBBF8E">
        <w:rPr>
          <w:rFonts w:ascii="Bookman Old Style" w:hAnsi="Bookman Old Style" w:cs="Arial"/>
        </w:rPr>
        <w:t>petróleo</w:t>
      </w:r>
      <w:r w:rsidR="27CFD5A4" w:rsidRPr="56E40ABA">
        <w:rPr>
          <w:rFonts w:ascii="Bookman Old Style" w:hAnsi="Bookman Old Style" w:cs="Arial"/>
        </w:rPr>
        <w:t>,</w:t>
      </w:r>
      <w:r w:rsidR="71401185" w:rsidRPr="70B711F9">
        <w:rPr>
          <w:rFonts w:ascii="Bookman Old Style" w:hAnsi="Bookman Old Style" w:cs="Arial"/>
        </w:rPr>
        <w:t xml:space="preserve"> </w:t>
      </w:r>
      <w:r w:rsidR="71401185" w:rsidRPr="0B588CD1">
        <w:rPr>
          <w:rFonts w:ascii="Bookman Old Style" w:hAnsi="Bookman Old Style" w:cs="Arial"/>
        </w:rPr>
        <w:t>determinar</w:t>
      </w:r>
      <w:r w:rsidR="71401185" w:rsidRPr="70B711F9">
        <w:rPr>
          <w:rFonts w:ascii="Bookman Old Style" w:hAnsi="Bookman Old Style" w:cs="Arial"/>
        </w:rPr>
        <w:t xml:space="preserve"> la metodología para remunerar los activos que garanticen el abastecimiento estratégico de combustibles</w:t>
      </w:r>
      <w:r w:rsidR="00CC782B">
        <w:rPr>
          <w:rFonts w:ascii="Bookman Old Style" w:hAnsi="Bookman Old Style" w:cs="Arial"/>
        </w:rPr>
        <w:t>.</w:t>
      </w:r>
    </w:p>
    <w:p w14:paraId="13B7DB7C" w14:textId="77777777" w:rsidR="000717F7" w:rsidRPr="005358DC" w:rsidRDefault="000717F7" w:rsidP="000717F7">
      <w:pPr>
        <w:ind w:left="0"/>
        <w:jc w:val="both"/>
        <w:rPr>
          <w:rFonts w:ascii="Bookman Old Style" w:hAnsi="Bookman Old Style" w:cs="Arial"/>
          <w:highlight w:val="yellow"/>
        </w:rPr>
      </w:pPr>
    </w:p>
    <w:p w14:paraId="157E2615" w14:textId="3A910112" w:rsidR="000776BE" w:rsidRDefault="00E06423" w:rsidP="007667A2">
      <w:pPr>
        <w:ind w:left="0"/>
        <w:jc w:val="both"/>
        <w:rPr>
          <w:rFonts w:ascii="Bookman Old Style" w:hAnsi="Bookman Old Style" w:cs="Arial"/>
        </w:rPr>
      </w:pPr>
      <w:r w:rsidRPr="007667A2">
        <w:rPr>
          <w:rFonts w:ascii="Bookman Old Style" w:hAnsi="Bookman Old Style" w:cs="Arial"/>
        </w:rPr>
        <w:t>Median</w:t>
      </w:r>
      <w:r w:rsidR="00277BBC" w:rsidRPr="007667A2">
        <w:rPr>
          <w:rFonts w:ascii="Bookman Old Style" w:hAnsi="Bookman Old Style" w:cs="Arial"/>
        </w:rPr>
        <w:t xml:space="preserve">te la Resolución CREG 004 de 2021 </w:t>
      </w:r>
      <w:r w:rsidR="007667A2" w:rsidRPr="007667A2">
        <w:rPr>
          <w:rFonts w:ascii="Bookman Old Style" w:hAnsi="Bookman Old Style" w:cs="Arial"/>
        </w:rPr>
        <w:t xml:space="preserve">la CREG definió </w:t>
      </w:r>
      <w:r w:rsidR="005130A1" w:rsidRPr="005130A1">
        <w:rPr>
          <w:rFonts w:ascii="Bookman Old Style" w:hAnsi="Bookman Old Style" w:cs="Arial"/>
        </w:rPr>
        <w:t>el procedimiento para el cálculo de la tasa de descuento aplicable en las metodologías tarifarias que expide la Comisión de Regulación de Energía y Gas</w:t>
      </w:r>
      <w:r w:rsidR="00866CE1">
        <w:rPr>
          <w:rFonts w:ascii="Bookman Old Style" w:hAnsi="Bookman Old Style" w:cs="Arial"/>
        </w:rPr>
        <w:t>.</w:t>
      </w:r>
    </w:p>
    <w:p w14:paraId="67E2E34F" w14:textId="06372A64" w:rsidR="00866CE1" w:rsidRDefault="00866CE1" w:rsidP="007667A2">
      <w:pPr>
        <w:ind w:left="0"/>
        <w:jc w:val="both"/>
        <w:rPr>
          <w:rFonts w:ascii="Bookman Old Style" w:hAnsi="Bookman Old Style" w:cs="Arial"/>
        </w:rPr>
      </w:pPr>
    </w:p>
    <w:p w14:paraId="0D61E5E5" w14:textId="499648C8" w:rsidR="00866CE1" w:rsidRDefault="00866CE1" w:rsidP="007667A2">
      <w:pPr>
        <w:ind w:left="0"/>
        <w:jc w:val="both"/>
        <w:rPr>
          <w:rFonts w:ascii="Bookman Old Style" w:hAnsi="Bookman Old Style" w:cs="Arial"/>
        </w:rPr>
      </w:pPr>
      <w:r>
        <w:rPr>
          <w:rFonts w:ascii="Bookman Old Style" w:hAnsi="Bookman Old Style" w:cs="Arial"/>
        </w:rPr>
        <w:t>Mediante la comunicación E-2021-002899</w:t>
      </w:r>
      <w:r w:rsidR="00B35EB7">
        <w:rPr>
          <w:rFonts w:ascii="Bookman Old Style" w:hAnsi="Bookman Old Style" w:cs="Arial"/>
        </w:rPr>
        <w:t xml:space="preserve">, </w:t>
      </w:r>
      <w:r w:rsidR="00FB24C0">
        <w:rPr>
          <w:rFonts w:ascii="Bookman Old Style" w:hAnsi="Bookman Old Style" w:cs="Arial"/>
        </w:rPr>
        <w:t xml:space="preserve">la </w:t>
      </w:r>
      <w:r w:rsidR="00FB24C0" w:rsidRPr="00FB24C0">
        <w:rPr>
          <w:rFonts w:ascii="Bookman Old Style" w:hAnsi="Bookman Old Style" w:cs="Arial"/>
        </w:rPr>
        <w:t>Asociación Nacional de Empresas de Servicios Públicos y Comunicaciones de Colombia</w:t>
      </w:r>
      <w:r w:rsidR="003A26C0">
        <w:rPr>
          <w:rFonts w:ascii="Bookman Old Style" w:hAnsi="Bookman Old Style" w:cs="Arial"/>
        </w:rPr>
        <w:t xml:space="preserve">, </w:t>
      </w:r>
      <w:r>
        <w:rPr>
          <w:rFonts w:ascii="Bookman Old Style" w:hAnsi="Bookman Old Style" w:cs="Arial"/>
        </w:rPr>
        <w:t>Andesco</w:t>
      </w:r>
      <w:r w:rsidR="003A26C0">
        <w:rPr>
          <w:rFonts w:ascii="Bookman Old Style" w:hAnsi="Bookman Old Style" w:cs="Arial"/>
        </w:rPr>
        <w:t>,</w:t>
      </w:r>
      <w:r>
        <w:rPr>
          <w:rFonts w:ascii="Bookman Old Style" w:hAnsi="Bookman Old Style" w:cs="Arial"/>
        </w:rPr>
        <w:t xml:space="preserve"> formuló las siguientes observaciones a la CREG respecto al procedimiento establecido en la Resolución CREG 004 de 2021</w:t>
      </w:r>
      <w:r w:rsidR="00672781">
        <w:rPr>
          <w:rFonts w:ascii="Bookman Old Style" w:hAnsi="Bookman Old Style" w:cs="Arial"/>
        </w:rPr>
        <w:t>, entre otros aspectos</w:t>
      </w:r>
      <w:r>
        <w:rPr>
          <w:rFonts w:ascii="Bookman Old Style" w:hAnsi="Bookman Old Style" w:cs="Arial"/>
        </w:rPr>
        <w:t>:</w:t>
      </w:r>
    </w:p>
    <w:p w14:paraId="5290F238" w14:textId="77777777" w:rsidR="008C2703" w:rsidRDefault="008C2703" w:rsidP="008C2703">
      <w:pPr>
        <w:pStyle w:val="Default"/>
      </w:pPr>
    </w:p>
    <w:p w14:paraId="2E882F40" w14:textId="4194E884" w:rsidR="0073241F" w:rsidRPr="0073241F" w:rsidRDefault="008C2703" w:rsidP="003A26C0">
      <w:pPr>
        <w:ind w:left="284"/>
        <w:jc w:val="both"/>
        <w:rPr>
          <w:rFonts w:ascii="Bookman Old Style" w:hAnsi="Bookman Old Style" w:cs="Arial"/>
          <w:sz w:val="20"/>
          <w:szCs w:val="20"/>
        </w:rPr>
      </w:pPr>
      <w:r w:rsidRPr="0073241F">
        <w:rPr>
          <w:rFonts w:ascii="Bookman Old Style" w:hAnsi="Bookman Old Style" w:cs="Arial"/>
          <w:sz w:val="20"/>
          <w:szCs w:val="20"/>
        </w:rPr>
        <w:t>“</w:t>
      </w:r>
      <w:r w:rsidR="0073241F" w:rsidRPr="0073241F">
        <w:rPr>
          <w:rFonts w:ascii="Bookman Old Style" w:hAnsi="Bookman Old Style" w:cs="Arial"/>
          <w:sz w:val="20"/>
          <w:szCs w:val="20"/>
        </w:rPr>
        <w:t>(…)</w:t>
      </w:r>
    </w:p>
    <w:p w14:paraId="72AB1027" w14:textId="77777777" w:rsidR="005047AF" w:rsidRDefault="005047AF" w:rsidP="003A26C0">
      <w:pPr>
        <w:ind w:left="284"/>
        <w:jc w:val="both"/>
        <w:rPr>
          <w:rFonts w:ascii="Bookman Old Style" w:hAnsi="Bookman Old Style" w:cs="Arial"/>
          <w:sz w:val="20"/>
          <w:szCs w:val="20"/>
        </w:rPr>
      </w:pPr>
    </w:p>
    <w:p w14:paraId="7F821D7F" w14:textId="77777777" w:rsidR="005047AF" w:rsidRDefault="005047AF" w:rsidP="003A26C0">
      <w:pPr>
        <w:ind w:left="284"/>
        <w:jc w:val="both"/>
        <w:rPr>
          <w:rFonts w:ascii="Bookman Old Style" w:hAnsi="Bookman Old Style" w:cs="Arial"/>
          <w:sz w:val="20"/>
          <w:szCs w:val="20"/>
        </w:rPr>
      </w:pPr>
    </w:p>
    <w:p w14:paraId="1DA93692" w14:textId="2797A42D" w:rsidR="008C2703" w:rsidRPr="0073241F" w:rsidRDefault="008C2703" w:rsidP="003A26C0">
      <w:pPr>
        <w:ind w:left="284"/>
        <w:jc w:val="both"/>
        <w:rPr>
          <w:rFonts w:ascii="Bookman Old Style" w:hAnsi="Bookman Old Style" w:cs="Arial"/>
          <w:sz w:val="20"/>
          <w:szCs w:val="20"/>
        </w:rPr>
      </w:pPr>
      <w:r w:rsidRPr="0073241F">
        <w:rPr>
          <w:rFonts w:ascii="Bookman Old Style" w:hAnsi="Bookman Old Style" w:cs="Arial"/>
          <w:sz w:val="20"/>
          <w:szCs w:val="20"/>
        </w:rPr>
        <w:t xml:space="preserve">A partir del 30 de septiembre de 2020, Duff &amp; Phelps no hace uso de los códigos de clasificación industrial estándar (SIC), sino de códigos estándar de clasificación industrial global (GICS), los cuales no son equivalentes en cada actividad. Por lo anterior, solicitamos a la Comisión publicar los códigos a utilizar para cada una de las actividades, ya que de esta información depende el Beta, el ajuste al Beta desapalancado y la estructura de capital (costo de la deuda - Wd y el costo de capital propio - We). Adicionalmente, consideramos necesario que los códigos que se seleccionen contengan empresas que desarrollen, de manera particular, cada una de las actividades para las cuales se realiza el cálculo. </w:t>
      </w:r>
    </w:p>
    <w:p w14:paraId="38175744" w14:textId="3991D77D" w:rsidR="0073241F" w:rsidRPr="008F075A" w:rsidRDefault="0073241F" w:rsidP="003A26C0">
      <w:pPr>
        <w:ind w:left="284"/>
        <w:jc w:val="both"/>
        <w:rPr>
          <w:rFonts w:ascii="Bookman Old Style" w:hAnsi="Bookman Old Style"/>
          <w:sz w:val="20"/>
          <w:szCs w:val="20"/>
        </w:rPr>
      </w:pPr>
      <w:r w:rsidRPr="008F075A">
        <w:rPr>
          <w:rFonts w:ascii="Bookman Old Style" w:hAnsi="Bookman Old Style" w:cs="Arial"/>
          <w:sz w:val="20"/>
          <w:szCs w:val="20"/>
        </w:rPr>
        <w:t>(…)</w:t>
      </w:r>
    </w:p>
    <w:p w14:paraId="081E11F4" w14:textId="74C8A735" w:rsidR="0073241F" w:rsidRPr="008F075A" w:rsidRDefault="0073241F" w:rsidP="003A26C0">
      <w:pPr>
        <w:ind w:left="284"/>
        <w:jc w:val="both"/>
        <w:rPr>
          <w:rFonts w:ascii="Bookman Old Style" w:hAnsi="Bookman Old Style"/>
          <w:sz w:val="20"/>
          <w:szCs w:val="20"/>
        </w:rPr>
      </w:pPr>
    </w:p>
    <w:p w14:paraId="3A093A8C" w14:textId="77777777" w:rsidR="003F62C6" w:rsidRPr="0073241F" w:rsidRDefault="003F62C6" w:rsidP="003A26C0">
      <w:pPr>
        <w:ind w:left="284"/>
        <w:jc w:val="both"/>
        <w:rPr>
          <w:rFonts w:ascii="Bookman Old Style" w:hAnsi="Bookman Old Style" w:cs="Arial"/>
          <w:sz w:val="20"/>
          <w:szCs w:val="20"/>
        </w:rPr>
      </w:pPr>
      <w:r w:rsidRPr="0073241F">
        <w:rPr>
          <w:rFonts w:ascii="Bookman Old Style" w:hAnsi="Bookman Old Style" w:cs="Arial"/>
          <w:sz w:val="20"/>
          <w:szCs w:val="20"/>
        </w:rPr>
        <w:t xml:space="preserve">Precisar la periodicidad del costo en dólares de Estados Unidos de América (USD) del endeudamiento del gobierno de Colombia en el exterior (Rf_cop_usd), es decir, si corresponde a efectiva anual, nominal mes vencido, u otra. Asimismo, especificar si se considera el dato diario, el último del mes o el promedio del mes. </w:t>
      </w:r>
    </w:p>
    <w:p w14:paraId="60C65B73" w14:textId="77777777" w:rsidR="00410609" w:rsidRDefault="00410609" w:rsidP="003A26C0">
      <w:pPr>
        <w:ind w:left="284"/>
        <w:jc w:val="both"/>
        <w:rPr>
          <w:rFonts w:ascii="Bookman Old Style" w:hAnsi="Bookman Old Style" w:cs="Arial"/>
          <w:sz w:val="20"/>
          <w:szCs w:val="20"/>
        </w:rPr>
      </w:pPr>
    </w:p>
    <w:p w14:paraId="368BCC14" w14:textId="25C349C8" w:rsidR="0073241F" w:rsidRPr="0073241F" w:rsidRDefault="003F62C6" w:rsidP="003A26C0">
      <w:pPr>
        <w:ind w:left="284"/>
        <w:jc w:val="both"/>
        <w:rPr>
          <w:rFonts w:ascii="Bookman Old Style" w:hAnsi="Bookman Old Style" w:cs="Arial"/>
          <w:sz w:val="20"/>
          <w:szCs w:val="20"/>
        </w:rPr>
      </w:pPr>
      <w:r w:rsidRPr="0073241F">
        <w:rPr>
          <w:rFonts w:ascii="Bookman Old Style" w:hAnsi="Bookman Old Style" w:cs="Arial"/>
          <w:sz w:val="20"/>
          <w:szCs w:val="20"/>
        </w:rPr>
        <w:t>Vemos importante mencionar que la información de Precia, con series diaria y mensual, se encuentra disponible desde noviembre de 2016, por lo que un histórico de sesenta (60) meses solo se tendría hasta noviembre de 2021. Asimismo, la información</w:t>
      </w:r>
      <w:r w:rsidR="00243C23">
        <w:rPr>
          <w:rFonts w:ascii="Bookman Old Style" w:hAnsi="Bookman Old Style" w:cs="Arial"/>
          <w:sz w:val="20"/>
          <w:szCs w:val="20"/>
        </w:rPr>
        <w:t xml:space="preserve"> </w:t>
      </w:r>
      <w:r w:rsidR="0073241F" w:rsidRPr="0073241F">
        <w:rPr>
          <w:rFonts w:ascii="Bookman Old Style" w:hAnsi="Bookman Old Style" w:cs="Arial"/>
          <w:sz w:val="20"/>
          <w:szCs w:val="20"/>
        </w:rPr>
        <w:t xml:space="preserve">disponible se encuentra con dos plazos distintos: (i) información diaria para la curva CO_USD con plazo 3650 días desde el 11 de julio de 2018 hasta el 29 de enero de 2021 y (ii) información diaria para el plazo 3600 días desde el 9 de noviembre de 2016 hasta el 10 de julio de 2018. </w:t>
      </w:r>
    </w:p>
    <w:p w14:paraId="338BE230" w14:textId="77777777" w:rsidR="00410609" w:rsidRDefault="00410609" w:rsidP="003A26C0">
      <w:pPr>
        <w:ind w:left="284"/>
        <w:jc w:val="both"/>
        <w:rPr>
          <w:rFonts w:ascii="Bookman Old Style" w:hAnsi="Bookman Old Style" w:cs="Arial"/>
          <w:sz w:val="20"/>
          <w:szCs w:val="20"/>
        </w:rPr>
      </w:pPr>
    </w:p>
    <w:p w14:paraId="1E950370" w14:textId="323EF00D" w:rsidR="0073241F" w:rsidRPr="0073241F" w:rsidRDefault="0073241F" w:rsidP="003A26C0">
      <w:pPr>
        <w:ind w:left="284"/>
        <w:jc w:val="both"/>
        <w:rPr>
          <w:rFonts w:ascii="Bookman Old Style" w:hAnsi="Bookman Old Style" w:cs="Arial"/>
          <w:sz w:val="20"/>
          <w:szCs w:val="20"/>
        </w:rPr>
      </w:pPr>
      <w:r w:rsidRPr="0073241F">
        <w:rPr>
          <w:rFonts w:ascii="Bookman Old Style" w:hAnsi="Bookman Old Style" w:cs="Arial"/>
          <w:sz w:val="20"/>
          <w:szCs w:val="20"/>
        </w:rPr>
        <w:t>En todo caso, consideramos que la periodicidad de las tasas debería ser igual en el cálculo de la devaluación y en el cálculo de la inflación.</w:t>
      </w:r>
    </w:p>
    <w:p w14:paraId="1D63CA83" w14:textId="185CC24F" w:rsidR="0073241F" w:rsidRPr="008F075A" w:rsidRDefault="0073241F" w:rsidP="008F075A">
      <w:pPr>
        <w:ind w:left="708"/>
        <w:jc w:val="both"/>
        <w:rPr>
          <w:rFonts w:ascii="Bookman Old Style" w:hAnsi="Bookman Old Style" w:cs="Arial"/>
          <w:sz w:val="20"/>
          <w:szCs w:val="20"/>
        </w:rPr>
      </w:pPr>
    </w:p>
    <w:p w14:paraId="39970573" w14:textId="40A9B359" w:rsidR="0073241F" w:rsidRPr="006A4116" w:rsidRDefault="00376B52" w:rsidP="00410609">
      <w:pPr>
        <w:ind w:left="0"/>
        <w:jc w:val="both"/>
        <w:rPr>
          <w:rFonts w:ascii="Bookman Old Style" w:hAnsi="Bookman Old Style" w:cs="Arial"/>
          <w:lang w:val="es-CO"/>
        </w:rPr>
      </w:pPr>
      <w:r w:rsidRPr="00376B52">
        <w:rPr>
          <w:rFonts w:ascii="Bookman Old Style" w:hAnsi="Bookman Old Style" w:cs="Arial"/>
        </w:rPr>
        <w:t xml:space="preserve">Con respecto a la información </w:t>
      </w:r>
      <w:r w:rsidR="00243C23">
        <w:rPr>
          <w:rFonts w:ascii="Bookman Old Style" w:hAnsi="Bookman Old Style" w:cs="Arial"/>
        </w:rPr>
        <w:t>publicada por</w:t>
      </w:r>
      <w:r w:rsidR="00243C23" w:rsidRPr="00376B52">
        <w:rPr>
          <w:rFonts w:ascii="Bookman Old Style" w:hAnsi="Bookman Old Style" w:cs="Arial"/>
        </w:rPr>
        <w:t xml:space="preserve"> </w:t>
      </w:r>
      <w:r w:rsidRPr="00376B52">
        <w:rPr>
          <w:rFonts w:ascii="Bookman Old Style" w:hAnsi="Bookman Old Style" w:cs="Arial"/>
        </w:rPr>
        <w:t>Duff &amp; Phelps</w:t>
      </w:r>
      <w:r w:rsidR="003A26C0">
        <w:rPr>
          <w:rFonts w:ascii="Bookman Old Style" w:hAnsi="Bookman Old Style" w:cs="Arial"/>
        </w:rPr>
        <w:t>,</w:t>
      </w:r>
      <w:r>
        <w:rPr>
          <w:rFonts w:ascii="Bookman Old Style" w:hAnsi="Bookman Old Style" w:cs="Arial"/>
        </w:rPr>
        <w:t xml:space="preserve"> </w:t>
      </w:r>
      <w:r w:rsidR="00443001">
        <w:rPr>
          <w:rFonts w:ascii="Bookman Old Style" w:hAnsi="Bookman Old Style" w:cs="Arial"/>
        </w:rPr>
        <w:t xml:space="preserve">la Comisión hizo la consulta a esa entidad. </w:t>
      </w:r>
      <w:r w:rsidR="00443001" w:rsidRPr="008F075A">
        <w:rPr>
          <w:rFonts w:ascii="Bookman Old Style" w:hAnsi="Bookman Old Style" w:cs="Arial"/>
        </w:rPr>
        <w:t xml:space="preserve">A </w:t>
      </w:r>
      <w:r w:rsidR="00242BA6" w:rsidRPr="006A4116">
        <w:rPr>
          <w:rFonts w:ascii="Bookman Old Style" w:hAnsi="Bookman Old Style" w:cs="Arial"/>
          <w:lang w:val="es-CO"/>
        </w:rPr>
        <w:t>continua</w:t>
      </w:r>
      <w:r w:rsidR="00D12C39">
        <w:rPr>
          <w:rFonts w:ascii="Bookman Old Style" w:hAnsi="Bookman Old Style" w:cs="Arial"/>
          <w:lang w:val="es-CO"/>
        </w:rPr>
        <w:t>c</w:t>
      </w:r>
      <w:r w:rsidR="00242BA6" w:rsidRPr="006A4116">
        <w:rPr>
          <w:rFonts w:ascii="Bookman Old Style" w:hAnsi="Bookman Old Style" w:cs="Arial"/>
          <w:lang w:val="es-CO"/>
        </w:rPr>
        <w:t>i</w:t>
      </w:r>
      <w:r w:rsidR="00242BA6" w:rsidRPr="00EB0C5A">
        <w:rPr>
          <w:rFonts w:ascii="Bookman Old Style" w:hAnsi="Bookman Old Style" w:cs="Arial"/>
          <w:lang w:val="es-MX"/>
        </w:rPr>
        <w:t>on</w:t>
      </w:r>
      <w:r w:rsidR="00443001" w:rsidRPr="00EB0C5A">
        <w:rPr>
          <w:rFonts w:ascii="Bookman Old Style" w:hAnsi="Bookman Old Style" w:cs="Arial"/>
          <w:lang w:val="es-MX"/>
        </w:rPr>
        <w:t>, se transcribe su respuesta:</w:t>
      </w:r>
    </w:p>
    <w:p w14:paraId="28AB7A9F" w14:textId="159DC957" w:rsidR="00376B52" w:rsidRPr="006A4116" w:rsidRDefault="00376B52" w:rsidP="009D1F65">
      <w:pPr>
        <w:ind w:left="708"/>
        <w:jc w:val="both"/>
        <w:rPr>
          <w:rFonts w:ascii="Bookman Old Style" w:hAnsi="Bookman Old Style" w:cs="Arial"/>
          <w:sz w:val="20"/>
          <w:szCs w:val="20"/>
          <w:lang w:val="es-CO"/>
        </w:rPr>
      </w:pPr>
    </w:p>
    <w:p w14:paraId="3267AB91" w14:textId="67460474" w:rsidR="009D1F65" w:rsidRPr="003A26C0" w:rsidRDefault="009D1F65" w:rsidP="003A26C0">
      <w:pPr>
        <w:ind w:left="284"/>
        <w:jc w:val="both"/>
        <w:rPr>
          <w:rFonts w:ascii="Bookman Old Style" w:hAnsi="Bookman Old Style" w:cs="Arial"/>
          <w:i/>
          <w:iCs/>
          <w:sz w:val="20"/>
          <w:szCs w:val="20"/>
        </w:rPr>
      </w:pPr>
      <w:r w:rsidRPr="003A26C0">
        <w:rPr>
          <w:rFonts w:ascii="Bookman Old Style" w:hAnsi="Bookman Old Style" w:cs="Arial"/>
          <w:i/>
          <w:iCs/>
          <w:sz w:val="20"/>
          <w:szCs w:val="20"/>
        </w:rPr>
        <w:t>“Nos gustaría informar que hemos modificado la opción de entrada del navegador de código SIC a código GICS.</w:t>
      </w:r>
    </w:p>
    <w:p w14:paraId="4E2DB9F5" w14:textId="77777777" w:rsidR="009D1F65" w:rsidRPr="003A26C0" w:rsidRDefault="009D1F65" w:rsidP="003A26C0">
      <w:pPr>
        <w:ind w:left="284"/>
        <w:jc w:val="both"/>
        <w:rPr>
          <w:rFonts w:ascii="Bookman Old Style" w:hAnsi="Bookman Old Style" w:cs="Arial"/>
          <w:i/>
          <w:iCs/>
          <w:sz w:val="20"/>
          <w:szCs w:val="20"/>
        </w:rPr>
      </w:pPr>
    </w:p>
    <w:p w14:paraId="4B43D581" w14:textId="3C1CB8F0" w:rsidR="009D1F65" w:rsidRPr="003A26C0" w:rsidRDefault="009D1F65" w:rsidP="003A26C0">
      <w:pPr>
        <w:ind w:left="284"/>
        <w:jc w:val="both"/>
        <w:rPr>
          <w:rFonts w:ascii="Bookman Old Style" w:hAnsi="Bookman Old Style" w:cs="Arial"/>
          <w:i/>
          <w:iCs/>
          <w:sz w:val="20"/>
          <w:szCs w:val="20"/>
          <w:lang w:val="es-CO"/>
        </w:rPr>
      </w:pPr>
      <w:r w:rsidRPr="003A26C0">
        <w:rPr>
          <w:rFonts w:ascii="Bookman Old Style" w:hAnsi="Bookman Old Style" w:cs="Arial"/>
          <w:i/>
          <w:iCs/>
          <w:sz w:val="20"/>
          <w:szCs w:val="20"/>
        </w:rPr>
        <w:t xml:space="preserve">Para modernizar los estándares de la industria utilizados en el </w:t>
      </w:r>
      <w:r w:rsidR="001C67BB" w:rsidRPr="003A26C0">
        <w:rPr>
          <w:rFonts w:ascii="Bookman Old Style" w:hAnsi="Bookman Old Style" w:cs="Arial"/>
          <w:i/>
          <w:iCs/>
          <w:sz w:val="20"/>
          <w:szCs w:val="20"/>
        </w:rPr>
        <w:t>‘Cost of Capital Navigator’</w:t>
      </w:r>
      <w:r w:rsidRPr="003A26C0">
        <w:rPr>
          <w:rFonts w:ascii="Bookman Old Style" w:hAnsi="Bookman Old Style" w:cs="Arial"/>
          <w:i/>
          <w:iCs/>
          <w:sz w:val="20"/>
          <w:szCs w:val="20"/>
        </w:rPr>
        <w:t>, así como para garantizar la coherencia entre los módulos de E</w:t>
      </w:r>
      <w:r w:rsidR="00540120" w:rsidRPr="003A26C0">
        <w:rPr>
          <w:rFonts w:ascii="Bookman Old Style" w:hAnsi="Bookman Old Style" w:cs="Arial"/>
          <w:i/>
          <w:iCs/>
          <w:sz w:val="20"/>
          <w:szCs w:val="20"/>
        </w:rPr>
        <w:t>stados Unidos y los módulos</w:t>
      </w:r>
      <w:r w:rsidRPr="003A26C0">
        <w:rPr>
          <w:rFonts w:ascii="Bookman Old Style" w:hAnsi="Bookman Old Style" w:cs="Arial"/>
          <w:i/>
          <w:iCs/>
          <w:sz w:val="20"/>
          <w:szCs w:val="20"/>
        </w:rPr>
        <w:t xml:space="preserve"> internacionales, todos los análisis de </w:t>
      </w:r>
      <w:r w:rsidR="00EB75C8" w:rsidRPr="003A26C0">
        <w:rPr>
          <w:rFonts w:ascii="Bookman Old Style" w:hAnsi="Bookman Old Style" w:cs="Arial"/>
          <w:i/>
          <w:iCs/>
          <w:sz w:val="20"/>
          <w:szCs w:val="20"/>
        </w:rPr>
        <w:t xml:space="preserve">Estados Unidos </w:t>
      </w:r>
      <w:r w:rsidR="005C4B9F" w:rsidRPr="003A26C0">
        <w:rPr>
          <w:rFonts w:ascii="Bookman Old Style" w:hAnsi="Bookman Old Style" w:cs="Arial"/>
          <w:i/>
          <w:iCs/>
          <w:sz w:val="20"/>
          <w:szCs w:val="20"/>
        </w:rPr>
        <w:t>utilizan</w:t>
      </w:r>
      <w:r w:rsidRPr="003A26C0">
        <w:rPr>
          <w:rFonts w:ascii="Bookman Old Style" w:hAnsi="Bookman Old Style" w:cs="Arial"/>
          <w:i/>
          <w:iCs/>
          <w:sz w:val="20"/>
          <w:szCs w:val="20"/>
        </w:rPr>
        <w:t xml:space="preserve"> el estándar GICS en lugar del estándar SIC para datos calculados hasta el 30/9/2020 y después. </w:t>
      </w:r>
      <w:r w:rsidRPr="003A26C0">
        <w:rPr>
          <w:rFonts w:ascii="Bookman Old Style" w:hAnsi="Bookman Old Style" w:cs="Arial"/>
          <w:i/>
          <w:iCs/>
          <w:sz w:val="20"/>
          <w:szCs w:val="20"/>
          <w:lang w:val="es-CO"/>
        </w:rPr>
        <w:t xml:space="preserve">GICS es un </w:t>
      </w:r>
      <w:r w:rsidRPr="003A26C0">
        <w:rPr>
          <w:rFonts w:ascii="Bookman Old Style" w:hAnsi="Bookman Old Style" w:cs="Arial"/>
          <w:i/>
          <w:iCs/>
          <w:sz w:val="20"/>
          <w:szCs w:val="20"/>
          <w:lang w:val="es-MX"/>
        </w:rPr>
        <w:t>sistema de</w:t>
      </w:r>
      <w:r w:rsidRPr="003A26C0">
        <w:rPr>
          <w:rFonts w:ascii="Bookman Old Style" w:hAnsi="Bookman Old Style" w:cs="Arial"/>
          <w:i/>
          <w:iCs/>
          <w:sz w:val="20"/>
          <w:szCs w:val="20"/>
          <w:lang w:val="es-CO"/>
        </w:rPr>
        <w:t xml:space="preserve"> clasificación industrial jerárquico de cuatro niveles.</w:t>
      </w:r>
    </w:p>
    <w:p w14:paraId="0462861E" w14:textId="77777777" w:rsidR="009D1F65" w:rsidRPr="003A26C0" w:rsidRDefault="009D1F65" w:rsidP="003A26C0">
      <w:pPr>
        <w:ind w:left="284"/>
        <w:jc w:val="both"/>
        <w:rPr>
          <w:rFonts w:ascii="Bookman Old Style" w:hAnsi="Bookman Old Style" w:cs="Arial"/>
          <w:i/>
          <w:iCs/>
          <w:sz w:val="20"/>
          <w:szCs w:val="20"/>
          <w:lang w:val="es-CO"/>
        </w:rPr>
      </w:pPr>
    </w:p>
    <w:p w14:paraId="52BFCE9E" w14:textId="43397794" w:rsidR="009D1F65" w:rsidRPr="003A26C0" w:rsidRDefault="000562B0" w:rsidP="003A26C0">
      <w:pPr>
        <w:ind w:left="284"/>
        <w:jc w:val="both"/>
        <w:rPr>
          <w:rFonts w:ascii="Bookman Old Style" w:hAnsi="Bookman Old Style" w:cs="Arial"/>
          <w:i/>
          <w:iCs/>
          <w:sz w:val="20"/>
          <w:szCs w:val="20"/>
        </w:rPr>
      </w:pPr>
      <w:r w:rsidRPr="003A26C0">
        <w:rPr>
          <w:rFonts w:ascii="Bookman Old Style" w:hAnsi="Bookman Old Style" w:cs="Arial"/>
          <w:i/>
          <w:iCs/>
          <w:sz w:val="20"/>
          <w:szCs w:val="20"/>
        </w:rPr>
        <w:t>(…)</w:t>
      </w:r>
      <w:r w:rsidR="009D1F65" w:rsidRPr="003A26C0">
        <w:rPr>
          <w:rFonts w:ascii="Bookman Old Style" w:hAnsi="Bookman Old Style" w:cs="Arial"/>
          <w:i/>
          <w:iCs/>
          <w:sz w:val="20"/>
          <w:szCs w:val="20"/>
        </w:rPr>
        <w:t>”</w:t>
      </w:r>
      <w:r w:rsidRPr="003A26C0">
        <w:rPr>
          <w:rStyle w:val="Refdenotaalpie"/>
          <w:rFonts w:ascii="Bookman Old Style" w:hAnsi="Bookman Old Style" w:cs="Arial"/>
          <w:i/>
          <w:iCs/>
          <w:sz w:val="20"/>
          <w:szCs w:val="20"/>
        </w:rPr>
        <w:footnoteReference w:id="2"/>
      </w:r>
      <w:r w:rsidR="009D1F65" w:rsidRPr="003A26C0">
        <w:rPr>
          <w:rFonts w:ascii="Bookman Old Style" w:hAnsi="Bookman Old Style" w:cs="Arial"/>
          <w:i/>
          <w:iCs/>
          <w:sz w:val="20"/>
          <w:szCs w:val="20"/>
        </w:rPr>
        <w:t>.</w:t>
      </w:r>
    </w:p>
    <w:p w14:paraId="6141C334" w14:textId="77777777" w:rsidR="009D1F65" w:rsidRDefault="009D1F65" w:rsidP="00410609">
      <w:pPr>
        <w:ind w:left="0"/>
        <w:jc w:val="both"/>
        <w:rPr>
          <w:rFonts w:ascii="Bookman Old Style" w:hAnsi="Bookman Old Style" w:cs="Tahoma"/>
          <w:highlight w:val="yellow"/>
        </w:rPr>
      </w:pPr>
    </w:p>
    <w:p w14:paraId="561F6033" w14:textId="048A2FD1" w:rsidR="00DB4C09" w:rsidRDefault="00DB4C09" w:rsidP="00410609">
      <w:pPr>
        <w:ind w:left="0"/>
        <w:jc w:val="both"/>
        <w:rPr>
          <w:rFonts w:ascii="Bookman Old Style" w:hAnsi="Bookman Old Style" w:cs="Arial"/>
        </w:rPr>
      </w:pPr>
      <w:r w:rsidRPr="00DB5BB3">
        <w:rPr>
          <w:rFonts w:ascii="Bookman Old Style" w:hAnsi="Bookman Old Style" w:cs="Arial"/>
        </w:rPr>
        <w:t xml:space="preserve">Con </w:t>
      </w:r>
      <w:r w:rsidR="00DB5BB3">
        <w:rPr>
          <w:rFonts w:ascii="Bookman Old Style" w:hAnsi="Bookman Old Style" w:cs="Arial"/>
        </w:rPr>
        <w:t xml:space="preserve">respecto a la información </w:t>
      </w:r>
      <w:r w:rsidR="00AB1172">
        <w:rPr>
          <w:rFonts w:ascii="Bookman Old Style" w:hAnsi="Bookman Old Style" w:cs="Arial"/>
        </w:rPr>
        <w:t xml:space="preserve">suministrada por </w:t>
      </w:r>
      <w:r w:rsidR="00DB5BB3">
        <w:rPr>
          <w:rFonts w:ascii="Bookman Old Style" w:hAnsi="Bookman Old Style" w:cs="Arial"/>
        </w:rPr>
        <w:t>Precia</w:t>
      </w:r>
      <w:r w:rsidR="003A26C0">
        <w:rPr>
          <w:rFonts w:ascii="Bookman Old Style" w:hAnsi="Bookman Old Style" w:cs="Arial"/>
        </w:rPr>
        <w:t>,</w:t>
      </w:r>
      <w:r w:rsidR="00DB5BB3">
        <w:rPr>
          <w:rFonts w:ascii="Bookman Old Style" w:hAnsi="Bookman Old Style" w:cs="Arial"/>
        </w:rPr>
        <w:t xml:space="preserve"> esa entidad le informó a la Comisión lo siguiente:</w:t>
      </w:r>
    </w:p>
    <w:p w14:paraId="24C361DF" w14:textId="768E6B5F" w:rsidR="00DB5BB3" w:rsidRDefault="00DB5BB3" w:rsidP="00410609">
      <w:pPr>
        <w:ind w:left="0"/>
        <w:jc w:val="both"/>
        <w:rPr>
          <w:rFonts w:ascii="Bookman Old Style" w:hAnsi="Bookman Old Style" w:cs="Arial"/>
        </w:rPr>
      </w:pPr>
    </w:p>
    <w:p w14:paraId="5F565E51" w14:textId="2FC77B6A" w:rsidR="00F63985" w:rsidRPr="003A26C0" w:rsidRDefault="00F63985" w:rsidP="003A26C0">
      <w:pPr>
        <w:ind w:left="284"/>
        <w:jc w:val="both"/>
        <w:rPr>
          <w:rFonts w:ascii="Bookman Old Style" w:hAnsi="Bookman Old Style" w:cs="Arial"/>
          <w:i/>
          <w:iCs/>
          <w:sz w:val="20"/>
          <w:szCs w:val="20"/>
        </w:rPr>
      </w:pPr>
      <w:r w:rsidRPr="003A26C0">
        <w:rPr>
          <w:rFonts w:ascii="Bookman Old Style" w:hAnsi="Bookman Old Style" w:cs="Arial"/>
          <w:i/>
          <w:iCs/>
          <w:sz w:val="20"/>
          <w:szCs w:val="20"/>
        </w:rPr>
        <w:t>“Atendiendo a su solicitud nos permitimos informar que para las fechas previas a Julio de 2018, la base de cálculo anual era 360 días por ello, el plazo de 3600 días corresponde al valor de la curva para el vencimiento a 10 años. Con posterioridad a dicha fecha la base de cálculo es 365, por lo que como lo comenta el plazo de 14600 días corresponde al plazo de 40 años”.</w:t>
      </w:r>
    </w:p>
    <w:p w14:paraId="50BA00AA" w14:textId="77777777" w:rsidR="00DB5BB3" w:rsidRPr="00DB5BB3" w:rsidRDefault="00DB5BB3" w:rsidP="00410609">
      <w:pPr>
        <w:ind w:left="0"/>
        <w:jc w:val="both"/>
        <w:rPr>
          <w:rFonts w:ascii="Bookman Old Style" w:hAnsi="Bookman Old Style" w:cs="Arial"/>
        </w:rPr>
      </w:pPr>
    </w:p>
    <w:p w14:paraId="7632D01D" w14:textId="28AEACD7" w:rsidR="00376B52" w:rsidRDefault="00F63985" w:rsidP="00410609">
      <w:pPr>
        <w:ind w:left="0"/>
        <w:jc w:val="both"/>
        <w:rPr>
          <w:rFonts w:ascii="Bookman Old Style" w:hAnsi="Bookman Old Style" w:cs="Arial"/>
        </w:rPr>
      </w:pPr>
      <w:r w:rsidRPr="00F63985">
        <w:rPr>
          <w:rFonts w:ascii="Bookman Old Style" w:hAnsi="Bookman Old Style" w:cs="Arial"/>
        </w:rPr>
        <w:t>Del análisis de la respuesta de los dos proveedores de información</w:t>
      </w:r>
      <w:r w:rsidR="00F006D8">
        <w:rPr>
          <w:rFonts w:ascii="Bookman Old Style" w:hAnsi="Bookman Old Style" w:cs="Arial"/>
        </w:rPr>
        <w:t>,</w:t>
      </w:r>
      <w:r w:rsidR="00031F38">
        <w:rPr>
          <w:rFonts w:ascii="Bookman Old Style" w:hAnsi="Bookman Old Style" w:cs="Arial"/>
        </w:rPr>
        <w:t xml:space="preserve"> </w:t>
      </w:r>
      <w:r>
        <w:rPr>
          <w:rFonts w:ascii="Bookman Old Style" w:hAnsi="Bookman Old Style" w:cs="Arial"/>
        </w:rPr>
        <w:t xml:space="preserve">la Comisión considera necesario ajustar el texto de la </w:t>
      </w:r>
      <w:r w:rsidR="00B13487">
        <w:rPr>
          <w:rFonts w:ascii="Bookman Old Style" w:hAnsi="Bookman Old Style" w:cs="Arial"/>
        </w:rPr>
        <w:t>resolución</w:t>
      </w:r>
      <w:r>
        <w:rPr>
          <w:rFonts w:ascii="Bookman Old Style" w:hAnsi="Bookman Old Style" w:cs="Arial"/>
        </w:rPr>
        <w:t xml:space="preserve"> </w:t>
      </w:r>
      <w:r w:rsidR="003C5D8B">
        <w:rPr>
          <w:rFonts w:ascii="Bookman Old Style" w:hAnsi="Bookman Old Style" w:cs="Arial"/>
        </w:rPr>
        <w:t xml:space="preserve">para que el procedimiento previsto en la Resolución sea </w:t>
      </w:r>
      <w:r w:rsidR="0015291A">
        <w:rPr>
          <w:rFonts w:ascii="Bookman Old Style" w:hAnsi="Bookman Old Style" w:cs="Arial"/>
        </w:rPr>
        <w:t>explícito y congruente con la información que producen</w:t>
      </w:r>
      <w:r>
        <w:rPr>
          <w:rFonts w:ascii="Bookman Old Style" w:hAnsi="Bookman Old Style" w:cs="Arial"/>
        </w:rPr>
        <w:t xml:space="preserve"> </w:t>
      </w:r>
      <w:r w:rsidR="0015291A">
        <w:rPr>
          <w:rFonts w:ascii="Bookman Old Style" w:hAnsi="Bookman Old Style" w:cs="Arial"/>
        </w:rPr>
        <w:t>Duff &amp; Phelps y Precia</w:t>
      </w:r>
      <w:r w:rsidR="00B91D31">
        <w:rPr>
          <w:rFonts w:ascii="Bookman Old Style" w:hAnsi="Bookman Old Style" w:cs="Arial"/>
        </w:rPr>
        <w:t>.</w:t>
      </w:r>
    </w:p>
    <w:p w14:paraId="502984E1" w14:textId="63DB7E3C" w:rsidR="008A0C0E" w:rsidRDefault="008A0C0E" w:rsidP="00410609">
      <w:pPr>
        <w:ind w:left="0"/>
        <w:jc w:val="both"/>
        <w:rPr>
          <w:rFonts w:ascii="Bookman Old Style" w:hAnsi="Bookman Old Style" w:cs="Arial"/>
        </w:rPr>
      </w:pPr>
    </w:p>
    <w:p w14:paraId="54DAFF03" w14:textId="37657723" w:rsidR="00F63985" w:rsidRPr="00E948D6" w:rsidRDefault="008A0C0E" w:rsidP="00410609">
      <w:pPr>
        <w:ind w:left="0"/>
        <w:jc w:val="both"/>
        <w:rPr>
          <w:rFonts w:ascii="Bookman Old Style" w:hAnsi="Bookman Old Style" w:cs="Tahoma"/>
          <w:lang w:val="es-MX"/>
        </w:rPr>
      </w:pPr>
      <w:r w:rsidRPr="008A0C0E">
        <w:rPr>
          <w:rFonts w:ascii="Bookman Old Style" w:hAnsi="Bookman Old Style" w:cs="Tahoma"/>
        </w:rPr>
        <w:t>Por o</w:t>
      </w:r>
      <w:r>
        <w:rPr>
          <w:rFonts w:ascii="Bookman Old Style" w:hAnsi="Bookman Old Style" w:cs="Tahoma"/>
        </w:rPr>
        <w:t>tra parte, en el análisis de la aplicación de la metodología se encontró</w:t>
      </w:r>
      <w:r w:rsidR="00DF0034">
        <w:rPr>
          <w:rFonts w:ascii="Bookman Old Style" w:hAnsi="Bookman Old Style" w:cs="Tahoma"/>
        </w:rPr>
        <w:t xml:space="preserve"> pertinente un ajuste en el objeto de la resolución CREG 004 de 2021 para </w:t>
      </w:r>
      <w:r w:rsidR="007422A8">
        <w:rPr>
          <w:rFonts w:ascii="Bookman Old Style" w:hAnsi="Bookman Old Style" w:cs="Tahoma"/>
        </w:rPr>
        <w:t xml:space="preserve">aclarar que la metodología </w:t>
      </w:r>
      <w:r w:rsidR="00AA71C2">
        <w:rPr>
          <w:rFonts w:ascii="Bookman Old Style" w:hAnsi="Bookman Old Style" w:cs="Tahoma"/>
        </w:rPr>
        <w:t>aplica</w:t>
      </w:r>
      <w:r w:rsidR="003A26C0">
        <w:rPr>
          <w:rFonts w:ascii="Bookman Old Style" w:hAnsi="Bookman Old Style" w:cs="Tahoma"/>
        </w:rPr>
        <w:t>,</w:t>
      </w:r>
      <w:r w:rsidR="00AA71C2">
        <w:rPr>
          <w:rFonts w:ascii="Bookman Old Style" w:hAnsi="Bookman Old Style" w:cs="Tahoma"/>
        </w:rPr>
        <w:t xml:space="preserve"> tanto </w:t>
      </w:r>
      <w:r w:rsidR="007422A8">
        <w:rPr>
          <w:rFonts w:ascii="Bookman Old Style" w:hAnsi="Bookman Old Style" w:cs="Tahoma"/>
        </w:rPr>
        <w:t>para el cálculo de tasa</w:t>
      </w:r>
      <w:r w:rsidR="00AA71C2">
        <w:rPr>
          <w:rFonts w:ascii="Bookman Old Style" w:hAnsi="Bookman Old Style" w:cs="Tahoma"/>
        </w:rPr>
        <w:t>s</w:t>
      </w:r>
      <w:r w:rsidR="007422A8">
        <w:rPr>
          <w:rFonts w:ascii="Bookman Old Style" w:hAnsi="Bookman Old Style" w:cs="Tahoma"/>
        </w:rPr>
        <w:t xml:space="preserve"> de descuento </w:t>
      </w:r>
      <w:r w:rsidR="00AA71C2">
        <w:rPr>
          <w:rFonts w:ascii="Bookman Old Style" w:hAnsi="Bookman Old Style" w:cs="Tahoma"/>
        </w:rPr>
        <w:t>como</w:t>
      </w:r>
      <w:r w:rsidR="007422A8">
        <w:rPr>
          <w:rFonts w:ascii="Bookman Old Style" w:hAnsi="Bookman Old Style" w:cs="Tahoma"/>
        </w:rPr>
        <w:t xml:space="preserve"> de rentabilidad. Esto último en atención a que</w:t>
      </w:r>
      <w:r w:rsidR="003A26C0">
        <w:rPr>
          <w:rFonts w:ascii="Bookman Old Style" w:hAnsi="Bookman Old Style" w:cs="Tahoma"/>
        </w:rPr>
        <w:t>,</w:t>
      </w:r>
      <w:r w:rsidR="007422A8">
        <w:rPr>
          <w:rFonts w:ascii="Bookman Old Style" w:hAnsi="Bookman Old Style" w:cs="Tahoma"/>
        </w:rPr>
        <w:t xml:space="preserve"> en la determinación de los cargos </w:t>
      </w:r>
      <w:r w:rsidR="00424098">
        <w:rPr>
          <w:rFonts w:ascii="Bookman Old Style" w:hAnsi="Bookman Old Style" w:cs="Tahoma"/>
        </w:rPr>
        <w:t>de las actividades reguladas a cargo de la CREG</w:t>
      </w:r>
      <w:r w:rsidR="003A26C0">
        <w:rPr>
          <w:rFonts w:ascii="Bookman Old Style" w:hAnsi="Bookman Old Style" w:cs="Tahoma"/>
        </w:rPr>
        <w:t>,</w:t>
      </w:r>
      <w:r w:rsidR="00424098">
        <w:rPr>
          <w:rFonts w:ascii="Bookman Old Style" w:hAnsi="Bookman Old Style" w:cs="Tahoma"/>
        </w:rPr>
        <w:t xml:space="preserve"> en </w:t>
      </w:r>
      <w:r w:rsidR="005D5A8F">
        <w:rPr>
          <w:rFonts w:ascii="Bookman Old Style" w:hAnsi="Bookman Old Style" w:cs="Tahoma"/>
        </w:rPr>
        <w:t xml:space="preserve">algunas </w:t>
      </w:r>
      <w:r w:rsidR="004B38FD">
        <w:rPr>
          <w:rFonts w:ascii="Bookman Old Style" w:hAnsi="Bookman Old Style" w:cs="Tahoma"/>
        </w:rPr>
        <w:t>metodolog</w:t>
      </w:r>
      <w:r w:rsidR="004B38FD">
        <w:rPr>
          <w:rFonts w:ascii="Bookman Old Style" w:hAnsi="Bookman Old Style" w:cs="Tahoma"/>
          <w:lang w:val="es-MX"/>
        </w:rPr>
        <w:t>ías</w:t>
      </w:r>
      <w:r w:rsidR="005D5A8F">
        <w:rPr>
          <w:rFonts w:ascii="Bookman Old Style" w:hAnsi="Bookman Old Style" w:cs="Tahoma"/>
          <w:lang w:val="es-MX"/>
        </w:rPr>
        <w:t xml:space="preserve"> </w:t>
      </w:r>
      <w:r w:rsidR="00E948D6">
        <w:rPr>
          <w:rFonts w:ascii="Bookman Old Style" w:hAnsi="Bookman Old Style" w:cs="Tahoma"/>
          <w:lang w:val="es-MX"/>
        </w:rPr>
        <w:t>se hace referencia a tasas de descuento</w:t>
      </w:r>
      <w:r w:rsidR="003A26C0">
        <w:rPr>
          <w:rFonts w:ascii="Bookman Old Style" w:hAnsi="Bookman Old Style" w:cs="Tahoma"/>
          <w:lang w:val="es-MX"/>
        </w:rPr>
        <w:t>,</w:t>
      </w:r>
      <w:r w:rsidR="00E948D6">
        <w:rPr>
          <w:rFonts w:ascii="Bookman Old Style" w:hAnsi="Bookman Old Style" w:cs="Tahoma"/>
          <w:lang w:val="es-MX"/>
        </w:rPr>
        <w:t xml:space="preserve"> y en otras a tasas de rentabilidad.</w:t>
      </w:r>
    </w:p>
    <w:p w14:paraId="4F9B046E" w14:textId="77777777" w:rsidR="008A0C0E" w:rsidRPr="008A0C0E" w:rsidRDefault="008A0C0E" w:rsidP="00410609">
      <w:pPr>
        <w:ind w:left="0"/>
        <w:jc w:val="both"/>
        <w:rPr>
          <w:rFonts w:ascii="Bookman Old Style" w:hAnsi="Bookman Old Style" w:cs="Tahoma"/>
        </w:rPr>
      </w:pPr>
    </w:p>
    <w:p w14:paraId="07918AC6" w14:textId="77777777" w:rsidR="000776BE" w:rsidRPr="00F340A2" w:rsidRDefault="000776BE" w:rsidP="000776BE">
      <w:pPr>
        <w:suppressAutoHyphens/>
        <w:ind w:left="0"/>
        <w:jc w:val="center"/>
        <w:rPr>
          <w:rFonts w:ascii="Bookman Old Style" w:hAnsi="Bookman Old Style"/>
          <w:spacing w:val="-3"/>
        </w:rPr>
      </w:pPr>
      <w:r w:rsidRPr="00F340A2">
        <w:rPr>
          <w:rFonts w:ascii="Bookman Old Style" w:hAnsi="Bookman Old Style"/>
          <w:b/>
          <w:spacing w:val="-3"/>
        </w:rPr>
        <w:t>R E S U E L V E:</w:t>
      </w:r>
    </w:p>
    <w:p w14:paraId="75858D77" w14:textId="77777777" w:rsidR="0018073E" w:rsidRPr="00A51256" w:rsidRDefault="0018073E" w:rsidP="00A51256">
      <w:pPr>
        <w:pStyle w:val="Textosinformato"/>
        <w:spacing w:line="240" w:lineRule="auto"/>
        <w:rPr>
          <w:rFonts w:ascii="Bookman Old Style" w:hAnsi="Bookman Old Style" w:cs="Tahoma"/>
          <w:sz w:val="24"/>
          <w:szCs w:val="24"/>
          <w:highlight w:val="yellow"/>
        </w:rPr>
      </w:pPr>
      <w:bookmarkStart w:id="0" w:name="_Ref164237694"/>
    </w:p>
    <w:p w14:paraId="40466827" w14:textId="5B38D711" w:rsidR="00F127D6" w:rsidRDefault="000776BE" w:rsidP="004214F7">
      <w:pPr>
        <w:pStyle w:val="Textodebloque"/>
        <w:widowControl w:val="0"/>
        <w:tabs>
          <w:tab w:val="left" w:pos="8789"/>
        </w:tabs>
        <w:suppressAutoHyphens w:val="0"/>
        <w:adjustRightInd w:val="0"/>
        <w:spacing w:after="0"/>
        <w:ind w:left="0" w:right="51"/>
        <w:textAlignment w:val="baseline"/>
        <w:outlineLvl w:val="0"/>
        <w:rPr>
          <w:rFonts w:ascii="Bookman Old Style" w:hAnsi="Bookman Old Style" w:cs="Arial"/>
          <w:szCs w:val="24"/>
        </w:rPr>
      </w:pPr>
      <w:r w:rsidRPr="00F340A2">
        <w:rPr>
          <w:rFonts w:ascii="Bookman Old Style" w:hAnsi="Bookman Old Style" w:cs="Arial"/>
          <w:b/>
          <w:szCs w:val="24"/>
        </w:rPr>
        <w:t>ARTÍCULO 1</w:t>
      </w:r>
      <w:r w:rsidRPr="00F340A2">
        <w:rPr>
          <w:rFonts w:ascii="Bookman Old Style" w:hAnsi="Bookman Old Style" w:cs="Arial"/>
          <w:szCs w:val="24"/>
        </w:rPr>
        <w:t>.</w:t>
      </w:r>
      <w:r w:rsidR="007527FA">
        <w:rPr>
          <w:rFonts w:ascii="Bookman Old Style" w:hAnsi="Bookman Old Style" w:cs="Arial"/>
          <w:szCs w:val="24"/>
        </w:rPr>
        <w:t xml:space="preserve"> </w:t>
      </w:r>
      <w:r w:rsidR="007527FA">
        <w:rPr>
          <w:rFonts w:ascii="Bookman Old Style" w:hAnsi="Bookman Old Style" w:cs="Arial"/>
          <w:b/>
          <w:bCs/>
          <w:szCs w:val="24"/>
        </w:rPr>
        <w:t>Objeto.</w:t>
      </w:r>
      <w:r w:rsidRPr="00F340A2">
        <w:rPr>
          <w:rFonts w:ascii="Bookman Old Style" w:hAnsi="Bookman Old Style" w:cs="Arial"/>
          <w:szCs w:val="24"/>
        </w:rPr>
        <w:t xml:space="preserve"> La presente resolución </w:t>
      </w:r>
      <w:bookmarkEnd w:id="0"/>
      <w:r w:rsidR="00B07482">
        <w:rPr>
          <w:rFonts w:ascii="Bookman Old Style" w:hAnsi="Bookman Old Style" w:cs="Arial"/>
          <w:szCs w:val="24"/>
        </w:rPr>
        <w:t>modifica</w:t>
      </w:r>
      <w:r w:rsidR="00B91D31">
        <w:rPr>
          <w:rFonts w:ascii="Bookman Old Style" w:hAnsi="Bookman Old Style" w:cs="Arial"/>
          <w:szCs w:val="24"/>
        </w:rPr>
        <w:t xml:space="preserve"> la Resolución CREG 004 de 2021</w:t>
      </w:r>
      <w:r w:rsidR="006528C8">
        <w:rPr>
          <w:rFonts w:ascii="Bookman Old Style" w:hAnsi="Bookman Old Style" w:cs="Arial"/>
          <w:szCs w:val="24"/>
        </w:rPr>
        <w:t xml:space="preserve"> </w:t>
      </w:r>
      <w:r w:rsidR="00B07482">
        <w:rPr>
          <w:rFonts w:ascii="Bookman Old Style" w:hAnsi="Bookman Old Style" w:cs="Arial"/>
          <w:szCs w:val="24"/>
        </w:rPr>
        <w:t>para</w:t>
      </w:r>
      <w:r w:rsidR="006528C8">
        <w:rPr>
          <w:rFonts w:ascii="Bookman Old Style" w:hAnsi="Bookman Old Style" w:cs="Arial"/>
          <w:szCs w:val="24"/>
        </w:rPr>
        <w:t xml:space="preserve"> precisar</w:t>
      </w:r>
      <w:r w:rsidR="00B07482">
        <w:rPr>
          <w:rFonts w:ascii="Bookman Old Style" w:hAnsi="Bookman Old Style" w:cs="Arial"/>
          <w:szCs w:val="24"/>
        </w:rPr>
        <w:t xml:space="preserve"> su objeto y </w:t>
      </w:r>
      <w:r w:rsidR="00E11AE5">
        <w:rPr>
          <w:rFonts w:ascii="Bookman Old Style" w:hAnsi="Bookman Old Style" w:cs="Arial"/>
          <w:szCs w:val="24"/>
        </w:rPr>
        <w:t xml:space="preserve">realizar </w:t>
      </w:r>
      <w:r w:rsidR="00B07482">
        <w:rPr>
          <w:rFonts w:ascii="Bookman Old Style" w:hAnsi="Bookman Old Style" w:cs="Arial"/>
          <w:szCs w:val="24"/>
        </w:rPr>
        <w:t>u</w:t>
      </w:r>
      <w:r w:rsidR="001C65A8">
        <w:rPr>
          <w:rFonts w:ascii="Bookman Old Style" w:hAnsi="Bookman Old Style" w:cs="Arial"/>
          <w:szCs w:val="24"/>
        </w:rPr>
        <w:t>n ajuste de</w:t>
      </w:r>
      <w:r w:rsidR="00E11AE5">
        <w:rPr>
          <w:rFonts w:ascii="Bookman Old Style" w:hAnsi="Bookman Old Style" w:cs="Arial"/>
          <w:szCs w:val="24"/>
        </w:rPr>
        <w:t xml:space="preserve"> algunos </w:t>
      </w:r>
      <w:r w:rsidR="001C65A8">
        <w:rPr>
          <w:rFonts w:ascii="Bookman Old Style" w:hAnsi="Bookman Old Style" w:cs="Arial"/>
          <w:szCs w:val="24"/>
        </w:rPr>
        <w:t xml:space="preserve">indicadores </w:t>
      </w:r>
      <w:r w:rsidR="003F051B">
        <w:rPr>
          <w:rFonts w:ascii="Bookman Old Style" w:hAnsi="Bookman Old Style" w:cs="Arial"/>
          <w:szCs w:val="24"/>
        </w:rPr>
        <w:t>que allí se utiliza</w:t>
      </w:r>
      <w:r w:rsidR="00E11AE5">
        <w:rPr>
          <w:rFonts w:ascii="Bookman Old Style" w:hAnsi="Bookman Old Style" w:cs="Arial"/>
          <w:szCs w:val="24"/>
        </w:rPr>
        <w:t>n</w:t>
      </w:r>
      <w:r w:rsidR="003F051B">
        <w:rPr>
          <w:rFonts w:ascii="Bookman Old Style" w:hAnsi="Bookman Old Style" w:cs="Arial"/>
          <w:szCs w:val="24"/>
        </w:rPr>
        <w:t>.</w:t>
      </w:r>
    </w:p>
    <w:p w14:paraId="6EAD6C9A" w14:textId="77777777" w:rsidR="007C0308" w:rsidRDefault="007C0308" w:rsidP="000776BE">
      <w:pPr>
        <w:ind w:left="0"/>
        <w:jc w:val="both"/>
        <w:rPr>
          <w:rFonts w:ascii="Bookman Old Style" w:hAnsi="Bookman Old Style" w:cs="Arial"/>
        </w:rPr>
      </w:pPr>
      <w:bookmarkStart w:id="1" w:name="_Ref30434909"/>
    </w:p>
    <w:p w14:paraId="432D80E6" w14:textId="1D09F735" w:rsidR="00B50F0F" w:rsidRDefault="00B50F0F" w:rsidP="000776BE">
      <w:pPr>
        <w:ind w:left="0"/>
        <w:jc w:val="both"/>
        <w:rPr>
          <w:rFonts w:ascii="Bookman Old Style" w:hAnsi="Bookman Old Style" w:cs="Arial"/>
        </w:rPr>
      </w:pPr>
      <w:r w:rsidRPr="00B50F0F">
        <w:rPr>
          <w:rFonts w:ascii="Bookman Old Style" w:hAnsi="Bookman Old Style" w:cs="Arial"/>
          <w:b/>
          <w:bCs/>
        </w:rPr>
        <w:t>ARTÍCULO 2.</w:t>
      </w:r>
      <w:r>
        <w:rPr>
          <w:rFonts w:ascii="Bookman Old Style" w:hAnsi="Bookman Old Style" w:cs="Arial"/>
        </w:rPr>
        <w:t xml:space="preserve"> </w:t>
      </w:r>
      <w:r>
        <w:rPr>
          <w:rFonts w:ascii="Bookman Old Style" w:hAnsi="Bookman Old Style" w:cs="Arial"/>
          <w:bCs/>
        </w:rPr>
        <w:t>Modifíquese el artículo 1 de la Resolución CREG 004 de 2021 así:</w:t>
      </w:r>
    </w:p>
    <w:p w14:paraId="6F4EEFCD" w14:textId="4252780B" w:rsidR="00B50F0F" w:rsidRDefault="00B50F0F" w:rsidP="000776BE">
      <w:pPr>
        <w:ind w:left="0"/>
        <w:jc w:val="both"/>
        <w:rPr>
          <w:rFonts w:ascii="Bookman Old Style" w:hAnsi="Bookman Old Style" w:cs="Arial"/>
        </w:rPr>
      </w:pPr>
    </w:p>
    <w:p w14:paraId="14C8713A" w14:textId="0DB3386F" w:rsidR="00B50F0F" w:rsidRPr="003A26C0" w:rsidRDefault="00B50F0F" w:rsidP="003A26C0">
      <w:pPr>
        <w:pStyle w:val="Ttulo1"/>
        <w:ind w:left="284"/>
        <w:jc w:val="both"/>
        <w:rPr>
          <w:rFonts w:ascii="Bookman Old Style" w:hAnsi="Bookman Old Style" w:cs="Arial"/>
          <w:b w:val="0"/>
          <w:bCs/>
          <w:i/>
          <w:iCs/>
          <w:sz w:val="20"/>
        </w:rPr>
      </w:pPr>
      <w:r w:rsidRPr="003A26C0">
        <w:rPr>
          <w:rFonts w:ascii="Bookman Old Style" w:hAnsi="Bookman Old Style" w:cs="Arial"/>
          <w:i/>
          <w:iCs/>
          <w:sz w:val="20"/>
        </w:rPr>
        <w:t>ARTÍCULO 1</w:t>
      </w:r>
      <w:r w:rsidRPr="003A26C0">
        <w:rPr>
          <w:rFonts w:ascii="Bookman Old Style" w:hAnsi="Bookman Old Style" w:cs="Arial"/>
          <w:b w:val="0"/>
          <w:bCs/>
          <w:i/>
          <w:iCs/>
          <w:sz w:val="20"/>
        </w:rPr>
        <w:t>. Objeto. La presente resolución tiene como objeto establecer el procedimiento de cálculo de la tasa de descuento</w:t>
      </w:r>
      <w:r w:rsidR="0013746B" w:rsidRPr="003A26C0">
        <w:rPr>
          <w:rFonts w:ascii="Bookman Old Style" w:hAnsi="Bookman Old Style" w:cs="Arial"/>
          <w:b w:val="0"/>
          <w:bCs/>
          <w:i/>
          <w:iCs/>
          <w:sz w:val="20"/>
        </w:rPr>
        <w:t xml:space="preserve"> o de rentabilidad</w:t>
      </w:r>
      <w:r w:rsidRPr="003A26C0">
        <w:rPr>
          <w:rFonts w:ascii="Bookman Old Style" w:hAnsi="Bookman Old Style" w:cs="Arial"/>
          <w:b w:val="0"/>
          <w:bCs/>
          <w:i/>
          <w:iCs/>
          <w:sz w:val="20"/>
        </w:rPr>
        <w:t xml:space="preserve"> aplicable en las metodologías tarifarias que expide la Comisión de Regulación de Energía y Gas para las actividades que regula.</w:t>
      </w:r>
    </w:p>
    <w:p w14:paraId="7C851663" w14:textId="072C184A" w:rsidR="00B50F0F" w:rsidRDefault="00B50F0F" w:rsidP="000776BE">
      <w:pPr>
        <w:ind w:left="0"/>
        <w:jc w:val="both"/>
        <w:rPr>
          <w:rFonts w:ascii="Bookman Old Style" w:hAnsi="Bookman Old Style" w:cs="Arial"/>
        </w:rPr>
      </w:pPr>
    </w:p>
    <w:p w14:paraId="14E354A3" w14:textId="12AD4C6F" w:rsidR="00847699" w:rsidRDefault="00847699" w:rsidP="00847699">
      <w:pPr>
        <w:pStyle w:val="Ttulo1"/>
        <w:ind w:left="0"/>
        <w:jc w:val="both"/>
        <w:rPr>
          <w:rFonts w:ascii="Bookman Old Style" w:hAnsi="Bookman Old Style" w:cs="Arial"/>
          <w:b w:val="0"/>
          <w:bCs/>
        </w:rPr>
      </w:pPr>
      <w:r w:rsidRPr="00F340A2">
        <w:rPr>
          <w:rFonts w:ascii="Bookman Old Style" w:hAnsi="Bookman Old Style" w:cs="Arial"/>
        </w:rPr>
        <w:t xml:space="preserve">ARTÍCULO </w:t>
      </w:r>
      <w:r>
        <w:rPr>
          <w:rFonts w:ascii="Bookman Old Style" w:hAnsi="Bookman Old Style" w:cs="Arial"/>
        </w:rPr>
        <w:t>3</w:t>
      </w:r>
      <w:r w:rsidRPr="00F340A2">
        <w:rPr>
          <w:rFonts w:ascii="Bookman Old Style" w:hAnsi="Bookman Old Style" w:cs="Arial"/>
        </w:rPr>
        <w:t xml:space="preserve">. </w:t>
      </w:r>
      <w:r>
        <w:rPr>
          <w:rFonts w:ascii="Bookman Old Style" w:hAnsi="Bookman Old Style" w:cs="Arial"/>
          <w:b w:val="0"/>
          <w:bCs/>
        </w:rPr>
        <w:t xml:space="preserve">Modifíquese el parágrafo </w:t>
      </w:r>
      <w:r w:rsidR="00CA0B31">
        <w:rPr>
          <w:rFonts w:ascii="Bookman Old Style" w:hAnsi="Bookman Old Style" w:cs="Arial"/>
          <w:b w:val="0"/>
          <w:bCs/>
        </w:rPr>
        <w:t>1</w:t>
      </w:r>
      <w:r>
        <w:rPr>
          <w:rFonts w:ascii="Bookman Old Style" w:hAnsi="Bookman Old Style" w:cs="Arial"/>
          <w:b w:val="0"/>
          <w:bCs/>
        </w:rPr>
        <w:t xml:space="preserve"> del artículo 2 de la Resolución CREG 004 de 2021 así:</w:t>
      </w:r>
    </w:p>
    <w:p w14:paraId="7032A5A9" w14:textId="77777777" w:rsidR="00847699" w:rsidRDefault="00847699" w:rsidP="00847699">
      <w:pPr>
        <w:ind w:left="0"/>
        <w:jc w:val="both"/>
        <w:rPr>
          <w:rFonts w:ascii="Bookman Old Style" w:hAnsi="Bookman Old Style" w:cs="Arial"/>
          <w:lang w:val="es-CO"/>
        </w:rPr>
      </w:pPr>
    </w:p>
    <w:p w14:paraId="620A4A4A" w14:textId="306DE5EF" w:rsidR="00847699" w:rsidRPr="003A26C0" w:rsidRDefault="00847699" w:rsidP="00847699">
      <w:pPr>
        <w:pStyle w:val="Ttulo2"/>
        <w:numPr>
          <w:ilvl w:val="0"/>
          <w:numId w:val="0"/>
        </w:numPr>
        <w:spacing w:line="240" w:lineRule="auto"/>
        <w:rPr>
          <w:rFonts w:ascii="Bookman Old Style" w:hAnsi="Bookman Old Style" w:cs="Arial"/>
          <w:b w:val="0"/>
          <w:i/>
          <w:iCs/>
          <w:sz w:val="20"/>
          <w:szCs w:val="20"/>
        </w:rPr>
      </w:pPr>
      <w:r w:rsidRPr="003A26C0">
        <w:rPr>
          <w:rFonts w:ascii="Bookman Old Style" w:hAnsi="Bookman Old Style" w:cs="Arial"/>
          <w:i/>
          <w:iCs/>
          <w:sz w:val="20"/>
          <w:szCs w:val="20"/>
        </w:rPr>
        <w:t xml:space="preserve">Parágrafo 1. </w:t>
      </w:r>
      <w:r w:rsidRPr="003A26C0">
        <w:rPr>
          <w:rFonts w:ascii="Bookman Old Style" w:hAnsi="Bookman Old Style" w:cs="Arial"/>
          <w:b w:val="0"/>
          <w:i/>
          <w:iCs/>
          <w:sz w:val="20"/>
          <w:szCs w:val="20"/>
        </w:rPr>
        <w:t xml:space="preserve">El costo promedio ponderado de capital en pesos corrientes y antes de impuestos (ai) para la actividad </w:t>
      </w:r>
      <m:oMath>
        <m:r>
          <m:rPr>
            <m:sty m:val="bi"/>
          </m:rPr>
          <w:rPr>
            <w:rFonts w:ascii="Cambria Math" w:hAnsi="Cambria Math" w:cs="Arial"/>
            <w:sz w:val="20"/>
            <w:szCs w:val="20"/>
          </w:rPr>
          <m:t>a</m:t>
        </m:r>
      </m:oMath>
      <w:r w:rsidRPr="003A26C0">
        <w:rPr>
          <w:rFonts w:ascii="Bookman Old Style" w:hAnsi="Bookman Old Style" w:cs="Arial"/>
          <w:b w:val="0"/>
          <w:i/>
          <w:iCs/>
          <w:sz w:val="20"/>
          <w:szCs w:val="20"/>
        </w:rPr>
        <w:t xml:space="preserve">, en el momento </w:t>
      </w:r>
      <m:oMath>
        <m:r>
          <m:rPr>
            <m:sty m:val="bi"/>
          </m:rPr>
          <w:rPr>
            <w:rFonts w:ascii="Cambria Math" w:hAnsi="Cambria Math" w:cs="Arial"/>
            <w:sz w:val="20"/>
            <w:szCs w:val="20"/>
          </w:rPr>
          <m:t>τ</m:t>
        </m:r>
      </m:oMath>
      <w:r w:rsidRPr="003A26C0">
        <w:rPr>
          <w:rFonts w:ascii="Bookman Old Style" w:hAnsi="Bookman Old Style" w:cs="Arial"/>
          <w:b w:val="0"/>
          <w:i/>
          <w:iCs/>
          <w:sz w:val="20"/>
          <w:szCs w:val="20"/>
        </w:rPr>
        <w:t>, está dado por la siguiente expresión:</w:t>
      </w:r>
    </w:p>
    <w:p w14:paraId="3FD0E980" w14:textId="77777777" w:rsidR="00847699" w:rsidRPr="003A26C0" w:rsidRDefault="00847699" w:rsidP="00847699">
      <w:pPr>
        <w:ind w:left="0"/>
        <w:contextualSpacing/>
        <w:jc w:val="both"/>
        <w:rPr>
          <w:rFonts w:ascii="Bookman Old Style" w:hAnsi="Bookman Old Style" w:cs="Arial"/>
          <w:i/>
          <w:iCs/>
          <w:sz w:val="20"/>
          <w:szCs w:val="20"/>
        </w:rPr>
      </w:pPr>
    </w:p>
    <w:p w14:paraId="4C9AAD90" w14:textId="79A7CFD5" w:rsidR="00847699" w:rsidRPr="003A26C0" w:rsidRDefault="00741E93" w:rsidP="00847699">
      <w:pPr>
        <w:ind w:left="0"/>
        <w:contextualSpacing/>
        <w:jc w:val="both"/>
        <w:rPr>
          <w:rFonts w:ascii="Bookman Old Style" w:hAnsi="Bookman Old Style" w:cs="Arial"/>
          <w:i/>
          <w:iCs/>
          <w:sz w:val="20"/>
          <w:szCs w:val="20"/>
        </w:rPr>
      </w:pPr>
      <m:oMathPara>
        <m:oMath>
          <m:sSubSup>
            <m:sSubSupPr>
              <m:ctrlPr>
                <w:rPr>
                  <w:rFonts w:ascii="Cambria Math" w:hAnsi="Cambria Math" w:cs="Arial"/>
                  <w:i/>
                  <w:iCs/>
                  <w:color w:val="000000" w:themeColor="text1"/>
                  <w:kern w:val="24"/>
                  <w:sz w:val="20"/>
                  <w:szCs w:val="20"/>
                </w:rPr>
              </m:ctrlPr>
            </m:sSubSupPr>
            <m:e>
              <m:r>
                <w:rPr>
                  <w:rFonts w:ascii="Cambria Math" w:hAnsi="Cambria Math" w:cs="Arial"/>
                  <w:color w:val="000000" w:themeColor="text1"/>
                  <w:kern w:val="24"/>
                  <w:sz w:val="20"/>
                  <w:szCs w:val="20"/>
                </w:rPr>
                <m:t>WACC_cop</m:t>
              </m:r>
            </m:e>
            <m:sub>
              <m:r>
                <w:rPr>
                  <w:rFonts w:ascii="Cambria Math" w:hAnsi="Cambria Math" w:cs="Arial"/>
                  <w:color w:val="000000" w:themeColor="text1"/>
                  <w:kern w:val="24"/>
                  <w:sz w:val="20"/>
                  <w:szCs w:val="20"/>
                </w:rPr>
                <m:t>a,τ,ai</m:t>
              </m:r>
            </m:sub>
            <m:sup>
              <m:r>
                <w:rPr>
                  <w:rFonts w:ascii="Cambria Math" w:hAnsi="Cambria Math" w:cs="Arial"/>
                  <w:color w:val="000000" w:themeColor="text1"/>
                  <w:kern w:val="24"/>
                  <w:sz w:val="20"/>
                  <w:szCs w:val="20"/>
                </w:rPr>
                <m:t xml:space="preserve"> </m:t>
              </m:r>
            </m:sup>
          </m:sSubSup>
          <m:r>
            <w:rPr>
              <w:rFonts w:ascii="Cambria Math" w:hAnsi="Cambria Math" w:cs="Arial"/>
              <w:color w:val="000000" w:themeColor="text1"/>
              <w:kern w:val="24"/>
              <w:sz w:val="20"/>
              <w:szCs w:val="20"/>
            </w:rPr>
            <m:t>=</m:t>
          </m:r>
          <m:sSub>
            <m:sSubPr>
              <m:ctrlPr>
                <w:rPr>
                  <w:rFonts w:ascii="Cambria Math" w:eastAsia="Cambria Math" w:hAnsi="Cambria Math" w:cs="Arial"/>
                  <w:i/>
                  <w:iCs/>
                  <w:color w:val="000000" w:themeColor="text1"/>
                  <w:kern w:val="24"/>
                  <w:sz w:val="20"/>
                  <w:szCs w:val="20"/>
                </w:rPr>
              </m:ctrlPr>
            </m:sSubPr>
            <m:e>
              <m:r>
                <w:rPr>
                  <w:rFonts w:ascii="Cambria Math" w:eastAsia="Cambria Math" w:hAnsi="Cambria Math" w:cs="Arial"/>
                  <w:color w:val="000000" w:themeColor="text1"/>
                  <w:kern w:val="24"/>
                  <w:sz w:val="20"/>
                  <w:szCs w:val="20"/>
                </w:rPr>
                <m:t>Wd</m:t>
              </m:r>
            </m:e>
            <m:sub>
              <m:r>
                <w:rPr>
                  <w:rFonts w:ascii="Cambria Math" w:eastAsia="Cambria Math" w:hAnsi="Cambria Math" w:cs="Arial"/>
                  <w:color w:val="000000" w:themeColor="text1"/>
                  <w:kern w:val="24"/>
                  <w:sz w:val="20"/>
                  <w:szCs w:val="20"/>
                </w:rPr>
                <m:t xml:space="preserve"> a,τ</m:t>
              </m:r>
            </m:sub>
          </m:sSub>
          <m:r>
            <w:rPr>
              <w:rFonts w:ascii="Cambria Math" w:eastAsia="Cambria Math" w:hAnsi="Cambria Math" w:cs="Arial"/>
              <w:color w:val="000000" w:themeColor="text1"/>
              <w:kern w:val="24"/>
              <w:sz w:val="20"/>
              <w:szCs w:val="20"/>
            </w:rPr>
            <m:t>∙</m:t>
          </m:r>
          <m:sSub>
            <m:sSubPr>
              <m:ctrlPr>
                <w:rPr>
                  <w:rFonts w:ascii="Cambria Math" w:eastAsia="Cambria Math" w:hAnsi="Cambria Math" w:cs="Arial"/>
                  <w:i/>
                  <w:iCs/>
                  <w:color w:val="000000" w:themeColor="text1"/>
                  <w:kern w:val="24"/>
                  <w:sz w:val="20"/>
                  <w:szCs w:val="20"/>
                </w:rPr>
              </m:ctrlPr>
            </m:sSubPr>
            <m:e>
              <m:r>
                <w:rPr>
                  <w:rFonts w:ascii="Cambria Math" w:eastAsia="Cambria Math" w:hAnsi="Cambria Math" w:cs="Arial"/>
                  <w:color w:val="000000" w:themeColor="text1"/>
                  <w:kern w:val="24"/>
                  <w:sz w:val="20"/>
                  <w:szCs w:val="20"/>
                </w:rPr>
                <m:t>Kd_cop</m:t>
              </m:r>
            </m:e>
            <m:sub>
              <m:r>
                <w:rPr>
                  <w:rFonts w:ascii="Cambria Math" w:eastAsia="Cambria Math" w:hAnsi="Cambria Math" w:cs="Arial"/>
                  <w:color w:val="000000" w:themeColor="text1"/>
                  <w:kern w:val="24"/>
                  <w:sz w:val="20"/>
                  <w:szCs w:val="20"/>
                </w:rPr>
                <m:t>τ</m:t>
              </m:r>
            </m:sub>
          </m:sSub>
          <m:r>
            <w:rPr>
              <w:rFonts w:ascii="Cambria Math" w:eastAsia="Cambria Math" w:hAnsi="Cambria Math" w:cs="Arial"/>
              <w:color w:val="000000" w:themeColor="text1"/>
              <w:kern w:val="24"/>
              <w:sz w:val="20"/>
              <w:szCs w:val="20"/>
            </w:rPr>
            <m:t>+</m:t>
          </m:r>
          <m:sSub>
            <m:sSubPr>
              <m:ctrlPr>
                <w:rPr>
                  <w:rFonts w:ascii="Cambria Math" w:eastAsia="Cambria Math" w:hAnsi="Cambria Math" w:cs="Arial"/>
                  <w:i/>
                  <w:iCs/>
                  <w:color w:val="000000" w:themeColor="text1"/>
                  <w:kern w:val="24"/>
                  <w:sz w:val="20"/>
                  <w:szCs w:val="20"/>
                </w:rPr>
              </m:ctrlPr>
            </m:sSubPr>
            <m:e>
              <m:r>
                <w:rPr>
                  <w:rFonts w:ascii="Cambria Math" w:eastAsia="Cambria Math" w:hAnsi="Cambria Math" w:cs="Arial"/>
                  <w:color w:val="000000" w:themeColor="text1"/>
                  <w:kern w:val="24"/>
                  <w:sz w:val="20"/>
                  <w:szCs w:val="20"/>
                </w:rPr>
                <m:t>We</m:t>
              </m:r>
            </m:e>
            <m:sub>
              <m:r>
                <w:rPr>
                  <w:rFonts w:ascii="Cambria Math" w:eastAsia="Cambria Math" w:hAnsi="Cambria Math" w:cs="Arial"/>
                  <w:color w:val="000000" w:themeColor="text1"/>
                  <w:kern w:val="24"/>
                  <w:sz w:val="20"/>
                  <w:szCs w:val="20"/>
                </w:rPr>
                <m:t>a,τ</m:t>
              </m:r>
            </m:sub>
          </m:sSub>
          <m:r>
            <w:rPr>
              <w:rFonts w:ascii="Cambria Math" w:eastAsia="Cambria Math" w:hAnsi="Cambria Math" w:cs="Arial"/>
              <w:color w:val="000000" w:themeColor="text1"/>
              <w:kern w:val="24"/>
              <w:sz w:val="20"/>
              <w:szCs w:val="20"/>
            </w:rPr>
            <m:t>∙</m:t>
          </m:r>
          <m:f>
            <m:fPr>
              <m:ctrlPr>
                <w:rPr>
                  <w:rFonts w:ascii="Cambria Math" w:eastAsia="Cambria Math" w:hAnsi="Cambria Math" w:cs="Arial"/>
                  <w:i/>
                  <w:iCs/>
                  <w:color w:val="000000" w:themeColor="text1"/>
                  <w:kern w:val="24"/>
                  <w:sz w:val="20"/>
                  <w:szCs w:val="20"/>
                </w:rPr>
              </m:ctrlPr>
            </m:fPr>
            <m:num>
              <m:sSub>
                <m:sSubPr>
                  <m:ctrlPr>
                    <w:rPr>
                      <w:rFonts w:ascii="Cambria Math" w:eastAsia="Cambria Math" w:hAnsi="Cambria Math" w:cs="Arial"/>
                      <w:i/>
                      <w:iCs/>
                      <w:color w:val="000000" w:themeColor="text1"/>
                      <w:kern w:val="24"/>
                      <w:sz w:val="20"/>
                      <w:szCs w:val="20"/>
                    </w:rPr>
                  </m:ctrlPr>
                </m:sSubPr>
                <m:e>
                  <m:r>
                    <w:rPr>
                      <w:rFonts w:ascii="Cambria Math" w:eastAsia="Cambria Math" w:hAnsi="Cambria Math" w:cs="Arial"/>
                      <w:color w:val="000000" w:themeColor="text1"/>
                      <w:kern w:val="24"/>
                      <w:sz w:val="20"/>
                      <w:szCs w:val="20"/>
                    </w:rPr>
                    <m:t xml:space="preserve">Ke_cop </m:t>
                  </m:r>
                </m:e>
                <m:sub>
                  <m:r>
                    <w:rPr>
                      <w:rFonts w:ascii="Cambria Math" w:eastAsia="Cambria Math" w:hAnsi="Cambria Math" w:cs="Arial"/>
                      <w:color w:val="000000" w:themeColor="text1"/>
                      <w:kern w:val="24"/>
                      <w:sz w:val="20"/>
                      <w:szCs w:val="20"/>
                    </w:rPr>
                    <m:t>a,τ</m:t>
                  </m:r>
                </m:sub>
              </m:sSub>
            </m:num>
            <m:den>
              <m:r>
                <w:rPr>
                  <w:rFonts w:ascii="Cambria Math" w:eastAsia="Cambria Math" w:hAnsi="Cambria Math" w:cs="Arial"/>
                  <w:color w:val="000000" w:themeColor="text1"/>
                  <w:kern w:val="24"/>
                  <w:sz w:val="20"/>
                  <w:szCs w:val="20"/>
                </w:rPr>
                <m:t>1-Tx</m:t>
              </m:r>
            </m:den>
          </m:f>
        </m:oMath>
      </m:oMathPara>
    </w:p>
    <w:p w14:paraId="650153E3" w14:textId="77777777" w:rsidR="00847699" w:rsidRPr="003A26C0" w:rsidRDefault="00847699" w:rsidP="00847699">
      <w:pPr>
        <w:ind w:left="0"/>
        <w:contextualSpacing/>
        <w:jc w:val="both"/>
        <w:rPr>
          <w:rFonts w:ascii="Bookman Old Style" w:hAnsi="Bookman Old Style" w:cs="Arial"/>
          <w:i/>
          <w:iCs/>
          <w:sz w:val="20"/>
          <w:szCs w:val="20"/>
        </w:rPr>
      </w:pPr>
    </w:p>
    <w:p w14:paraId="7EFC1EDA" w14:textId="77777777" w:rsidR="00847699" w:rsidRPr="003A26C0" w:rsidRDefault="00847699" w:rsidP="00847699">
      <w:pPr>
        <w:ind w:left="0"/>
        <w:contextualSpacing/>
        <w:jc w:val="both"/>
        <w:rPr>
          <w:rFonts w:ascii="Bookman Old Style" w:hAnsi="Bookman Old Style" w:cs="Arial"/>
          <w:i/>
          <w:iCs/>
          <w:sz w:val="20"/>
          <w:szCs w:val="20"/>
        </w:rPr>
      </w:pPr>
      <w:r w:rsidRPr="003A26C0">
        <w:rPr>
          <w:rFonts w:ascii="Bookman Old Style" w:hAnsi="Bookman Old Style" w:cs="Arial"/>
          <w:i/>
          <w:iCs/>
          <w:sz w:val="20"/>
          <w:szCs w:val="20"/>
        </w:rPr>
        <w:t>donde,</w:t>
      </w:r>
    </w:p>
    <w:p w14:paraId="293886E9" w14:textId="77777777" w:rsidR="00847699" w:rsidRPr="003A26C0" w:rsidRDefault="00847699" w:rsidP="00847699">
      <w:pPr>
        <w:ind w:left="0"/>
        <w:contextualSpacing/>
        <w:jc w:val="both"/>
        <w:rPr>
          <w:rFonts w:ascii="Bookman Old Style" w:hAnsi="Bookman Old Style" w:cs="Arial"/>
          <w:i/>
          <w:iCs/>
          <w:sz w:val="20"/>
          <w:szCs w:val="20"/>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298"/>
        <w:gridCol w:w="8065"/>
      </w:tblGrid>
      <w:tr w:rsidR="00847699" w:rsidRPr="003A26C0" w14:paraId="16168CB0" w14:textId="77777777" w:rsidTr="00CA65AC">
        <w:tc>
          <w:tcPr>
            <w:tcW w:w="1101" w:type="dxa"/>
          </w:tcPr>
          <w:p w14:paraId="789C59E7" w14:textId="7A016FAC" w:rsidR="00847699" w:rsidRPr="003A26C0" w:rsidRDefault="00741E93" w:rsidP="00CA65AC">
            <w:pPr>
              <w:ind w:left="0"/>
              <w:rPr>
                <w:rFonts w:ascii="Bookman Old Style" w:hAnsi="Bookman Old Style"/>
                <w:b/>
                <w:i/>
                <w:iCs/>
                <w:sz w:val="20"/>
                <w:szCs w:val="20"/>
                <w:lang w:val="es-ES_tradnl"/>
              </w:rPr>
            </w:pPr>
            <m:oMathPara>
              <m:oMathParaPr>
                <m:jc m:val="left"/>
              </m:oMathParaPr>
              <m:oMath>
                <m:sSub>
                  <m:sSubPr>
                    <m:ctrlPr>
                      <w:rPr>
                        <w:rFonts w:ascii="Cambria Math" w:eastAsia="Cambria Math" w:hAnsi="Cambria Math" w:cstheme="minorBidi"/>
                        <w:b/>
                        <w:i/>
                        <w:iCs/>
                        <w:color w:val="000000" w:themeColor="text1"/>
                        <w:kern w:val="24"/>
                        <w:sz w:val="20"/>
                        <w:szCs w:val="20"/>
                      </w:rPr>
                    </m:ctrlPr>
                  </m:sSubPr>
                  <m:e>
                    <m:r>
                      <m:rPr>
                        <m:sty m:val="bi"/>
                      </m:rPr>
                      <w:rPr>
                        <w:rFonts w:ascii="Cambria Math" w:eastAsia="Cambria Math" w:hAnsi="Cambria Math" w:cstheme="minorBidi"/>
                        <w:color w:val="000000" w:themeColor="text1"/>
                        <w:kern w:val="24"/>
                        <w:sz w:val="20"/>
                        <w:szCs w:val="20"/>
                      </w:rPr>
                      <m:t>Wd</m:t>
                    </m:r>
                  </m:e>
                  <m:sub>
                    <m:r>
                      <m:rPr>
                        <m:sty m:val="bi"/>
                      </m:rPr>
                      <w:rPr>
                        <w:rFonts w:ascii="Cambria Math" w:eastAsia="Cambria Math" w:hAnsi="Cambria Math" w:cstheme="minorBidi"/>
                        <w:color w:val="000000" w:themeColor="text1"/>
                        <w:kern w:val="24"/>
                        <w:sz w:val="20"/>
                        <w:szCs w:val="20"/>
                      </w:rPr>
                      <m:t>a,τ</m:t>
                    </m:r>
                  </m:sub>
                </m:sSub>
              </m:oMath>
            </m:oMathPara>
          </w:p>
        </w:tc>
        <w:tc>
          <w:tcPr>
            <w:tcW w:w="298" w:type="dxa"/>
          </w:tcPr>
          <w:p w14:paraId="2131FB24" w14:textId="77777777" w:rsidR="00847699" w:rsidRPr="003A26C0" w:rsidRDefault="00847699" w:rsidP="00CA65AC">
            <w:pPr>
              <w:ind w:left="0"/>
              <w:rPr>
                <w:rFonts w:ascii="Bookman Old Style" w:hAnsi="Bookman Old Style" w:cs="Arial"/>
                <w:b/>
                <w:i/>
                <w:iCs/>
                <w:sz w:val="20"/>
                <w:szCs w:val="20"/>
              </w:rPr>
            </w:pPr>
            <w:r w:rsidRPr="003A26C0">
              <w:rPr>
                <w:rFonts w:ascii="Bookman Old Style" w:hAnsi="Bookman Old Style" w:cs="Arial"/>
                <w:b/>
                <w:i/>
                <w:iCs/>
                <w:sz w:val="20"/>
                <w:szCs w:val="20"/>
              </w:rPr>
              <w:t>:</w:t>
            </w:r>
          </w:p>
        </w:tc>
        <w:tc>
          <w:tcPr>
            <w:tcW w:w="8065" w:type="dxa"/>
            <w:vAlign w:val="center"/>
          </w:tcPr>
          <w:p w14:paraId="157C5040" w14:textId="662CD5D1" w:rsidR="00847699" w:rsidRPr="003A26C0" w:rsidRDefault="00847699" w:rsidP="00CA65AC">
            <w:pPr>
              <w:ind w:left="0"/>
              <w:jc w:val="both"/>
              <w:rPr>
                <w:rFonts w:ascii="Bookman Old Style" w:hAnsi="Bookman Old Style" w:cs="Arial"/>
                <w:i/>
                <w:iCs/>
                <w:sz w:val="20"/>
                <w:szCs w:val="20"/>
              </w:rPr>
            </w:pPr>
            <w:r w:rsidRPr="003A26C0">
              <w:rPr>
                <w:rFonts w:ascii="Bookman Old Style" w:hAnsi="Bookman Old Style" w:cs="Arial"/>
                <w:i/>
                <w:iCs/>
                <w:sz w:val="20"/>
                <w:szCs w:val="20"/>
              </w:rPr>
              <w:t xml:space="preserve">Ponderador para el costo de la deuda de la actividad a, expresado como la relación de la deuda sobre el capital total, en el momento </w:t>
            </w:r>
            <m:oMath>
              <m:r>
                <w:rPr>
                  <w:rFonts w:ascii="Cambria Math" w:eastAsia="Cambria Math" w:hAnsi="Cambria Math" w:cstheme="minorBidi"/>
                  <w:color w:val="000000" w:themeColor="text1"/>
                  <w:kern w:val="24"/>
                  <w:sz w:val="20"/>
                  <w:szCs w:val="20"/>
                </w:rPr>
                <m:t>τ</m:t>
              </m:r>
            </m:oMath>
            <w:r w:rsidRPr="003A26C0">
              <w:rPr>
                <w:rFonts w:ascii="Bookman Old Style" w:hAnsi="Bookman Old Style" w:cs="Arial"/>
                <w:bCs/>
                <w:i/>
                <w:iCs/>
                <w:color w:val="000000" w:themeColor="text1"/>
                <w:kern w:val="24"/>
                <w:sz w:val="20"/>
                <w:szCs w:val="20"/>
              </w:rPr>
              <w:t xml:space="preserve">. </w:t>
            </w:r>
            <w:r w:rsidRPr="003A26C0">
              <w:rPr>
                <w:rFonts w:ascii="Bookman Old Style" w:hAnsi="Bookman Old Style" w:cs="Arial"/>
                <w:i/>
                <w:iCs/>
                <w:sz w:val="20"/>
                <w:szCs w:val="20"/>
              </w:rPr>
              <w:t>El valor corresponderá al del último trimestre disponible en la fecha de cálculo, publicado por Duff &amp; Phelps en sus servicios de información, que considera la mediana</w:t>
            </w:r>
            <w:r w:rsidRPr="003A26C0">
              <w:rPr>
                <w:rFonts w:ascii="Bookman Old Style" w:hAnsi="Bookman Old Style"/>
                <w:i/>
                <w:iCs/>
                <w:sz w:val="20"/>
                <w:szCs w:val="20"/>
              </w:rPr>
              <w:t xml:space="preserve"> </w:t>
            </w:r>
            <w:r w:rsidRPr="003A26C0">
              <w:rPr>
                <w:rFonts w:ascii="Bookman Old Style" w:hAnsi="Bookman Old Style" w:cs="Arial"/>
                <w:i/>
                <w:iCs/>
                <w:sz w:val="20"/>
                <w:szCs w:val="20"/>
              </w:rPr>
              <w:t>del promedio de 5 años, para el código industrial de referencia (Global Industry Classification Standard - GICS Code</w:t>
            </w:r>
            <w:r w:rsidR="00B500AE" w:rsidRPr="003A26C0">
              <w:rPr>
                <w:rFonts w:ascii="Bookman Old Style" w:hAnsi="Bookman Old Style" w:cs="Arial"/>
                <w:i/>
                <w:iCs/>
                <w:sz w:val="20"/>
                <w:szCs w:val="20"/>
              </w:rPr>
              <w:t xml:space="preserve"> o el que lo sustituya</w:t>
            </w:r>
            <w:r w:rsidRPr="003A26C0">
              <w:rPr>
                <w:rFonts w:ascii="Bookman Old Style" w:hAnsi="Bookman Old Style" w:cs="Arial"/>
                <w:i/>
                <w:iCs/>
                <w:sz w:val="20"/>
                <w:szCs w:val="20"/>
              </w:rPr>
              <w:t>) correspondiente a la actividad a, el cual establecerá la Comisión en resolución aparte.</w:t>
            </w:r>
          </w:p>
          <w:p w14:paraId="5D1F5541" w14:textId="77777777" w:rsidR="00847699" w:rsidRPr="003A26C0" w:rsidRDefault="00847699" w:rsidP="00CA65AC">
            <w:pPr>
              <w:ind w:left="0"/>
              <w:jc w:val="both"/>
              <w:rPr>
                <w:rFonts w:ascii="Bookman Old Style" w:hAnsi="Bookman Old Style"/>
                <w:i/>
                <w:iCs/>
                <w:sz w:val="20"/>
                <w:szCs w:val="20"/>
              </w:rPr>
            </w:pPr>
          </w:p>
        </w:tc>
      </w:tr>
      <w:tr w:rsidR="00847699" w:rsidRPr="003A26C0" w14:paraId="6D97A306" w14:textId="77777777" w:rsidTr="00CA65AC">
        <w:tc>
          <w:tcPr>
            <w:tcW w:w="1101" w:type="dxa"/>
          </w:tcPr>
          <w:p w14:paraId="7A1FE8E4" w14:textId="10091DC5" w:rsidR="00847699" w:rsidRPr="003A26C0" w:rsidRDefault="00741E93" w:rsidP="00CA65AC">
            <w:pPr>
              <w:ind w:left="0"/>
              <w:rPr>
                <w:rFonts w:ascii="Bookman Old Style" w:hAnsi="Bookman Old Style"/>
                <w:b/>
                <w:i/>
                <w:iCs/>
                <w:sz w:val="20"/>
                <w:szCs w:val="20"/>
                <w:lang w:val="es-ES_tradnl"/>
              </w:rPr>
            </w:pPr>
            <m:oMathPara>
              <m:oMathParaPr>
                <m:jc m:val="left"/>
              </m:oMathParaPr>
              <m:oMath>
                <m:sSub>
                  <m:sSubPr>
                    <m:ctrlPr>
                      <w:rPr>
                        <w:rFonts w:ascii="Cambria Math" w:eastAsia="Cambria Math" w:hAnsi="Cambria Math" w:cstheme="minorBidi"/>
                        <w:b/>
                        <w:i/>
                        <w:iCs/>
                        <w:color w:val="000000" w:themeColor="text1"/>
                        <w:kern w:val="24"/>
                        <w:sz w:val="20"/>
                        <w:szCs w:val="20"/>
                      </w:rPr>
                    </m:ctrlPr>
                  </m:sSubPr>
                  <m:e>
                    <m:r>
                      <m:rPr>
                        <m:sty m:val="bi"/>
                      </m:rPr>
                      <w:rPr>
                        <w:rFonts w:ascii="Cambria Math" w:eastAsia="Cambria Math" w:hAnsi="Cambria Math" w:cstheme="minorBidi"/>
                        <w:color w:val="000000" w:themeColor="text1"/>
                        <w:kern w:val="24"/>
                        <w:sz w:val="20"/>
                        <w:szCs w:val="20"/>
                      </w:rPr>
                      <m:t>We</m:t>
                    </m:r>
                  </m:e>
                  <m:sub>
                    <m:r>
                      <m:rPr>
                        <m:sty m:val="bi"/>
                      </m:rPr>
                      <w:rPr>
                        <w:rFonts w:ascii="Cambria Math" w:eastAsia="Cambria Math" w:hAnsi="Cambria Math" w:cstheme="minorBidi"/>
                        <w:color w:val="000000" w:themeColor="text1"/>
                        <w:kern w:val="24"/>
                        <w:sz w:val="20"/>
                        <w:szCs w:val="20"/>
                      </w:rPr>
                      <m:t>a,τ</m:t>
                    </m:r>
                  </m:sub>
                </m:sSub>
              </m:oMath>
            </m:oMathPara>
          </w:p>
        </w:tc>
        <w:tc>
          <w:tcPr>
            <w:tcW w:w="298" w:type="dxa"/>
          </w:tcPr>
          <w:p w14:paraId="3536726F" w14:textId="77777777" w:rsidR="00847699" w:rsidRPr="003A26C0" w:rsidRDefault="00847699" w:rsidP="00CA65AC">
            <w:pPr>
              <w:ind w:left="0"/>
              <w:rPr>
                <w:rFonts w:ascii="Bookman Old Style" w:hAnsi="Bookman Old Style" w:cs="Arial"/>
                <w:b/>
                <w:i/>
                <w:iCs/>
                <w:sz w:val="20"/>
                <w:szCs w:val="20"/>
              </w:rPr>
            </w:pPr>
            <w:r w:rsidRPr="003A26C0">
              <w:rPr>
                <w:rFonts w:ascii="Bookman Old Style" w:hAnsi="Bookman Old Style" w:cs="Arial"/>
                <w:b/>
                <w:i/>
                <w:iCs/>
                <w:sz w:val="20"/>
                <w:szCs w:val="20"/>
              </w:rPr>
              <w:t>:</w:t>
            </w:r>
          </w:p>
        </w:tc>
        <w:tc>
          <w:tcPr>
            <w:tcW w:w="8065" w:type="dxa"/>
            <w:vAlign w:val="center"/>
          </w:tcPr>
          <w:p w14:paraId="04D0CCB1" w14:textId="103BD307" w:rsidR="00847699" w:rsidRPr="003A26C0" w:rsidRDefault="00847699" w:rsidP="00CA65AC">
            <w:pPr>
              <w:ind w:left="0"/>
              <w:jc w:val="both"/>
              <w:rPr>
                <w:rFonts w:ascii="Bookman Old Style" w:hAnsi="Bookman Old Style" w:cs="Arial"/>
                <w:i/>
                <w:iCs/>
                <w:color w:val="000000" w:themeColor="text1"/>
                <w:kern w:val="24"/>
                <w:sz w:val="20"/>
                <w:szCs w:val="20"/>
              </w:rPr>
            </w:pPr>
            <w:r w:rsidRPr="003A26C0">
              <w:rPr>
                <w:rFonts w:ascii="Bookman Old Style" w:hAnsi="Bookman Old Style" w:cs="Arial"/>
                <w:i/>
                <w:iCs/>
                <w:sz w:val="20"/>
                <w:szCs w:val="20"/>
              </w:rPr>
              <w:t>Ponderador para el costo del capital propio (equity) de la actividad a, en el momento</w:t>
            </w:r>
            <m:oMath>
              <m:r>
                <w:rPr>
                  <w:rFonts w:ascii="Cambria Math" w:eastAsia="Cambria Math" w:hAnsi="Cambria Math" w:cstheme="minorBidi"/>
                  <w:color w:val="000000" w:themeColor="text1"/>
                  <w:kern w:val="24"/>
                  <w:sz w:val="20"/>
                  <w:szCs w:val="20"/>
                </w:rPr>
                <m:t xml:space="preserve"> τ</m:t>
              </m:r>
            </m:oMath>
            <w:r w:rsidRPr="003A26C0">
              <w:rPr>
                <w:rFonts w:ascii="Bookman Old Style" w:hAnsi="Bookman Old Style" w:cs="Arial"/>
                <w:bCs/>
                <w:i/>
                <w:iCs/>
                <w:color w:val="000000" w:themeColor="text1"/>
                <w:kern w:val="24"/>
                <w:sz w:val="20"/>
                <w:szCs w:val="20"/>
              </w:rPr>
              <w:t>.</w:t>
            </w:r>
            <w:r w:rsidRPr="003A26C0">
              <w:rPr>
                <w:rFonts w:ascii="Bookman Old Style" w:hAnsi="Bookman Old Style" w:cs="Arial"/>
                <w:i/>
                <w:iCs/>
                <w:sz w:val="20"/>
                <w:szCs w:val="20"/>
              </w:rPr>
              <w:t xml:space="preserve"> El valor aplicable resulta de utilizar la siguiente expresión: </w:t>
            </w:r>
            <m:oMath>
              <m:sSub>
                <m:sSubPr>
                  <m:ctrlPr>
                    <w:rPr>
                      <w:rFonts w:ascii="Cambria Math" w:eastAsia="Cambria Math" w:hAnsi="Cambria Math" w:cstheme="minorBidi"/>
                      <w:i/>
                      <w:iCs/>
                      <w:color w:val="000000" w:themeColor="text1"/>
                      <w:kern w:val="24"/>
                      <w:sz w:val="20"/>
                      <w:szCs w:val="20"/>
                    </w:rPr>
                  </m:ctrlPr>
                </m:sSubPr>
                <m:e>
                  <m:r>
                    <w:rPr>
                      <w:rFonts w:ascii="Cambria Math" w:eastAsia="Cambria Math" w:hAnsi="Cambria Math" w:cstheme="minorBidi"/>
                      <w:color w:val="000000" w:themeColor="text1"/>
                      <w:kern w:val="24"/>
                      <w:sz w:val="20"/>
                      <w:szCs w:val="20"/>
                    </w:rPr>
                    <m:t>We</m:t>
                  </m:r>
                </m:e>
                <m:sub>
                  <m:r>
                    <w:rPr>
                      <w:rFonts w:ascii="Cambria Math" w:eastAsia="Cambria Math" w:hAnsi="Cambria Math" w:cstheme="minorBidi"/>
                      <w:color w:val="000000" w:themeColor="text1"/>
                      <w:kern w:val="24"/>
                      <w:sz w:val="20"/>
                      <w:szCs w:val="20"/>
                    </w:rPr>
                    <m:t>a,τ</m:t>
                  </m:r>
                </m:sub>
              </m:sSub>
              <m:r>
                <w:rPr>
                  <w:rFonts w:ascii="Cambria Math" w:hAnsi="Cambria Math" w:cs="Arial"/>
                  <w:sz w:val="20"/>
                  <w:szCs w:val="20"/>
                </w:rPr>
                <m:t>=</m:t>
              </m:r>
              <m:r>
                <w:rPr>
                  <w:rFonts w:ascii="Cambria Math" w:eastAsiaTheme="minorEastAsia" w:hAnsi="Cambria Math"/>
                  <w:color w:val="000000" w:themeColor="text1"/>
                  <w:kern w:val="24"/>
                  <w:sz w:val="20"/>
                  <w:szCs w:val="20"/>
                </w:rPr>
                <m:t>1-</m:t>
              </m:r>
              <m:sSub>
                <m:sSubPr>
                  <m:ctrlPr>
                    <w:rPr>
                      <w:rFonts w:ascii="Cambria Math" w:eastAsia="Cambria Math" w:hAnsi="Cambria Math" w:cstheme="minorBidi"/>
                      <w:i/>
                      <w:iCs/>
                      <w:color w:val="000000" w:themeColor="text1"/>
                      <w:kern w:val="24"/>
                      <w:sz w:val="20"/>
                      <w:szCs w:val="20"/>
                    </w:rPr>
                  </m:ctrlPr>
                </m:sSubPr>
                <m:e>
                  <m:r>
                    <w:rPr>
                      <w:rFonts w:ascii="Cambria Math" w:eastAsia="Cambria Math" w:hAnsi="Cambria Math" w:cstheme="minorBidi"/>
                      <w:color w:val="000000" w:themeColor="text1"/>
                      <w:kern w:val="24"/>
                      <w:sz w:val="20"/>
                      <w:szCs w:val="20"/>
                    </w:rPr>
                    <m:t>Wd</m:t>
                  </m:r>
                </m:e>
                <m:sub>
                  <m:r>
                    <w:rPr>
                      <w:rFonts w:ascii="Cambria Math" w:eastAsia="Cambria Math" w:hAnsi="Cambria Math" w:cstheme="minorBidi"/>
                      <w:color w:val="000000" w:themeColor="text1"/>
                      <w:kern w:val="24"/>
                      <w:sz w:val="20"/>
                      <w:szCs w:val="20"/>
                    </w:rPr>
                    <m:t xml:space="preserve"> a,τ</m:t>
                  </m:r>
                </m:sub>
              </m:sSub>
            </m:oMath>
            <w:r w:rsidRPr="003A26C0">
              <w:rPr>
                <w:rFonts w:ascii="Bookman Old Style" w:hAnsi="Bookman Old Style" w:cs="Arial"/>
                <w:i/>
                <w:iCs/>
                <w:color w:val="000000" w:themeColor="text1"/>
                <w:kern w:val="24"/>
                <w:sz w:val="20"/>
                <w:szCs w:val="20"/>
              </w:rPr>
              <w:t>.</w:t>
            </w:r>
          </w:p>
          <w:p w14:paraId="594956E6" w14:textId="77777777" w:rsidR="00847699" w:rsidRPr="003A26C0" w:rsidRDefault="00847699" w:rsidP="00CA65AC">
            <w:pPr>
              <w:ind w:left="0"/>
              <w:jc w:val="both"/>
              <w:rPr>
                <w:rFonts w:ascii="Bookman Old Style" w:hAnsi="Bookman Old Style"/>
                <w:i/>
                <w:iCs/>
                <w:sz w:val="20"/>
                <w:szCs w:val="20"/>
                <w:lang w:val="es-ES_tradnl"/>
              </w:rPr>
            </w:pPr>
          </w:p>
        </w:tc>
      </w:tr>
      <w:tr w:rsidR="00847699" w:rsidRPr="003A26C0" w14:paraId="7AD65D84" w14:textId="77777777" w:rsidTr="00CA65AC">
        <w:tc>
          <w:tcPr>
            <w:tcW w:w="1101" w:type="dxa"/>
          </w:tcPr>
          <w:p w14:paraId="6D56057A" w14:textId="7EF05C61" w:rsidR="00847699" w:rsidRPr="003A26C0" w:rsidRDefault="00741E93" w:rsidP="00CA65AC">
            <w:pPr>
              <w:ind w:left="0"/>
              <w:rPr>
                <w:rFonts w:ascii="Bookman Old Style" w:hAnsi="Bookman Old Style"/>
                <w:b/>
                <w:i/>
                <w:iCs/>
                <w:sz w:val="20"/>
                <w:szCs w:val="20"/>
                <w:lang w:val="es-ES_tradnl"/>
              </w:rPr>
            </w:pPr>
            <m:oMathPara>
              <m:oMathParaPr>
                <m:jc m:val="left"/>
              </m:oMathParaPr>
              <m:oMath>
                <m:sSub>
                  <m:sSubPr>
                    <m:ctrlPr>
                      <w:rPr>
                        <w:rFonts w:ascii="Cambria Math" w:eastAsia="Cambria Math" w:hAnsi="Cambria Math" w:cs="Arial"/>
                        <w:b/>
                        <w:i/>
                        <w:iCs/>
                        <w:color w:val="000000" w:themeColor="text1"/>
                        <w:kern w:val="24"/>
                        <w:sz w:val="20"/>
                        <w:szCs w:val="20"/>
                      </w:rPr>
                    </m:ctrlPr>
                  </m:sSubPr>
                  <m:e>
                    <m:r>
                      <m:rPr>
                        <m:sty m:val="bi"/>
                      </m:rPr>
                      <w:rPr>
                        <w:rFonts w:ascii="Cambria Math" w:eastAsia="Cambria Math" w:hAnsi="Cambria Math" w:cs="Arial"/>
                        <w:color w:val="000000" w:themeColor="text1"/>
                        <w:kern w:val="24"/>
                        <w:sz w:val="20"/>
                        <w:szCs w:val="20"/>
                      </w:rPr>
                      <m:t>Kd_cop</m:t>
                    </m:r>
                  </m:e>
                  <m:sub>
                    <m:r>
                      <m:rPr>
                        <m:sty m:val="bi"/>
                      </m:rPr>
                      <w:rPr>
                        <w:rFonts w:ascii="Cambria Math" w:eastAsia="Cambria Math" w:hAnsi="Cambria Math" w:cs="Arial"/>
                        <w:color w:val="000000" w:themeColor="text1"/>
                        <w:kern w:val="24"/>
                        <w:sz w:val="20"/>
                        <w:szCs w:val="20"/>
                      </w:rPr>
                      <m:t>τ</m:t>
                    </m:r>
                  </m:sub>
                </m:sSub>
              </m:oMath>
            </m:oMathPara>
          </w:p>
        </w:tc>
        <w:tc>
          <w:tcPr>
            <w:tcW w:w="298" w:type="dxa"/>
          </w:tcPr>
          <w:p w14:paraId="181D1388" w14:textId="77777777" w:rsidR="00847699" w:rsidRPr="003A26C0" w:rsidRDefault="00847699" w:rsidP="00CA65AC">
            <w:pPr>
              <w:ind w:left="0"/>
              <w:rPr>
                <w:rFonts w:ascii="Bookman Old Style" w:hAnsi="Bookman Old Style" w:cs="Arial"/>
                <w:b/>
                <w:i/>
                <w:iCs/>
                <w:sz w:val="20"/>
                <w:szCs w:val="20"/>
              </w:rPr>
            </w:pPr>
            <w:r w:rsidRPr="003A26C0">
              <w:rPr>
                <w:rFonts w:ascii="Bookman Old Style" w:hAnsi="Bookman Old Style" w:cs="Arial"/>
                <w:b/>
                <w:i/>
                <w:iCs/>
                <w:sz w:val="20"/>
                <w:szCs w:val="20"/>
              </w:rPr>
              <w:t>:</w:t>
            </w:r>
          </w:p>
        </w:tc>
        <w:tc>
          <w:tcPr>
            <w:tcW w:w="8065" w:type="dxa"/>
            <w:vAlign w:val="center"/>
          </w:tcPr>
          <w:p w14:paraId="2E8305C6" w14:textId="4BC5910F" w:rsidR="00847699" w:rsidRPr="003A26C0" w:rsidRDefault="00847699" w:rsidP="00CA65AC">
            <w:pPr>
              <w:ind w:left="0"/>
              <w:jc w:val="both"/>
              <w:rPr>
                <w:rFonts w:ascii="Bookman Old Style" w:hAnsi="Bookman Old Style" w:cs="Arial"/>
                <w:i/>
                <w:iCs/>
                <w:sz w:val="20"/>
                <w:szCs w:val="20"/>
              </w:rPr>
            </w:pPr>
            <w:r w:rsidRPr="003A26C0">
              <w:rPr>
                <w:rFonts w:ascii="Bookman Old Style" w:hAnsi="Bookman Old Style" w:cs="Arial"/>
                <w:i/>
                <w:iCs/>
                <w:sz w:val="20"/>
                <w:szCs w:val="20"/>
              </w:rPr>
              <w:t xml:space="preserve">Costo de la deuda en pesos corrientes en el momento </w:t>
            </w:r>
            <m:oMath>
              <m:r>
                <w:rPr>
                  <w:rFonts w:ascii="Cambria Math" w:hAnsi="Cambria Math" w:cs="Arial"/>
                  <w:sz w:val="20"/>
                  <w:szCs w:val="20"/>
                </w:rPr>
                <m:t>τ</m:t>
              </m:r>
            </m:oMath>
            <w:r w:rsidRPr="003A26C0">
              <w:rPr>
                <w:rFonts w:ascii="Bookman Old Style" w:hAnsi="Bookman Old Style" w:cs="Arial"/>
                <w:i/>
                <w:iCs/>
                <w:sz w:val="20"/>
                <w:szCs w:val="20"/>
              </w:rPr>
              <w:t>. Corresponde al promedio, ponderado por monto de colocación y conforme al método de suma de dígitos, de las tasas de colocación de créditos comerciales (preferencial o corporativo), a más de 1825 días, del total de establecimientos (no incluye las tasas de las entidades financieras especiales excepto el Fondo Nacional de Ahorro), de los sesenta (60) meses anteriores. La información para efectuar el cálculo es publicada por el Banco de la República con base en la información del formato 088 de la Superintendencia Financiera de Colombia.</w:t>
            </w:r>
          </w:p>
          <w:p w14:paraId="73814DB3" w14:textId="77777777" w:rsidR="00847699" w:rsidRPr="003A26C0" w:rsidRDefault="00847699" w:rsidP="00CA65AC">
            <w:pPr>
              <w:ind w:left="0"/>
              <w:contextualSpacing/>
              <w:jc w:val="both"/>
              <w:rPr>
                <w:rFonts w:ascii="Bookman Old Style" w:hAnsi="Bookman Old Style"/>
                <w:i/>
                <w:iCs/>
                <w:sz w:val="20"/>
                <w:szCs w:val="20"/>
                <w:lang w:val="es-ES_tradnl"/>
              </w:rPr>
            </w:pPr>
          </w:p>
          <w:p w14:paraId="428EC4E3" w14:textId="6E510AE5" w:rsidR="00847699" w:rsidRPr="003A26C0" w:rsidRDefault="00847699" w:rsidP="00CA65AC">
            <w:pPr>
              <w:ind w:left="0"/>
              <w:contextualSpacing/>
              <w:jc w:val="both"/>
              <w:rPr>
                <w:rFonts w:ascii="Bookman Old Style" w:hAnsi="Bookman Old Style"/>
                <w:i/>
                <w:iCs/>
                <w:sz w:val="20"/>
                <w:szCs w:val="20"/>
                <w:lang w:val="es-ES_tradnl"/>
              </w:rPr>
            </w:pPr>
            <w:r w:rsidRPr="003A26C0">
              <w:rPr>
                <w:rFonts w:ascii="Bookman Old Style" w:hAnsi="Bookman Old Style"/>
                <w:i/>
                <w:iCs/>
                <w:sz w:val="20"/>
                <w:szCs w:val="20"/>
                <w:lang w:val="es-ES_tradnl"/>
              </w:rPr>
              <w:t xml:space="preserve">El valor correspondiente a </w:t>
            </w:r>
            <m:oMath>
              <m:sSub>
                <m:sSubPr>
                  <m:ctrlPr>
                    <w:rPr>
                      <w:rFonts w:ascii="Cambria Math" w:eastAsia="Cambria Math" w:hAnsi="Cambria Math" w:cs="Arial"/>
                      <w:bCs/>
                      <w:i/>
                      <w:iCs/>
                      <w:color w:val="000000" w:themeColor="text1"/>
                      <w:kern w:val="24"/>
                      <w:sz w:val="20"/>
                      <w:szCs w:val="20"/>
                    </w:rPr>
                  </m:ctrlPr>
                </m:sSubPr>
                <m:e>
                  <m:r>
                    <w:rPr>
                      <w:rFonts w:ascii="Cambria Math" w:eastAsia="Cambria Math" w:hAnsi="Cambria Math" w:cs="Arial"/>
                      <w:color w:val="000000" w:themeColor="text1"/>
                      <w:kern w:val="24"/>
                      <w:sz w:val="20"/>
                      <w:szCs w:val="20"/>
                    </w:rPr>
                    <m:t>Kd_cop</m:t>
                  </m:r>
                </m:e>
                <m:sub>
                  <m:r>
                    <w:rPr>
                      <w:rFonts w:ascii="Cambria Math" w:eastAsia="Cambria Math" w:hAnsi="Cambria Math" w:cs="Arial"/>
                      <w:color w:val="000000" w:themeColor="text1"/>
                      <w:kern w:val="24"/>
                      <w:sz w:val="20"/>
                      <w:szCs w:val="20"/>
                    </w:rPr>
                    <m:t>τ</m:t>
                  </m:r>
                </m:sub>
              </m:sSub>
            </m:oMath>
            <w:r w:rsidRPr="003A26C0">
              <w:rPr>
                <w:rFonts w:ascii="Bookman Old Style" w:hAnsi="Bookman Old Style"/>
                <w:i/>
                <w:iCs/>
                <w:sz w:val="20"/>
                <w:szCs w:val="20"/>
                <w:lang w:val="es-ES_tradnl"/>
              </w:rPr>
              <w:t xml:space="preserve"> se obtiene mediante la siguiente expresión:</w:t>
            </w:r>
          </w:p>
          <w:p w14:paraId="7A2411DA" w14:textId="77777777" w:rsidR="00847699" w:rsidRPr="003A26C0" w:rsidRDefault="00847699" w:rsidP="00CA65AC">
            <w:pPr>
              <w:ind w:left="0"/>
              <w:jc w:val="both"/>
              <w:rPr>
                <w:rFonts w:ascii="Bookman Old Style" w:hAnsi="Bookman Old Style" w:cs="Arial"/>
                <w:i/>
                <w:iCs/>
                <w:sz w:val="20"/>
                <w:szCs w:val="20"/>
              </w:rPr>
            </w:pPr>
          </w:p>
          <w:p w14:paraId="54CDCCC8" w14:textId="03C69322" w:rsidR="00847699" w:rsidRPr="003A26C0" w:rsidRDefault="00741E93" w:rsidP="00CA65AC">
            <w:pPr>
              <w:ind w:left="0"/>
              <w:jc w:val="both"/>
              <w:rPr>
                <w:rFonts w:ascii="Bookman Old Style" w:hAnsi="Bookman Old Style" w:cs="Arial"/>
                <w:i/>
                <w:iCs/>
                <w:sz w:val="20"/>
                <w:szCs w:val="20"/>
              </w:rPr>
            </w:pPr>
            <m:oMathPara>
              <m:oMath>
                <m:sSub>
                  <m:sSubPr>
                    <m:ctrlPr>
                      <w:rPr>
                        <w:rFonts w:ascii="Cambria Math" w:hAnsi="Cambria Math"/>
                        <w:i/>
                        <w:iCs/>
                        <w:sz w:val="20"/>
                        <w:szCs w:val="20"/>
                        <w:lang w:val="es-ES_tradnl"/>
                      </w:rPr>
                    </m:ctrlPr>
                  </m:sSubPr>
                  <m:e>
                    <m:r>
                      <w:rPr>
                        <w:rFonts w:ascii="Cambria Math" w:hAnsi="Cambria Math"/>
                        <w:sz w:val="20"/>
                        <w:szCs w:val="20"/>
                        <w:lang w:val="es-ES_tradnl"/>
                      </w:rPr>
                      <m:t>Kd_cop</m:t>
                    </m:r>
                  </m:e>
                  <m:sub>
                    <m:r>
                      <w:rPr>
                        <w:rFonts w:ascii="Cambria Math" w:hAnsi="Cambria Math"/>
                        <w:sz w:val="20"/>
                        <w:szCs w:val="20"/>
                        <w:lang w:val="es-ES_tradnl"/>
                      </w:rPr>
                      <m:t>τ</m:t>
                    </m:r>
                  </m:sub>
                </m:sSub>
                <m:r>
                  <w:rPr>
                    <w:rFonts w:ascii="Cambria Math" w:hAnsi="Cambria Math" w:cs="Arial"/>
                    <w:sz w:val="20"/>
                    <w:szCs w:val="20"/>
                  </w:rPr>
                  <m:t>=</m:t>
                </m:r>
                <m:nary>
                  <m:naryPr>
                    <m:chr m:val="∑"/>
                    <m:limLoc m:val="undOvr"/>
                    <m:ctrlPr>
                      <w:rPr>
                        <w:rFonts w:ascii="Cambria Math" w:hAnsi="Cambria Math" w:cs="Arial"/>
                        <w:i/>
                        <w:iCs/>
                        <w:sz w:val="20"/>
                        <w:szCs w:val="20"/>
                      </w:rPr>
                    </m:ctrlPr>
                  </m:naryPr>
                  <m:sub>
                    <m:r>
                      <w:rPr>
                        <w:rFonts w:ascii="Cambria Math" w:hAnsi="Cambria Math" w:cs="Arial"/>
                        <w:sz w:val="20"/>
                        <w:szCs w:val="20"/>
                      </w:rPr>
                      <m:t>i=-n</m:t>
                    </m:r>
                  </m:sub>
                  <m:sup>
                    <m:r>
                      <w:rPr>
                        <w:rFonts w:ascii="Cambria Math" w:hAnsi="Cambria Math" w:cs="Arial"/>
                        <w:sz w:val="20"/>
                        <w:szCs w:val="20"/>
                      </w:rPr>
                      <m:t>-1</m:t>
                    </m:r>
                  </m:sup>
                  <m:e>
                    <m:d>
                      <m:dPr>
                        <m:begChr m:val="["/>
                        <m:endChr m:val="]"/>
                        <m:ctrlPr>
                          <w:rPr>
                            <w:rFonts w:ascii="Cambria Math" w:hAnsi="Cambria Math" w:cs="Arial"/>
                            <w:i/>
                            <w:iCs/>
                            <w:sz w:val="20"/>
                            <w:szCs w:val="20"/>
                          </w:rPr>
                        </m:ctrlPr>
                      </m:dPr>
                      <m:e>
                        <m:d>
                          <m:dPr>
                            <m:ctrlPr>
                              <w:rPr>
                                <w:rFonts w:ascii="Cambria Math" w:hAnsi="Cambria Math" w:cs="Arial"/>
                                <w:i/>
                                <w:iCs/>
                                <w:sz w:val="20"/>
                                <w:szCs w:val="20"/>
                              </w:rPr>
                            </m:ctrlPr>
                          </m:dPr>
                          <m:e>
                            <m:f>
                              <m:fPr>
                                <m:ctrlPr>
                                  <w:rPr>
                                    <w:rFonts w:ascii="Cambria Math" w:hAnsi="Cambria Math" w:cs="Arial"/>
                                    <w:i/>
                                    <w:iCs/>
                                    <w:sz w:val="20"/>
                                    <w:szCs w:val="20"/>
                                  </w:rPr>
                                </m:ctrlPr>
                              </m:fPr>
                              <m:num>
                                <m:r>
                                  <w:rPr>
                                    <w:rFonts w:ascii="Cambria Math" w:hAnsi="Cambria Math" w:cs="Arial"/>
                                    <w:sz w:val="20"/>
                                    <w:szCs w:val="20"/>
                                  </w:rPr>
                                  <m:t>(n+1)+i</m:t>
                                </m:r>
                              </m:num>
                              <m:den>
                                <m:f>
                                  <m:fPr>
                                    <m:type m:val="lin"/>
                                    <m:ctrlPr>
                                      <w:rPr>
                                        <w:rFonts w:ascii="Cambria Math" w:hAnsi="Cambria Math" w:cs="Arial"/>
                                        <w:i/>
                                        <w:iCs/>
                                        <w:sz w:val="20"/>
                                        <w:szCs w:val="20"/>
                                      </w:rPr>
                                    </m:ctrlPr>
                                  </m:fPr>
                                  <m:num>
                                    <m:r>
                                      <w:rPr>
                                        <w:rFonts w:ascii="Cambria Math" w:hAnsi="Cambria Math" w:cs="Arial"/>
                                        <w:sz w:val="20"/>
                                        <w:szCs w:val="20"/>
                                      </w:rPr>
                                      <m:t>n</m:t>
                                    </m:r>
                                    <m:d>
                                      <m:dPr>
                                        <m:ctrlPr>
                                          <w:rPr>
                                            <w:rFonts w:ascii="Cambria Math" w:hAnsi="Cambria Math" w:cs="Arial"/>
                                            <w:i/>
                                            <w:iCs/>
                                            <w:sz w:val="20"/>
                                            <w:szCs w:val="20"/>
                                          </w:rPr>
                                        </m:ctrlPr>
                                      </m:dPr>
                                      <m:e>
                                        <m:r>
                                          <w:rPr>
                                            <w:rFonts w:ascii="Cambria Math" w:hAnsi="Cambria Math" w:cs="Arial"/>
                                            <w:sz w:val="20"/>
                                            <w:szCs w:val="20"/>
                                          </w:rPr>
                                          <m:t>n+1</m:t>
                                        </m:r>
                                      </m:e>
                                    </m:d>
                                  </m:num>
                                  <m:den>
                                    <m:r>
                                      <w:rPr>
                                        <w:rFonts w:ascii="Cambria Math" w:hAnsi="Cambria Math" w:cs="Arial"/>
                                        <w:sz w:val="20"/>
                                        <w:szCs w:val="20"/>
                                      </w:rPr>
                                      <m:t>2</m:t>
                                    </m:r>
                                  </m:den>
                                </m:f>
                              </m:den>
                            </m:f>
                            <m:r>
                              <w:rPr>
                                <w:rFonts w:ascii="Cambria Math" w:hAnsi="Cambria Math" w:cs="Arial"/>
                                <w:sz w:val="20"/>
                                <w:szCs w:val="20"/>
                              </w:rPr>
                              <m:t>+</m:t>
                            </m:r>
                            <m:f>
                              <m:fPr>
                                <m:ctrlPr>
                                  <w:rPr>
                                    <w:rFonts w:ascii="Cambria Math" w:hAnsi="Cambria Math" w:cs="Arial"/>
                                    <w:i/>
                                    <w:iCs/>
                                    <w:sz w:val="20"/>
                                    <w:szCs w:val="20"/>
                                  </w:rPr>
                                </m:ctrlPr>
                              </m:fPr>
                              <m:num>
                                <m:r>
                                  <w:rPr>
                                    <w:rFonts w:ascii="Cambria Math" w:hAnsi="Cambria Math" w:cs="Arial"/>
                                    <w:sz w:val="20"/>
                                    <w:szCs w:val="20"/>
                                  </w:rPr>
                                  <m:t>Mont</m:t>
                                </m:r>
                                <m:sSub>
                                  <m:sSubPr>
                                    <m:ctrlPr>
                                      <w:rPr>
                                        <w:rFonts w:ascii="Cambria Math" w:hAnsi="Cambria Math" w:cs="Arial"/>
                                        <w:i/>
                                        <w:iCs/>
                                        <w:sz w:val="20"/>
                                        <w:szCs w:val="20"/>
                                      </w:rPr>
                                    </m:ctrlPr>
                                  </m:sSubPr>
                                  <m:e>
                                    <m:r>
                                      <w:rPr>
                                        <w:rFonts w:ascii="Cambria Math" w:hAnsi="Cambria Math" w:cs="Arial"/>
                                        <w:sz w:val="20"/>
                                        <w:szCs w:val="20"/>
                                      </w:rPr>
                                      <m:t>o</m:t>
                                    </m:r>
                                  </m:e>
                                  <m:sub>
                                    <m:r>
                                      <w:rPr>
                                        <w:rFonts w:ascii="Cambria Math" w:hAnsi="Cambria Math" w:cs="Arial"/>
                                        <w:sz w:val="20"/>
                                        <w:szCs w:val="20"/>
                                      </w:rPr>
                                      <m:t>i</m:t>
                                    </m:r>
                                  </m:sub>
                                </m:sSub>
                              </m:num>
                              <m:den>
                                <m:r>
                                  <w:rPr>
                                    <w:rFonts w:ascii="Cambria Math" w:hAnsi="Cambria Math" w:cs="Arial"/>
                                    <w:sz w:val="20"/>
                                    <w:szCs w:val="20"/>
                                  </w:rPr>
                                  <m:t>Monto_Total</m:t>
                                </m:r>
                              </m:den>
                            </m:f>
                          </m:e>
                        </m:d>
                        <m:r>
                          <w:rPr>
                            <w:rFonts w:ascii="Cambria Math" w:hAnsi="Cambria Math" w:cs="Arial"/>
                            <w:sz w:val="20"/>
                            <w:szCs w:val="20"/>
                          </w:rPr>
                          <m:t>∙</m:t>
                        </m:r>
                        <m:f>
                          <m:fPr>
                            <m:ctrlPr>
                              <w:rPr>
                                <w:rFonts w:ascii="Cambria Math" w:hAnsi="Cambria Math"/>
                                <w:i/>
                                <w:iCs/>
                                <w:sz w:val="20"/>
                                <w:szCs w:val="20"/>
                                <w:lang w:val="es-ES_tradnl"/>
                              </w:rPr>
                            </m:ctrlPr>
                          </m:fPr>
                          <m:num>
                            <m:sSub>
                              <m:sSubPr>
                                <m:ctrlPr>
                                  <w:rPr>
                                    <w:rFonts w:ascii="Cambria Math" w:hAnsi="Cambria Math"/>
                                    <w:i/>
                                    <w:iCs/>
                                    <w:sz w:val="20"/>
                                    <w:szCs w:val="20"/>
                                    <w:lang w:val="es-ES_tradnl"/>
                                  </w:rPr>
                                </m:ctrlPr>
                              </m:sSubPr>
                              <m:e>
                                <m:r>
                                  <w:rPr>
                                    <w:rFonts w:ascii="Cambria Math" w:hAnsi="Cambria Math"/>
                                    <w:sz w:val="20"/>
                                    <w:szCs w:val="20"/>
                                    <w:lang w:val="es-ES_tradnl"/>
                                  </w:rPr>
                                  <m:t>Kd_cop</m:t>
                                </m:r>
                              </m:e>
                              <m:sub>
                                <m:r>
                                  <w:rPr>
                                    <w:rFonts w:ascii="Cambria Math" w:hAnsi="Cambria Math"/>
                                    <w:sz w:val="20"/>
                                    <w:szCs w:val="20"/>
                                    <w:lang w:val="es-ES_tradnl"/>
                                  </w:rPr>
                                  <m:t>i</m:t>
                                </m:r>
                              </m:sub>
                            </m:sSub>
                          </m:num>
                          <m:den>
                            <m:r>
                              <w:rPr>
                                <w:rFonts w:ascii="Cambria Math" w:hAnsi="Cambria Math"/>
                                <w:sz w:val="20"/>
                                <w:szCs w:val="20"/>
                                <w:lang w:val="es-ES_tradnl"/>
                              </w:rPr>
                              <m:t>2</m:t>
                            </m:r>
                          </m:den>
                        </m:f>
                      </m:e>
                    </m:d>
                  </m:e>
                </m:nary>
              </m:oMath>
            </m:oMathPara>
          </w:p>
          <w:p w14:paraId="763606C5" w14:textId="77777777" w:rsidR="00847699" w:rsidRPr="003A26C0" w:rsidRDefault="00847699" w:rsidP="00CA65AC">
            <w:pPr>
              <w:ind w:left="0"/>
              <w:jc w:val="both"/>
              <w:rPr>
                <w:rFonts w:ascii="Bookman Old Style" w:hAnsi="Bookman Old Style" w:cs="Arial"/>
                <w:i/>
                <w:iCs/>
                <w:sz w:val="20"/>
                <w:szCs w:val="20"/>
              </w:rPr>
            </w:pPr>
          </w:p>
          <w:p w14:paraId="11AEA5E9" w14:textId="524E8ED9" w:rsidR="00847699" w:rsidRPr="003A26C0" w:rsidRDefault="00847699" w:rsidP="00CA65AC">
            <w:pPr>
              <w:ind w:left="0"/>
              <w:contextualSpacing/>
              <w:jc w:val="both"/>
              <w:rPr>
                <w:rFonts w:ascii="Bookman Old Style" w:hAnsi="Bookman Old Style" w:cs="Arial"/>
                <w:i/>
                <w:iCs/>
                <w:sz w:val="20"/>
                <w:szCs w:val="20"/>
              </w:rPr>
            </w:pPr>
            <w:r w:rsidRPr="003A26C0">
              <w:rPr>
                <w:rFonts w:ascii="Bookman Old Style" w:hAnsi="Bookman Old Style" w:cs="Arial"/>
                <w:i/>
                <w:iCs/>
                <w:sz w:val="20"/>
                <w:szCs w:val="20"/>
              </w:rPr>
              <w:t xml:space="preserve">En donde </w:t>
            </w:r>
            <w:r w:rsidRPr="003A26C0">
              <w:rPr>
                <w:rFonts w:ascii="Bookman Old Style" w:hAnsi="Bookman Old Style"/>
                <w:i/>
                <w:iCs/>
                <w:sz w:val="20"/>
                <w:szCs w:val="20"/>
                <w:lang w:val="es-ES_tradnl"/>
              </w:rPr>
              <w:t xml:space="preserve">i es cada uno de los meses para los que existe información, </w:t>
            </w:r>
            <m:oMath>
              <m:sSub>
                <m:sSubPr>
                  <m:ctrlPr>
                    <w:rPr>
                      <w:rFonts w:ascii="Cambria Math" w:hAnsi="Cambria Math"/>
                      <w:i/>
                      <w:iCs/>
                      <w:sz w:val="20"/>
                      <w:szCs w:val="20"/>
                      <w:lang w:val="es-ES_tradnl"/>
                    </w:rPr>
                  </m:ctrlPr>
                </m:sSubPr>
                <m:e>
                  <m:r>
                    <w:rPr>
                      <w:rFonts w:ascii="Cambria Math" w:hAnsi="Cambria Math"/>
                      <w:sz w:val="20"/>
                      <w:szCs w:val="20"/>
                      <w:lang w:val="es-ES_tradnl"/>
                    </w:rPr>
                    <m:t>Kd_cop</m:t>
                  </m:r>
                </m:e>
                <m:sub>
                  <m:r>
                    <w:rPr>
                      <w:rFonts w:ascii="Cambria Math" w:hAnsi="Cambria Math"/>
                      <w:sz w:val="20"/>
                      <w:szCs w:val="20"/>
                      <w:lang w:val="es-ES_tradnl"/>
                    </w:rPr>
                    <m:t>i</m:t>
                  </m:r>
                </m:sub>
              </m:sSub>
            </m:oMath>
            <w:r w:rsidRPr="003A26C0">
              <w:rPr>
                <w:rFonts w:ascii="Bookman Old Style" w:hAnsi="Bookman Old Style"/>
                <w:i/>
                <w:iCs/>
                <w:sz w:val="20"/>
                <w:szCs w:val="20"/>
                <w:lang w:val="es-ES_tradnl"/>
              </w:rPr>
              <w:t xml:space="preserve"> es la tasa de colocación del mes i, </w:t>
            </w:r>
            <w:r w:rsidRPr="003A26C0">
              <w:rPr>
                <w:rFonts w:ascii="Bookman Old Style" w:hAnsi="Bookman Old Style" w:cs="Arial"/>
                <w:i/>
                <w:iCs/>
                <w:sz w:val="20"/>
                <w:szCs w:val="20"/>
              </w:rPr>
              <w:t xml:space="preserve">n es el número de meses para los que existe información disponible, </w:t>
            </w:r>
            <m:oMath>
              <m:r>
                <w:rPr>
                  <w:rFonts w:ascii="Cambria Math" w:hAnsi="Cambria Math" w:cs="Arial"/>
                  <w:sz w:val="20"/>
                  <w:szCs w:val="20"/>
                </w:rPr>
                <m:t>Mont</m:t>
              </m:r>
              <m:sSub>
                <m:sSubPr>
                  <m:ctrlPr>
                    <w:rPr>
                      <w:rFonts w:ascii="Cambria Math" w:hAnsi="Cambria Math" w:cs="Arial"/>
                      <w:i/>
                      <w:iCs/>
                      <w:sz w:val="20"/>
                      <w:szCs w:val="20"/>
                    </w:rPr>
                  </m:ctrlPr>
                </m:sSubPr>
                <m:e>
                  <m:r>
                    <w:rPr>
                      <w:rFonts w:ascii="Cambria Math" w:hAnsi="Cambria Math" w:cs="Arial"/>
                      <w:sz w:val="20"/>
                      <w:szCs w:val="20"/>
                    </w:rPr>
                    <m:t>o</m:t>
                  </m:r>
                </m:e>
                <m:sub>
                  <m:r>
                    <w:rPr>
                      <w:rFonts w:ascii="Cambria Math" w:hAnsi="Cambria Math" w:cs="Arial"/>
                      <w:sz w:val="20"/>
                      <w:szCs w:val="20"/>
                    </w:rPr>
                    <m:t>i</m:t>
                  </m:r>
                </m:sub>
              </m:sSub>
            </m:oMath>
            <w:r w:rsidRPr="003A26C0">
              <w:rPr>
                <w:rFonts w:ascii="Bookman Old Style" w:hAnsi="Bookman Old Style" w:cs="Arial"/>
                <w:i/>
                <w:iCs/>
                <w:sz w:val="20"/>
                <w:szCs w:val="20"/>
              </w:rPr>
              <w:t xml:space="preserve"> es el valor de los desembolsos del mes i, </w:t>
            </w:r>
            <m:oMath>
              <m:r>
                <w:rPr>
                  <w:rFonts w:ascii="Cambria Math" w:hAnsi="Cambria Math" w:cs="Arial"/>
                  <w:sz w:val="20"/>
                  <w:szCs w:val="20"/>
                </w:rPr>
                <m:t>Monto_Total</m:t>
              </m:r>
            </m:oMath>
            <w:r w:rsidRPr="003A26C0">
              <w:rPr>
                <w:rFonts w:ascii="Bookman Old Style" w:hAnsi="Bookman Old Style" w:cs="Arial"/>
                <w:i/>
                <w:iCs/>
                <w:sz w:val="20"/>
                <w:szCs w:val="20"/>
              </w:rPr>
              <w:t xml:space="preserve"> es el valor de la suma de los desembolsos de todos los meses para los que existe información e i = </w:t>
            </w:r>
            <w:r w:rsidRPr="003A26C0">
              <w:rPr>
                <w:rFonts w:ascii="Bookman Old Style" w:hAnsi="Bookman Old Style" w:cs="Arial"/>
                <w:b/>
                <w:bCs/>
                <w:i/>
                <w:iCs/>
                <w:sz w:val="20"/>
                <w:szCs w:val="20"/>
              </w:rPr>
              <w:t>-</w:t>
            </w:r>
            <w:r w:rsidRPr="003A26C0">
              <w:rPr>
                <w:rFonts w:ascii="Bookman Old Style" w:hAnsi="Bookman Old Style" w:cs="Arial"/>
                <w:i/>
                <w:iCs/>
                <w:sz w:val="20"/>
                <w:szCs w:val="20"/>
              </w:rPr>
              <w:t>1 es el dato más reciente.</w:t>
            </w:r>
          </w:p>
          <w:p w14:paraId="741F964F" w14:textId="77777777" w:rsidR="00847699" w:rsidRPr="003A26C0" w:rsidRDefault="00847699" w:rsidP="00CA65AC">
            <w:pPr>
              <w:ind w:left="0"/>
              <w:jc w:val="both"/>
              <w:rPr>
                <w:rFonts w:ascii="Bookman Old Style" w:hAnsi="Bookman Old Style"/>
                <w:i/>
                <w:iCs/>
                <w:sz w:val="18"/>
                <w:szCs w:val="20"/>
                <w:lang w:val="es-ES_tradnl"/>
              </w:rPr>
            </w:pPr>
          </w:p>
        </w:tc>
      </w:tr>
      <w:tr w:rsidR="00847699" w:rsidRPr="003A26C0" w14:paraId="6EA2400A" w14:textId="77777777" w:rsidTr="00CA65AC">
        <w:tc>
          <w:tcPr>
            <w:tcW w:w="1101" w:type="dxa"/>
          </w:tcPr>
          <w:p w14:paraId="0CCE84DF" w14:textId="20F5669F" w:rsidR="00847699" w:rsidRPr="003A26C0" w:rsidRDefault="00741E93" w:rsidP="00CA65AC">
            <w:pPr>
              <w:ind w:left="0"/>
              <w:rPr>
                <w:rFonts w:ascii="Bookman Old Style" w:hAnsi="Bookman Old Style"/>
                <w:b/>
                <w:i/>
                <w:iCs/>
                <w:sz w:val="20"/>
                <w:szCs w:val="20"/>
                <w:lang w:val="es-ES_tradnl"/>
              </w:rPr>
            </w:pPr>
            <m:oMathPara>
              <m:oMathParaPr>
                <m:jc m:val="left"/>
              </m:oMathParaPr>
              <m:oMath>
                <m:sSub>
                  <m:sSubPr>
                    <m:ctrlPr>
                      <w:rPr>
                        <w:rFonts w:ascii="Cambria Math" w:eastAsia="Cambria Math" w:hAnsi="Cambria Math" w:cs="Arial"/>
                        <w:b/>
                        <w:i/>
                        <w:iCs/>
                        <w:color w:val="000000" w:themeColor="text1"/>
                        <w:kern w:val="24"/>
                        <w:sz w:val="20"/>
                        <w:szCs w:val="20"/>
                      </w:rPr>
                    </m:ctrlPr>
                  </m:sSubPr>
                  <m:e>
                    <m:r>
                      <m:rPr>
                        <m:sty m:val="bi"/>
                      </m:rPr>
                      <w:rPr>
                        <w:rFonts w:ascii="Cambria Math" w:eastAsia="Cambria Math" w:hAnsi="Cambria Math" w:cs="Arial"/>
                        <w:color w:val="000000" w:themeColor="text1"/>
                        <w:kern w:val="24"/>
                        <w:sz w:val="20"/>
                        <w:szCs w:val="20"/>
                      </w:rPr>
                      <m:t>Ke_cop</m:t>
                    </m:r>
                  </m:e>
                  <m:sub>
                    <m:r>
                      <m:rPr>
                        <m:sty m:val="bi"/>
                      </m:rPr>
                      <w:rPr>
                        <w:rFonts w:ascii="Cambria Math" w:eastAsia="Cambria Math" w:hAnsi="Cambria Math" w:cs="Arial"/>
                        <w:color w:val="000000" w:themeColor="text1"/>
                        <w:kern w:val="24"/>
                        <w:sz w:val="20"/>
                        <w:szCs w:val="20"/>
                      </w:rPr>
                      <m:t>a,τ</m:t>
                    </m:r>
                  </m:sub>
                </m:sSub>
              </m:oMath>
            </m:oMathPara>
          </w:p>
        </w:tc>
        <w:tc>
          <w:tcPr>
            <w:tcW w:w="298" w:type="dxa"/>
          </w:tcPr>
          <w:p w14:paraId="69CC127C" w14:textId="77777777" w:rsidR="00847699" w:rsidRPr="003A26C0" w:rsidRDefault="00847699" w:rsidP="00CA65AC">
            <w:pPr>
              <w:ind w:left="0"/>
              <w:rPr>
                <w:rFonts w:ascii="Bookman Old Style" w:hAnsi="Bookman Old Style" w:cs="Arial"/>
                <w:b/>
                <w:i/>
                <w:iCs/>
                <w:sz w:val="20"/>
                <w:szCs w:val="20"/>
              </w:rPr>
            </w:pPr>
            <w:r w:rsidRPr="003A26C0">
              <w:rPr>
                <w:rFonts w:ascii="Bookman Old Style" w:hAnsi="Bookman Old Style" w:cs="Arial"/>
                <w:b/>
                <w:i/>
                <w:iCs/>
                <w:sz w:val="20"/>
                <w:szCs w:val="20"/>
              </w:rPr>
              <w:t>:</w:t>
            </w:r>
          </w:p>
        </w:tc>
        <w:tc>
          <w:tcPr>
            <w:tcW w:w="8065" w:type="dxa"/>
            <w:vAlign w:val="center"/>
          </w:tcPr>
          <w:p w14:paraId="54EE1715" w14:textId="3E991A2E" w:rsidR="00847699" w:rsidRPr="003A26C0" w:rsidRDefault="00847699" w:rsidP="00CA65AC">
            <w:pPr>
              <w:ind w:left="0"/>
              <w:jc w:val="both"/>
              <w:rPr>
                <w:rFonts w:ascii="Bookman Old Style" w:hAnsi="Bookman Old Style" w:cs="Arial"/>
                <w:i/>
                <w:iCs/>
                <w:sz w:val="20"/>
                <w:szCs w:val="20"/>
              </w:rPr>
            </w:pPr>
            <w:r w:rsidRPr="003A26C0">
              <w:rPr>
                <w:rFonts w:ascii="Bookman Old Style" w:hAnsi="Bookman Old Style" w:cs="Arial"/>
                <w:i/>
                <w:iCs/>
                <w:sz w:val="20"/>
                <w:szCs w:val="20"/>
              </w:rPr>
              <w:t xml:space="preserve">Costo del capital propio en pesos corrientes, equivalente al costo del capital propio en dólares corrientes, para la actividad </w:t>
            </w:r>
            <m:oMath>
              <m:r>
                <w:rPr>
                  <w:rFonts w:ascii="Cambria Math" w:hAnsi="Cambria Math" w:cs="Arial"/>
                  <w:sz w:val="20"/>
                  <w:szCs w:val="20"/>
                </w:rPr>
                <m:t>a</m:t>
              </m:r>
            </m:oMath>
            <w:r w:rsidRPr="003A26C0">
              <w:rPr>
                <w:rFonts w:ascii="Bookman Old Style" w:hAnsi="Bookman Old Style" w:cs="Arial"/>
                <w:i/>
                <w:iCs/>
                <w:sz w:val="20"/>
                <w:szCs w:val="20"/>
              </w:rPr>
              <w:t xml:space="preserve">, en el momento </w:t>
            </w:r>
            <m:oMath>
              <m:r>
                <w:rPr>
                  <w:rFonts w:ascii="Cambria Math" w:hAnsi="Cambria Math" w:cs="Arial"/>
                  <w:sz w:val="20"/>
                  <w:szCs w:val="20"/>
                </w:rPr>
                <m:t>τ</m:t>
              </m:r>
            </m:oMath>
            <w:r w:rsidRPr="003A26C0">
              <w:rPr>
                <w:rFonts w:ascii="Bookman Old Style" w:hAnsi="Bookman Old Style" w:cs="Arial"/>
                <w:i/>
                <w:iCs/>
                <w:sz w:val="20"/>
                <w:szCs w:val="20"/>
              </w:rPr>
              <w:t>.</w:t>
            </w:r>
          </w:p>
          <w:p w14:paraId="4CF85A05" w14:textId="77777777" w:rsidR="00847699" w:rsidRPr="003A26C0" w:rsidRDefault="00847699" w:rsidP="00CA65AC">
            <w:pPr>
              <w:ind w:left="0"/>
              <w:jc w:val="both"/>
              <w:rPr>
                <w:rFonts w:ascii="Bookman Old Style" w:hAnsi="Bookman Old Style"/>
                <w:i/>
                <w:iCs/>
                <w:sz w:val="18"/>
                <w:szCs w:val="20"/>
                <w:lang w:val="es-ES_tradnl"/>
              </w:rPr>
            </w:pPr>
          </w:p>
        </w:tc>
      </w:tr>
      <w:tr w:rsidR="00847699" w:rsidRPr="003A26C0" w14:paraId="3AC2ECFB" w14:textId="77777777" w:rsidTr="00CA65AC">
        <w:tc>
          <w:tcPr>
            <w:tcW w:w="1101" w:type="dxa"/>
          </w:tcPr>
          <w:p w14:paraId="617FB1BF" w14:textId="71D87AB0" w:rsidR="00847699" w:rsidRPr="003A26C0" w:rsidRDefault="003A26C0" w:rsidP="00CA65AC">
            <w:pPr>
              <w:ind w:left="0"/>
              <w:rPr>
                <w:b/>
                <w:i/>
                <w:iCs/>
                <w:color w:val="000000" w:themeColor="text1"/>
                <w:kern w:val="24"/>
                <w:sz w:val="20"/>
                <w:szCs w:val="20"/>
              </w:rPr>
            </w:pPr>
            <m:oMathPara>
              <m:oMathParaPr>
                <m:jc m:val="left"/>
              </m:oMathParaPr>
              <m:oMath>
                <m:r>
                  <m:rPr>
                    <m:sty m:val="bi"/>
                  </m:rPr>
                  <w:rPr>
                    <w:rFonts w:ascii="Cambria Math" w:eastAsia="Cambria Math" w:hAnsi="Cambria Math" w:cs="Arial"/>
                    <w:color w:val="000000" w:themeColor="text1"/>
                    <w:kern w:val="24"/>
                    <w:sz w:val="20"/>
                    <w:szCs w:val="20"/>
                  </w:rPr>
                  <m:t>Tx</m:t>
                </m:r>
              </m:oMath>
            </m:oMathPara>
          </w:p>
        </w:tc>
        <w:tc>
          <w:tcPr>
            <w:tcW w:w="298" w:type="dxa"/>
          </w:tcPr>
          <w:p w14:paraId="7AD2DECD" w14:textId="77777777" w:rsidR="00847699" w:rsidRPr="003A26C0" w:rsidRDefault="00847699" w:rsidP="00CA65AC">
            <w:pPr>
              <w:ind w:left="0"/>
              <w:rPr>
                <w:rFonts w:ascii="Bookman Old Style" w:hAnsi="Bookman Old Style" w:cs="Arial"/>
                <w:b/>
                <w:i/>
                <w:iCs/>
                <w:sz w:val="20"/>
                <w:szCs w:val="20"/>
              </w:rPr>
            </w:pPr>
            <w:r w:rsidRPr="003A26C0">
              <w:rPr>
                <w:rFonts w:ascii="Bookman Old Style" w:hAnsi="Bookman Old Style" w:cs="Arial"/>
                <w:b/>
                <w:i/>
                <w:iCs/>
                <w:sz w:val="20"/>
                <w:szCs w:val="20"/>
              </w:rPr>
              <w:t>:</w:t>
            </w:r>
          </w:p>
        </w:tc>
        <w:tc>
          <w:tcPr>
            <w:tcW w:w="8065" w:type="dxa"/>
            <w:vAlign w:val="center"/>
          </w:tcPr>
          <w:p w14:paraId="06BA4654" w14:textId="0A3FB120" w:rsidR="00847699" w:rsidRPr="003A26C0" w:rsidRDefault="00847699" w:rsidP="00CA65AC">
            <w:pPr>
              <w:ind w:left="0"/>
              <w:jc w:val="both"/>
              <w:rPr>
                <w:rFonts w:ascii="Bookman Old Style" w:hAnsi="Bookman Old Style" w:cs="Arial"/>
                <w:i/>
                <w:iCs/>
                <w:sz w:val="20"/>
                <w:szCs w:val="20"/>
              </w:rPr>
            </w:pPr>
            <w:r w:rsidRPr="003A26C0">
              <w:rPr>
                <w:rFonts w:ascii="Bookman Old Style" w:hAnsi="Bookman Old Style" w:cs="Arial"/>
                <w:i/>
                <w:iCs/>
                <w:sz w:val="20"/>
                <w:szCs w:val="20"/>
              </w:rPr>
              <w:t xml:space="preserve">Tarifa general del impuesto sobre la renta de las personas jurídicas, vigente al momento </w:t>
            </w:r>
            <m:oMath>
              <m:r>
                <w:rPr>
                  <w:rFonts w:ascii="Cambria Math" w:eastAsia="Cambria Math" w:hAnsi="Cambria Math" w:cstheme="minorBidi"/>
                  <w:color w:val="000000" w:themeColor="text1"/>
                  <w:kern w:val="24"/>
                  <w:sz w:val="20"/>
                  <w:szCs w:val="20"/>
                </w:rPr>
                <m:t>τ</m:t>
              </m:r>
            </m:oMath>
            <w:r w:rsidRPr="003A26C0" w:rsidDel="00FC1120">
              <w:rPr>
                <w:rFonts w:ascii="Bookman Old Style" w:hAnsi="Bookman Old Style" w:cs="Arial"/>
                <w:i/>
                <w:iCs/>
                <w:sz w:val="20"/>
                <w:szCs w:val="20"/>
              </w:rPr>
              <w:t>.</w:t>
            </w:r>
          </w:p>
          <w:p w14:paraId="3328AEB4" w14:textId="77777777" w:rsidR="00847699" w:rsidRPr="003A26C0" w:rsidRDefault="00847699" w:rsidP="00CA65AC">
            <w:pPr>
              <w:ind w:left="0"/>
              <w:jc w:val="both"/>
              <w:rPr>
                <w:rFonts w:ascii="Bookman Old Style" w:hAnsi="Bookman Old Style" w:cs="Arial"/>
                <w:i/>
                <w:iCs/>
                <w:sz w:val="20"/>
                <w:szCs w:val="20"/>
              </w:rPr>
            </w:pPr>
          </w:p>
        </w:tc>
      </w:tr>
    </w:tbl>
    <w:p w14:paraId="3DFBFD2A" w14:textId="77777777" w:rsidR="00847699" w:rsidRPr="00297BC6" w:rsidRDefault="00847699" w:rsidP="000776BE">
      <w:pPr>
        <w:ind w:left="0"/>
        <w:jc w:val="both"/>
        <w:rPr>
          <w:rFonts w:ascii="Bookman Old Style" w:hAnsi="Bookman Old Style" w:cs="Arial"/>
        </w:rPr>
      </w:pPr>
    </w:p>
    <w:p w14:paraId="1CC8BCD7" w14:textId="725AD2D7" w:rsidR="000776BE" w:rsidRDefault="000776BE" w:rsidP="00AC4426">
      <w:pPr>
        <w:pStyle w:val="Ttulo1"/>
        <w:ind w:left="0"/>
        <w:jc w:val="both"/>
        <w:rPr>
          <w:rFonts w:ascii="Bookman Old Style" w:hAnsi="Bookman Old Style" w:cs="Arial"/>
          <w:b w:val="0"/>
          <w:bCs/>
        </w:rPr>
      </w:pPr>
      <w:r w:rsidRPr="00F340A2">
        <w:rPr>
          <w:rFonts w:ascii="Bookman Old Style" w:hAnsi="Bookman Old Style" w:cs="Arial"/>
        </w:rPr>
        <w:t xml:space="preserve">ARTÍCULO </w:t>
      </w:r>
      <w:r w:rsidR="00847699">
        <w:rPr>
          <w:rFonts w:ascii="Bookman Old Style" w:hAnsi="Bookman Old Style" w:cs="Arial"/>
        </w:rPr>
        <w:t>4</w:t>
      </w:r>
      <w:r w:rsidRPr="00F340A2">
        <w:rPr>
          <w:rFonts w:ascii="Bookman Old Style" w:hAnsi="Bookman Old Style" w:cs="Arial"/>
        </w:rPr>
        <w:t xml:space="preserve">. </w:t>
      </w:r>
      <w:r w:rsidR="00AC4426">
        <w:rPr>
          <w:rFonts w:ascii="Bookman Old Style" w:hAnsi="Bookman Old Style" w:cs="Arial"/>
          <w:b w:val="0"/>
          <w:bCs/>
        </w:rPr>
        <w:t xml:space="preserve">Modifíquese el parágrafo 3 del artículo </w:t>
      </w:r>
      <w:r w:rsidR="00E935AB">
        <w:rPr>
          <w:rFonts w:ascii="Bookman Old Style" w:hAnsi="Bookman Old Style" w:cs="Arial"/>
          <w:b w:val="0"/>
          <w:bCs/>
        </w:rPr>
        <w:t>2</w:t>
      </w:r>
      <w:r w:rsidR="00AC4426">
        <w:rPr>
          <w:rFonts w:ascii="Bookman Old Style" w:hAnsi="Bookman Old Style" w:cs="Arial"/>
          <w:b w:val="0"/>
          <w:bCs/>
        </w:rPr>
        <w:t xml:space="preserve"> de la Resolución CREG 004 de 2021 así:</w:t>
      </w:r>
    </w:p>
    <w:p w14:paraId="7116654D" w14:textId="3D7FDB26" w:rsidR="00AC4426" w:rsidRDefault="00AC4426" w:rsidP="00AC4426">
      <w:pPr>
        <w:rPr>
          <w:lang w:val="es-CO"/>
        </w:rPr>
      </w:pPr>
    </w:p>
    <w:p w14:paraId="2CAE0C70" w14:textId="6EF21AD3" w:rsidR="00472CCA" w:rsidRPr="003A26C0" w:rsidRDefault="00472CCA" w:rsidP="00472CCA">
      <w:pPr>
        <w:pStyle w:val="Ttulo2"/>
        <w:numPr>
          <w:ilvl w:val="0"/>
          <w:numId w:val="0"/>
        </w:numPr>
        <w:spacing w:line="240" w:lineRule="auto"/>
        <w:rPr>
          <w:rFonts w:ascii="Bookman Old Style" w:hAnsi="Bookman Old Style" w:cs="Arial"/>
          <w:i/>
          <w:iCs/>
          <w:sz w:val="20"/>
          <w:szCs w:val="20"/>
        </w:rPr>
      </w:pPr>
      <w:r w:rsidRPr="003A26C0">
        <w:rPr>
          <w:rFonts w:ascii="Bookman Old Style" w:hAnsi="Bookman Old Style" w:cs="Arial"/>
          <w:i/>
          <w:iCs/>
          <w:sz w:val="20"/>
          <w:szCs w:val="20"/>
        </w:rPr>
        <w:t xml:space="preserve">Parágrafo 3. </w:t>
      </w:r>
      <w:r w:rsidRPr="003A26C0">
        <w:rPr>
          <w:rFonts w:ascii="Bookman Old Style" w:hAnsi="Bookman Old Style" w:cs="Arial"/>
          <w:b w:val="0"/>
          <w:i/>
          <w:iCs/>
          <w:sz w:val="20"/>
          <w:szCs w:val="20"/>
        </w:rPr>
        <w:t xml:space="preserve">El costo del capital propio calculado en dólares corrientes para la actividad </w:t>
      </w:r>
      <m:oMath>
        <m:r>
          <m:rPr>
            <m:sty m:val="bi"/>
          </m:rPr>
          <w:rPr>
            <w:rFonts w:ascii="Cambria Math" w:hAnsi="Cambria Math" w:cs="Arial"/>
            <w:sz w:val="20"/>
            <w:szCs w:val="20"/>
          </w:rPr>
          <m:t>a</m:t>
        </m:r>
      </m:oMath>
      <w:r w:rsidRPr="003A26C0">
        <w:rPr>
          <w:rFonts w:ascii="Bookman Old Style" w:hAnsi="Bookman Old Style" w:cs="Arial"/>
          <w:b w:val="0"/>
          <w:i/>
          <w:iCs/>
          <w:sz w:val="20"/>
          <w:szCs w:val="20"/>
        </w:rPr>
        <w:t xml:space="preserve">, en el momento </w:t>
      </w:r>
      <m:oMath>
        <m:r>
          <m:rPr>
            <m:sty m:val="bi"/>
          </m:rPr>
          <w:rPr>
            <w:rFonts w:ascii="Cambria Math" w:hAnsi="Cambria Math" w:cs="Arial"/>
            <w:sz w:val="20"/>
            <w:szCs w:val="20"/>
          </w:rPr>
          <m:t>τ</m:t>
        </m:r>
      </m:oMath>
      <w:r w:rsidRPr="003A26C0">
        <w:rPr>
          <w:rFonts w:ascii="Bookman Old Style" w:hAnsi="Bookman Old Style" w:cs="Arial"/>
          <w:b w:val="0"/>
          <w:i/>
          <w:iCs/>
          <w:sz w:val="20"/>
          <w:szCs w:val="20"/>
        </w:rPr>
        <w:t>, está dado por la siguiente expresión:</w:t>
      </w:r>
    </w:p>
    <w:p w14:paraId="2C1FF2C4" w14:textId="77777777" w:rsidR="00472CCA" w:rsidRPr="003A26C0" w:rsidRDefault="00472CCA" w:rsidP="00472CCA">
      <w:pPr>
        <w:ind w:left="0"/>
        <w:contextualSpacing/>
        <w:jc w:val="both"/>
        <w:rPr>
          <w:rFonts w:ascii="Bookman Old Style" w:hAnsi="Bookman Old Style" w:cs="Arial"/>
          <w:i/>
          <w:iCs/>
          <w:sz w:val="20"/>
          <w:szCs w:val="20"/>
          <w:lang w:val="es-ES_tradnl"/>
        </w:rPr>
      </w:pPr>
    </w:p>
    <w:p w14:paraId="60B10704" w14:textId="55F54DEB" w:rsidR="00472CCA" w:rsidRPr="003A26C0" w:rsidRDefault="00741E93" w:rsidP="00472CCA">
      <w:pPr>
        <w:ind w:left="0"/>
        <w:contextualSpacing/>
        <w:jc w:val="both"/>
        <w:rPr>
          <w:rFonts w:ascii="Bookman Old Style" w:hAnsi="Bookman Old Style" w:cs="Arial"/>
          <w:i/>
          <w:iCs/>
          <w:sz w:val="20"/>
          <w:szCs w:val="20"/>
          <w:lang w:val="es-ES_tradnl"/>
        </w:rPr>
      </w:pPr>
      <m:oMathPara>
        <m:oMath>
          <m:sSub>
            <m:sSubPr>
              <m:ctrlPr>
                <w:rPr>
                  <w:rFonts w:ascii="Cambria Math" w:eastAsiaTheme="minorEastAsia" w:hAnsi="Cambria Math" w:cstheme="minorBidi"/>
                  <w:i/>
                  <w:iCs/>
                  <w:color w:val="000000" w:themeColor="text1"/>
                  <w:kern w:val="24"/>
                  <w:sz w:val="20"/>
                  <w:szCs w:val="20"/>
                </w:rPr>
              </m:ctrlPr>
            </m:sSubPr>
            <m:e>
              <m:r>
                <w:rPr>
                  <w:rFonts w:ascii="Cambria Math" w:hAnsi="Cambria Math" w:cstheme="minorBidi"/>
                  <w:color w:val="000000" w:themeColor="text1"/>
                  <w:kern w:val="24"/>
                  <w:sz w:val="20"/>
                  <w:szCs w:val="20"/>
                </w:rPr>
                <m:t>Ke_usd</m:t>
              </m:r>
            </m:e>
            <m:sub>
              <m:r>
                <w:rPr>
                  <w:rFonts w:ascii="Cambria Math" w:hAnsi="Cambria Math" w:cstheme="minorBidi"/>
                  <w:color w:val="000000" w:themeColor="text1"/>
                  <w:kern w:val="24"/>
                  <w:sz w:val="20"/>
                  <w:szCs w:val="20"/>
                </w:rPr>
                <m:t>a,τ</m:t>
              </m:r>
            </m:sub>
          </m:sSub>
          <m:r>
            <w:rPr>
              <w:rFonts w:ascii="Cambria Math" w:eastAsia="Cambria Math" w:hAnsi="Cambria Math" w:cstheme="minorBidi"/>
              <w:color w:val="000000" w:themeColor="text1"/>
              <w:kern w:val="24"/>
              <w:sz w:val="20"/>
              <w:szCs w:val="20"/>
            </w:rPr>
            <m:t>=</m:t>
          </m:r>
          <m:sSub>
            <m:sSubPr>
              <m:ctrlPr>
                <w:rPr>
                  <w:rFonts w:ascii="Cambria Math" w:eastAsia="Cambria Math" w:hAnsi="Cambria Math" w:cstheme="minorBidi"/>
                  <w:i/>
                  <w:iCs/>
                  <w:color w:val="000000" w:themeColor="text1"/>
                  <w:kern w:val="24"/>
                  <w:sz w:val="20"/>
                  <w:szCs w:val="20"/>
                </w:rPr>
              </m:ctrlPr>
            </m:sSubPr>
            <m:e>
              <m:r>
                <w:rPr>
                  <w:rFonts w:ascii="Cambria Math" w:eastAsia="Cambria Math" w:hAnsi="Cambria Math" w:cstheme="minorBidi"/>
                  <w:color w:val="000000" w:themeColor="text1"/>
                  <w:kern w:val="24"/>
                  <w:sz w:val="20"/>
                  <w:szCs w:val="20"/>
                </w:rPr>
                <m:t>Rf_cop_usd</m:t>
              </m:r>
            </m:e>
            <m:sub>
              <m:r>
                <w:rPr>
                  <w:rFonts w:ascii="Cambria Math" w:eastAsia="Cambria Math" w:hAnsi="Cambria Math" w:cstheme="minorBidi"/>
                  <w:color w:val="000000" w:themeColor="text1"/>
                  <w:kern w:val="24"/>
                  <w:sz w:val="20"/>
                  <w:szCs w:val="20"/>
                </w:rPr>
                <m:t>τ</m:t>
              </m:r>
            </m:sub>
          </m:sSub>
          <m:r>
            <w:rPr>
              <w:rFonts w:ascii="Cambria Math" w:eastAsia="Cambria Math" w:hAnsi="Cambria Math" w:cstheme="minorBidi"/>
              <w:color w:val="000000" w:themeColor="text1"/>
              <w:kern w:val="24"/>
              <w:sz w:val="20"/>
              <w:szCs w:val="20"/>
            </w:rPr>
            <m:t>+</m:t>
          </m:r>
          <m:d>
            <m:dPr>
              <m:ctrlPr>
                <w:rPr>
                  <w:rFonts w:ascii="Cambria Math" w:eastAsia="Cambria Math" w:hAnsi="Cambria Math" w:cstheme="minorBidi"/>
                  <w:i/>
                  <w:iCs/>
                  <w:color w:val="000000" w:themeColor="text1"/>
                  <w:kern w:val="24"/>
                  <w:sz w:val="20"/>
                  <w:szCs w:val="20"/>
                </w:rPr>
              </m:ctrlPr>
            </m:dPr>
            <m:e>
              <m:sSub>
                <m:sSubPr>
                  <m:ctrlPr>
                    <w:rPr>
                      <w:rFonts w:ascii="Cambria Math" w:eastAsia="Cambria Math" w:hAnsi="Cambria Math" w:cstheme="minorBidi"/>
                      <w:i/>
                      <w:iCs/>
                      <w:color w:val="000000" w:themeColor="text1"/>
                      <w:kern w:val="24"/>
                      <w:sz w:val="20"/>
                      <w:szCs w:val="20"/>
                    </w:rPr>
                  </m:ctrlPr>
                </m:sSubPr>
                <m:e>
                  <m:sSub>
                    <m:sSubPr>
                      <m:ctrlPr>
                        <w:rPr>
                          <w:rFonts w:ascii="Cambria Math" w:eastAsia="Cambria Math" w:hAnsi="Cambria Math" w:cstheme="minorBidi"/>
                          <w:i/>
                          <w:iCs/>
                          <w:color w:val="000000" w:themeColor="text1"/>
                          <w:kern w:val="24"/>
                          <w:sz w:val="20"/>
                          <w:szCs w:val="20"/>
                        </w:rPr>
                      </m:ctrlPr>
                    </m:sSubPr>
                    <m:e>
                      <m:r>
                        <w:rPr>
                          <w:rFonts w:ascii="Cambria Math" w:eastAsia="Cambria Math" w:hAnsi="Cambria Math" w:cstheme="minorBidi"/>
                          <w:color w:val="000000" w:themeColor="text1"/>
                          <w:kern w:val="24"/>
                          <w:sz w:val="20"/>
                          <w:szCs w:val="20"/>
                        </w:rPr>
                        <m:t>βL</m:t>
                      </m:r>
                    </m:e>
                    <m:sub>
                      <m:r>
                        <w:rPr>
                          <w:rFonts w:ascii="Cambria Math" w:eastAsia="Cambria Math" w:hAnsi="Cambria Math" w:cstheme="minorBidi"/>
                          <w:color w:val="000000" w:themeColor="text1"/>
                          <w:kern w:val="24"/>
                          <w:sz w:val="20"/>
                          <w:szCs w:val="20"/>
                        </w:rPr>
                        <m:t>a,τ</m:t>
                      </m:r>
                    </m:sub>
                  </m:sSub>
                  <m:r>
                    <w:rPr>
                      <w:rFonts w:ascii="Cambria Math" w:eastAsia="Cambria Math" w:hAnsi="Cambria Math" w:cstheme="minorBidi"/>
                      <w:color w:val="000000" w:themeColor="text1"/>
                      <w:kern w:val="24"/>
                      <w:sz w:val="20"/>
                      <w:szCs w:val="20"/>
                    </w:rPr>
                    <m:t>∙PRM</m:t>
                  </m:r>
                </m:e>
                <m:sub>
                  <m:r>
                    <w:rPr>
                      <w:rFonts w:ascii="Cambria Math" w:eastAsia="Cambria Math" w:hAnsi="Cambria Math" w:cstheme="minorBidi"/>
                      <w:color w:val="000000" w:themeColor="text1"/>
                      <w:kern w:val="24"/>
                      <w:sz w:val="20"/>
                      <w:szCs w:val="20"/>
                    </w:rPr>
                    <m:t>τ</m:t>
                  </m:r>
                </m:sub>
              </m:sSub>
            </m:e>
          </m:d>
        </m:oMath>
      </m:oMathPara>
    </w:p>
    <w:p w14:paraId="02671F0A" w14:textId="77777777" w:rsidR="00472CCA" w:rsidRPr="003A26C0" w:rsidRDefault="00472CCA" w:rsidP="00472CCA">
      <w:pPr>
        <w:ind w:left="0"/>
        <w:contextualSpacing/>
        <w:jc w:val="both"/>
        <w:rPr>
          <w:rFonts w:ascii="Bookman Old Style" w:hAnsi="Bookman Old Style" w:cs="Arial"/>
          <w:i/>
          <w:iCs/>
          <w:sz w:val="20"/>
          <w:szCs w:val="20"/>
          <w:lang w:val="es-ES_tradnl"/>
        </w:rPr>
      </w:pPr>
    </w:p>
    <w:p w14:paraId="491E7C67" w14:textId="4807C581" w:rsidR="00472CCA" w:rsidRPr="003A26C0" w:rsidRDefault="00A103B9" w:rsidP="00472CCA">
      <w:pPr>
        <w:ind w:left="0"/>
        <w:contextualSpacing/>
        <w:jc w:val="both"/>
        <w:rPr>
          <w:rFonts w:ascii="Bookman Old Style" w:hAnsi="Bookman Old Style" w:cs="Arial"/>
          <w:i/>
          <w:iCs/>
          <w:sz w:val="20"/>
          <w:szCs w:val="20"/>
          <w:lang w:val="es-ES_tradnl"/>
        </w:rPr>
      </w:pPr>
      <w:r w:rsidRPr="003A26C0">
        <w:rPr>
          <w:rFonts w:ascii="Bookman Old Style" w:hAnsi="Bookman Old Style" w:cs="Arial"/>
          <w:i/>
          <w:iCs/>
          <w:sz w:val="20"/>
          <w:szCs w:val="20"/>
          <w:lang w:val="es-ES_tradnl"/>
        </w:rPr>
        <w:t>d</w:t>
      </w:r>
      <w:r w:rsidR="00472CCA" w:rsidRPr="003A26C0">
        <w:rPr>
          <w:rFonts w:ascii="Bookman Old Style" w:hAnsi="Bookman Old Style" w:cs="Arial"/>
          <w:i/>
          <w:iCs/>
          <w:sz w:val="20"/>
          <w:szCs w:val="20"/>
          <w:lang w:val="es-ES_tradnl"/>
        </w:rPr>
        <w:t>onde,</w:t>
      </w:r>
    </w:p>
    <w:p w14:paraId="319756FC" w14:textId="77777777" w:rsidR="00472CCA" w:rsidRPr="003A26C0" w:rsidRDefault="00472CCA" w:rsidP="00472CCA">
      <w:pPr>
        <w:ind w:left="0"/>
        <w:contextualSpacing/>
        <w:jc w:val="both"/>
        <w:rPr>
          <w:rFonts w:ascii="Bookman Old Style" w:hAnsi="Bookman Old Style" w:cs="Arial"/>
          <w:i/>
          <w:iCs/>
          <w:sz w:val="20"/>
          <w:szCs w:val="20"/>
          <w:lang w:val="es-ES_tradn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284"/>
        <w:gridCol w:w="7796"/>
      </w:tblGrid>
      <w:tr w:rsidR="00472CCA" w:rsidRPr="003A26C0" w14:paraId="756C60E7" w14:textId="77777777" w:rsidTr="008058CC">
        <w:tc>
          <w:tcPr>
            <w:tcW w:w="1384" w:type="dxa"/>
          </w:tcPr>
          <w:p w14:paraId="15F0CAAE" w14:textId="2133E947" w:rsidR="00472CCA" w:rsidRPr="003A26C0" w:rsidRDefault="00741E93" w:rsidP="008058CC">
            <w:pPr>
              <w:ind w:left="0"/>
              <w:rPr>
                <w:rFonts w:ascii="Bookman Old Style" w:hAnsi="Bookman Old Style"/>
                <w:b/>
                <w:i/>
                <w:iCs/>
                <w:sz w:val="20"/>
                <w:szCs w:val="20"/>
                <w:lang w:val="es-ES_tradnl"/>
              </w:rPr>
            </w:pPr>
            <m:oMath>
              <m:sSub>
                <m:sSubPr>
                  <m:ctrlPr>
                    <w:rPr>
                      <w:rFonts w:ascii="Cambria Math" w:eastAsia="Cambria Math" w:hAnsi="Cambria Math" w:cstheme="minorBidi"/>
                      <w:b/>
                      <w:i/>
                      <w:iCs/>
                      <w:color w:val="000000" w:themeColor="text1"/>
                      <w:kern w:val="24"/>
                      <w:sz w:val="20"/>
                      <w:szCs w:val="20"/>
                    </w:rPr>
                  </m:ctrlPr>
                </m:sSubPr>
                <m:e>
                  <m:r>
                    <m:rPr>
                      <m:sty m:val="bi"/>
                    </m:rPr>
                    <w:rPr>
                      <w:rFonts w:ascii="Cambria Math" w:eastAsia="Cambria Math" w:hAnsi="Cambria Math" w:cstheme="minorBidi"/>
                      <w:color w:val="000000" w:themeColor="text1"/>
                      <w:kern w:val="24"/>
                      <w:sz w:val="20"/>
                      <w:szCs w:val="20"/>
                    </w:rPr>
                    <m:t>Rf_cop_usd</m:t>
                  </m:r>
                </m:e>
                <m:sub>
                  <m:r>
                    <m:rPr>
                      <m:sty m:val="bi"/>
                    </m:rPr>
                    <w:rPr>
                      <w:rFonts w:ascii="Cambria Math" w:eastAsia="Cambria Math" w:hAnsi="Cambria Math" w:cstheme="minorBidi"/>
                      <w:color w:val="000000" w:themeColor="text1"/>
                      <w:kern w:val="24"/>
                      <w:sz w:val="20"/>
                      <w:szCs w:val="20"/>
                    </w:rPr>
                    <m:t>τ</m:t>
                  </m:r>
                </m:sub>
              </m:sSub>
            </m:oMath>
            <w:r w:rsidR="00472CCA" w:rsidRPr="003A26C0">
              <w:rPr>
                <w:rFonts w:ascii="Bookman Old Style" w:hAnsi="Bookman Old Style"/>
                <w:b/>
                <w:i/>
                <w:iCs/>
                <w:color w:val="000000" w:themeColor="text1"/>
                <w:kern w:val="24"/>
                <w:sz w:val="20"/>
                <w:szCs w:val="20"/>
              </w:rPr>
              <w:t xml:space="preserve"> </w:t>
            </w:r>
          </w:p>
        </w:tc>
        <w:tc>
          <w:tcPr>
            <w:tcW w:w="284" w:type="dxa"/>
          </w:tcPr>
          <w:p w14:paraId="519C337A" w14:textId="77777777" w:rsidR="00472CCA" w:rsidRPr="003A26C0" w:rsidRDefault="00472CCA" w:rsidP="008058CC">
            <w:pPr>
              <w:ind w:left="0"/>
              <w:rPr>
                <w:rFonts w:ascii="Bookman Old Style" w:hAnsi="Bookman Old Style" w:cs="Arial"/>
                <w:b/>
                <w:i/>
                <w:iCs/>
                <w:color w:val="000000" w:themeColor="text1"/>
                <w:kern w:val="24"/>
                <w:sz w:val="20"/>
                <w:szCs w:val="20"/>
              </w:rPr>
            </w:pPr>
            <w:r w:rsidRPr="003A26C0">
              <w:rPr>
                <w:rFonts w:ascii="Bookman Old Style" w:hAnsi="Bookman Old Style" w:cs="Arial"/>
                <w:b/>
                <w:i/>
                <w:iCs/>
                <w:color w:val="000000" w:themeColor="text1"/>
                <w:kern w:val="24"/>
                <w:sz w:val="20"/>
                <w:szCs w:val="20"/>
              </w:rPr>
              <w:t>:</w:t>
            </w:r>
          </w:p>
        </w:tc>
        <w:tc>
          <w:tcPr>
            <w:tcW w:w="7796" w:type="dxa"/>
            <w:vAlign w:val="center"/>
          </w:tcPr>
          <w:p w14:paraId="4CD43601" w14:textId="2EDB4D98" w:rsidR="006067E9" w:rsidRPr="003A26C0" w:rsidRDefault="006067E9" w:rsidP="006067E9">
            <w:pPr>
              <w:ind w:left="0"/>
              <w:jc w:val="both"/>
              <w:rPr>
                <w:rFonts w:ascii="Bookman Old Style" w:hAnsi="Bookman Old Style" w:cs="Arial"/>
                <w:i/>
                <w:iCs/>
                <w:sz w:val="20"/>
                <w:szCs w:val="20"/>
              </w:rPr>
            </w:pPr>
            <w:r w:rsidRPr="003A26C0">
              <w:rPr>
                <w:rFonts w:ascii="Bookman Old Style" w:hAnsi="Bookman Old Style" w:cs="Arial"/>
                <w:i/>
                <w:iCs/>
                <w:sz w:val="20"/>
                <w:szCs w:val="20"/>
              </w:rPr>
              <w:t>Costo en dólares de Estados Unidos de América (USD) del endeudamiento del gobierno de Colombia en el exterior, calculado como el promedio de las tasas efectivas</w:t>
            </w:r>
            <w:r w:rsidR="00297D01" w:rsidRPr="003A26C0">
              <w:rPr>
                <w:rFonts w:ascii="Bookman Old Style" w:hAnsi="Bookman Old Style" w:cs="Arial"/>
                <w:i/>
                <w:iCs/>
                <w:sz w:val="20"/>
                <w:szCs w:val="20"/>
              </w:rPr>
              <w:t xml:space="preserve"> </w:t>
            </w:r>
            <w:r w:rsidR="0020353D" w:rsidRPr="003A26C0">
              <w:rPr>
                <w:rFonts w:ascii="Bookman Old Style" w:hAnsi="Bookman Old Style" w:cs="Arial"/>
                <w:i/>
                <w:iCs/>
                <w:sz w:val="20"/>
                <w:szCs w:val="20"/>
              </w:rPr>
              <w:t>anuales</w:t>
            </w:r>
            <w:r w:rsidRPr="003A26C0">
              <w:rPr>
                <w:rFonts w:ascii="Bookman Old Style" w:hAnsi="Bookman Old Style" w:cs="Arial"/>
                <w:i/>
                <w:iCs/>
                <w:sz w:val="20"/>
                <w:szCs w:val="20"/>
              </w:rPr>
              <w:t xml:space="preserve">, </w:t>
            </w:r>
            <w:r w:rsidRPr="003A26C0">
              <w:rPr>
                <w:rFonts w:ascii="Bookman Old Style" w:hAnsi="Bookman Old Style" w:cs="Arial"/>
                <w:i/>
                <w:iCs/>
                <w:color w:val="000000" w:themeColor="text1"/>
                <w:kern w:val="24"/>
                <w:sz w:val="20"/>
                <w:szCs w:val="20"/>
              </w:rPr>
              <w:t xml:space="preserve">de la curva cero cupón Colombia en USD </w:t>
            </w:r>
            <w:r w:rsidR="0020353D" w:rsidRPr="003A26C0">
              <w:rPr>
                <w:rFonts w:ascii="Bookman Old Style" w:hAnsi="Bookman Old Style" w:cs="Arial"/>
                <w:i/>
                <w:iCs/>
                <w:color w:val="000000" w:themeColor="text1"/>
                <w:kern w:val="24"/>
                <w:sz w:val="20"/>
                <w:szCs w:val="20"/>
              </w:rPr>
              <w:t xml:space="preserve">del </w:t>
            </w:r>
            <w:r w:rsidRPr="003A26C0">
              <w:rPr>
                <w:rFonts w:ascii="Bookman Old Style" w:hAnsi="Bookman Old Style" w:cs="Arial"/>
                <w:i/>
                <w:iCs/>
                <w:color w:val="000000" w:themeColor="text1"/>
                <w:kern w:val="24"/>
                <w:sz w:val="20"/>
                <w:szCs w:val="20"/>
              </w:rPr>
              <w:t xml:space="preserve">plazo de </w:t>
            </w:r>
            <w:r w:rsidR="00A41137" w:rsidRPr="003A26C0">
              <w:rPr>
                <w:rFonts w:ascii="Bookman Old Style" w:hAnsi="Bookman Old Style" w:cs="Arial"/>
                <w:i/>
                <w:iCs/>
                <w:color w:val="000000" w:themeColor="text1"/>
                <w:kern w:val="24"/>
                <w:sz w:val="20"/>
                <w:szCs w:val="20"/>
              </w:rPr>
              <w:t>10 años</w:t>
            </w:r>
            <w:r w:rsidRPr="003A26C0">
              <w:rPr>
                <w:rFonts w:ascii="Bookman Old Style" w:hAnsi="Bookman Old Style" w:cs="Arial"/>
                <w:i/>
                <w:iCs/>
                <w:color w:val="000000" w:themeColor="text1"/>
                <w:kern w:val="24"/>
                <w:sz w:val="20"/>
                <w:szCs w:val="20"/>
              </w:rPr>
              <w:t xml:space="preserve"> que se obtienen de </w:t>
            </w:r>
            <w:r w:rsidR="00A41137" w:rsidRPr="003A26C0">
              <w:rPr>
                <w:rFonts w:ascii="Bookman Old Style" w:hAnsi="Bookman Old Style" w:cs="Arial"/>
                <w:i/>
                <w:iCs/>
                <w:color w:val="000000" w:themeColor="text1"/>
                <w:kern w:val="24"/>
                <w:sz w:val="20"/>
                <w:szCs w:val="20"/>
              </w:rPr>
              <w:t xml:space="preserve">los datos diarios publicados </w:t>
            </w:r>
            <w:r w:rsidRPr="003A26C0">
              <w:rPr>
                <w:rFonts w:ascii="Bookman Old Style" w:hAnsi="Bookman Old Style" w:cs="Arial"/>
                <w:i/>
                <w:iCs/>
                <w:color w:val="000000" w:themeColor="text1"/>
                <w:kern w:val="24"/>
                <w:sz w:val="20"/>
                <w:szCs w:val="20"/>
              </w:rPr>
              <w:t xml:space="preserve">por Precia PPV S.A., </w:t>
            </w:r>
            <w:r w:rsidRPr="003A26C0">
              <w:rPr>
                <w:rFonts w:ascii="Bookman Old Style" w:hAnsi="Bookman Old Style" w:cs="Arial"/>
                <w:i/>
                <w:iCs/>
                <w:sz w:val="20"/>
                <w:szCs w:val="20"/>
              </w:rPr>
              <w:t>de los sesenta (60) meses anteriores, ponderadas mediante el método de suma de dígitos.</w:t>
            </w:r>
          </w:p>
          <w:p w14:paraId="6359E28C" w14:textId="253C84BF" w:rsidR="00783E85" w:rsidRPr="003A26C0" w:rsidRDefault="00783E85" w:rsidP="006067E9">
            <w:pPr>
              <w:ind w:left="0"/>
              <w:jc w:val="both"/>
              <w:rPr>
                <w:rFonts w:ascii="Bookman Old Style" w:hAnsi="Bookman Old Style" w:cs="Arial"/>
                <w:i/>
                <w:iCs/>
                <w:sz w:val="20"/>
                <w:szCs w:val="20"/>
              </w:rPr>
            </w:pPr>
          </w:p>
          <w:p w14:paraId="3DAC5B64" w14:textId="4127D2B1" w:rsidR="00472CCA" w:rsidRPr="003A26C0" w:rsidRDefault="00741E93" w:rsidP="008058CC">
            <w:pPr>
              <w:ind w:left="0"/>
              <w:jc w:val="both"/>
              <w:rPr>
                <w:rFonts w:ascii="Bookman Old Style" w:hAnsi="Bookman Old Style" w:cs="Arial"/>
                <w:i/>
                <w:iCs/>
                <w:sz w:val="20"/>
                <w:szCs w:val="20"/>
              </w:rPr>
            </w:pPr>
            <m:oMathPara>
              <m:oMath>
                <m:sSub>
                  <m:sSubPr>
                    <m:ctrlPr>
                      <w:rPr>
                        <w:rFonts w:ascii="Cambria Math" w:hAnsi="Cambria Math"/>
                        <w:i/>
                        <w:iCs/>
                        <w:sz w:val="20"/>
                        <w:szCs w:val="20"/>
                        <w:lang w:val="es-ES_tradnl"/>
                      </w:rPr>
                    </m:ctrlPr>
                  </m:sSubPr>
                  <m:e>
                    <m:r>
                      <w:rPr>
                        <w:rFonts w:ascii="Cambria Math" w:hAnsi="Cambria Math"/>
                        <w:sz w:val="20"/>
                        <w:szCs w:val="20"/>
                        <w:lang w:val="es-ES_tradnl"/>
                      </w:rPr>
                      <m:t>Rf_cop_usd</m:t>
                    </m:r>
                  </m:e>
                  <m:sub>
                    <m:r>
                      <w:rPr>
                        <w:rFonts w:ascii="Cambria Math" w:hAnsi="Cambria Math"/>
                        <w:sz w:val="20"/>
                        <w:szCs w:val="20"/>
                        <w:lang w:val="es-ES_tradnl"/>
                      </w:rPr>
                      <m:t>τ</m:t>
                    </m:r>
                  </m:sub>
                </m:sSub>
                <m:r>
                  <w:rPr>
                    <w:rFonts w:ascii="Cambria Math" w:hAnsi="Cambria Math" w:cs="Arial"/>
                    <w:sz w:val="20"/>
                    <w:szCs w:val="20"/>
                  </w:rPr>
                  <m:t>=</m:t>
                </m:r>
                <m:nary>
                  <m:naryPr>
                    <m:chr m:val="∑"/>
                    <m:limLoc m:val="undOvr"/>
                    <m:ctrlPr>
                      <w:rPr>
                        <w:rFonts w:ascii="Cambria Math" w:hAnsi="Cambria Math" w:cs="Arial"/>
                        <w:i/>
                        <w:iCs/>
                        <w:sz w:val="20"/>
                        <w:szCs w:val="20"/>
                      </w:rPr>
                    </m:ctrlPr>
                  </m:naryPr>
                  <m:sub>
                    <m:r>
                      <w:rPr>
                        <w:rFonts w:ascii="Cambria Math" w:hAnsi="Cambria Math" w:cs="Arial"/>
                        <w:sz w:val="20"/>
                        <w:szCs w:val="20"/>
                      </w:rPr>
                      <m:t>i=-n</m:t>
                    </m:r>
                  </m:sub>
                  <m:sup>
                    <m:r>
                      <w:rPr>
                        <w:rFonts w:ascii="Cambria Math" w:hAnsi="Cambria Math" w:cs="Arial"/>
                        <w:sz w:val="20"/>
                        <w:szCs w:val="20"/>
                      </w:rPr>
                      <m:t>-1</m:t>
                    </m:r>
                  </m:sup>
                  <m:e>
                    <m:f>
                      <m:fPr>
                        <m:ctrlPr>
                          <w:rPr>
                            <w:rFonts w:ascii="Cambria Math" w:hAnsi="Cambria Math" w:cs="Arial"/>
                            <w:i/>
                            <w:iCs/>
                            <w:sz w:val="20"/>
                            <w:szCs w:val="20"/>
                          </w:rPr>
                        </m:ctrlPr>
                      </m:fPr>
                      <m:num>
                        <m:r>
                          <w:rPr>
                            <w:rFonts w:ascii="Cambria Math" w:hAnsi="Cambria Math" w:cs="Arial"/>
                            <w:sz w:val="20"/>
                            <w:szCs w:val="20"/>
                          </w:rPr>
                          <m:t>(n+1)+i</m:t>
                        </m:r>
                      </m:num>
                      <m:den>
                        <m:f>
                          <m:fPr>
                            <m:type m:val="lin"/>
                            <m:ctrlPr>
                              <w:rPr>
                                <w:rFonts w:ascii="Cambria Math" w:hAnsi="Cambria Math" w:cs="Arial"/>
                                <w:i/>
                                <w:iCs/>
                                <w:sz w:val="20"/>
                                <w:szCs w:val="20"/>
                              </w:rPr>
                            </m:ctrlPr>
                          </m:fPr>
                          <m:num>
                            <m:r>
                              <w:rPr>
                                <w:rFonts w:ascii="Cambria Math" w:hAnsi="Cambria Math" w:cs="Arial"/>
                                <w:sz w:val="20"/>
                                <w:szCs w:val="20"/>
                              </w:rPr>
                              <m:t>n(n+1)</m:t>
                            </m:r>
                          </m:num>
                          <m:den>
                            <m:r>
                              <w:rPr>
                                <w:rFonts w:ascii="Cambria Math" w:hAnsi="Cambria Math" w:cs="Arial"/>
                                <w:sz w:val="20"/>
                                <w:szCs w:val="20"/>
                              </w:rPr>
                              <m:t>2</m:t>
                            </m:r>
                          </m:den>
                        </m:f>
                      </m:den>
                    </m:f>
                    <m:r>
                      <w:rPr>
                        <w:rFonts w:ascii="Cambria Math" w:hAnsi="Cambria Math" w:cs="Arial"/>
                        <w:sz w:val="20"/>
                        <w:szCs w:val="20"/>
                      </w:rPr>
                      <m:t>∙</m:t>
                    </m:r>
                    <m:sSub>
                      <m:sSubPr>
                        <m:ctrlPr>
                          <w:rPr>
                            <w:rFonts w:ascii="Cambria Math" w:hAnsi="Cambria Math"/>
                            <w:i/>
                            <w:iCs/>
                            <w:sz w:val="20"/>
                            <w:szCs w:val="20"/>
                            <w:lang w:val="es-ES_tradnl"/>
                          </w:rPr>
                        </m:ctrlPr>
                      </m:sSubPr>
                      <m:e>
                        <m:r>
                          <w:rPr>
                            <w:rFonts w:ascii="Cambria Math" w:hAnsi="Cambria Math"/>
                            <w:sz w:val="20"/>
                            <w:szCs w:val="20"/>
                            <w:lang w:val="es-ES_tradnl"/>
                          </w:rPr>
                          <m:t>Rf_cop_usd</m:t>
                        </m:r>
                      </m:e>
                      <m:sub>
                        <m:r>
                          <w:rPr>
                            <w:rFonts w:ascii="Cambria Math" w:hAnsi="Cambria Math"/>
                            <w:sz w:val="20"/>
                            <w:szCs w:val="20"/>
                            <w:lang w:val="es-ES_tradnl"/>
                          </w:rPr>
                          <m:t>i</m:t>
                        </m:r>
                      </m:sub>
                    </m:sSub>
                  </m:e>
                </m:nary>
              </m:oMath>
            </m:oMathPara>
          </w:p>
          <w:p w14:paraId="183AEC5D" w14:textId="77777777" w:rsidR="00472CCA" w:rsidRPr="003A26C0" w:rsidRDefault="00472CCA" w:rsidP="008058CC">
            <w:pPr>
              <w:ind w:left="0"/>
              <w:jc w:val="both"/>
              <w:rPr>
                <w:rFonts w:ascii="Bookman Old Style" w:hAnsi="Bookman Old Style" w:cs="Arial"/>
                <w:i/>
                <w:iCs/>
                <w:sz w:val="20"/>
                <w:szCs w:val="20"/>
              </w:rPr>
            </w:pPr>
          </w:p>
          <w:p w14:paraId="278A67E1" w14:textId="77BDFCEB" w:rsidR="00472CCA" w:rsidRPr="003A26C0" w:rsidRDefault="00472CCA" w:rsidP="008058CC">
            <w:pPr>
              <w:ind w:left="0"/>
              <w:jc w:val="both"/>
              <w:rPr>
                <w:rFonts w:ascii="Bookman Old Style" w:hAnsi="Bookman Old Style" w:cs="Arial"/>
                <w:i/>
                <w:iCs/>
                <w:sz w:val="20"/>
                <w:szCs w:val="20"/>
              </w:rPr>
            </w:pPr>
            <w:r w:rsidRPr="003A26C0">
              <w:rPr>
                <w:rFonts w:ascii="Bookman Old Style" w:hAnsi="Bookman Old Style" w:cs="Arial"/>
                <w:i/>
                <w:iCs/>
                <w:sz w:val="20"/>
                <w:szCs w:val="20"/>
              </w:rPr>
              <w:t xml:space="preserve">En donde </w:t>
            </w:r>
            <w:r w:rsidRPr="003A26C0">
              <w:rPr>
                <w:rFonts w:ascii="Bookman Old Style" w:hAnsi="Bookman Old Style"/>
                <w:i/>
                <w:iCs/>
                <w:sz w:val="20"/>
                <w:szCs w:val="20"/>
                <w:lang w:val="es-ES_tradnl"/>
              </w:rPr>
              <w:t xml:space="preserve">i es cada una de las fechas para las que existe información, </w:t>
            </w:r>
            <m:oMath>
              <m:sSub>
                <m:sSubPr>
                  <m:ctrlPr>
                    <w:rPr>
                      <w:rFonts w:ascii="Cambria Math" w:hAnsi="Cambria Math"/>
                      <w:i/>
                      <w:iCs/>
                      <w:sz w:val="20"/>
                      <w:szCs w:val="20"/>
                      <w:lang w:val="es-ES_tradnl"/>
                    </w:rPr>
                  </m:ctrlPr>
                </m:sSubPr>
                <m:e>
                  <m:r>
                    <w:rPr>
                      <w:rFonts w:ascii="Cambria Math" w:hAnsi="Cambria Math"/>
                      <w:sz w:val="20"/>
                      <w:szCs w:val="20"/>
                      <w:lang w:val="es-ES_tradnl"/>
                    </w:rPr>
                    <m:t>Rf_cop_usd</m:t>
                  </m:r>
                </m:e>
                <m:sub>
                  <m:r>
                    <w:rPr>
                      <w:rFonts w:ascii="Cambria Math" w:hAnsi="Cambria Math"/>
                      <w:sz w:val="20"/>
                      <w:szCs w:val="20"/>
                      <w:lang w:val="es-ES_tradnl"/>
                    </w:rPr>
                    <m:t>i</m:t>
                  </m:r>
                </m:sub>
              </m:sSub>
            </m:oMath>
            <w:r w:rsidRPr="003A26C0">
              <w:rPr>
                <w:rFonts w:ascii="Bookman Old Style" w:hAnsi="Bookman Old Style"/>
                <w:i/>
                <w:iCs/>
                <w:sz w:val="20"/>
                <w:szCs w:val="20"/>
                <w:lang w:val="es-ES_tradnl"/>
              </w:rPr>
              <w:t xml:space="preserve"> es la tasa de </w:t>
            </w:r>
            <w:r w:rsidRPr="003A26C0">
              <w:rPr>
                <w:rFonts w:ascii="Bookman Old Style" w:hAnsi="Bookman Old Style" w:cs="Arial"/>
                <w:i/>
                <w:iCs/>
                <w:color w:val="000000" w:themeColor="text1"/>
                <w:kern w:val="24"/>
                <w:sz w:val="20"/>
                <w:szCs w:val="20"/>
              </w:rPr>
              <w:t xml:space="preserve">la curva cero cupón </w:t>
            </w:r>
            <w:r w:rsidRPr="003A26C0">
              <w:rPr>
                <w:rFonts w:ascii="Bookman Old Style" w:hAnsi="Bookman Old Style"/>
                <w:i/>
                <w:iCs/>
                <w:sz w:val="20"/>
                <w:szCs w:val="20"/>
                <w:lang w:val="es-ES_tradnl"/>
              </w:rPr>
              <w:t xml:space="preserve">de la fecha i, </w:t>
            </w:r>
            <w:r w:rsidRPr="003A26C0">
              <w:rPr>
                <w:rFonts w:ascii="Bookman Old Style" w:hAnsi="Bookman Old Style" w:cs="Arial"/>
                <w:i/>
                <w:iCs/>
                <w:sz w:val="20"/>
                <w:szCs w:val="20"/>
              </w:rPr>
              <w:t xml:space="preserve">n es el número de datos disponibles e i = </w:t>
            </w:r>
            <w:r w:rsidRPr="003A26C0">
              <w:rPr>
                <w:rFonts w:ascii="Bookman Old Style" w:hAnsi="Bookman Old Style" w:cs="Arial"/>
                <w:b/>
                <w:bCs/>
                <w:i/>
                <w:iCs/>
                <w:sz w:val="20"/>
                <w:szCs w:val="20"/>
              </w:rPr>
              <w:t>-</w:t>
            </w:r>
            <w:r w:rsidRPr="003A26C0">
              <w:rPr>
                <w:rFonts w:ascii="Bookman Old Style" w:hAnsi="Bookman Old Style" w:cs="Arial"/>
                <w:i/>
                <w:iCs/>
                <w:sz w:val="20"/>
                <w:szCs w:val="20"/>
              </w:rPr>
              <w:t>1 es el dato más reciente.</w:t>
            </w:r>
          </w:p>
          <w:p w14:paraId="03BFF025" w14:textId="77777777" w:rsidR="00472CCA" w:rsidRPr="003A26C0" w:rsidRDefault="00472CCA" w:rsidP="008058CC">
            <w:pPr>
              <w:ind w:left="0"/>
              <w:jc w:val="both"/>
              <w:rPr>
                <w:rFonts w:ascii="Bookman Old Style" w:hAnsi="Bookman Old Style"/>
                <w:i/>
                <w:iCs/>
                <w:sz w:val="20"/>
                <w:szCs w:val="20"/>
                <w:lang w:val="es-ES_tradnl"/>
              </w:rPr>
            </w:pPr>
          </w:p>
        </w:tc>
      </w:tr>
      <w:tr w:rsidR="00472CCA" w:rsidRPr="003A26C0" w14:paraId="6386A942" w14:textId="77777777" w:rsidTr="008058CC">
        <w:tc>
          <w:tcPr>
            <w:tcW w:w="1384" w:type="dxa"/>
          </w:tcPr>
          <w:p w14:paraId="59CE773A" w14:textId="5818E68F" w:rsidR="00472CCA" w:rsidRPr="003A26C0" w:rsidRDefault="003A26C0" w:rsidP="008058CC">
            <w:pPr>
              <w:ind w:left="0"/>
              <w:rPr>
                <w:rFonts w:ascii="Bookman Old Style" w:hAnsi="Bookman Old Style" w:cs="Arial"/>
                <w:b/>
                <w:i/>
                <w:iCs/>
                <w:color w:val="000000" w:themeColor="text1"/>
                <w:kern w:val="24"/>
                <w:sz w:val="20"/>
                <w:szCs w:val="20"/>
              </w:rPr>
            </w:pPr>
            <m:oMathPara>
              <m:oMathParaPr>
                <m:jc m:val="left"/>
              </m:oMathParaPr>
              <m:oMath>
                <m:r>
                  <m:rPr>
                    <m:sty m:val="bi"/>
                  </m:rPr>
                  <w:rPr>
                    <w:rFonts w:ascii="Cambria Math" w:hAnsi="Cambria Math"/>
                    <w:sz w:val="20"/>
                    <w:szCs w:val="20"/>
                    <w:lang w:val="es-ES_tradnl"/>
                  </w:rPr>
                  <m:t xml:space="preserve"> </m:t>
                </m:r>
                <m:sSub>
                  <m:sSubPr>
                    <m:ctrlPr>
                      <w:rPr>
                        <w:rFonts w:ascii="Cambria Math" w:hAnsi="Cambria Math"/>
                        <w:b/>
                        <w:i/>
                        <w:iCs/>
                        <w:sz w:val="20"/>
                        <w:szCs w:val="20"/>
                        <w:lang w:val="es-ES_tradnl"/>
                      </w:rPr>
                    </m:ctrlPr>
                  </m:sSubPr>
                  <m:e>
                    <m:r>
                      <m:rPr>
                        <m:sty m:val="bi"/>
                      </m:rPr>
                      <w:rPr>
                        <w:rFonts w:ascii="Cambria Math" w:hAnsi="Cambria Math"/>
                        <w:sz w:val="20"/>
                        <w:szCs w:val="20"/>
                      </w:rPr>
                      <m:t>PRM</m:t>
                    </m:r>
                  </m:e>
                  <m:sub>
                    <m:r>
                      <m:rPr>
                        <m:sty m:val="bi"/>
                      </m:rPr>
                      <w:rPr>
                        <w:rFonts w:ascii="Cambria Math" w:hAnsi="Cambria Math"/>
                        <w:sz w:val="20"/>
                        <w:szCs w:val="20"/>
                      </w:rPr>
                      <m:t>τ</m:t>
                    </m:r>
                  </m:sub>
                </m:sSub>
              </m:oMath>
            </m:oMathPara>
          </w:p>
        </w:tc>
        <w:tc>
          <w:tcPr>
            <w:tcW w:w="284" w:type="dxa"/>
          </w:tcPr>
          <w:p w14:paraId="60C0C8E8" w14:textId="77777777" w:rsidR="00472CCA" w:rsidRPr="003A26C0" w:rsidRDefault="00472CCA" w:rsidP="008058CC">
            <w:pPr>
              <w:ind w:left="0"/>
              <w:rPr>
                <w:rFonts w:ascii="Bookman Old Style" w:hAnsi="Bookman Old Style" w:cs="Arial"/>
                <w:b/>
                <w:i/>
                <w:iCs/>
                <w:color w:val="000000" w:themeColor="text1"/>
                <w:kern w:val="24"/>
                <w:sz w:val="20"/>
                <w:szCs w:val="20"/>
              </w:rPr>
            </w:pPr>
            <w:r w:rsidRPr="003A26C0">
              <w:rPr>
                <w:rFonts w:ascii="Bookman Old Style" w:hAnsi="Bookman Old Style" w:cs="Arial"/>
                <w:b/>
                <w:i/>
                <w:iCs/>
                <w:sz w:val="20"/>
                <w:szCs w:val="20"/>
              </w:rPr>
              <w:t>:</w:t>
            </w:r>
          </w:p>
        </w:tc>
        <w:tc>
          <w:tcPr>
            <w:tcW w:w="7796" w:type="dxa"/>
            <w:vAlign w:val="center"/>
          </w:tcPr>
          <w:p w14:paraId="5EE84824" w14:textId="38C8F3BC" w:rsidR="00472CCA" w:rsidRPr="003A26C0" w:rsidRDefault="00472CCA" w:rsidP="008058CC">
            <w:pPr>
              <w:ind w:left="0"/>
              <w:jc w:val="both"/>
              <w:rPr>
                <w:rFonts w:ascii="Bookman Old Style" w:hAnsi="Bookman Old Style" w:cs="Arial"/>
                <w:i/>
                <w:iCs/>
                <w:sz w:val="20"/>
                <w:szCs w:val="20"/>
                <w:lang w:val="es-CO"/>
              </w:rPr>
            </w:pPr>
            <w:r w:rsidRPr="003A26C0">
              <w:rPr>
                <w:rFonts w:ascii="Bookman Old Style" w:hAnsi="Bookman Old Style" w:cs="Arial"/>
                <w:i/>
                <w:iCs/>
                <w:sz w:val="20"/>
                <w:szCs w:val="20"/>
              </w:rPr>
              <w:t>Promedio aritmético de las p</w:t>
            </w:r>
            <w:r w:rsidRPr="003A26C0">
              <w:rPr>
                <w:rFonts w:ascii="Bookman Old Style" w:hAnsi="Bookman Old Style" w:cs="Arial"/>
                <w:i/>
                <w:iCs/>
                <w:sz w:val="20"/>
                <w:szCs w:val="20"/>
                <w:lang w:val="es-ES_tradnl"/>
              </w:rPr>
              <w:t xml:space="preserve">rimas de mercado anuales en el país de referencia, en el momento </w:t>
            </w:r>
            <m:oMath>
              <m:r>
                <w:rPr>
                  <w:rFonts w:ascii="Cambria Math" w:hAnsi="Cambria Math"/>
                  <w:sz w:val="20"/>
                  <w:szCs w:val="20"/>
                </w:rPr>
                <m:t>τ</m:t>
              </m:r>
            </m:oMath>
            <w:r w:rsidRPr="003A26C0">
              <w:rPr>
                <w:rFonts w:ascii="Bookman Old Style" w:hAnsi="Bookman Old Style" w:cs="Arial"/>
                <w:i/>
                <w:iCs/>
                <w:sz w:val="20"/>
                <w:szCs w:val="20"/>
              </w:rPr>
              <w:t xml:space="preserve">. Corresponde a la diferencia entre las rentabilidades anuales del mercado en Estados Unidos de América, estimada a partir del índice Standard &amp; Poor’s 500, y de los bonos del tesoro de los Estados Unidos de América con plazo de emisión a 10 años, desde 1926 hasta el momento </w:t>
            </w:r>
            <m:oMath>
              <m:r>
                <w:rPr>
                  <w:rFonts w:ascii="Cambria Math" w:hAnsi="Cambria Math"/>
                  <w:sz w:val="20"/>
                  <w:szCs w:val="20"/>
                </w:rPr>
                <m:t>τ</m:t>
              </m:r>
            </m:oMath>
            <w:r w:rsidRPr="003A26C0">
              <w:rPr>
                <w:rFonts w:ascii="Bookman Old Style" w:hAnsi="Bookman Old Style" w:cs="Arial"/>
                <w:i/>
                <w:iCs/>
                <w:sz w:val="20"/>
                <w:szCs w:val="20"/>
              </w:rPr>
              <w:t>, según</w:t>
            </w:r>
            <w:r w:rsidRPr="003A26C0">
              <w:rPr>
                <w:rFonts w:ascii="Bookman Old Style" w:hAnsi="Bookman Old Style" w:cs="Arial"/>
                <w:i/>
                <w:iCs/>
                <w:sz w:val="20"/>
                <w:szCs w:val="20"/>
                <w:lang w:val="es-CO"/>
              </w:rPr>
              <w:t xml:space="preserve"> información publicada por Duff &amp; Phelps en sus servicios de información.</w:t>
            </w:r>
          </w:p>
          <w:p w14:paraId="10248172" w14:textId="77777777" w:rsidR="00472CCA" w:rsidRPr="003A26C0" w:rsidRDefault="00472CCA" w:rsidP="008058CC">
            <w:pPr>
              <w:ind w:left="0"/>
              <w:jc w:val="both"/>
              <w:rPr>
                <w:rFonts w:ascii="Bookman Old Style" w:hAnsi="Bookman Old Style" w:cs="Arial"/>
                <w:i/>
                <w:iCs/>
                <w:sz w:val="20"/>
                <w:szCs w:val="20"/>
              </w:rPr>
            </w:pPr>
          </w:p>
        </w:tc>
      </w:tr>
      <w:tr w:rsidR="00472CCA" w:rsidRPr="003A26C0" w14:paraId="25D2C0AD" w14:textId="77777777" w:rsidTr="008058CC">
        <w:tc>
          <w:tcPr>
            <w:tcW w:w="1384" w:type="dxa"/>
          </w:tcPr>
          <w:p w14:paraId="401847AE" w14:textId="78ADAD0B" w:rsidR="00472CCA" w:rsidRPr="003A26C0" w:rsidRDefault="00741E93" w:rsidP="008058CC">
            <w:pPr>
              <w:ind w:left="0"/>
              <w:rPr>
                <w:rFonts w:ascii="Bookman Old Style" w:hAnsi="Bookman Old Style"/>
                <w:b/>
                <w:i/>
                <w:iCs/>
                <w:sz w:val="20"/>
                <w:szCs w:val="20"/>
                <w:lang w:val="es-ES_tradnl"/>
              </w:rPr>
            </w:pPr>
            <m:oMathPara>
              <m:oMathParaPr>
                <m:jc m:val="left"/>
              </m:oMathParaPr>
              <m:oMath>
                <m:sSub>
                  <m:sSubPr>
                    <m:ctrlPr>
                      <w:rPr>
                        <w:rFonts w:ascii="Cambria Math" w:eastAsia="Cambria Math" w:hAnsi="Cambria Math" w:cstheme="minorBidi"/>
                        <w:b/>
                        <w:i/>
                        <w:iCs/>
                        <w:color w:val="000000" w:themeColor="text1"/>
                        <w:kern w:val="24"/>
                        <w:sz w:val="20"/>
                        <w:szCs w:val="20"/>
                      </w:rPr>
                    </m:ctrlPr>
                  </m:sSubPr>
                  <m:e>
                    <m:r>
                      <m:rPr>
                        <m:sty m:val="bi"/>
                      </m:rPr>
                      <w:rPr>
                        <w:rFonts w:ascii="Cambria Math" w:eastAsia="Cambria Math" w:hAnsi="Cambria Math" w:cstheme="minorBidi"/>
                        <w:color w:val="000000" w:themeColor="text1"/>
                        <w:kern w:val="24"/>
                        <w:sz w:val="20"/>
                        <w:szCs w:val="20"/>
                      </w:rPr>
                      <m:t>βL</m:t>
                    </m:r>
                  </m:e>
                  <m:sub>
                    <m:r>
                      <m:rPr>
                        <m:sty m:val="bi"/>
                      </m:rPr>
                      <w:rPr>
                        <w:rFonts w:ascii="Cambria Math" w:eastAsia="Cambria Math" w:hAnsi="Cambria Math" w:cstheme="minorBidi"/>
                        <w:color w:val="000000" w:themeColor="text1"/>
                        <w:kern w:val="24"/>
                        <w:sz w:val="20"/>
                        <w:szCs w:val="20"/>
                      </w:rPr>
                      <m:t>a,τ</m:t>
                    </m:r>
                  </m:sub>
                </m:sSub>
              </m:oMath>
            </m:oMathPara>
          </w:p>
        </w:tc>
        <w:tc>
          <w:tcPr>
            <w:tcW w:w="284" w:type="dxa"/>
          </w:tcPr>
          <w:p w14:paraId="7E82BDF7" w14:textId="77777777" w:rsidR="00472CCA" w:rsidRPr="003A26C0" w:rsidRDefault="00472CCA" w:rsidP="008058CC">
            <w:pPr>
              <w:ind w:left="0"/>
              <w:rPr>
                <w:rFonts w:ascii="Bookman Old Style" w:hAnsi="Bookman Old Style" w:cs="Arial"/>
                <w:b/>
                <w:i/>
                <w:iCs/>
                <w:sz w:val="20"/>
                <w:szCs w:val="20"/>
              </w:rPr>
            </w:pPr>
            <w:r w:rsidRPr="003A26C0">
              <w:rPr>
                <w:rFonts w:ascii="Bookman Old Style" w:hAnsi="Bookman Old Style" w:cs="Arial"/>
                <w:b/>
                <w:i/>
                <w:iCs/>
                <w:sz w:val="20"/>
                <w:szCs w:val="20"/>
              </w:rPr>
              <w:t>:</w:t>
            </w:r>
          </w:p>
        </w:tc>
        <w:tc>
          <w:tcPr>
            <w:tcW w:w="7796" w:type="dxa"/>
            <w:vAlign w:val="center"/>
          </w:tcPr>
          <w:p w14:paraId="78BEB22D" w14:textId="28B052CF" w:rsidR="00472CCA" w:rsidRPr="003A26C0" w:rsidRDefault="00472CCA" w:rsidP="008058CC">
            <w:pPr>
              <w:ind w:left="0"/>
              <w:jc w:val="both"/>
              <w:rPr>
                <w:rFonts w:ascii="Bookman Old Style" w:hAnsi="Bookman Old Style" w:cs="Arial"/>
                <w:i/>
                <w:iCs/>
                <w:sz w:val="20"/>
                <w:szCs w:val="20"/>
              </w:rPr>
            </w:pPr>
            <w:r w:rsidRPr="003A26C0">
              <w:rPr>
                <w:rFonts w:ascii="Bookman Old Style" w:hAnsi="Bookman Old Style" w:cs="Arial"/>
                <w:i/>
                <w:iCs/>
                <w:sz w:val="20"/>
                <w:szCs w:val="20"/>
              </w:rPr>
              <w:t xml:space="preserve">Beta apalancado para la actividad a, en el momento </w:t>
            </w:r>
            <m:oMath>
              <m:r>
                <w:rPr>
                  <w:rFonts w:ascii="Cambria Math" w:hAnsi="Cambria Math" w:cs="Arial"/>
                  <w:sz w:val="20"/>
                  <w:szCs w:val="20"/>
                </w:rPr>
                <m:t>τ</m:t>
              </m:r>
            </m:oMath>
            <w:r w:rsidRPr="003A26C0">
              <w:rPr>
                <w:rFonts w:ascii="Bookman Old Style" w:hAnsi="Bookman Old Style" w:cs="Arial"/>
                <w:i/>
                <w:iCs/>
                <w:sz w:val="20"/>
                <w:szCs w:val="20"/>
              </w:rPr>
              <w:t xml:space="preserve">, que </w:t>
            </w:r>
            <w:r w:rsidRPr="003A26C0">
              <w:rPr>
                <w:rFonts w:ascii="Bookman Old Style" w:hAnsi="Bookman Old Style"/>
                <w:i/>
                <w:iCs/>
                <w:sz w:val="20"/>
                <w:szCs w:val="20"/>
                <w:lang w:val="es-ES_tradnl"/>
              </w:rPr>
              <w:t>se obtiene mediante la siguiente expresión</w:t>
            </w:r>
            <w:r w:rsidRPr="003A26C0">
              <w:rPr>
                <w:rFonts w:ascii="Bookman Old Style" w:hAnsi="Bookman Old Style" w:cs="Arial"/>
                <w:i/>
                <w:iCs/>
                <w:sz w:val="20"/>
                <w:szCs w:val="20"/>
              </w:rPr>
              <w:t>:</w:t>
            </w:r>
          </w:p>
          <w:p w14:paraId="46C65585" w14:textId="77777777" w:rsidR="00472CCA" w:rsidRPr="003A26C0" w:rsidRDefault="00472CCA" w:rsidP="008058CC">
            <w:pPr>
              <w:ind w:left="0"/>
              <w:jc w:val="both"/>
              <w:rPr>
                <w:rFonts w:ascii="Bookman Old Style" w:hAnsi="Bookman Old Style" w:cs="Arial"/>
                <w:i/>
                <w:iCs/>
                <w:sz w:val="20"/>
                <w:szCs w:val="20"/>
              </w:rPr>
            </w:pPr>
          </w:p>
          <w:p w14:paraId="41CB9BD2" w14:textId="465D1854" w:rsidR="00472CCA" w:rsidRPr="003A26C0" w:rsidRDefault="00741E93" w:rsidP="008058CC">
            <w:pPr>
              <w:ind w:left="0"/>
              <w:jc w:val="both"/>
              <w:rPr>
                <w:rFonts w:ascii="Bookman Old Style" w:hAnsi="Bookman Old Style" w:cs="Arial"/>
                <w:i/>
                <w:iCs/>
                <w:sz w:val="20"/>
                <w:szCs w:val="20"/>
              </w:rPr>
            </w:pPr>
            <m:oMathPara>
              <m:oMath>
                <m:sSub>
                  <m:sSubPr>
                    <m:ctrlPr>
                      <w:rPr>
                        <w:rFonts w:ascii="Cambria Math" w:eastAsia="Cambria Math" w:hAnsi="Cambria Math" w:cstheme="minorBidi"/>
                        <w:i/>
                        <w:iCs/>
                        <w:kern w:val="24"/>
                        <w:sz w:val="20"/>
                        <w:szCs w:val="20"/>
                      </w:rPr>
                    </m:ctrlPr>
                  </m:sSubPr>
                  <m:e>
                    <m:r>
                      <w:rPr>
                        <w:rFonts w:ascii="Cambria Math" w:eastAsia="Cambria Math" w:hAnsi="Cambria Math" w:cstheme="minorBidi"/>
                        <w:kern w:val="24"/>
                        <w:sz w:val="20"/>
                        <w:szCs w:val="20"/>
                      </w:rPr>
                      <m:t>βL</m:t>
                    </m:r>
                  </m:e>
                  <m:sub>
                    <m:r>
                      <w:rPr>
                        <w:rFonts w:ascii="Cambria Math" w:eastAsia="Cambria Math" w:hAnsi="Cambria Math" w:cstheme="minorBidi"/>
                        <w:kern w:val="24"/>
                        <w:sz w:val="20"/>
                        <w:szCs w:val="20"/>
                      </w:rPr>
                      <m:t>a,τ</m:t>
                    </m:r>
                  </m:sub>
                </m:sSub>
                <m:r>
                  <w:rPr>
                    <w:rFonts w:ascii="Cambria Math" w:eastAsia="Cambria Math" w:hAnsi="Cambria Math" w:cstheme="minorBidi"/>
                    <w:kern w:val="24"/>
                    <w:sz w:val="20"/>
                    <w:szCs w:val="20"/>
                  </w:rPr>
                  <m:t>=</m:t>
                </m:r>
                <m:d>
                  <m:dPr>
                    <m:ctrlPr>
                      <w:rPr>
                        <w:rFonts w:ascii="Cambria Math" w:eastAsia="Cambria Math" w:hAnsi="Cambria Math" w:cstheme="minorBidi"/>
                        <w:i/>
                        <w:iCs/>
                        <w:kern w:val="24"/>
                        <w:sz w:val="20"/>
                        <w:szCs w:val="20"/>
                      </w:rPr>
                    </m:ctrlPr>
                  </m:dPr>
                  <m:e>
                    <m:sSub>
                      <m:sSubPr>
                        <m:ctrlPr>
                          <w:rPr>
                            <w:rFonts w:ascii="Cambria Math" w:eastAsia="Cambria Math" w:hAnsi="Cambria Math" w:cstheme="minorBidi"/>
                            <w:i/>
                            <w:iCs/>
                            <w:kern w:val="24"/>
                            <w:sz w:val="20"/>
                            <w:szCs w:val="20"/>
                          </w:rPr>
                        </m:ctrlPr>
                      </m:sSubPr>
                      <m:e>
                        <m:r>
                          <w:rPr>
                            <w:rFonts w:ascii="Cambria Math" w:eastAsia="Cambria Math" w:hAnsi="Cambria Math" w:cstheme="minorBidi"/>
                            <w:kern w:val="24"/>
                            <w:sz w:val="20"/>
                            <w:szCs w:val="20"/>
                          </w:rPr>
                          <m:t>βU</m:t>
                        </m:r>
                      </m:e>
                      <m:sub>
                        <m:r>
                          <w:rPr>
                            <w:rFonts w:ascii="Cambria Math" w:eastAsia="Cambria Math" w:hAnsi="Cambria Math" w:cstheme="minorBidi"/>
                            <w:kern w:val="24"/>
                            <w:sz w:val="20"/>
                            <w:szCs w:val="20"/>
                          </w:rPr>
                          <m:t>a,τ</m:t>
                        </m:r>
                      </m:sub>
                    </m:sSub>
                    <m:r>
                      <w:rPr>
                        <w:rFonts w:ascii="Cambria Math" w:eastAsia="Cambria Math" w:hAnsi="Cambria Math" w:cstheme="minorBidi"/>
                        <w:kern w:val="24"/>
                        <w:sz w:val="20"/>
                        <w:szCs w:val="20"/>
                      </w:rPr>
                      <m:t>+Δ</m:t>
                    </m:r>
                    <m:sSub>
                      <m:sSubPr>
                        <m:ctrlPr>
                          <w:rPr>
                            <w:rFonts w:ascii="Cambria Math" w:eastAsia="Cambria Math" w:hAnsi="Cambria Math" w:cstheme="minorBidi"/>
                            <w:i/>
                            <w:iCs/>
                            <w:kern w:val="24"/>
                            <w:sz w:val="20"/>
                            <w:szCs w:val="20"/>
                          </w:rPr>
                        </m:ctrlPr>
                      </m:sSubPr>
                      <m:e>
                        <m:r>
                          <w:rPr>
                            <w:rFonts w:ascii="Cambria Math" w:eastAsia="Cambria Math" w:hAnsi="Cambria Math" w:cstheme="minorBidi"/>
                            <w:kern w:val="24"/>
                            <w:sz w:val="20"/>
                            <w:szCs w:val="20"/>
                          </w:rPr>
                          <m:t>β</m:t>
                        </m:r>
                      </m:e>
                      <m:sub>
                        <m:r>
                          <w:rPr>
                            <w:rFonts w:ascii="Cambria Math" w:eastAsia="Cambria Math" w:hAnsi="Cambria Math" w:cstheme="minorBidi"/>
                            <w:kern w:val="24"/>
                            <w:sz w:val="20"/>
                            <w:szCs w:val="20"/>
                          </w:rPr>
                          <m:t>a</m:t>
                        </m:r>
                      </m:sub>
                    </m:sSub>
                  </m:e>
                </m:d>
                <m:r>
                  <w:rPr>
                    <w:rFonts w:ascii="Cambria Math" w:eastAsia="Cambria Math" w:hAnsi="Cambria Math" w:cstheme="minorBidi"/>
                    <w:kern w:val="24"/>
                    <w:sz w:val="20"/>
                    <w:szCs w:val="20"/>
                  </w:rPr>
                  <m:t>∙</m:t>
                </m:r>
                <m:d>
                  <m:dPr>
                    <m:ctrlPr>
                      <w:rPr>
                        <w:rFonts w:ascii="Cambria Math" w:eastAsia="Cambria Math" w:hAnsi="Cambria Math" w:cstheme="minorBidi"/>
                        <w:i/>
                        <w:iCs/>
                        <w:kern w:val="24"/>
                        <w:sz w:val="20"/>
                        <w:szCs w:val="20"/>
                      </w:rPr>
                    </m:ctrlPr>
                  </m:dPr>
                  <m:e>
                    <m:r>
                      <w:rPr>
                        <w:rFonts w:ascii="Cambria Math" w:eastAsia="Cambria Math" w:hAnsi="Cambria Math" w:cstheme="minorBidi"/>
                        <w:kern w:val="24"/>
                        <w:sz w:val="20"/>
                        <w:szCs w:val="20"/>
                      </w:rPr>
                      <m:t>1+</m:t>
                    </m:r>
                    <m:d>
                      <m:dPr>
                        <m:ctrlPr>
                          <w:rPr>
                            <w:rFonts w:ascii="Cambria Math" w:eastAsia="Cambria Math" w:hAnsi="Cambria Math" w:cstheme="minorBidi"/>
                            <w:i/>
                            <w:iCs/>
                            <w:kern w:val="24"/>
                            <w:sz w:val="20"/>
                            <w:szCs w:val="20"/>
                          </w:rPr>
                        </m:ctrlPr>
                      </m:dPr>
                      <m:e>
                        <m:r>
                          <w:rPr>
                            <w:rFonts w:ascii="Cambria Math" w:eastAsia="Cambria Math" w:hAnsi="Cambria Math" w:cstheme="minorBidi"/>
                            <w:kern w:val="24"/>
                            <w:sz w:val="20"/>
                            <w:szCs w:val="20"/>
                          </w:rPr>
                          <m:t>1-Tx</m:t>
                        </m:r>
                      </m:e>
                    </m:d>
                    <m:r>
                      <w:rPr>
                        <w:rFonts w:ascii="Cambria Math" w:eastAsia="Cambria Math" w:hAnsi="Cambria Math" w:cstheme="minorBidi"/>
                        <w:kern w:val="24"/>
                        <w:sz w:val="20"/>
                        <w:szCs w:val="20"/>
                      </w:rPr>
                      <m:t>∙</m:t>
                    </m:r>
                    <m:f>
                      <m:fPr>
                        <m:ctrlPr>
                          <w:rPr>
                            <w:rFonts w:ascii="Cambria Math" w:eastAsia="Cambria Math" w:hAnsi="Cambria Math" w:cstheme="minorBidi"/>
                            <w:i/>
                            <w:iCs/>
                            <w:kern w:val="24"/>
                            <w:sz w:val="20"/>
                            <w:szCs w:val="20"/>
                          </w:rPr>
                        </m:ctrlPr>
                      </m:fPr>
                      <m:num>
                        <m:sSub>
                          <m:sSubPr>
                            <m:ctrlPr>
                              <w:rPr>
                                <w:rFonts w:ascii="Cambria Math" w:eastAsia="Cambria Math" w:hAnsi="Cambria Math" w:cstheme="minorBidi"/>
                                <w:i/>
                                <w:iCs/>
                                <w:kern w:val="24"/>
                                <w:sz w:val="20"/>
                                <w:szCs w:val="20"/>
                              </w:rPr>
                            </m:ctrlPr>
                          </m:sSubPr>
                          <m:e>
                            <m:r>
                              <w:rPr>
                                <w:rFonts w:ascii="Cambria Math" w:eastAsia="Cambria Math" w:hAnsi="Cambria Math" w:cstheme="minorBidi"/>
                                <w:kern w:val="24"/>
                                <w:sz w:val="20"/>
                                <w:szCs w:val="20"/>
                              </w:rPr>
                              <m:t>Wd</m:t>
                            </m:r>
                          </m:e>
                          <m:sub>
                            <m:r>
                              <w:rPr>
                                <w:rFonts w:ascii="Cambria Math" w:eastAsia="Cambria Math" w:hAnsi="Cambria Math" w:cstheme="minorBidi"/>
                                <w:kern w:val="24"/>
                                <w:sz w:val="20"/>
                                <w:szCs w:val="20"/>
                              </w:rPr>
                              <m:t>a,τ</m:t>
                            </m:r>
                          </m:sub>
                        </m:sSub>
                      </m:num>
                      <m:den>
                        <m:sSub>
                          <m:sSubPr>
                            <m:ctrlPr>
                              <w:rPr>
                                <w:rFonts w:ascii="Cambria Math" w:eastAsia="Cambria Math" w:hAnsi="Cambria Math" w:cstheme="minorBidi"/>
                                <w:i/>
                                <w:iCs/>
                                <w:kern w:val="24"/>
                                <w:sz w:val="20"/>
                                <w:szCs w:val="20"/>
                              </w:rPr>
                            </m:ctrlPr>
                          </m:sSubPr>
                          <m:e>
                            <m:r>
                              <w:rPr>
                                <w:rFonts w:ascii="Cambria Math" w:eastAsia="Cambria Math" w:hAnsi="Cambria Math" w:cstheme="minorBidi"/>
                                <w:kern w:val="24"/>
                                <w:sz w:val="20"/>
                                <w:szCs w:val="20"/>
                              </w:rPr>
                              <m:t>We</m:t>
                            </m:r>
                          </m:e>
                          <m:sub>
                            <m:r>
                              <w:rPr>
                                <w:rFonts w:ascii="Cambria Math" w:eastAsia="Cambria Math" w:hAnsi="Cambria Math" w:cstheme="minorBidi"/>
                                <w:kern w:val="24"/>
                                <w:sz w:val="20"/>
                                <w:szCs w:val="20"/>
                              </w:rPr>
                              <m:t>a,τ</m:t>
                            </m:r>
                          </m:sub>
                        </m:sSub>
                      </m:den>
                    </m:f>
                  </m:e>
                </m:d>
              </m:oMath>
            </m:oMathPara>
          </w:p>
          <w:p w14:paraId="3B258C39" w14:textId="77777777" w:rsidR="00472CCA" w:rsidRPr="003A26C0" w:rsidRDefault="00472CCA" w:rsidP="008058CC">
            <w:pPr>
              <w:ind w:left="0"/>
              <w:jc w:val="both"/>
              <w:rPr>
                <w:rFonts w:ascii="Bookman Old Style" w:hAnsi="Bookman Old Style"/>
                <w:i/>
                <w:iCs/>
                <w:sz w:val="20"/>
                <w:szCs w:val="20"/>
                <w:lang w:val="es-ES_tradnl"/>
              </w:rPr>
            </w:pPr>
          </w:p>
          <w:p w14:paraId="2A8144BE" w14:textId="77777777" w:rsidR="00472CCA" w:rsidRPr="003A26C0" w:rsidRDefault="00472CCA" w:rsidP="008058CC">
            <w:pPr>
              <w:ind w:left="0"/>
              <w:jc w:val="both"/>
              <w:rPr>
                <w:rFonts w:ascii="Bookman Old Style" w:hAnsi="Bookman Old Style"/>
                <w:i/>
                <w:iCs/>
                <w:sz w:val="20"/>
                <w:szCs w:val="20"/>
                <w:lang w:val="es-ES_tradnl"/>
              </w:rPr>
            </w:pPr>
            <w:r w:rsidRPr="003A26C0">
              <w:rPr>
                <w:rFonts w:ascii="Bookman Old Style" w:hAnsi="Bookman Old Style"/>
                <w:i/>
                <w:iCs/>
                <w:sz w:val="20"/>
                <w:szCs w:val="20"/>
                <w:lang w:val="es-ES_tradnl"/>
              </w:rPr>
              <w:t>Donde:</w:t>
            </w:r>
          </w:p>
          <w:p w14:paraId="3C37054A" w14:textId="77777777" w:rsidR="00472CCA" w:rsidRPr="003A26C0" w:rsidRDefault="00472CCA" w:rsidP="008058CC">
            <w:pPr>
              <w:ind w:left="0"/>
              <w:jc w:val="both"/>
              <w:rPr>
                <w:rFonts w:ascii="Bookman Old Style" w:hAnsi="Bookman Old Style"/>
                <w:i/>
                <w:iCs/>
                <w:sz w:val="20"/>
                <w:szCs w:val="20"/>
                <w:lang w:val="es-ES_tradnl"/>
              </w:rPr>
            </w:pPr>
          </w:p>
        </w:tc>
      </w:tr>
      <w:tr w:rsidR="00472CCA" w:rsidRPr="003A26C0" w14:paraId="56E38095" w14:textId="77777777" w:rsidTr="008058CC">
        <w:tc>
          <w:tcPr>
            <w:tcW w:w="1384" w:type="dxa"/>
          </w:tcPr>
          <w:p w14:paraId="213669B1" w14:textId="6EECB7DA" w:rsidR="00472CCA" w:rsidRPr="003A26C0" w:rsidRDefault="00741E93" w:rsidP="008058CC">
            <w:pPr>
              <w:ind w:left="0"/>
              <w:rPr>
                <w:b/>
                <w:bCs/>
                <w:i/>
                <w:iCs/>
                <w:color w:val="000000" w:themeColor="text1"/>
                <w:kern w:val="24"/>
                <w:sz w:val="20"/>
                <w:szCs w:val="20"/>
              </w:rPr>
            </w:pPr>
            <m:oMathPara>
              <m:oMathParaPr>
                <m:jc m:val="left"/>
              </m:oMathParaPr>
              <m:oMath>
                <m:sSub>
                  <m:sSubPr>
                    <m:ctrlPr>
                      <w:rPr>
                        <w:rFonts w:ascii="Cambria Math" w:eastAsia="Cambria Math" w:hAnsi="Cambria Math" w:cstheme="minorBidi"/>
                        <w:b/>
                        <w:bCs/>
                        <w:i/>
                        <w:iCs/>
                        <w:color w:val="000000" w:themeColor="text1"/>
                        <w:kern w:val="24"/>
                        <w:sz w:val="20"/>
                        <w:szCs w:val="20"/>
                      </w:rPr>
                    </m:ctrlPr>
                  </m:sSubPr>
                  <m:e>
                    <m:r>
                      <m:rPr>
                        <m:sty m:val="bi"/>
                      </m:rPr>
                      <w:rPr>
                        <w:rFonts w:ascii="Cambria Math" w:eastAsia="Cambria Math" w:hAnsi="Cambria Math" w:cstheme="minorBidi"/>
                        <w:color w:val="000000" w:themeColor="text1"/>
                        <w:kern w:val="24"/>
                        <w:sz w:val="20"/>
                        <w:szCs w:val="20"/>
                      </w:rPr>
                      <m:t>βU</m:t>
                    </m:r>
                  </m:e>
                  <m:sub>
                    <m:r>
                      <m:rPr>
                        <m:sty m:val="bi"/>
                      </m:rPr>
                      <w:rPr>
                        <w:rFonts w:ascii="Cambria Math" w:eastAsia="Cambria Math" w:hAnsi="Cambria Math" w:cstheme="minorBidi"/>
                        <w:color w:val="000000" w:themeColor="text1"/>
                        <w:kern w:val="24"/>
                        <w:sz w:val="20"/>
                        <w:szCs w:val="20"/>
                      </w:rPr>
                      <m:t>a,τ</m:t>
                    </m:r>
                  </m:sub>
                </m:sSub>
              </m:oMath>
            </m:oMathPara>
          </w:p>
        </w:tc>
        <w:tc>
          <w:tcPr>
            <w:tcW w:w="284" w:type="dxa"/>
          </w:tcPr>
          <w:p w14:paraId="3F8171A9" w14:textId="77777777" w:rsidR="00472CCA" w:rsidRPr="003A26C0" w:rsidRDefault="00472CCA" w:rsidP="008058CC">
            <w:pPr>
              <w:ind w:left="0"/>
              <w:rPr>
                <w:rFonts w:ascii="Bookman Old Style" w:hAnsi="Bookman Old Style" w:cs="Arial"/>
                <w:b/>
                <w:i/>
                <w:iCs/>
                <w:sz w:val="20"/>
                <w:szCs w:val="20"/>
              </w:rPr>
            </w:pPr>
            <w:r w:rsidRPr="003A26C0">
              <w:rPr>
                <w:rFonts w:ascii="Bookman Old Style" w:hAnsi="Bookman Old Style" w:cs="Arial"/>
                <w:b/>
                <w:i/>
                <w:iCs/>
                <w:sz w:val="20"/>
                <w:szCs w:val="20"/>
              </w:rPr>
              <w:t>:</w:t>
            </w:r>
          </w:p>
        </w:tc>
        <w:tc>
          <w:tcPr>
            <w:tcW w:w="7796" w:type="dxa"/>
            <w:vAlign w:val="center"/>
          </w:tcPr>
          <w:p w14:paraId="63F2295F" w14:textId="24EC75BC" w:rsidR="00472CCA" w:rsidRPr="003A26C0" w:rsidRDefault="00472CCA" w:rsidP="008058CC">
            <w:pPr>
              <w:ind w:left="0"/>
              <w:jc w:val="both"/>
              <w:rPr>
                <w:rFonts w:ascii="Bookman Old Style" w:hAnsi="Bookman Old Style" w:cs="Arial"/>
                <w:i/>
                <w:iCs/>
                <w:sz w:val="20"/>
                <w:szCs w:val="20"/>
              </w:rPr>
            </w:pPr>
            <w:r w:rsidRPr="003A26C0">
              <w:rPr>
                <w:rFonts w:ascii="Bookman Old Style" w:hAnsi="Bookman Old Style" w:cs="Arial"/>
                <w:i/>
                <w:iCs/>
                <w:sz w:val="20"/>
                <w:szCs w:val="20"/>
              </w:rPr>
              <w:t xml:space="preserve">Beta desapalancado para la actividad a, en el momento </w:t>
            </w:r>
            <m:oMath>
              <m:r>
                <w:rPr>
                  <w:rFonts w:ascii="Cambria Math" w:hAnsi="Cambria Math" w:cs="Arial"/>
                  <w:sz w:val="20"/>
                  <w:szCs w:val="20"/>
                </w:rPr>
                <m:t>τ</m:t>
              </m:r>
            </m:oMath>
            <w:r w:rsidRPr="003A26C0">
              <w:rPr>
                <w:rFonts w:ascii="Bookman Old Style" w:hAnsi="Bookman Old Style" w:cs="Arial"/>
                <w:i/>
                <w:iCs/>
                <w:sz w:val="20"/>
                <w:szCs w:val="20"/>
              </w:rPr>
              <w:t>. El valor corresponderá a la mediana del “Beta Unlevered Raw (OLS)”, del último trimestre disponible en la fecha de cálculo, publicado por Duff &amp; Phelps en sus servicios de información, para el código industrial de referencia</w:t>
            </w:r>
            <w:r w:rsidR="00E01EDD" w:rsidRPr="003A26C0">
              <w:rPr>
                <w:rFonts w:ascii="Bookman Old Style" w:hAnsi="Bookman Old Style" w:cs="Arial"/>
                <w:i/>
                <w:iCs/>
                <w:sz w:val="20"/>
                <w:szCs w:val="20"/>
              </w:rPr>
              <w:t xml:space="preserve"> (</w:t>
            </w:r>
            <w:r w:rsidR="00782AD8" w:rsidRPr="003A26C0">
              <w:rPr>
                <w:rFonts w:ascii="Bookman Old Style" w:hAnsi="Bookman Old Style" w:cs="Arial"/>
                <w:i/>
                <w:iCs/>
                <w:sz w:val="20"/>
                <w:szCs w:val="20"/>
              </w:rPr>
              <w:t>G</w:t>
            </w:r>
            <w:r w:rsidR="00E01EDD" w:rsidRPr="003A26C0">
              <w:rPr>
                <w:rFonts w:ascii="Bookman Old Style" w:hAnsi="Bookman Old Style" w:cs="Arial"/>
                <w:i/>
                <w:iCs/>
                <w:sz w:val="20"/>
                <w:szCs w:val="20"/>
              </w:rPr>
              <w:t xml:space="preserve">lobal </w:t>
            </w:r>
            <w:r w:rsidR="00782AD8" w:rsidRPr="003A26C0">
              <w:rPr>
                <w:rFonts w:ascii="Bookman Old Style" w:hAnsi="Bookman Old Style" w:cs="Arial"/>
                <w:i/>
                <w:iCs/>
                <w:sz w:val="20"/>
                <w:szCs w:val="20"/>
              </w:rPr>
              <w:t>I</w:t>
            </w:r>
            <w:r w:rsidR="00E01EDD" w:rsidRPr="003A26C0">
              <w:rPr>
                <w:rFonts w:ascii="Bookman Old Style" w:hAnsi="Bookman Old Style" w:cs="Arial"/>
                <w:i/>
                <w:iCs/>
                <w:sz w:val="20"/>
                <w:szCs w:val="20"/>
              </w:rPr>
              <w:t xml:space="preserve">ndustry </w:t>
            </w:r>
            <w:r w:rsidR="00782AD8" w:rsidRPr="003A26C0">
              <w:rPr>
                <w:rFonts w:ascii="Bookman Old Style" w:hAnsi="Bookman Old Style" w:cs="Arial"/>
                <w:i/>
                <w:iCs/>
                <w:sz w:val="20"/>
                <w:szCs w:val="20"/>
              </w:rPr>
              <w:t>C</w:t>
            </w:r>
            <w:r w:rsidR="00162DA5" w:rsidRPr="003A26C0">
              <w:rPr>
                <w:rFonts w:ascii="Bookman Old Style" w:hAnsi="Bookman Old Style" w:cs="Arial"/>
                <w:i/>
                <w:iCs/>
                <w:sz w:val="20"/>
                <w:szCs w:val="20"/>
              </w:rPr>
              <w:t>lassi</w:t>
            </w:r>
            <w:r w:rsidR="00E153FB" w:rsidRPr="003A26C0">
              <w:rPr>
                <w:rFonts w:ascii="Bookman Old Style" w:hAnsi="Bookman Old Style" w:cs="Arial"/>
                <w:i/>
                <w:iCs/>
                <w:sz w:val="20"/>
                <w:szCs w:val="20"/>
              </w:rPr>
              <w:t xml:space="preserve">fication </w:t>
            </w:r>
            <w:r w:rsidR="00782AD8" w:rsidRPr="003A26C0">
              <w:rPr>
                <w:rFonts w:ascii="Bookman Old Style" w:hAnsi="Bookman Old Style" w:cs="Arial"/>
                <w:i/>
                <w:iCs/>
                <w:sz w:val="20"/>
                <w:szCs w:val="20"/>
              </w:rPr>
              <w:t>S</w:t>
            </w:r>
            <w:r w:rsidR="00E01EDD" w:rsidRPr="003A26C0">
              <w:rPr>
                <w:rFonts w:ascii="Bookman Old Style" w:hAnsi="Bookman Old Style" w:cs="Arial"/>
                <w:i/>
                <w:iCs/>
                <w:sz w:val="20"/>
                <w:szCs w:val="20"/>
              </w:rPr>
              <w:t>tandard - GIC</w:t>
            </w:r>
            <w:r w:rsidR="00C60BCD" w:rsidRPr="003A26C0">
              <w:rPr>
                <w:rFonts w:ascii="Bookman Old Style" w:hAnsi="Bookman Old Style" w:cs="Arial"/>
                <w:i/>
                <w:iCs/>
                <w:sz w:val="20"/>
                <w:szCs w:val="20"/>
              </w:rPr>
              <w:t>S</w:t>
            </w:r>
            <w:r w:rsidR="00E01EDD" w:rsidRPr="003A26C0">
              <w:rPr>
                <w:rFonts w:ascii="Bookman Old Style" w:hAnsi="Bookman Old Style" w:cs="Arial"/>
                <w:i/>
                <w:iCs/>
                <w:sz w:val="20"/>
                <w:szCs w:val="20"/>
              </w:rPr>
              <w:t xml:space="preserve"> Code</w:t>
            </w:r>
            <w:r w:rsidR="008C7E43" w:rsidRPr="003A26C0">
              <w:rPr>
                <w:rFonts w:ascii="Bookman Old Style" w:hAnsi="Bookman Old Style" w:cs="Arial"/>
                <w:i/>
                <w:iCs/>
                <w:sz w:val="20"/>
                <w:szCs w:val="20"/>
              </w:rPr>
              <w:t xml:space="preserve"> o el que lo sustituya</w:t>
            </w:r>
            <w:r w:rsidR="00E01EDD" w:rsidRPr="003A26C0">
              <w:rPr>
                <w:rFonts w:ascii="Bookman Old Style" w:hAnsi="Bookman Old Style" w:cs="Arial"/>
                <w:i/>
                <w:iCs/>
                <w:sz w:val="20"/>
                <w:szCs w:val="20"/>
              </w:rPr>
              <w:t>)</w:t>
            </w:r>
            <w:r w:rsidRPr="003A26C0">
              <w:rPr>
                <w:rFonts w:ascii="Bookman Old Style" w:hAnsi="Bookman Old Style" w:cs="Arial"/>
                <w:i/>
                <w:iCs/>
                <w:sz w:val="20"/>
                <w:szCs w:val="20"/>
              </w:rPr>
              <w:t>, correspondiente a la actividad a, el cual establecerá la Comisión en resolución aparte.</w:t>
            </w:r>
          </w:p>
          <w:p w14:paraId="078F9C25" w14:textId="77777777" w:rsidR="00472CCA" w:rsidRDefault="00472CCA" w:rsidP="008058CC">
            <w:pPr>
              <w:ind w:left="0"/>
              <w:jc w:val="both"/>
              <w:rPr>
                <w:rFonts w:ascii="Bookman Old Style" w:hAnsi="Bookman Old Style" w:cs="Arial"/>
                <w:i/>
                <w:iCs/>
                <w:sz w:val="20"/>
                <w:szCs w:val="20"/>
              </w:rPr>
            </w:pPr>
          </w:p>
          <w:p w14:paraId="00C9A159" w14:textId="77777777" w:rsidR="005047AF" w:rsidRDefault="005047AF" w:rsidP="008058CC">
            <w:pPr>
              <w:ind w:left="0"/>
              <w:jc w:val="both"/>
              <w:rPr>
                <w:rFonts w:ascii="Bookman Old Style" w:hAnsi="Bookman Old Style" w:cs="Arial"/>
                <w:i/>
                <w:iCs/>
                <w:sz w:val="20"/>
                <w:szCs w:val="20"/>
              </w:rPr>
            </w:pPr>
          </w:p>
          <w:p w14:paraId="5C2A1E91" w14:textId="2B65F08A" w:rsidR="005047AF" w:rsidRPr="003A26C0" w:rsidRDefault="005047AF" w:rsidP="008058CC">
            <w:pPr>
              <w:ind w:left="0"/>
              <w:jc w:val="both"/>
              <w:rPr>
                <w:rFonts w:ascii="Bookman Old Style" w:hAnsi="Bookman Old Style" w:cs="Arial"/>
                <w:i/>
                <w:iCs/>
                <w:sz w:val="20"/>
                <w:szCs w:val="20"/>
              </w:rPr>
            </w:pPr>
          </w:p>
        </w:tc>
      </w:tr>
      <w:tr w:rsidR="00472CCA" w:rsidRPr="003A26C0" w14:paraId="4A586BCB" w14:textId="77777777" w:rsidTr="008058CC">
        <w:tc>
          <w:tcPr>
            <w:tcW w:w="1384" w:type="dxa"/>
          </w:tcPr>
          <w:p w14:paraId="70C8C126" w14:textId="7AD001C4" w:rsidR="00472CCA" w:rsidRPr="003A26C0" w:rsidRDefault="003A26C0" w:rsidP="008058CC">
            <w:pPr>
              <w:ind w:left="0"/>
              <w:rPr>
                <w:b/>
                <w:bCs/>
                <w:i/>
                <w:iCs/>
                <w:color w:val="000000" w:themeColor="text1"/>
                <w:kern w:val="24"/>
                <w:sz w:val="20"/>
                <w:szCs w:val="20"/>
              </w:rPr>
            </w:pPr>
            <m:oMathPara>
              <m:oMathParaPr>
                <m:jc m:val="left"/>
              </m:oMathParaPr>
              <m:oMath>
                <m:r>
                  <m:rPr>
                    <m:sty m:val="bi"/>
                  </m:rPr>
                  <w:rPr>
                    <w:rFonts w:ascii="Cambria Math" w:eastAsia="Cambria Math" w:hAnsi="Cambria Math" w:cstheme="minorBidi"/>
                    <w:kern w:val="24"/>
                    <w:sz w:val="20"/>
                    <w:szCs w:val="20"/>
                  </w:rPr>
                  <m:t>Δ</m:t>
                </m:r>
                <m:sSub>
                  <m:sSubPr>
                    <m:ctrlPr>
                      <w:rPr>
                        <w:rFonts w:ascii="Cambria Math" w:eastAsia="Cambria Math" w:hAnsi="Cambria Math" w:cstheme="minorBidi"/>
                        <w:b/>
                        <w:i/>
                        <w:iCs/>
                        <w:kern w:val="24"/>
                        <w:sz w:val="20"/>
                        <w:szCs w:val="20"/>
                      </w:rPr>
                    </m:ctrlPr>
                  </m:sSubPr>
                  <m:e>
                    <m:r>
                      <m:rPr>
                        <m:sty m:val="bi"/>
                      </m:rPr>
                      <w:rPr>
                        <w:rFonts w:ascii="Cambria Math" w:eastAsia="Cambria Math" w:hAnsi="Cambria Math" w:cstheme="minorBidi"/>
                        <w:kern w:val="24"/>
                        <w:sz w:val="20"/>
                        <w:szCs w:val="20"/>
                      </w:rPr>
                      <m:t>β</m:t>
                    </m:r>
                  </m:e>
                  <m:sub>
                    <m:r>
                      <m:rPr>
                        <m:sty m:val="bi"/>
                      </m:rPr>
                      <w:rPr>
                        <w:rFonts w:ascii="Cambria Math" w:eastAsia="Cambria Math" w:hAnsi="Cambria Math" w:cstheme="minorBidi"/>
                        <w:kern w:val="24"/>
                        <w:sz w:val="20"/>
                        <w:szCs w:val="20"/>
                      </w:rPr>
                      <m:t>a</m:t>
                    </m:r>
                  </m:sub>
                </m:sSub>
              </m:oMath>
            </m:oMathPara>
          </w:p>
        </w:tc>
        <w:tc>
          <w:tcPr>
            <w:tcW w:w="284" w:type="dxa"/>
          </w:tcPr>
          <w:p w14:paraId="60A6B3A8" w14:textId="77777777" w:rsidR="00472CCA" w:rsidRPr="003A26C0" w:rsidRDefault="00472CCA" w:rsidP="008058CC">
            <w:pPr>
              <w:ind w:left="0"/>
              <w:rPr>
                <w:rFonts w:ascii="Bookman Old Style" w:hAnsi="Bookman Old Style" w:cs="Arial"/>
                <w:b/>
                <w:i/>
                <w:iCs/>
                <w:sz w:val="20"/>
                <w:szCs w:val="20"/>
              </w:rPr>
            </w:pPr>
            <w:r w:rsidRPr="003A26C0">
              <w:rPr>
                <w:rFonts w:ascii="Bookman Old Style" w:hAnsi="Bookman Old Style" w:cs="Arial"/>
                <w:b/>
                <w:i/>
                <w:iCs/>
                <w:sz w:val="20"/>
                <w:szCs w:val="20"/>
              </w:rPr>
              <w:t>:</w:t>
            </w:r>
          </w:p>
        </w:tc>
        <w:tc>
          <w:tcPr>
            <w:tcW w:w="7796" w:type="dxa"/>
            <w:vAlign w:val="center"/>
          </w:tcPr>
          <w:p w14:paraId="764720C0" w14:textId="78D61011" w:rsidR="00472CCA" w:rsidRPr="003A26C0" w:rsidRDefault="00472CCA" w:rsidP="008058CC">
            <w:pPr>
              <w:ind w:left="0"/>
              <w:jc w:val="both"/>
              <w:rPr>
                <w:rFonts w:ascii="Bookman Old Style" w:hAnsi="Bookman Old Style" w:cs="Arial"/>
                <w:i/>
                <w:iCs/>
                <w:sz w:val="20"/>
                <w:szCs w:val="20"/>
              </w:rPr>
            </w:pPr>
            <w:r w:rsidRPr="003A26C0">
              <w:rPr>
                <w:rFonts w:ascii="Bookman Old Style" w:hAnsi="Bookman Old Style" w:cs="Arial"/>
                <w:i/>
                <w:iCs/>
                <w:sz w:val="20"/>
                <w:szCs w:val="20"/>
              </w:rPr>
              <w:t>Ajuste al beta desapalancado de la actividad a, por diferencias en el esquema de remuneración con el país del mercado de referencia, aplicable solo para la actividades que hacen parte del servicio público de energía eléctrica o del servicio público de gas combustible.</w:t>
            </w:r>
          </w:p>
          <w:p w14:paraId="21C05518" w14:textId="77777777" w:rsidR="00472CCA" w:rsidRPr="003A26C0" w:rsidRDefault="00472CCA" w:rsidP="008058CC">
            <w:pPr>
              <w:ind w:left="0"/>
              <w:jc w:val="both"/>
              <w:rPr>
                <w:rFonts w:ascii="Bookman Old Style" w:hAnsi="Bookman Old Style" w:cs="Arial"/>
                <w:i/>
                <w:iCs/>
                <w:sz w:val="20"/>
                <w:szCs w:val="20"/>
              </w:rPr>
            </w:pPr>
          </w:p>
          <w:p w14:paraId="6A8D508F" w14:textId="33D0323A" w:rsidR="00472CCA" w:rsidRPr="003A26C0" w:rsidRDefault="00472CCA" w:rsidP="008058CC">
            <w:pPr>
              <w:ind w:left="0"/>
              <w:jc w:val="both"/>
              <w:rPr>
                <w:rFonts w:ascii="Bookman Old Style" w:hAnsi="Bookman Old Style" w:cs="Arial"/>
                <w:i/>
                <w:iCs/>
                <w:sz w:val="20"/>
                <w:szCs w:val="20"/>
              </w:rPr>
            </w:pPr>
            <w:r w:rsidRPr="003A26C0">
              <w:rPr>
                <w:rFonts w:ascii="Bookman Old Style" w:hAnsi="Bookman Old Style" w:cs="Arial"/>
                <w:i/>
                <w:iCs/>
                <w:sz w:val="20"/>
                <w:szCs w:val="20"/>
              </w:rPr>
              <w:t xml:space="preserve">Se calcula como la diferencia entre las medianas de los “Unlevered Beta Raw (OLS)”, de la clasificación </w:t>
            </w:r>
            <w:r w:rsidR="00A41767" w:rsidRPr="003A26C0">
              <w:rPr>
                <w:rFonts w:ascii="Bookman Old Style" w:hAnsi="Bookman Old Style" w:cs="Arial"/>
                <w:i/>
                <w:iCs/>
                <w:sz w:val="20"/>
                <w:szCs w:val="20"/>
              </w:rPr>
              <w:t>G</w:t>
            </w:r>
            <w:r w:rsidR="009B6F02" w:rsidRPr="003A26C0">
              <w:rPr>
                <w:rFonts w:ascii="Bookman Old Style" w:hAnsi="Bookman Old Style" w:cs="Arial"/>
                <w:i/>
                <w:iCs/>
                <w:sz w:val="20"/>
                <w:szCs w:val="20"/>
              </w:rPr>
              <w:t>I</w:t>
            </w:r>
            <w:r w:rsidR="00A41767" w:rsidRPr="003A26C0">
              <w:rPr>
                <w:rFonts w:ascii="Bookman Old Style" w:hAnsi="Bookman Old Style" w:cs="Arial"/>
                <w:i/>
                <w:iCs/>
                <w:sz w:val="20"/>
                <w:szCs w:val="20"/>
              </w:rPr>
              <w:t xml:space="preserve">CS </w:t>
            </w:r>
            <w:r w:rsidRPr="003A26C0">
              <w:rPr>
                <w:rFonts w:ascii="Bookman Old Style" w:hAnsi="Bookman Old Style" w:cs="Arial"/>
                <w:i/>
                <w:iCs/>
                <w:sz w:val="20"/>
                <w:szCs w:val="20"/>
              </w:rPr>
              <w:t xml:space="preserve">55 (“Utilities”) de Reino Unido (UK) y de la clasificación </w:t>
            </w:r>
            <w:r w:rsidR="00A41767" w:rsidRPr="003A26C0">
              <w:rPr>
                <w:rFonts w:ascii="Bookman Old Style" w:hAnsi="Bookman Old Style" w:cs="Arial"/>
                <w:i/>
                <w:iCs/>
                <w:sz w:val="20"/>
                <w:szCs w:val="20"/>
              </w:rPr>
              <w:t>G</w:t>
            </w:r>
            <w:r w:rsidR="009B6F02" w:rsidRPr="003A26C0">
              <w:rPr>
                <w:rFonts w:ascii="Bookman Old Style" w:hAnsi="Bookman Old Style" w:cs="Arial"/>
                <w:i/>
                <w:iCs/>
                <w:sz w:val="20"/>
                <w:szCs w:val="20"/>
              </w:rPr>
              <w:t>I</w:t>
            </w:r>
            <w:r w:rsidR="00A41767" w:rsidRPr="003A26C0">
              <w:rPr>
                <w:rFonts w:ascii="Bookman Old Style" w:hAnsi="Bookman Old Style" w:cs="Arial"/>
                <w:i/>
                <w:iCs/>
                <w:sz w:val="20"/>
                <w:szCs w:val="20"/>
              </w:rPr>
              <w:t xml:space="preserve">CS </w:t>
            </w:r>
            <w:r w:rsidR="008E0017" w:rsidRPr="003A26C0">
              <w:rPr>
                <w:rFonts w:ascii="Bookman Old Style" w:hAnsi="Bookman Old Style" w:cs="Arial"/>
                <w:i/>
                <w:iCs/>
                <w:sz w:val="20"/>
                <w:szCs w:val="20"/>
              </w:rPr>
              <w:t>55</w:t>
            </w:r>
            <w:r w:rsidRPr="003A26C0">
              <w:rPr>
                <w:rFonts w:ascii="Bookman Old Style" w:hAnsi="Bookman Old Style" w:cs="Arial"/>
                <w:i/>
                <w:iCs/>
                <w:sz w:val="20"/>
                <w:szCs w:val="20"/>
              </w:rPr>
              <w:t xml:space="preserve"> (“</w:t>
            </w:r>
            <w:r w:rsidR="00B34278" w:rsidRPr="003A26C0">
              <w:rPr>
                <w:rFonts w:ascii="Bookman Old Style" w:hAnsi="Bookman Old Style" w:cs="Arial"/>
                <w:i/>
                <w:iCs/>
                <w:sz w:val="20"/>
                <w:szCs w:val="20"/>
              </w:rPr>
              <w:t>Utilities</w:t>
            </w:r>
            <w:r w:rsidRPr="003A26C0">
              <w:rPr>
                <w:rFonts w:ascii="Bookman Old Style" w:hAnsi="Bookman Old Style" w:cs="Arial"/>
                <w:i/>
                <w:iCs/>
                <w:sz w:val="20"/>
                <w:szCs w:val="20"/>
              </w:rPr>
              <w:t>”) de Estados Unidos (USA), del último trimestre disponible</w:t>
            </w:r>
            <w:r w:rsidR="0028341A" w:rsidRPr="003A26C0">
              <w:rPr>
                <w:rFonts w:ascii="Bookman Old Style" w:hAnsi="Bookman Old Style" w:cs="Arial"/>
                <w:i/>
                <w:iCs/>
                <w:sz w:val="20"/>
                <w:szCs w:val="20"/>
              </w:rPr>
              <w:t>,</w:t>
            </w:r>
            <w:r w:rsidRPr="003A26C0">
              <w:rPr>
                <w:rFonts w:ascii="Bookman Old Style" w:hAnsi="Bookman Old Style" w:cs="Arial"/>
                <w:i/>
                <w:iCs/>
                <w:sz w:val="20"/>
                <w:szCs w:val="20"/>
              </w:rPr>
              <w:t xml:space="preserve"> </w:t>
            </w:r>
            <w:r w:rsidR="0028341A" w:rsidRPr="003A26C0">
              <w:rPr>
                <w:rFonts w:ascii="Bookman Old Style" w:hAnsi="Bookman Old Style" w:cs="Arial"/>
                <w:i/>
                <w:iCs/>
                <w:sz w:val="20"/>
                <w:szCs w:val="20"/>
              </w:rPr>
              <w:t xml:space="preserve">coincidente para ambas referencias, </w:t>
            </w:r>
            <w:r w:rsidRPr="003A26C0">
              <w:rPr>
                <w:rFonts w:ascii="Bookman Old Style" w:hAnsi="Bookman Old Style" w:cs="Arial"/>
                <w:i/>
                <w:iCs/>
                <w:sz w:val="20"/>
                <w:szCs w:val="20"/>
              </w:rPr>
              <w:t>en la fecha de cálculo, publicado por Duff &amp; Phelps en sus servicios de información.</w:t>
            </w:r>
          </w:p>
        </w:tc>
      </w:tr>
    </w:tbl>
    <w:p w14:paraId="36C0D52A" w14:textId="77777777" w:rsidR="000776BE" w:rsidRPr="00F30839" w:rsidRDefault="000776BE" w:rsidP="000776BE">
      <w:pPr>
        <w:ind w:left="0"/>
        <w:jc w:val="both"/>
        <w:rPr>
          <w:rFonts w:ascii="Bookman Old Style" w:hAnsi="Bookman Old Style" w:cs="Arial"/>
        </w:rPr>
      </w:pPr>
    </w:p>
    <w:p w14:paraId="1EBE6C06" w14:textId="581E9E65" w:rsidR="000776BE" w:rsidRPr="00F340A2" w:rsidRDefault="000776BE" w:rsidP="00F74E0C">
      <w:pPr>
        <w:pStyle w:val="Ttulo1"/>
        <w:ind w:left="0"/>
        <w:jc w:val="both"/>
        <w:rPr>
          <w:rFonts w:ascii="Bookman Old Style" w:hAnsi="Bookman Old Style" w:cs="Arial"/>
          <w:b w:val="0"/>
        </w:rPr>
      </w:pPr>
      <w:r w:rsidRPr="00F340A2">
        <w:rPr>
          <w:rFonts w:ascii="Bookman Old Style" w:hAnsi="Bookman Old Style" w:cs="Arial"/>
        </w:rPr>
        <w:t xml:space="preserve">ARTÍCULO </w:t>
      </w:r>
      <w:r w:rsidR="00847699">
        <w:rPr>
          <w:rFonts w:ascii="Bookman Old Style" w:hAnsi="Bookman Old Style" w:cs="Arial"/>
        </w:rPr>
        <w:t>5</w:t>
      </w:r>
      <w:r w:rsidRPr="00F340A2">
        <w:rPr>
          <w:rFonts w:ascii="Bookman Old Style" w:hAnsi="Bookman Old Style" w:cs="Arial"/>
        </w:rPr>
        <w:t xml:space="preserve">. Vigencia. </w:t>
      </w:r>
      <w:r w:rsidRPr="00F74E0C">
        <w:rPr>
          <w:rFonts w:ascii="Bookman Old Style" w:hAnsi="Bookman Old Style" w:cs="Arial"/>
          <w:b w:val="0"/>
          <w:spacing w:val="-4"/>
        </w:rPr>
        <w:t xml:space="preserve">La presente resolución rige a partir de la fecha de su publicación en el </w:t>
      </w:r>
      <w:r w:rsidRPr="00F74E0C">
        <w:rPr>
          <w:rFonts w:ascii="Bookman Old Style" w:hAnsi="Bookman Old Style" w:cs="Arial"/>
          <w:b w:val="0"/>
          <w:i/>
          <w:spacing w:val="-4"/>
        </w:rPr>
        <w:t>Diario Oficial</w:t>
      </w:r>
      <w:r w:rsidRPr="00F74E0C">
        <w:rPr>
          <w:rFonts w:ascii="Bookman Old Style" w:hAnsi="Bookman Old Style" w:cs="Arial"/>
          <w:b w:val="0"/>
          <w:spacing w:val="-4"/>
        </w:rPr>
        <w:t xml:space="preserve"> y deroga todas las disposiciones que le sean contrarias.</w:t>
      </w:r>
    </w:p>
    <w:bookmarkEnd w:id="1"/>
    <w:p w14:paraId="0A42EBC3" w14:textId="77777777" w:rsidR="000776BE" w:rsidRPr="00F340A2" w:rsidRDefault="000776BE" w:rsidP="000776BE">
      <w:pPr>
        <w:jc w:val="center"/>
        <w:rPr>
          <w:rFonts w:ascii="Bookman Old Style" w:hAnsi="Bookman Old Style"/>
          <w:b/>
        </w:rPr>
      </w:pPr>
    </w:p>
    <w:p w14:paraId="445B598D" w14:textId="77777777" w:rsidR="000776BE" w:rsidRPr="00F340A2" w:rsidRDefault="000776BE" w:rsidP="000776BE">
      <w:pPr>
        <w:jc w:val="center"/>
        <w:rPr>
          <w:rFonts w:ascii="Bookman Old Style" w:hAnsi="Bookman Old Style"/>
          <w:b/>
        </w:rPr>
      </w:pPr>
    </w:p>
    <w:p w14:paraId="7F875B86" w14:textId="77777777" w:rsidR="000776BE" w:rsidRPr="00F340A2" w:rsidRDefault="000776BE" w:rsidP="00874130">
      <w:pPr>
        <w:ind w:left="0"/>
        <w:jc w:val="center"/>
        <w:rPr>
          <w:rFonts w:ascii="Bookman Old Style" w:hAnsi="Bookman Old Style"/>
          <w:b/>
        </w:rPr>
      </w:pPr>
      <w:r w:rsidRPr="00F340A2">
        <w:rPr>
          <w:rFonts w:ascii="Bookman Old Style" w:hAnsi="Bookman Old Style"/>
          <w:b/>
        </w:rPr>
        <w:t>PUBLÍQUESE Y CÚMPLASE</w:t>
      </w:r>
    </w:p>
    <w:p w14:paraId="06CF13B4" w14:textId="77777777" w:rsidR="000776BE" w:rsidRPr="00F340A2" w:rsidRDefault="000776BE" w:rsidP="000776BE">
      <w:pPr>
        <w:ind w:left="0"/>
        <w:rPr>
          <w:rFonts w:ascii="Bookman Old Style" w:hAnsi="Bookman Old Style"/>
        </w:rPr>
      </w:pPr>
    </w:p>
    <w:p w14:paraId="5312213F" w14:textId="523F842F" w:rsidR="00C3310E" w:rsidRPr="005047AF" w:rsidRDefault="32D6AB93" w:rsidP="00C3310E">
      <w:pPr>
        <w:ind w:left="0"/>
        <w:rPr>
          <w:rFonts w:ascii="Bookman Old Style" w:hAnsi="Bookman Old Style"/>
        </w:rPr>
      </w:pPr>
      <w:r w:rsidRPr="005047AF">
        <w:rPr>
          <w:rFonts w:ascii="Bookman Old Style" w:hAnsi="Bookman Old Style"/>
        </w:rPr>
        <w:t>Firm</w:t>
      </w:r>
      <w:r w:rsidR="619DE2C9" w:rsidRPr="005047AF">
        <w:rPr>
          <w:rFonts w:ascii="Bookman Old Style" w:hAnsi="Bookman Old Style"/>
        </w:rPr>
        <w:t>a</w:t>
      </w:r>
      <w:r w:rsidRPr="005047AF">
        <w:rPr>
          <w:rFonts w:ascii="Bookman Old Style" w:hAnsi="Bookman Old Style"/>
        </w:rPr>
        <w:t xml:space="preserve"> del Proyecto</w:t>
      </w:r>
      <w:r w:rsidR="00992444" w:rsidRPr="005047AF">
        <w:rPr>
          <w:rFonts w:ascii="Bookman Old Style" w:hAnsi="Bookman Old Style"/>
        </w:rPr>
        <w:t>,</w:t>
      </w:r>
    </w:p>
    <w:p w14:paraId="2A9C689B" w14:textId="5C0CC9B1" w:rsidR="00C71FD6" w:rsidRDefault="00C71FD6" w:rsidP="000776BE">
      <w:pPr>
        <w:ind w:left="0"/>
        <w:rPr>
          <w:rFonts w:ascii="Bookman Old Style" w:hAnsi="Bookman Old Style"/>
        </w:rPr>
      </w:pPr>
    </w:p>
    <w:p w14:paraId="71A26AC2" w14:textId="77777777" w:rsidR="005047AF" w:rsidRDefault="005047AF" w:rsidP="000776BE">
      <w:pPr>
        <w:ind w:left="0"/>
        <w:rPr>
          <w:rFonts w:ascii="Bookman Old Style" w:hAnsi="Bookman Old Style"/>
        </w:rPr>
      </w:pPr>
    </w:p>
    <w:p w14:paraId="7B184CB5" w14:textId="46314962" w:rsidR="00C71FD6" w:rsidRDefault="00C71FD6" w:rsidP="000776BE">
      <w:pPr>
        <w:ind w:left="0"/>
        <w:rPr>
          <w:rFonts w:ascii="Bookman Old Style" w:hAnsi="Bookman Old Style"/>
        </w:rPr>
      </w:pPr>
    </w:p>
    <w:p w14:paraId="6BD90D77" w14:textId="77BA3D29" w:rsidR="00C71FD6" w:rsidRDefault="00C71FD6" w:rsidP="000776BE">
      <w:pPr>
        <w:ind w:left="0"/>
        <w:rPr>
          <w:rFonts w:ascii="Bookman Old Style" w:hAnsi="Bookman Old Style"/>
        </w:rPr>
      </w:pPr>
    </w:p>
    <w:p w14:paraId="796F5FC9" w14:textId="77777777" w:rsidR="00C71FD6" w:rsidRPr="00F340A2" w:rsidRDefault="00C71FD6" w:rsidP="000776BE">
      <w:pPr>
        <w:ind w:left="0"/>
        <w:rPr>
          <w:rFonts w:ascii="Bookman Old Style" w:hAnsi="Bookman Old Style"/>
        </w:rPr>
      </w:pPr>
    </w:p>
    <w:tbl>
      <w:tblPr>
        <w:tblW w:w="9781" w:type="dxa"/>
        <w:jc w:val="center"/>
        <w:tblLayout w:type="fixed"/>
        <w:tblCellMar>
          <w:left w:w="70" w:type="dxa"/>
          <w:right w:w="70" w:type="dxa"/>
        </w:tblCellMar>
        <w:tblLook w:val="04A0" w:firstRow="1" w:lastRow="0" w:firstColumn="1" w:lastColumn="0" w:noHBand="0" w:noVBand="1"/>
      </w:tblPr>
      <w:tblGrid>
        <w:gridCol w:w="4962"/>
        <w:gridCol w:w="4819"/>
      </w:tblGrid>
      <w:tr w:rsidR="000776BE" w:rsidRPr="006A4116" w14:paraId="783C3CEA" w14:textId="77777777" w:rsidTr="000A5729">
        <w:trPr>
          <w:jc w:val="center"/>
        </w:trPr>
        <w:tc>
          <w:tcPr>
            <w:tcW w:w="4962" w:type="dxa"/>
            <w:hideMark/>
          </w:tcPr>
          <w:p w14:paraId="1DDBB5DC" w14:textId="039C0117" w:rsidR="000776BE" w:rsidRPr="006A4116" w:rsidRDefault="004E113C" w:rsidP="000A5729">
            <w:pPr>
              <w:ind w:left="-142" w:firstLine="142"/>
              <w:jc w:val="center"/>
              <w:rPr>
                <w:rFonts w:ascii="Bookman Old Style" w:hAnsi="Bookman Old Style" w:cs="Arial"/>
                <w:b/>
                <w:spacing w:val="-3"/>
                <w:lang w:val="es-ES_tradnl"/>
              </w:rPr>
            </w:pPr>
            <w:r w:rsidRPr="006A4116">
              <w:rPr>
                <w:rFonts w:ascii="Bookman Old Style" w:hAnsi="Bookman Old Style" w:cs="Arial"/>
                <w:b/>
                <w:spacing w:val="-3"/>
              </w:rPr>
              <w:t>MIGUEL LOTERO ROBLEDO</w:t>
            </w:r>
          </w:p>
        </w:tc>
        <w:tc>
          <w:tcPr>
            <w:tcW w:w="4819" w:type="dxa"/>
            <w:hideMark/>
          </w:tcPr>
          <w:p w14:paraId="10DC8DE5" w14:textId="5CB710D7" w:rsidR="000776BE" w:rsidRPr="006A4116" w:rsidRDefault="000776BE" w:rsidP="00F67EAC">
            <w:pPr>
              <w:ind w:left="19" w:right="-142"/>
              <w:jc w:val="center"/>
              <w:rPr>
                <w:rFonts w:ascii="Bookman Old Style" w:hAnsi="Bookman Old Style" w:cs="Arial"/>
                <w:b/>
                <w:spacing w:val="-3"/>
                <w:lang w:val="es-ES_tradnl"/>
              </w:rPr>
            </w:pPr>
            <w:r w:rsidRPr="006A4116">
              <w:rPr>
                <w:rFonts w:ascii="Bookman Old Style" w:hAnsi="Bookman Old Style" w:cs="Arial"/>
                <w:b/>
                <w:spacing w:val="-3"/>
                <w:lang w:val="es-ES_tradnl"/>
              </w:rPr>
              <w:t xml:space="preserve">JORGE </w:t>
            </w:r>
            <w:r w:rsidR="000A5729" w:rsidRPr="006A4116">
              <w:rPr>
                <w:rFonts w:ascii="Bookman Old Style" w:hAnsi="Bookman Old Style" w:cs="Arial"/>
                <w:b/>
                <w:spacing w:val="-3"/>
                <w:lang w:val="es-ES_tradnl"/>
              </w:rPr>
              <w:t>ALBERTO VALENCIA MARÍN</w:t>
            </w:r>
          </w:p>
        </w:tc>
      </w:tr>
      <w:tr w:rsidR="000776BE" w14:paraId="56EA0A9D" w14:textId="77777777" w:rsidTr="000A5729">
        <w:trPr>
          <w:jc w:val="center"/>
        </w:trPr>
        <w:tc>
          <w:tcPr>
            <w:tcW w:w="4962" w:type="dxa"/>
            <w:hideMark/>
          </w:tcPr>
          <w:p w14:paraId="39F9DC16" w14:textId="12E2909F" w:rsidR="000776BE" w:rsidRPr="006A4116" w:rsidRDefault="004E113C" w:rsidP="00F67EAC">
            <w:pPr>
              <w:ind w:left="0"/>
              <w:jc w:val="center"/>
              <w:rPr>
                <w:rFonts w:ascii="Bookman Old Style" w:hAnsi="Bookman Old Style" w:cs="Arial"/>
                <w:spacing w:val="-3"/>
                <w:lang w:val="es-ES_tradnl"/>
              </w:rPr>
            </w:pPr>
            <w:r w:rsidRPr="006A4116">
              <w:rPr>
                <w:rFonts w:ascii="Bookman Old Style" w:hAnsi="Bookman Old Style" w:cs="Arial"/>
                <w:spacing w:val="-3"/>
                <w:lang w:val="es-ES_tradnl"/>
              </w:rPr>
              <w:t>Vice</w:t>
            </w:r>
            <w:r w:rsidR="000B1133" w:rsidRPr="006A4116">
              <w:rPr>
                <w:rFonts w:ascii="Bookman Old Style" w:hAnsi="Bookman Old Style" w:cs="Arial"/>
                <w:spacing w:val="-3"/>
                <w:lang w:val="es-ES_tradnl"/>
              </w:rPr>
              <w:t>m</w:t>
            </w:r>
            <w:r w:rsidR="000776BE" w:rsidRPr="006A4116">
              <w:rPr>
                <w:rFonts w:ascii="Bookman Old Style" w:hAnsi="Bookman Old Style" w:cs="Arial"/>
                <w:spacing w:val="-3"/>
                <w:lang w:val="es-ES_tradnl"/>
              </w:rPr>
              <w:t>inistr</w:t>
            </w:r>
            <w:r w:rsidR="00560A2A" w:rsidRPr="006A4116">
              <w:rPr>
                <w:rFonts w:ascii="Bookman Old Style" w:hAnsi="Bookman Old Style" w:cs="Arial"/>
                <w:spacing w:val="-3"/>
                <w:lang w:val="es-ES_tradnl"/>
              </w:rPr>
              <w:t>o</w:t>
            </w:r>
            <w:r w:rsidR="000776BE" w:rsidRPr="006A4116">
              <w:rPr>
                <w:rFonts w:ascii="Bookman Old Style" w:hAnsi="Bookman Old Style" w:cs="Arial"/>
                <w:spacing w:val="-3"/>
                <w:lang w:val="es-ES_tradnl"/>
              </w:rPr>
              <w:t xml:space="preserve"> de</w:t>
            </w:r>
            <w:r w:rsidR="000B1133" w:rsidRPr="006A4116">
              <w:rPr>
                <w:rFonts w:ascii="Bookman Old Style" w:hAnsi="Bookman Old Style" w:cs="Arial"/>
                <w:spacing w:val="-3"/>
                <w:lang w:val="es-ES_tradnl"/>
              </w:rPr>
              <w:t xml:space="preserve"> Energía. Delegado del Ministro de</w:t>
            </w:r>
            <w:r w:rsidR="000776BE" w:rsidRPr="006A4116">
              <w:rPr>
                <w:rFonts w:ascii="Bookman Old Style" w:hAnsi="Bookman Old Style" w:cs="Arial"/>
                <w:spacing w:val="-3"/>
                <w:lang w:val="es-ES_tradnl"/>
              </w:rPr>
              <w:t xml:space="preserve"> Minas y Energía </w:t>
            </w:r>
          </w:p>
          <w:p w14:paraId="417D143B" w14:textId="77777777" w:rsidR="000776BE" w:rsidRPr="006A4116" w:rsidRDefault="000776BE" w:rsidP="00F67EAC">
            <w:pPr>
              <w:ind w:left="0"/>
              <w:jc w:val="center"/>
              <w:rPr>
                <w:rFonts w:ascii="Bookman Old Style" w:hAnsi="Bookman Old Style" w:cs="Arial"/>
                <w:spacing w:val="-3"/>
                <w:lang w:val="es-ES_tradnl"/>
              </w:rPr>
            </w:pPr>
            <w:r w:rsidRPr="006A4116">
              <w:rPr>
                <w:rFonts w:ascii="Bookman Old Style" w:hAnsi="Bookman Old Style" w:cs="Arial"/>
                <w:spacing w:val="-3"/>
              </w:rPr>
              <w:t>Presidente</w:t>
            </w:r>
            <w:r w:rsidRPr="006A4116" w:rsidDel="00F9100C">
              <w:rPr>
                <w:rFonts w:ascii="Bookman Old Style" w:hAnsi="Bookman Old Style" w:cs="Arial"/>
                <w:spacing w:val="-3"/>
                <w:lang w:val="es-ES_tradnl"/>
              </w:rPr>
              <w:t xml:space="preserve"> </w:t>
            </w:r>
          </w:p>
        </w:tc>
        <w:tc>
          <w:tcPr>
            <w:tcW w:w="4819" w:type="dxa"/>
            <w:hideMark/>
          </w:tcPr>
          <w:p w14:paraId="767DE5E9" w14:textId="77777777" w:rsidR="000776BE" w:rsidRDefault="000776BE" w:rsidP="00F67EAC">
            <w:pPr>
              <w:jc w:val="center"/>
              <w:rPr>
                <w:rFonts w:ascii="Bookman Old Style" w:hAnsi="Bookman Old Style" w:cs="Arial"/>
                <w:spacing w:val="-3"/>
                <w:lang w:val="es-ES_tradnl"/>
              </w:rPr>
            </w:pPr>
            <w:r w:rsidRPr="006A4116">
              <w:rPr>
                <w:rFonts w:ascii="Bookman Old Style" w:hAnsi="Bookman Old Style" w:cs="Arial"/>
                <w:spacing w:val="-3"/>
                <w:lang w:val="es-ES_tradnl"/>
              </w:rPr>
              <w:t>Director Ejecutivo</w:t>
            </w:r>
          </w:p>
        </w:tc>
      </w:tr>
    </w:tbl>
    <w:p w14:paraId="5ADA5C45" w14:textId="77777777" w:rsidR="00B103F1" w:rsidRPr="000776BE" w:rsidRDefault="00B103F1" w:rsidP="00F03292">
      <w:pPr>
        <w:ind w:left="0"/>
      </w:pPr>
    </w:p>
    <w:sectPr w:rsidR="00B103F1" w:rsidRPr="000776BE" w:rsidSect="002301BC">
      <w:headerReference w:type="default" r:id="rId14"/>
      <w:headerReference w:type="first" r:id="rId15"/>
      <w:type w:val="continuous"/>
      <w:pgSz w:w="12242" w:h="18722" w:code="123"/>
      <w:pgMar w:top="2341" w:right="1185" w:bottom="1758" w:left="184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1E0F68" w14:textId="77777777" w:rsidR="00540C48" w:rsidRDefault="00540C48">
      <w:r>
        <w:separator/>
      </w:r>
    </w:p>
  </w:endnote>
  <w:endnote w:type="continuationSeparator" w:id="0">
    <w:p w14:paraId="403B23F6" w14:textId="77777777" w:rsidR="00540C48" w:rsidRDefault="00540C48">
      <w:r>
        <w:continuationSeparator/>
      </w:r>
    </w:p>
  </w:endnote>
  <w:endnote w:type="continuationNotice" w:id="1">
    <w:p w14:paraId="1023C97C" w14:textId="77777777" w:rsidR="00540C48" w:rsidRDefault="00540C4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G Times">
    <w:altName w:val="Times New Roman"/>
    <w:charset w:val="00"/>
    <w:family w:val="roman"/>
    <w:pitch w:val="variable"/>
    <w:sig w:usb0="00000007" w:usb1="00000000" w:usb2="00000000" w:usb3="00000000" w:csb0="00000093"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alatino">
    <w:altName w:val="Book Antiqua"/>
    <w:panose1 w:val="00000000000000000000"/>
    <w:charset w:val="4D"/>
    <w:family w:val="auto"/>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A7A36B" w14:textId="77777777" w:rsidR="00540C48" w:rsidRDefault="00540C48">
      <w:r>
        <w:separator/>
      </w:r>
    </w:p>
  </w:footnote>
  <w:footnote w:type="continuationSeparator" w:id="0">
    <w:p w14:paraId="6002206E" w14:textId="77777777" w:rsidR="00540C48" w:rsidRDefault="00540C48">
      <w:r>
        <w:continuationSeparator/>
      </w:r>
    </w:p>
  </w:footnote>
  <w:footnote w:type="continuationNotice" w:id="1">
    <w:p w14:paraId="238E61B5" w14:textId="77777777" w:rsidR="00540C48" w:rsidRDefault="00540C48"/>
  </w:footnote>
  <w:footnote w:id="2">
    <w:p w14:paraId="377ED3E5" w14:textId="208DB6BB" w:rsidR="000562B0" w:rsidRPr="000562B0" w:rsidRDefault="000562B0">
      <w:pPr>
        <w:pStyle w:val="Textonotapie"/>
        <w:rPr>
          <w:rFonts w:ascii="Bookman Old Style" w:hAnsi="Bookman Old Style"/>
          <w:lang w:val="es-MX"/>
        </w:rPr>
      </w:pPr>
      <w:r w:rsidRPr="000562B0">
        <w:rPr>
          <w:rStyle w:val="Refdenotaalpie"/>
          <w:rFonts w:ascii="Bookman Old Style" w:hAnsi="Bookman Old Style"/>
        </w:rPr>
        <w:footnoteRef/>
      </w:r>
      <w:r w:rsidRPr="000562B0">
        <w:rPr>
          <w:rFonts w:ascii="Bookman Old Style" w:hAnsi="Bookman Old Style"/>
        </w:rPr>
        <w:t xml:space="preserve"> </w:t>
      </w:r>
      <w:r w:rsidRPr="000562B0">
        <w:rPr>
          <w:rFonts w:ascii="Bookman Old Style" w:hAnsi="Bookman Old Style"/>
          <w:lang w:val="es-MX"/>
        </w:rPr>
        <w:t>Tradu</w:t>
      </w:r>
      <w:r>
        <w:rPr>
          <w:rFonts w:ascii="Bookman Old Style" w:hAnsi="Bookman Old Style"/>
          <w:lang w:val="es-MX"/>
        </w:rPr>
        <w:t>cción no oficial por CREG.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6D717" w14:textId="77777777" w:rsidR="003D60DE" w:rsidRDefault="003D60DE" w:rsidP="00951F79">
    <w:pPr>
      <w:pStyle w:val="Ttulo1"/>
      <w:ind w:right="6"/>
      <w:jc w:val="left"/>
      <w:rPr>
        <w:rFonts w:ascii="Bookman Old Style" w:hAnsi="Bookman Old Style" w:cs="Arial"/>
        <w:b w:val="0"/>
        <w:sz w:val="22"/>
        <w:szCs w:val="22"/>
      </w:rPr>
    </w:pPr>
  </w:p>
  <w:p w14:paraId="4C96798D" w14:textId="2A98D12B" w:rsidR="003D60DE" w:rsidRPr="00951F79" w:rsidRDefault="003D60DE"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w:t>
    </w:r>
    <w:r>
      <w:rPr>
        <w:rFonts w:ascii="Bookman Old Style" w:hAnsi="Bookman Old Style" w:cs="Arial"/>
        <w:b w:val="0"/>
        <w:sz w:val="22"/>
        <w:szCs w:val="22"/>
        <w:u w:val="single"/>
      </w:rPr>
      <w:t xml:space="preserve">     </w:t>
    </w:r>
    <w:r w:rsidR="005047AF" w:rsidRPr="005047AF">
      <w:rPr>
        <w:rFonts w:ascii="Bookman Old Style" w:hAnsi="Bookman Old Style" w:cs="Arial"/>
        <w:bCs/>
        <w:szCs w:val="24"/>
        <w:u w:val="single"/>
      </w:rPr>
      <w:t>038</w:t>
    </w:r>
    <w:r>
      <w:rPr>
        <w:rFonts w:ascii="Bookman Old Style" w:hAnsi="Bookman Old Style" w:cs="Arial"/>
        <w:b w:val="0"/>
        <w:sz w:val="22"/>
        <w:szCs w:val="22"/>
        <w:u w:val="single"/>
      </w:rPr>
      <w:t xml:space="preserve">      </w:t>
    </w:r>
    <w:r>
      <w:rPr>
        <w:rFonts w:ascii="Bookman Old Style" w:hAnsi="Bookman Old Style" w:cs="Arial"/>
        <w:b w:val="0"/>
        <w:sz w:val="22"/>
        <w:szCs w:val="22"/>
      </w:rPr>
      <w:t xml:space="preserve">DE </w:t>
    </w:r>
    <w:r>
      <w:rPr>
        <w:rFonts w:ascii="Bookman Old Style" w:hAnsi="Bookman Old Style" w:cs="Arial"/>
        <w:b w:val="0"/>
        <w:sz w:val="22"/>
        <w:szCs w:val="22"/>
        <w:u w:val="single"/>
      </w:rPr>
      <w:t xml:space="preserve">      </w:t>
    </w:r>
    <w:r w:rsidR="005047AF" w:rsidRPr="005047AF">
      <w:rPr>
        <w:rFonts w:ascii="Bookman Old Style" w:hAnsi="Bookman Old Style" w:cs="Arial"/>
        <w:bCs/>
        <w:szCs w:val="24"/>
        <w:u w:val="single"/>
      </w:rPr>
      <w:t>30</w:t>
    </w:r>
    <w:r w:rsidRPr="005047AF">
      <w:rPr>
        <w:rFonts w:ascii="Bookman Old Style" w:hAnsi="Bookman Old Style" w:cs="Arial"/>
        <w:bCs/>
        <w:szCs w:val="24"/>
        <w:u w:val="single"/>
      </w:rPr>
      <w:t xml:space="preserve"> </w:t>
    </w:r>
    <w:r w:rsidR="005047AF">
      <w:rPr>
        <w:rFonts w:ascii="Bookman Old Style" w:hAnsi="Bookman Old Style" w:cs="Arial"/>
        <w:bCs/>
        <w:szCs w:val="24"/>
        <w:u w:val="single"/>
      </w:rPr>
      <w:t xml:space="preserve"> ABR. 2021</w:t>
    </w:r>
    <w:r>
      <w:rPr>
        <w:rFonts w:ascii="Bookman Old Style" w:hAnsi="Bookman Old Style" w:cs="Arial"/>
        <w:b w:val="0"/>
        <w:sz w:val="22"/>
        <w:szCs w:val="22"/>
        <w:u w:val="single"/>
      </w:rPr>
      <w:t xml:space="preserve">        </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44087E">
      <w:rPr>
        <w:rFonts w:ascii="Bookman Old Style" w:hAnsi="Bookman Old Style" w:cs="Arial"/>
        <w:b w:val="0"/>
        <w:noProof/>
        <w:sz w:val="22"/>
        <w:szCs w:val="22"/>
      </w:rPr>
      <w:t>6</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741E93">
      <w:fldChar w:fldCharType="begin"/>
    </w:r>
    <w:r w:rsidR="00741E93">
      <w:instrText>NUMPAGES  \* MERGEFORMAT</w:instrText>
    </w:r>
    <w:r w:rsidR="00741E93">
      <w:fldChar w:fldCharType="separate"/>
    </w:r>
    <w:r w:rsidR="0044087E" w:rsidRPr="0044087E">
      <w:rPr>
        <w:rFonts w:ascii="Bookman Old Style" w:hAnsi="Bookman Old Style" w:cs="Arial"/>
        <w:b w:val="0"/>
        <w:noProof/>
        <w:sz w:val="22"/>
        <w:szCs w:val="22"/>
      </w:rPr>
      <w:t>6</w:t>
    </w:r>
    <w:r w:rsidR="00741E93">
      <w:rPr>
        <w:rFonts w:ascii="Bookman Old Style" w:hAnsi="Bookman Old Style" w:cs="Arial"/>
        <w:b w:val="0"/>
        <w:noProof/>
        <w:sz w:val="22"/>
        <w:szCs w:val="22"/>
      </w:rPr>
      <w:fldChar w:fldCharType="end"/>
    </w:r>
  </w:p>
  <w:p w14:paraId="43C1FB27" w14:textId="77777777" w:rsidR="003D60DE" w:rsidRDefault="003D60DE"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8240" behindDoc="0" locked="0" layoutInCell="1" allowOverlap="1" wp14:anchorId="28D51891" wp14:editId="057818A4">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DE06BA" id="Rectangle 1" o:spid="_x0000_s1026" style="position:absolute;margin-left:-13.8pt;margin-top:10.95pt;width:493.5pt;height:779.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" filled="f" strokeweight="1.5pt"/>
          </w:pict>
        </mc:Fallback>
      </mc:AlternateContent>
    </w:r>
  </w:p>
  <w:p w14:paraId="03CCD459" w14:textId="2F8ED837" w:rsidR="003D60DE" w:rsidRPr="005047AF" w:rsidRDefault="003D60DE" w:rsidP="00D949ED">
    <w:pPr>
      <w:pBdr>
        <w:bottom w:val="single" w:sz="4" w:space="1" w:color="auto"/>
      </w:pBdr>
      <w:ind w:left="0" w:right="148"/>
      <w:jc w:val="both"/>
      <w:rPr>
        <w:b/>
      </w:rPr>
    </w:pPr>
    <w:r w:rsidRPr="005047AF">
      <w:rPr>
        <w:rFonts w:ascii="Bookman Old Style" w:hAnsi="Bookman Old Style" w:cs="Arial"/>
      </w:rPr>
      <w:t>Por la cual se define el procedimiento para el cálculo de la tasa de descuento aplicable en las metodologías tarifarias que expide la Comisión de Regulación de Energía y Gas.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1C9EC" w14:textId="77777777" w:rsidR="003D60DE" w:rsidRDefault="003D60DE"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583C3E5F" w14:textId="77777777" w:rsidR="003D60DE" w:rsidRDefault="003D60DE">
    <w:pPr>
      <w:pStyle w:val="Encabezado"/>
      <w:jc w:val="center"/>
      <w:rPr>
        <w:rFonts w:ascii="Arial" w:hAnsi="Arial" w:cs="Arial"/>
        <w:spacing w:val="20"/>
        <w:sz w:val="20"/>
      </w:rPr>
    </w:pPr>
  </w:p>
  <w:p w14:paraId="1A31A1F9" w14:textId="77777777" w:rsidR="003D60DE" w:rsidRDefault="003D60DE"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613D664E" wp14:editId="0B8AB89F">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CDF72F" id="Rectangle 2" o:spid="_x0000_s1026" style="position:absolute;margin-left:-16.8pt;margin-top:29.7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2"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8794D7A"/>
    <w:multiLevelType w:val="multilevel"/>
    <w:tmpl w:val="3F9A4DFE"/>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5" w15:restartNumberingAfterBreak="0">
    <w:nsid w:val="0DD8419B"/>
    <w:multiLevelType w:val="multilevel"/>
    <w:tmpl w:val="03E4A9A8"/>
    <w:lvl w:ilvl="0">
      <w:start w:val="1"/>
      <w:numFmt w:val="decimal"/>
      <w:lvlText w:val="Artículo %1."/>
      <w:lvlJc w:val="right"/>
      <w:pPr>
        <w:tabs>
          <w:tab w:val="num" w:pos="1524"/>
        </w:tabs>
        <w:ind w:left="-197" w:firstLine="1474"/>
      </w:pPr>
      <w:rPr>
        <w:rFonts w:ascii="Bookman Old Style" w:hAnsi="Bookman Old Style" w:hint="default"/>
        <w:b/>
        <w:i w:val="0"/>
        <w:color w:val="auto"/>
        <w:sz w:val="24"/>
      </w:rPr>
    </w:lvl>
    <w:lvl w:ilvl="1">
      <w:start w:val="1"/>
      <w:numFmt w:val="decimal"/>
      <w:lvlText w:val="%1.%2"/>
      <w:lvlJc w:val="left"/>
      <w:pPr>
        <w:tabs>
          <w:tab w:val="num" w:pos="437"/>
        </w:tabs>
        <w:ind w:left="-283" w:firstLine="0"/>
      </w:pPr>
      <w:rPr>
        <w:rFonts w:hint="default"/>
      </w:rPr>
    </w:lvl>
    <w:lvl w:ilvl="2">
      <w:start w:val="1"/>
      <w:numFmt w:val="decimal"/>
      <w:lvlText w:val="%3."/>
      <w:lvlJc w:val="left"/>
      <w:pPr>
        <w:tabs>
          <w:tab w:val="num" w:pos="437"/>
        </w:tabs>
        <w:ind w:left="-283" w:firstLine="0"/>
      </w:pPr>
      <w:rPr>
        <w:rFonts w:hint="default"/>
      </w:rPr>
    </w:lvl>
    <w:lvl w:ilvl="3">
      <w:start w:val="1"/>
      <w:numFmt w:val="decimal"/>
      <w:lvlText w:val="%1.%2.%3.%4"/>
      <w:lvlJc w:val="right"/>
      <w:pPr>
        <w:tabs>
          <w:tab w:val="num" w:pos="77"/>
        </w:tabs>
        <w:ind w:left="-283" w:firstLine="0"/>
      </w:pPr>
      <w:rPr>
        <w:rFonts w:hint="default"/>
      </w:rPr>
    </w:lvl>
    <w:lvl w:ilvl="4">
      <w:start w:val="1"/>
      <w:numFmt w:val="lowerLetter"/>
      <w:lvlText w:val="%5)"/>
      <w:lvlJc w:val="left"/>
      <w:pPr>
        <w:tabs>
          <w:tab w:val="num" w:pos="77"/>
        </w:tabs>
        <w:ind w:left="-283" w:firstLine="0"/>
      </w:pPr>
      <w:rPr>
        <w:rFonts w:hint="default"/>
        <w:b/>
      </w:rPr>
    </w:lvl>
    <w:lvl w:ilvl="5">
      <w:start w:val="1"/>
      <w:numFmt w:val="lowerRoman"/>
      <w:lvlText w:val="%6)"/>
      <w:lvlJc w:val="left"/>
      <w:pPr>
        <w:tabs>
          <w:tab w:val="num" w:pos="437"/>
        </w:tabs>
        <w:ind w:left="-283" w:firstLine="0"/>
      </w:pPr>
      <w:rPr>
        <w:rFonts w:hint="default"/>
      </w:rPr>
    </w:lvl>
    <w:lvl w:ilvl="6">
      <w:start w:val="1"/>
      <w:numFmt w:val="lowerRoman"/>
      <w:lvlText w:val="%7)"/>
      <w:lvlJc w:val="right"/>
      <w:pPr>
        <w:tabs>
          <w:tab w:val="num" w:pos="77"/>
        </w:tabs>
        <w:ind w:left="-283" w:firstLine="0"/>
      </w:pPr>
      <w:rPr>
        <w:rFonts w:hint="default"/>
      </w:rPr>
    </w:lvl>
    <w:lvl w:ilvl="7">
      <w:start w:val="1"/>
      <w:numFmt w:val="lowerLetter"/>
      <w:lvlText w:val="%7.%8."/>
      <w:lvlJc w:val="left"/>
      <w:pPr>
        <w:tabs>
          <w:tab w:val="num" w:pos="437"/>
        </w:tabs>
        <w:ind w:left="-283" w:firstLine="0"/>
      </w:pPr>
      <w:rPr>
        <w:rFonts w:hint="default"/>
      </w:rPr>
    </w:lvl>
    <w:lvl w:ilvl="8">
      <w:start w:val="1"/>
      <w:numFmt w:val="lowerRoman"/>
      <w:lvlText w:val="%9."/>
      <w:lvlJc w:val="right"/>
      <w:pPr>
        <w:tabs>
          <w:tab w:val="num" w:pos="77"/>
        </w:tabs>
        <w:ind w:left="-283" w:firstLine="0"/>
      </w:pPr>
      <w:rPr>
        <w:rFonts w:hint="default"/>
      </w:rPr>
    </w:lvl>
  </w:abstractNum>
  <w:abstractNum w:abstractNumId="6" w15:restartNumberingAfterBreak="0">
    <w:nsid w:val="0DF36714"/>
    <w:multiLevelType w:val="hybridMultilevel"/>
    <w:tmpl w:val="0F70A1FA"/>
    <w:lvl w:ilvl="0" w:tplc="0C0A000F">
      <w:start w:val="1"/>
      <w:numFmt w:val="decimal"/>
      <w:pStyle w:val="VietaLetra0"/>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F9E48DC"/>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8" w15:restartNumberingAfterBreak="0">
    <w:nsid w:val="11DA002F"/>
    <w:multiLevelType w:val="singleLevel"/>
    <w:tmpl w:val="BA1E8352"/>
    <w:lvl w:ilvl="0">
      <w:start w:val="1"/>
      <w:numFmt w:val="lowerLetter"/>
      <w:lvlText w:val="%1)"/>
      <w:legacy w:legacy="1" w:legacySpace="0" w:legacyIndent="283"/>
      <w:lvlJc w:val="left"/>
      <w:pPr>
        <w:ind w:left="283" w:hanging="283"/>
      </w:pPr>
    </w:lvl>
  </w:abstractNum>
  <w:abstractNum w:abstractNumId="9" w15:restartNumberingAfterBreak="0">
    <w:nsid w:val="1D296148"/>
    <w:multiLevelType w:val="multilevel"/>
    <w:tmpl w:val="3F9A4DFE"/>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0" w15:restartNumberingAfterBreak="0">
    <w:nsid w:val="25FD1A9C"/>
    <w:multiLevelType w:val="hybridMultilevel"/>
    <w:tmpl w:val="1638A23C"/>
    <w:lvl w:ilvl="0" w:tplc="24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7162351"/>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2" w15:restartNumberingAfterBreak="0">
    <w:nsid w:val="2A0B158F"/>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3" w15:restartNumberingAfterBreak="0">
    <w:nsid w:val="2DE72191"/>
    <w:multiLevelType w:val="multilevel"/>
    <w:tmpl w:val="03E4A9A8"/>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4" w15:restartNumberingAfterBreak="0">
    <w:nsid w:val="3C071598"/>
    <w:multiLevelType w:val="multilevel"/>
    <w:tmpl w:val="84E26B96"/>
    <w:lvl w:ilvl="0">
      <w:start w:val="1"/>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5" w15:restartNumberingAfterBreak="0">
    <w:nsid w:val="3CB81FEB"/>
    <w:multiLevelType w:val="hybridMultilevel"/>
    <w:tmpl w:val="9EC0B1CE"/>
    <w:lvl w:ilvl="0" w:tplc="FFFFFFFF">
      <w:start w:val="1"/>
      <w:numFmt w:val="upperLetter"/>
      <w:pStyle w:val="Ttulo2"/>
      <w:lvlText w:val="%1."/>
      <w:lvlJc w:val="left"/>
      <w:pPr>
        <w:tabs>
          <w:tab w:val="num" w:pos="502"/>
        </w:tabs>
        <w:ind w:left="502" w:hanging="360"/>
      </w:pPr>
      <w:rPr>
        <w:rFonts w:hint="default"/>
        <w:b/>
      </w:rPr>
    </w:lvl>
    <w:lvl w:ilvl="1" w:tplc="FFFFFFFF" w:tentative="1">
      <w:start w:val="1"/>
      <w:numFmt w:val="lowerLetter"/>
      <w:lvlText w:val="%2."/>
      <w:lvlJc w:val="left"/>
      <w:pPr>
        <w:tabs>
          <w:tab w:val="num" w:pos="1222"/>
        </w:tabs>
        <w:ind w:left="1222" w:hanging="360"/>
      </w:pPr>
    </w:lvl>
    <w:lvl w:ilvl="2" w:tplc="FFFFFFFF" w:tentative="1">
      <w:start w:val="1"/>
      <w:numFmt w:val="lowerRoman"/>
      <w:lvlText w:val="%3."/>
      <w:lvlJc w:val="right"/>
      <w:pPr>
        <w:tabs>
          <w:tab w:val="num" w:pos="1942"/>
        </w:tabs>
        <w:ind w:left="1942" w:hanging="180"/>
      </w:pPr>
    </w:lvl>
    <w:lvl w:ilvl="3" w:tplc="FFFFFFFF" w:tentative="1">
      <w:start w:val="1"/>
      <w:numFmt w:val="decimal"/>
      <w:lvlText w:val="%4."/>
      <w:lvlJc w:val="left"/>
      <w:pPr>
        <w:tabs>
          <w:tab w:val="num" w:pos="2662"/>
        </w:tabs>
        <w:ind w:left="2662" w:hanging="360"/>
      </w:pPr>
    </w:lvl>
    <w:lvl w:ilvl="4" w:tplc="FFFFFFFF" w:tentative="1">
      <w:start w:val="1"/>
      <w:numFmt w:val="lowerLetter"/>
      <w:lvlText w:val="%5."/>
      <w:lvlJc w:val="left"/>
      <w:pPr>
        <w:tabs>
          <w:tab w:val="num" w:pos="3382"/>
        </w:tabs>
        <w:ind w:left="3382" w:hanging="360"/>
      </w:pPr>
    </w:lvl>
    <w:lvl w:ilvl="5" w:tplc="FFFFFFFF" w:tentative="1">
      <w:start w:val="1"/>
      <w:numFmt w:val="lowerRoman"/>
      <w:lvlText w:val="%6."/>
      <w:lvlJc w:val="right"/>
      <w:pPr>
        <w:tabs>
          <w:tab w:val="num" w:pos="4102"/>
        </w:tabs>
        <w:ind w:left="4102" w:hanging="180"/>
      </w:pPr>
    </w:lvl>
    <w:lvl w:ilvl="6" w:tplc="FFFFFFFF" w:tentative="1">
      <w:start w:val="1"/>
      <w:numFmt w:val="decimal"/>
      <w:lvlText w:val="%7."/>
      <w:lvlJc w:val="left"/>
      <w:pPr>
        <w:tabs>
          <w:tab w:val="num" w:pos="4822"/>
        </w:tabs>
        <w:ind w:left="4822" w:hanging="360"/>
      </w:pPr>
    </w:lvl>
    <w:lvl w:ilvl="7" w:tplc="FFFFFFFF" w:tentative="1">
      <w:start w:val="1"/>
      <w:numFmt w:val="lowerLetter"/>
      <w:lvlText w:val="%8."/>
      <w:lvlJc w:val="left"/>
      <w:pPr>
        <w:tabs>
          <w:tab w:val="num" w:pos="5542"/>
        </w:tabs>
        <w:ind w:left="5542" w:hanging="360"/>
      </w:pPr>
    </w:lvl>
    <w:lvl w:ilvl="8" w:tplc="FFFFFFFF" w:tentative="1">
      <w:start w:val="1"/>
      <w:numFmt w:val="lowerRoman"/>
      <w:lvlText w:val="%9."/>
      <w:lvlJc w:val="right"/>
      <w:pPr>
        <w:tabs>
          <w:tab w:val="num" w:pos="6262"/>
        </w:tabs>
        <w:ind w:left="6262" w:hanging="180"/>
      </w:pPr>
    </w:lvl>
  </w:abstractNum>
  <w:abstractNum w:abstractNumId="16" w15:restartNumberingAfterBreak="0">
    <w:nsid w:val="407A5C89"/>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7" w15:restartNumberingAfterBreak="0">
    <w:nsid w:val="40D44A35"/>
    <w:multiLevelType w:val="multilevel"/>
    <w:tmpl w:val="C36C83EA"/>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45D53516"/>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9" w15:restartNumberingAfterBreak="0">
    <w:nsid w:val="47FD66D2"/>
    <w:multiLevelType w:val="hybridMultilevel"/>
    <w:tmpl w:val="BAE805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B8A3246"/>
    <w:multiLevelType w:val="multilevel"/>
    <w:tmpl w:val="80AE207E"/>
    <w:name w:val="WW8Num6423"/>
    <w:lvl w:ilvl="0">
      <w:start w:val="20"/>
      <w:numFmt w:val="decimal"/>
      <w:lvlText w:val="Artículo %1."/>
      <w:lvlJc w:val="right"/>
      <w:pPr>
        <w:tabs>
          <w:tab w:val="num" w:pos="1834"/>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lowerLetter"/>
      <w:lvlText w:val="(%3)"/>
      <w:lvlJc w:val="left"/>
      <w:pPr>
        <w:tabs>
          <w:tab w:val="num" w:pos="360"/>
        </w:tabs>
        <w:ind w:left="0" w:firstLine="0"/>
      </w:pPr>
      <w:rPr>
        <w:rFonts w:hint="default"/>
      </w:rPr>
    </w:lvl>
    <w:lvl w:ilvl="3">
      <w:start w:val="1"/>
      <w:numFmt w:val="lowerRoman"/>
      <w:lvlText w:val="(%4)"/>
      <w:lvlJc w:val="right"/>
      <w:pPr>
        <w:tabs>
          <w:tab w:val="num" w:pos="360"/>
        </w:tabs>
        <w:ind w:left="0" w:firstLine="0"/>
      </w:pPr>
      <w:rPr>
        <w:rFonts w:hint="default"/>
      </w:rPr>
    </w:lvl>
    <w:lvl w:ilvl="4">
      <w:start w:val="1"/>
      <w:numFmt w:val="decimal"/>
      <w:lvlText w:val="%5)"/>
      <w:lvlJc w:val="left"/>
      <w:pPr>
        <w:tabs>
          <w:tab w:val="num" w:pos="360"/>
        </w:tabs>
        <w:ind w:left="0" w:firstLine="0"/>
      </w:pPr>
      <w:rPr>
        <w:rFonts w:hint="default"/>
      </w:rPr>
    </w:lvl>
    <w:lvl w:ilvl="5">
      <w:start w:val="1"/>
      <w:numFmt w:val="lowerLetter"/>
      <w:lvlText w:val="%6)"/>
      <w:lvlJc w:val="left"/>
      <w:pPr>
        <w:tabs>
          <w:tab w:val="num" w:pos="36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1" w15:restartNumberingAfterBreak="0">
    <w:nsid w:val="4E0D017C"/>
    <w:multiLevelType w:val="hybridMultilevel"/>
    <w:tmpl w:val="6226BC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0FC163B"/>
    <w:multiLevelType w:val="multilevel"/>
    <w:tmpl w:val="03E4A9A8"/>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3" w15:restartNumberingAfterBreak="0">
    <w:nsid w:val="543C3C22"/>
    <w:multiLevelType w:val="hybridMultilevel"/>
    <w:tmpl w:val="5026343E"/>
    <w:lvl w:ilvl="0" w:tplc="240A0017">
      <w:start w:val="1"/>
      <w:numFmt w:val="lowerLetter"/>
      <w:lvlText w:val="%1)"/>
      <w:lvlJc w:val="left"/>
      <w:pPr>
        <w:tabs>
          <w:tab w:val="num" w:pos="720"/>
        </w:tabs>
        <w:ind w:left="720" w:hanging="360"/>
      </w:pPr>
      <w:rPr>
        <w:rFont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86D0904"/>
    <w:multiLevelType w:val="hybridMultilevel"/>
    <w:tmpl w:val="27822F88"/>
    <w:name w:val="SECCION22"/>
    <w:lvl w:ilvl="0" w:tplc="FFFFFFFF">
      <w:start w:val="1"/>
      <w:numFmt w:val="lowerLetter"/>
      <w:lvlText w:val="%1)"/>
      <w:lvlJc w:val="left"/>
      <w:pPr>
        <w:ind w:left="360" w:hanging="360"/>
      </w:pPr>
    </w:lvl>
    <w:lvl w:ilvl="1" w:tplc="FFFFFFFF" w:tentative="1">
      <w:start w:val="1"/>
      <w:numFmt w:val="lowerLetter"/>
      <w:lvlText w:val="%2."/>
      <w:lvlJc w:val="left"/>
      <w:pPr>
        <w:ind w:left="2924" w:hanging="360"/>
      </w:pPr>
    </w:lvl>
    <w:lvl w:ilvl="2" w:tplc="FFFFFFFF" w:tentative="1">
      <w:start w:val="1"/>
      <w:numFmt w:val="lowerRoman"/>
      <w:lvlText w:val="%3."/>
      <w:lvlJc w:val="right"/>
      <w:pPr>
        <w:ind w:left="3644" w:hanging="180"/>
      </w:pPr>
    </w:lvl>
    <w:lvl w:ilvl="3" w:tplc="FFFFFFFF" w:tentative="1">
      <w:start w:val="1"/>
      <w:numFmt w:val="decimal"/>
      <w:lvlText w:val="%4."/>
      <w:lvlJc w:val="left"/>
      <w:pPr>
        <w:ind w:left="4364" w:hanging="360"/>
      </w:pPr>
    </w:lvl>
    <w:lvl w:ilvl="4" w:tplc="FFFFFFFF" w:tentative="1">
      <w:start w:val="1"/>
      <w:numFmt w:val="lowerLetter"/>
      <w:lvlText w:val="%5."/>
      <w:lvlJc w:val="left"/>
      <w:pPr>
        <w:ind w:left="5084" w:hanging="360"/>
      </w:pPr>
    </w:lvl>
    <w:lvl w:ilvl="5" w:tplc="FFFFFFFF" w:tentative="1">
      <w:start w:val="1"/>
      <w:numFmt w:val="lowerRoman"/>
      <w:lvlText w:val="%6."/>
      <w:lvlJc w:val="right"/>
      <w:pPr>
        <w:ind w:left="5804" w:hanging="180"/>
      </w:pPr>
    </w:lvl>
    <w:lvl w:ilvl="6" w:tplc="FFFFFFFF" w:tentative="1">
      <w:start w:val="1"/>
      <w:numFmt w:val="decimal"/>
      <w:lvlText w:val="%7."/>
      <w:lvlJc w:val="left"/>
      <w:pPr>
        <w:ind w:left="6524" w:hanging="360"/>
      </w:pPr>
    </w:lvl>
    <w:lvl w:ilvl="7" w:tplc="FFFFFFFF" w:tentative="1">
      <w:start w:val="1"/>
      <w:numFmt w:val="lowerLetter"/>
      <w:lvlText w:val="%8."/>
      <w:lvlJc w:val="left"/>
      <w:pPr>
        <w:ind w:left="7244" w:hanging="360"/>
      </w:pPr>
    </w:lvl>
    <w:lvl w:ilvl="8" w:tplc="FFFFFFFF" w:tentative="1">
      <w:start w:val="1"/>
      <w:numFmt w:val="lowerRoman"/>
      <w:lvlText w:val="%9."/>
      <w:lvlJc w:val="right"/>
      <w:pPr>
        <w:ind w:left="7964" w:hanging="180"/>
      </w:pPr>
    </w:lvl>
  </w:abstractNum>
  <w:abstractNum w:abstractNumId="25" w15:restartNumberingAfterBreak="0">
    <w:nsid w:val="62760887"/>
    <w:multiLevelType w:val="hybridMultilevel"/>
    <w:tmpl w:val="A3AA2F7C"/>
    <w:name w:val="SECCION222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2C2700"/>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7" w15:restartNumberingAfterBreak="0">
    <w:nsid w:val="680D101A"/>
    <w:multiLevelType w:val="hybridMultilevel"/>
    <w:tmpl w:val="A22C1F46"/>
    <w:name w:val="SECCION2"/>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6C944330"/>
    <w:multiLevelType w:val="hybridMultilevel"/>
    <w:tmpl w:val="A3E0751C"/>
    <w:lvl w:ilvl="0" w:tplc="B04AB476">
      <w:start w:val="1"/>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75440854"/>
    <w:multiLevelType w:val="hybridMultilevel"/>
    <w:tmpl w:val="543A8534"/>
    <w:name w:val="WW8Num6422"/>
    <w:lvl w:ilvl="0" w:tplc="FFFFFFFF">
      <w:start w:val="1"/>
      <w:numFmt w:val="lowerRoman"/>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7B1045C"/>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num w:numId="1">
    <w:abstractNumId w:val="6"/>
  </w:num>
  <w:num w:numId="2">
    <w:abstractNumId w:val="2"/>
  </w:num>
  <w:num w:numId="3">
    <w:abstractNumId w:val="15"/>
  </w:num>
  <w:num w:numId="4">
    <w:abstractNumId w:val="17"/>
  </w:num>
  <w:num w:numId="5">
    <w:abstractNumId w:val="0"/>
  </w:num>
  <w:num w:numId="6">
    <w:abstractNumId w:val="5"/>
  </w:num>
  <w:num w:numId="7">
    <w:abstractNumId w:val="8"/>
    <w:lvlOverride w:ilvl="0">
      <w:startOverride w:val="1"/>
    </w:lvlOverride>
  </w:num>
  <w:num w:numId="8">
    <w:abstractNumId w:val="4"/>
  </w:num>
  <w:num w:numId="9">
    <w:abstractNumId w:val="14"/>
  </w:num>
  <w:num w:numId="10">
    <w:abstractNumId w:val="30"/>
  </w:num>
  <w:num w:numId="11">
    <w:abstractNumId w:val="7"/>
  </w:num>
  <w:num w:numId="12">
    <w:abstractNumId w:val="26"/>
  </w:num>
  <w:num w:numId="13">
    <w:abstractNumId w:val="16"/>
  </w:num>
  <w:num w:numId="14">
    <w:abstractNumId w:val="27"/>
  </w:num>
  <w:num w:numId="15">
    <w:abstractNumId w:val="11"/>
  </w:num>
  <w:num w:numId="16">
    <w:abstractNumId w:val="23"/>
  </w:num>
  <w:num w:numId="17">
    <w:abstractNumId w:val="12"/>
  </w:num>
  <w:num w:numId="18">
    <w:abstractNumId w:val="25"/>
  </w:num>
  <w:num w:numId="19">
    <w:abstractNumId w:val="19"/>
  </w:num>
  <w:num w:numId="20">
    <w:abstractNumId w:val="21"/>
  </w:num>
  <w:num w:numId="21">
    <w:abstractNumId w:val="10"/>
  </w:num>
  <w:num w:numId="22">
    <w:abstractNumId w:val="18"/>
  </w:num>
  <w:num w:numId="23">
    <w:abstractNumId w:val="9"/>
  </w:num>
  <w:num w:numId="24">
    <w:abstractNumId w:val="22"/>
  </w:num>
  <w:num w:numId="25">
    <w:abstractNumId w:val="13"/>
  </w:num>
  <w:num w:numId="26">
    <w:abstractNumId w:val="28"/>
  </w:num>
  <w:num w:numId="27">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drawingGridHorizontalSpacing w:val="120"/>
  <w:displayHorizontalDrawingGridEvery w:val="2"/>
  <w:noPunctuationKerning/>
  <w:characterSpacingControl w:val="doNotCompress"/>
  <w:savePreviewPicture/>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42E"/>
    <w:rsid w:val="00002027"/>
    <w:rsid w:val="000035BA"/>
    <w:rsid w:val="0000378C"/>
    <w:rsid w:val="00003C0B"/>
    <w:rsid w:val="00004749"/>
    <w:rsid w:val="000053E3"/>
    <w:rsid w:val="000060D2"/>
    <w:rsid w:val="000067CA"/>
    <w:rsid w:val="00006AE2"/>
    <w:rsid w:val="00006C1C"/>
    <w:rsid w:val="000076A1"/>
    <w:rsid w:val="000079F7"/>
    <w:rsid w:val="00010596"/>
    <w:rsid w:val="00010D1C"/>
    <w:rsid w:val="00012259"/>
    <w:rsid w:val="00012342"/>
    <w:rsid w:val="000130AB"/>
    <w:rsid w:val="000131A1"/>
    <w:rsid w:val="000151EE"/>
    <w:rsid w:val="00015C2B"/>
    <w:rsid w:val="00016471"/>
    <w:rsid w:val="000167F6"/>
    <w:rsid w:val="0002310D"/>
    <w:rsid w:val="00023D67"/>
    <w:rsid w:val="000248FE"/>
    <w:rsid w:val="00025383"/>
    <w:rsid w:val="00026E30"/>
    <w:rsid w:val="000307F9"/>
    <w:rsid w:val="000319A0"/>
    <w:rsid w:val="000319FE"/>
    <w:rsid w:val="00031F38"/>
    <w:rsid w:val="0003214B"/>
    <w:rsid w:val="00032861"/>
    <w:rsid w:val="00032A5E"/>
    <w:rsid w:val="00032AE0"/>
    <w:rsid w:val="00032C64"/>
    <w:rsid w:val="00035BAC"/>
    <w:rsid w:val="00036B2A"/>
    <w:rsid w:val="00037353"/>
    <w:rsid w:val="00037BAC"/>
    <w:rsid w:val="0004101E"/>
    <w:rsid w:val="00043803"/>
    <w:rsid w:val="00043B9D"/>
    <w:rsid w:val="00044816"/>
    <w:rsid w:val="00044D74"/>
    <w:rsid w:val="000451DE"/>
    <w:rsid w:val="00045D3D"/>
    <w:rsid w:val="00046205"/>
    <w:rsid w:val="000471D3"/>
    <w:rsid w:val="0004770C"/>
    <w:rsid w:val="000532EB"/>
    <w:rsid w:val="000546C6"/>
    <w:rsid w:val="00055C8A"/>
    <w:rsid w:val="000562B0"/>
    <w:rsid w:val="00057168"/>
    <w:rsid w:val="00057317"/>
    <w:rsid w:val="00057EB7"/>
    <w:rsid w:val="000612F5"/>
    <w:rsid w:val="000622D7"/>
    <w:rsid w:val="00062A61"/>
    <w:rsid w:val="00063478"/>
    <w:rsid w:val="00063657"/>
    <w:rsid w:val="00063C4E"/>
    <w:rsid w:val="000650B5"/>
    <w:rsid w:val="00065763"/>
    <w:rsid w:val="0006733E"/>
    <w:rsid w:val="000717F7"/>
    <w:rsid w:val="000738F2"/>
    <w:rsid w:val="00074B17"/>
    <w:rsid w:val="00074C13"/>
    <w:rsid w:val="00076680"/>
    <w:rsid w:val="00076A1D"/>
    <w:rsid w:val="000776BE"/>
    <w:rsid w:val="00077A7C"/>
    <w:rsid w:val="0008073E"/>
    <w:rsid w:val="00081BFA"/>
    <w:rsid w:val="00081C12"/>
    <w:rsid w:val="00082023"/>
    <w:rsid w:val="000840AB"/>
    <w:rsid w:val="00084546"/>
    <w:rsid w:val="0008464E"/>
    <w:rsid w:val="00084933"/>
    <w:rsid w:val="0008510B"/>
    <w:rsid w:val="0008532D"/>
    <w:rsid w:val="0008579D"/>
    <w:rsid w:val="000861DF"/>
    <w:rsid w:val="0008671D"/>
    <w:rsid w:val="00090CCD"/>
    <w:rsid w:val="000910C8"/>
    <w:rsid w:val="00091CDB"/>
    <w:rsid w:val="00092B2B"/>
    <w:rsid w:val="000931A3"/>
    <w:rsid w:val="000938B0"/>
    <w:rsid w:val="0009477F"/>
    <w:rsid w:val="00095053"/>
    <w:rsid w:val="000A106F"/>
    <w:rsid w:val="000A1727"/>
    <w:rsid w:val="000A19AC"/>
    <w:rsid w:val="000A1DC5"/>
    <w:rsid w:val="000A4082"/>
    <w:rsid w:val="000A4B28"/>
    <w:rsid w:val="000A5729"/>
    <w:rsid w:val="000A59FA"/>
    <w:rsid w:val="000A5DCA"/>
    <w:rsid w:val="000A67DB"/>
    <w:rsid w:val="000A6882"/>
    <w:rsid w:val="000B1133"/>
    <w:rsid w:val="000B2646"/>
    <w:rsid w:val="000B2D6B"/>
    <w:rsid w:val="000B2EC9"/>
    <w:rsid w:val="000B3A44"/>
    <w:rsid w:val="000B7A3D"/>
    <w:rsid w:val="000C063D"/>
    <w:rsid w:val="000C1725"/>
    <w:rsid w:val="000C244D"/>
    <w:rsid w:val="000C2611"/>
    <w:rsid w:val="000C2F14"/>
    <w:rsid w:val="000C3105"/>
    <w:rsid w:val="000C3F2B"/>
    <w:rsid w:val="000C4641"/>
    <w:rsid w:val="000C4C64"/>
    <w:rsid w:val="000C5381"/>
    <w:rsid w:val="000C57D7"/>
    <w:rsid w:val="000C5B4B"/>
    <w:rsid w:val="000C704C"/>
    <w:rsid w:val="000D26F8"/>
    <w:rsid w:val="000D2741"/>
    <w:rsid w:val="000D2F16"/>
    <w:rsid w:val="000D3338"/>
    <w:rsid w:val="000D358B"/>
    <w:rsid w:val="000D3CF4"/>
    <w:rsid w:val="000D4382"/>
    <w:rsid w:val="000D4681"/>
    <w:rsid w:val="000D5AF8"/>
    <w:rsid w:val="000D6688"/>
    <w:rsid w:val="000D6CC5"/>
    <w:rsid w:val="000D7E69"/>
    <w:rsid w:val="000E0508"/>
    <w:rsid w:val="000E0C8A"/>
    <w:rsid w:val="000E40AD"/>
    <w:rsid w:val="000E4BE9"/>
    <w:rsid w:val="000E5BB6"/>
    <w:rsid w:val="000E722B"/>
    <w:rsid w:val="000E7538"/>
    <w:rsid w:val="000E7550"/>
    <w:rsid w:val="000E7742"/>
    <w:rsid w:val="000E792F"/>
    <w:rsid w:val="000E7EF1"/>
    <w:rsid w:val="000F02ED"/>
    <w:rsid w:val="000F0EDA"/>
    <w:rsid w:val="000F160C"/>
    <w:rsid w:val="000F244C"/>
    <w:rsid w:val="000F265D"/>
    <w:rsid w:val="000F28B4"/>
    <w:rsid w:val="000F30EC"/>
    <w:rsid w:val="000F3B75"/>
    <w:rsid w:val="000F43F0"/>
    <w:rsid w:val="000F7B62"/>
    <w:rsid w:val="00100B50"/>
    <w:rsid w:val="0010227B"/>
    <w:rsid w:val="00102C9C"/>
    <w:rsid w:val="00107E93"/>
    <w:rsid w:val="00110904"/>
    <w:rsid w:val="00111DBE"/>
    <w:rsid w:val="00112DE5"/>
    <w:rsid w:val="00113846"/>
    <w:rsid w:val="00113B81"/>
    <w:rsid w:val="00116BE0"/>
    <w:rsid w:val="00117FFD"/>
    <w:rsid w:val="00121C01"/>
    <w:rsid w:val="00122975"/>
    <w:rsid w:val="00123579"/>
    <w:rsid w:val="00124650"/>
    <w:rsid w:val="00124E88"/>
    <w:rsid w:val="0012515F"/>
    <w:rsid w:val="00126899"/>
    <w:rsid w:val="00133537"/>
    <w:rsid w:val="00134389"/>
    <w:rsid w:val="0013526C"/>
    <w:rsid w:val="00135432"/>
    <w:rsid w:val="00136692"/>
    <w:rsid w:val="0013746B"/>
    <w:rsid w:val="001405C6"/>
    <w:rsid w:val="00141013"/>
    <w:rsid w:val="00142119"/>
    <w:rsid w:val="00142B3D"/>
    <w:rsid w:val="00143885"/>
    <w:rsid w:val="001457E5"/>
    <w:rsid w:val="00147B21"/>
    <w:rsid w:val="0015022D"/>
    <w:rsid w:val="00150B1C"/>
    <w:rsid w:val="001522C4"/>
    <w:rsid w:val="00152393"/>
    <w:rsid w:val="0015291A"/>
    <w:rsid w:val="00152E91"/>
    <w:rsid w:val="00153E8D"/>
    <w:rsid w:val="001550F1"/>
    <w:rsid w:val="00155138"/>
    <w:rsid w:val="00155218"/>
    <w:rsid w:val="00155596"/>
    <w:rsid w:val="0015769B"/>
    <w:rsid w:val="001605EA"/>
    <w:rsid w:val="0016135F"/>
    <w:rsid w:val="0016290D"/>
    <w:rsid w:val="00162DA5"/>
    <w:rsid w:val="001632BB"/>
    <w:rsid w:val="00164779"/>
    <w:rsid w:val="00164A54"/>
    <w:rsid w:val="00164C71"/>
    <w:rsid w:val="00164FDA"/>
    <w:rsid w:val="001660DC"/>
    <w:rsid w:val="001667FA"/>
    <w:rsid w:val="00167807"/>
    <w:rsid w:val="00167AA6"/>
    <w:rsid w:val="00167DDF"/>
    <w:rsid w:val="00171691"/>
    <w:rsid w:val="0017476B"/>
    <w:rsid w:val="0017533D"/>
    <w:rsid w:val="00176886"/>
    <w:rsid w:val="0018073E"/>
    <w:rsid w:val="00180ACD"/>
    <w:rsid w:val="00182888"/>
    <w:rsid w:val="00183625"/>
    <w:rsid w:val="001845A8"/>
    <w:rsid w:val="0018573D"/>
    <w:rsid w:val="00186449"/>
    <w:rsid w:val="001864E9"/>
    <w:rsid w:val="00186864"/>
    <w:rsid w:val="00187B35"/>
    <w:rsid w:val="00190C4B"/>
    <w:rsid w:val="00192C6C"/>
    <w:rsid w:val="00192CBF"/>
    <w:rsid w:val="00192FF1"/>
    <w:rsid w:val="00196912"/>
    <w:rsid w:val="00197478"/>
    <w:rsid w:val="001979F2"/>
    <w:rsid w:val="001A057F"/>
    <w:rsid w:val="001A2CF8"/>
    <w:rsid w:val="001A500F"/>
    <w:rsid w:val="001A5F1B"/>
    <w:rsid w:val="001A73AB"/>
    <w:rsid w:val="001B1756"/>
    <w:rsid w:val="001B1C22"/>
    <w:rsid w:val="001B3455"/>
    <w:rsid w:val="001B34C6"/>
    <w:rsid w:val="001B4D9D"/>
    <w:rsid w:val="001B5683"/>
    <w:rsid w:val="001B6221"/>
    <w:rsid w:val="001B63EC"/>
    <w:rsid w:val="001B6B42"/>
    <w:rsid w:val="001C15D5"/>
    <w:rsid w:val="001C301C"/>
    <w:rsid w:val="001C3F62"/>
    <w:rsid w:val="001C4128"/>
    <w:rsid w:val="001C52D4"/>
    <w:rsid w:val="001C5B0A"/>
    <w:rsid w:val="001C65A8"/>
    <w:rsid w:val="001C67BB"/>
    <w:rsid w:val="001C7CA0"/>
    <w:rsid w:val="001D0971"/>
    <w:rsid w:val="001D0E43"/>
    <w:rsid w:val="001D1211"/>
    <w:rsid w:val="001D2C26"/>
    <w:rsid w:val="001D4287"/>
    <w:rsid w:val="001D51F0"/>
    <w:rsid w:val="001D5F3F"/>
    <w:rsid w:val="001D62D6"/>
    <w:rsid w:val="001D6352"/>
    <w:rsid w:val="001D72E8"/>
    <w:rsid w:val="001D7832"/>
    <w:rsid w:val="001D797E"/>
    <w:rsid w:val="001D7B47"/>
    <w:rsid w:val="001E0F40"/>
    <w:rsid w:val="001E1870"/>
    <w:rsid w:val="001E1970"/>
    <w:rsid w:val="001E200A"/>
    <w:rsid w:val="001E37C1"/>
    <w:rsid w:val="001E3E4D"/>
    <w:rsid w:val="001E474F"/>
    <w:rsid w:val="001E4AC4"/>
    <w:rsid w:val="001E4C32"/>
    <w:rsid w:val="001E4F36"/>
    <w:rsid w:val="001E54E0"/>
    <w:rsid w:val="001E7F82"/>
    <w:rsid w:val="001F07B0"/>
    <w:rsid w:val="001F11AB"/>
    <w:rsid w:val="001F4992"/>
    <w:rsid w:val="001F4A23"/>
    <w:rsid w:val="001F55D1"/>
    <w:rsid w:val="00200289"/>
    <w:rsid w:val="00200BC4"/>
    <w:rsid w:val="0020144A"/>
    <w:rsid w:val="00201B57"/>
    <w:rsid w:val="00202300"/>
    <w:rsid w:val="00202960"/>
    <w:rsid w:val="00202CCF"/>
    <w:rsid w:val="0020353D"/>
    <w:rsid w:val="0020412E"/>
    <w:rsid w:val="0020432A"/>
    <w:rsid w:val="002046BF"/>
    <w:rsid w:val="00210DC1"/>
    <w:rsid w:val="00211139"/>
    <w:rsid w:val="0021136B"/>
    <w:rsid w:val="00211B94"/>
    <w:rsid w:val="00211C80"/>
    <w:rsid w:val="00211D34"/>
    <w:rsid w:val="0021287A"/>
    <w:rsid w:val="00212CA8"/>
    <w:rsid w:val="002132F8"/>
    <w:rsid w:val="002147D8"/>
    <w:rsid w:val="00214F04"/>
    <w:rsid w:val="00216922"/>
    <w:rsid w:val="002171AE"/>
    <w:rsid w:val="0021723C"/>
    <w:rsid w:val="00217893"/>
    <w:rsid w:val="00220722"/>
    <w:rsid w:val="00220B81"/>
    <w:rsid w:val="00221D3F"/>
    <w:rsid w:val="00223C3A"/>
    <w:rsid w:val="00223E05"/>
    <w:rsid w:val="00224184"/>
    <w:rsid w:val="002247C8"/>
    <w:rsid w:val="00225A29"/>
    <w:rsid w:val="00226540"/>
    <w:rsid w:val="0022753E"/>
    <w:rsid w:val="002275C4"/>
    <w:rsid w:val="002301BC"/>
    <w:rsid w:val="00231CC5"/>
    <w:rsid w:val="00232BB9"/>
    <w:rsid w:val="00232CAB"/>
    <w:rsid w:val="00233810"/>
    <w:rsid w:val="00233F0A"/>
    <w:rsid w:val="00235823"/>
    <w:rsid w:val="00235FB7"/>
    <w:rsid w:val="00237A03"/>
    <w:rsid w:val="0024086B"/>
    <w:rsid w:val="00240A96"/>
    <w:rsid w:val="00242BA6"/>
    <w:rsid w:val="00243C23"/>
    <w:rsid w:val="00243FE7"/>
    <w:rsid w:val="002446D1"/>
    <w:rsid w:val="00245EF3"/>
    <w:rsid w:val="00246AA4"/>
    <w:rsid w:val="0024732F"/>
    <w:rsid w:val="00251EE7"/>
    <w:rsid w:val="002520B5"/>
    <w:rsid w:val="00253361"/>
    <w:rsid w:val="0025369E"/>
    <w:rsid w:val="00253CE1"/>
    <w:rsid w:val="00253EC7"/>
    <w:rsid w:val="0025530B"/>
    <w:rsid w:val="00257A57"/>
    <w:rsid w:val="002615C0"/>
    <w:rsid w:val="00261A8F"/>
    <w:rsid w:val="0026685F"/>
    <w:rsid w:val="00266CD6"/>
    <w:rsid w:val="0026729A"/>
    <w:rsid w:val="00267600"/>
    <w:rsid w:val="00270880"/>
    <w:rsid w:val="002710D1"/>
    <w:rsid w:val="00274993"/>
    <w:rsid w:val="002750FB"/>
    <w:rsid w:val="00275215"/>
    <w:rsid w:val="00275DAB"/>
    <w:rsid w:val="00275E5C"/>
    <w:rsid w:val="00275F96"/>
    <w:rsid w:val="002768F8"/>
    <w:rsid w:val="00276F91"/>
    <w:rsid w:val="00277813"/>
    <w:rsid w:val="00277BBC"/>
    <w:rsid w:val="002804E8"/>
    <w:rsid w:val="00282522"/>
    <w:rsid w:val="00283300"/>
    <w:rsid w:val="0028341A"/>
    <w:rsid w:val="00284CBA"/>
    <w:rsid w:val="00284FF8"/>
    <w:rsid w:val="00285702"/>
    <w:rsid w:val="00285C55"/>
    <w:rsid w:val="002923B9"/>
    <w:rsid w:val="0029609F"/>
    <w:rsid w:val="002961E9"/>
    <w:rsid w:val="00296B45"/>
    <w:rsid w:val="00297BC6"/>
    <w:rsid w:val="00297BDE"/>
    <w:rsid w:val="00297D01"/>
    <w:rsid w:val="002A0283"/>
    <w:rsid w:val="002A0BF6"/>
    <w:rsid w:val="002A28B9"/>
    <w:rsid w:val="002A2A03"/>
    <w:rsid w:val="002A782A"/>
    <w:rsid w:val="002B00D5"/>
    <w:rsid w:val="002B0EA7"/>
    <w:rsid w:val="002B11E2"/>
    <w:rsid w:val="002B1E70"/>
    <w:rsid w:val="002B24B8"/>
    <w:rsid w:val="002B43D7"/>
    <w:rsid w:val="002B46ED"/>
    <w:rsid w:val="002B57CC"/>
    <w:rsid w:val="002B5983"/>
    <w:rsid w:val="002C12E5"/>
    <w:rsid w:val="002C306F"/>
    <w:rsid w:val="002C4B0B"/>
    <w:rsid w:val="002C4F1B"/>
    <w:rsid w:val="002C5890"/>
    <w:rsid w:val="002C59AF"/>
    <w:rsid w:val="002C710D"/>
    <w:rsid w:val="002D140B"/>
    <w:rsid w:val="002D3156"/>
    <w:rsid w:val="002D356F"/>
    <w:rsid w:val="002D3AE9"/>
    <w:rsid w:val="002D3DC4"/>
    <w:rsid w:val="002D4510"/>
    <w:rsid w:val="002D5C44"/>
    <w:rsid w:val="002D6CB3"/>
    <w:rsid w:val="002D7CE0"/>
    <w:rsid w:val="002E033F"/>
    <w:rsid w:val="002E089B"/>
    <w:rsid w:val="002E14DC"/>
    <w:rsid w:val="002E1881"/>
    <w:rsid w:val="002E2212"/>
    <w:rsid w:val="002E2A06"/>
    <w:rsid w:val="002E40B9"/>
    <w:rsid w:val="002E5087"/>
    <w:rsid w:val="002E6264"/>
    <w:rsid w:val="002E6526"/>
    <w:rsid w:val="002E74DC"/>
    <w:rsid w:val="002F0734"/>
    <w:rsid w:val="002F139A"/>
    <w:rsid w:val="002F3DA9"/>
    <w:rsid w:val="002F41D0"/>
    <w:rsid w:val="002F46E7"/>
    <w:rsid w:val="002F4789"/>
    <w:rsid w:val="002F4ACF"/>
    <w:rsid w:val="002F64A7"/>
    <w:rsid w:val="002F6E46"/>
    <w:rsid w:val="00300543"/>
    <w:rsid w:val="00300553"/>
    <w:rsid w:val="00303955"/>
    <w:rsid w:val="00306439"/>
    <w:rsid w:val="00306FAE"/>
    <w:rsid w:val="003101DA"/>
    <w:rsid w:val="00311832"/>
    <w:rsid w:val="00312A45"/>
    <w:rsid w:val="003134ED"/>
    <w:rsid w:val="0031400F"/>
    <w:rsid w:val="00314757"/>
    <w:rsid w:val="003163BC"/>
    <w:rsid w:val="00316BF6"/>
    <w:rsid w:val="00317FBA"/>
    <w:rsid w:val="0032044F"/>
    <w:rsid w:val="003211CE"/>
    <w:rsid w:val="003229FF"/>
    <w:rsid w:val="00322F62"/>
    <w:rsid w:val="003239A4"/>
    <w:rsid w:val="00323D67"/>
    <w:rsid w:val="003248C5"/>
    <w:rsid w:val="00324B20"/>
    <w:rsid w:val="00324B47"/>
    <w:rsid w:val="0032679A"/>
    <w:rsid w:val="0032698B"/>
    <w:rsid w:val="003301B7"/>
    <w:rsid w:val="00330B9B"/>
    <w:rsid w:val="0033162C"/>
    <w:rsid w:val="0033205B"/>
    <w:rsid w:val="0033223A"/>
    <w:rsid w:val="003347B1"/>
    <w:rsid w:val="00336DE6"/>
    <w:rsid w:val="003372D2"/>
    <w:rsid w:val="0034019F"/>
    <w:rsid w:val="003426D3"/>
    <w:rsid w:val="00343124"/>
    <w:rsid w:val="0034322F"/>
    <w:rsid w:val="00343661"/>
    <w:rsid w:val="00345381"/>
    <w:rsid w:val="00350ADE"/>
    <w:rsid w:val="0035403A"/>
    <w:rsid w:val="003541B6"/>
    <w:rsid w:val="00354E59"/>
    <w:rsid w:val="003550A9"/>
    <w:rsid w:val="00355519"/>
    <w:rsid w:val="00355910"/>
    <w:rsid w:val="00360BC3"/>
    <w:rsid w:val="00361A4D"/>
    <w:rsid w:val="00362A66"/>
    <w:rsid w:val="0036394B"/>
    <w:rsid w:val="0036414D"/>
    <w:rsid w:val="00364269"/>
    <w:rsid w:val="00364375"/>
    <w:rsid w:val="003645D5"/>
    <w:rsid w:val="003647F4"/>
    <w:rsid w:val="0036677A"/>
    <w:rsid w:val="00366DB6"/>
    <w:rsid w:val="003709B5"/>
    <w:rsid w:val="003723DA"/>
    <w:rsid w:val="0037331A"/>
    <w:rsid w:val="00374957"/>
    <w:rsid w:val="00374F22"/>
    <w:rsid w:val="003759C2"/>
    <w:rsid w:val="00375B37"/>
    <w:rsid w:val="00376B52"/>
    <w:rsid w:val="00385A02"/>
    <w:rsid w:val="00385C1C"/>
    <w:rsid w:val="00387095"/>
    <w:rsid w:val="00387231"/>
    <w:rsid w:val="00394052"/>
    <w:rsid w:val="00395495"/>
    <w:rsid w:val="00395D05"/>
    <w:rsid w:val="0039720E"/>
    <w:rsid w:val="00397365"/>
    <w:rsid w:val="003A0E77"/>
    <w:rsid w:val="003A217A"/>
    <w:rsid w:val="003A26C0"/>
    <w:rsid w:val="003A2D69"/>
    <w:rsid w:val="003A3116"/>
    <w:rsid w:val="003A31F6"/>
    <w:rsid w:val="003A3772"/>
    <w:rsid w:val="003A4743"/>
    <w:rsid w:val="003A4783"/>
    <w:rsid w:val="003A4819"/>
    <w:rsid w:val="003A4B74"/>
    <w:rsid w:val="003A5B21"/>
    <w:rsid w:val="003A6AFC"/>
    <w:rsid w:val="003A6C52"/>
    <w:rsid w:val="003B01D4"/>
    <w:rsid w:val="003B2174"/>
    <w:rsid w:val="003B2469"/>
    <w:rsid w:val="003B24D5"/>
    <w:rsid w:val="003B789E"/>
    <w:rsid w:val="003C0FA2"/>
    <w:rsid w:val="003C16E1"/>
    <w:rsid w:val="003C3447"/>
    <w:rsid w:val="003C3F31"/>
    <w:rsid w:val="003C5A8F"/>
    <w:rsid w:val="003C5D8B"/>
    <w:rsid w:val="003C635E"/>
    <w:rsid w:val="003C63D7"/>
    <w:rsid w:val="003D076C"/>
    <w:rsid w:val="003D0CA7"/>
    <w:rsid w:val="003D0E62"/>
    <w:rsid w:val="003D16AC"/>
    <w:rsid w:val="003D2BC2"/>
    <w:rsid w:val="003D3ABB"/>
    <w:rsid w:val="003D4261"/>
    <w:rsid w:val="003D43FA"/>
    <w:rsid w:val="003D5B62"/>
    <w:rsid w:val="003D60DE"/>
    <w:rsid w:val="003D68D4"/>
    <w:rsid w:val="003E113A"/>
    <w:rsid w:val="003E3419"/>
    <w:rsid w:val="003E3CD6"/>
    <w:rsid w:val="003E6876"/>
    <w:rsid w:val="003E6924"/>
    <w:rsid w:val="003E6D5C"/>
    <w:rsid w:val="003E70D1"/>
    <w:rsid w:val="003E74DD"/>
    <w:rsid w:val="003E7625"/>
    <w:rsid w:val="003E78B5"/>
    <w:rsid w:val="003F051B"/>
    <w:rsid w:val="003F074A"/>
    <w:rsid w:val="003F09C3"/>
    <w:rsid w:val="003F17B4"/>
    <w:rsid w:val="003F1F3D"/>
    <w:rsid w:val="003F232A"/>
    <w:rsid w:val="003F50D9"/>
    <w:rsid w:val="003F51A8"/>
    <w:rsid w:val="003F557E"/>
    <w:rsid w:val="003F5BC3"/>
    <w:rsid w:val="003F62C6"/>
    <w:rsid w:val="003F6899"/>
    <w:rsid w:val="003F79C1"/>
    <w:rsid w:val="004034E8"/>
    <w:rsid w:val="00404FCC"/>
    <w:rsid w:val="004055E7"/>
    <w:rsid w:val="00405C0D"/>
    <w:rsid w:val="00406C42"/>
    <w:rsid w:val="004102AE"/>
    <w:rsid w:val="00410609"/>
    <w:rsid w:val="004109E9"/>
    <w:rsid w:val="004151D1"/>
    <w:rsid w:val="00415BAB"/>
    <w:rsid w:val="00415ED2"/>
    <w:rsid w:val="004161AE"/>
    <w:rsid w:val="00416BC7"/>
    <w:rsid w:val="00417E6B"/>
    <w:rsid w:val="0042068C"/>
    <w:rsid w:val="004214F7"/>
    <w:rsid w:val="00421929"/>
    <w:rsid w:val="00422ADE"/>
    <w:rsid w:val="00423A9D"/>
    <w:rsid w:val="00423EA4"/>
    <w:rsid w:val="00424098"/>
    <w:rsid w:val="0042558E"/>
    <w:rsid w:val="00426BDB"/>
    <w:rsid w:val="00426F86"/>
    <w:rsid w:val="00427A91"/>
    <w:rsid w:val="00427B66"/>
    <w:rsid w:val="004309BE"/>
    <w:rsid w:val="004315A6"/>
    <w:rsid w:val="0043280A"/>
    <w:rsid w:val="004338CB"/>
    <w:rsid w:val="00434E1F"/>
    <w:rsid w:val="00437F71"/>
    <w:rsid w:val="0044087E"/>
    <w:rsid w:val="00442203"/>
    <w:rsid w:val="00442475"/>
    <w:rsid w:val="00443001"/>
    <w:rsid w:val="0044318E"/>
    <w:rsid w:val="00444034"/>
    <w:rsid w:val="00444E55"/>
    <w:rsid w:val="00444EA7"/>
    <w:rsid w:val="0044557A"/>
    <w:rsid w:val="00445924"/>
    <w:rsid w:val="004475F0"/>
    <w:rsid w:val="00450409"/>
    <w:rsid w:val="004514EA"/>
    <w:rsid w:val="00451CD9"/>
    <w:rsid w:val="00451E7C"/>
    <w:rsid w:val="00452003"/>
    <w:rsid w:val="004528BD"/>
    <w:rsid w:val="004601B9"/>
    <w:rsid w:val="00460CB8"/>
    <w:rsid w:val="004632D2"/>
    <w:rsid w:val="00465019"/>
    <w:rsid w:val="00465BC9"/>
    <w:rsid w:val="00467840"/>
    <w:rsid w:val="004678B0"/>
    <w:rsid w:val="0047122B"/>
    <w:rsid w:val="00472CCA"/>
    <w:rsid w:val="0047352F"/>
    <w:rsid w:val="004736B7"/>
    <w:rsid w:val="00473B7A"/>
    <w:rsid w:val="00474230"/>
    <w:rsid w:val="00474F0B"/>
    <w:rsid w:val="004757EE"/>
    <w:rsid w:val="00476107"/>
    <w:rsid w:val="0048144E"/>
    <w:rsid w:val="00482741"/>
    <w:rsid w:val="00482B54"/>
    <w:rsid w:val="0048335B"/>
    <w:rsid w:val="00483996"/>
    <w:rsid w:val="00485027"/>
    <w:rsid w:val="00485647"/>
    <w:rsid w:val="00486E70"/>
    <w:rsid w:val="00486F75"/>
    <w:rsid w:val="00491679"/>
    <w:rsid w:val="00492850"/>
    <w:rsid w:val="00493101"/>
    <w:rsid w:val="00494A58"/>
    <w:rsid w:val="00496083"/>
    <w:rsid w:val="004960E9"/>
    <w:rsid w:val="004A030F"/>
    <w:rsid w:val="004A054C"/>
    <w:rsid w:val="004A0C0D"/>
    <w:rsid w:val="004A0E95"/>
    <w:rsid w:val="004A1C63"/>
    <w:rsid w:val="004A24EC"/>
    <w:rsid w:val="004A2E88"/>
    <w:rsid w:val="004A317A"/>
    <w:rsid w:val="004A36E2"/>
    <w:rsid w:val="004A3A0C"/>
    <w:rsid w:val="004A405C"/>
    <w:rsid w:val="004A429E"/>
    <w:rsid w:val="004A4BBC"/>
    <w:rsid w:val="004A515E"/>
    <w:rsid w:val="004A5305"/>
    <w:rsid w:val="004A667B"/>
    <w:rsid w:val="004A6A50"/>
    <w:rsid w:val="004B234D"/>
    <w:rsid w:val="004B25B5"/>
    <w:rsid w:val="004B33B4"/>
    <w:rsid w:val="004B38FD"/>
    <w:rsid w:val="004B4069"/>
    <w:rsid w:val="004B44F3"/>
    <w:rsid w:val="004B4EF4"/>
    <w:rsid w:val="004B501B"/>
    <w:rsid w:val="004B6F1F"/>
    <w:rsid w:val="004B7B4C"/>
    <w:rsid w:val="004C003D"/>
    <w:rsid w:val="004C03B6"/>
    <w:rsid w:val="004C06B8"/>
    <w:rsid w:val="004C25C9"/>
    <w:rsid w:val="004C5D17"/>
    <w:rsid w:val="004C5DF0"/>
    <w:rsid w:val="004C645A"/>
    <w:rsid w:val="004C65AA"/>
    <w:rsid w:val="004C6E70"/>
    <w:rsid w:val="004D20DD"/>
    <w:rsid w:val="004D2855"/>
    <w:rsid w:val="004D299D"/>
    <w:rsid w:val="004D2A8B"/>
    <w:rsid w:val="004D2BE8"/>
    <w:rsid w:val="004D44FC"/>
    <w:rsid w:val="004D72FF"/>
    <w:rsid w:val="004D7634"/>
    <w:rsid w:val="004E113C"/>
    <w:rsid w:val="004E1595"/>
    <w:rsid w:val="004E1F1E"/>
    <w:rsid w:val="004E2397"/>
    <w:rsid w:val="004E298F"/>
    <w:rsid w:val="004E2A17"/>
    <w:rsid w:val="004E5324"/>
    <w:rsid w:val="004E5523"/>
    <w:rsid w:val="004E611A"/>
    <w:rsid w:val="004E61EB"/>
    <w:rsid w:val="004E7925"/>
    <w:rsid w:val="004F045B"/>
    <w:rsid w:val="004F2A6B"/>
    <w:rsid w:val="004F6EC9"/>
    <w:rsid w:val="004F75AB"/>
    <w:rsid w:val="00501550"/>
    <w:rsid w:val="00501C65"/>
    <w:rsid w:val="005024D8"/>
    <w:rsid w:val="005047AF"/>
    <w:rsid w:val="00504D8E"/>
    <w:rsid w:val="00506E23"/>
    <w:rsid w:val="0050764A"/>
    <w:rsid w:val="00507C90"/>
    <w:rsid w:val="00507CB7"/>
    <w:rsid w:val="005104A4"/>
    <w:rsid w:val="00511A77"/>
    <w:rsid w:val="00511B08"/>
    <w:rsid w:val="005123EE"/>
    <w:rsid w:val="005130A1"/>
    <w:rsid w:val="0051651C"/>
    <w:rsid w:val="00516CE7"/>
    <w:rsid w:val="0051741E"/>
    <w:rsid w:val="00517843"/>
    <w:rsid w:val="00521CFB"/>
    <w:rsid w:val="005221C4"/>
    <w:rsid w:val="00522517"/>
    <w:rsid w:val="00524E81"/>
    <w:rsid w:val="00526404"/>
    <w:rsid w:val="00526B30"/>
    <w:rsid w:val="00527320"/>
    <w:rsid w:val="00527AB8"/>
    <w:rsid w:val="005300D3"/>
    <w:rsid w:val="00530329"/>
    <w:rsid w:val="005328BB"/>
    <w:rsid w:val="00533887"/>
    <w:rsid w:val="0053517E"/>
    <w:rsid w:val="005351AA"/>
    <w:rsid w:val="00535305"/>
    <w:rsid w:val="005358DC"/>
    <w:rsid w:val="00535C07"/>
    <w:rsid w:val="00537B0A"/>
    <w:rsid w:val="00540120"/>
    <w:rsid w:val="00540C48"/>
    <w:rsid w:val="00541403"/>
    <w:rsid w:val="00541EAE"/>
    <w:rsid w:val="00544C47"/>
    <w:rsid w:val="00544F1F"/>
    <w:rsid w:val="00544F82"/>
    <w:rsid w:val="00545579"/>
    <w:rsid w:val="00545704"/>
    <w:rsid w:val="0054740F"/>
    <w:rsid w:val="00550093"/>
    <w:rsid w:val="0055018E"/>
    <w:rsid w:val="005509D2"/>
    <w:rsid w:val="00550CAF"/>
    <w:rsid w:val="005515FC"/>
    <w:rsid w:val="005516CD"/>
    <w:rsid w:val="005538E0"/>
    <w:rsid w:val="00554A6D"/>
    <w:rsid w:val="00554FC4"/>
    <w:rsid w:val="005563D3"/>
    <w:rsid w:val="00560A2A"/>
    <w:rsid w:val="00561929"/>
    <w:rsid w:val="00564D15"/>
    <w:rsid w:val="00570794"/>
    <w:rsid w:val="00570DA8"/>
    <w:rsid w:val="005715A2"/>
    <w:rsid w:val="005721F1"/>
    <w:rsid w:val="005726B8"/>
    <w:rsid w:val="005727EC"/>
    <w:rsid w:val="00573027"/>
    <w:rsid w:val="0057392D"/>
    <w:rsid w:val="00573F5F"/>
    <w:rsid w:val="005744BB"/>
    <w:rsid w:val="0057713D"/>
    <w:rsid w:val="00577E51"/>
    <w:rsid w:val="00584439"/>
    <w:rsid w:val="00584631"/>
    <w:rsid w:val="005858E8"/>
    <w:rsid w:val="0058683D"/>
    <w:rsid w:val="00586D62"/>
    <w:rsid w:val="00591D8A"/>
    <w:rsid w:val="00591E35"/>
    <w:rsid w:val="00593617"/>
    <w:rsid w:val="0059376D"/>
    <w:rsid w:val="00593C4F"/>
    <w:rsid w:val="00594202"/>
    <w:rsid w:val="00594223"/>
    <w:rsid w:val="005946A8"/>
    <w:rsid w:val="00595259"/>
    <w:rsid w:val="00595332"/>
    <w:rsid w:val="005961CC"/>
    <w:rsid w:val="0059636D"/>
    <w:rsid w:val="0059659F"/>
    <w:rsid w:val="00596632"/>
    <w:rsid w:val="00597A07"/>
    <w:rsid w:val="00597C25"/>
    <w:rsid w:val="005A25CF"/>
    <w:rsid w:val="005A4407"/>
    <w:rsid w:val="005A59EF"/>
    <w:rsid w:val="005A5E31"/>
    <w:rsid w:val="005A7179"/>
    <w:rsid w:val="005A721A"/>
    <w:rsid w:val="005A74EA"/>
    <w:rsid w:val="005B1B0D"/>
    <w:rsid w:val="005B1C7E"/>
    <w:rsid w:val="005B50FE"/>
    <w:rsid w:val="005B7B0F"/>
    <w:rsid w:val="005B7C37"/>
    <w:rsid w:val="005C1759"/>
    <w:rsid w:val="005C2CDE"/>
    <w:rsid w:val="005C4B9F"/>
    <w:rsid w:val="005C4EEC"/>
    <w:rsid w:val="005C5751"/>
    <w:rsid w:val="005C6976"/>
    <w:rsid w:val="005D2116"/>
    <w:rsid w:val="005D286E"/>
    <w:rsid w:val="005D3415"/>
    <w:rsid w:val="005D37D8"/>
    <w:rsid w:val="005D3ECF"/>
    <w:rsid w:val="005D5051"/>
    <w:rsid w:val="005D56D7"/>
    <w:rsid w:val="005D5A8F"/>
    <w:rsid w:val="005D6284"/>
    <w:rsid w:val="005D75B3"/>
    <w:rsid w:val="005E1CDE"/>
    <w:rsid w:val="005E3BD9"/>
    <w:rsid w:val="005E44E2"/>
    <w:rsid w:val="005E6323"/>
    <w:rsid w:val="005E7CAF"/>
    <w:rsid w:val="005F1176"/>
    <w:rsid w:val="005F1620"/>
    <w:rsid w:val="005F4788"/>
    <w:rsid w:val="005F5232"/>
    <w:rsid w:val="005F611D"/>
    <w:rsid w:val="005F6522"/>
    <w:rsid w:val="005F6B6B"/>
    <w:rsid w:val="005F6F41"/>
    <w:rsid w:val="005F773B"/>
    <w:rsid w:val="005F7C5C"/>
    <w:rsid w:val="006017D0"/>
    <w:rsid w:val="00601B06"/>
    <w:rsid w:val="00602DB9"/>
    <w:rsid w:val="00603107"/>
    <w:rsid w:val="00603CE3"/>
    <w:rsid w:val="006067E9"/>
    <w:rsid w:val="00606DA8"/>
    <w:rsid w:val="00610746"/>
    <w:rsid w:val="00610A50"/>
    <w:rsid w:val="00610FD5"/>
    <w:rsid w:val="00612F3A"/>
    <w:rsid w:val="006135E6"/>
    <w:rsid w:val="006142AC"/>
    <w:rsid w:val="00615E9D"/>
    <w:rsid w:val="00617673"/>
    <w:rsid w:val="006200F2"/>
    <w:rsid w:val="00622928"/>
    <w:rsid w:val="00624F5A"/>
    <w:rsid w:val="006259E4"/>
    <w:rsid w:val="00625DC6"/>
    <w:rsid w:val="00630AEB"/>
    <w:rsid w:val="0063182C"/>
    <w:rsid w:val="00631C12"/>
    <w:rsid w:val="00632B03"/>
    <w:rsid w:val="00632C72"/>
    <w:rsid w:val="00632F0A"/>
    <w:rsid w:val="00633CFA"/>
    <w:rsid w:val="00633D58"/>
    <w:rsid w:val="00634722"/>
    <w:rsid w:val="00636261"/>
    <w:rsid w:val="00636C6D"/>
    <w:rsid w:val="00637E55"/>
    <w:rsid w:val="006406C8"/>
    <w:rsid w:val="006411C9"/>
    <w:rsid w:val="006413AB"/>
    <w:rsid w:val="00642984"/>
    <w:rsid w:val="00642ADE"/>
    <w:rsid w:val="006434CA"/>
    <w:rsid w:val="00643643"/>
    <w:rsid w:val="0064391D"/>
    <w:rsid w:val="00643C62"/>
    <w:rsid w:val="00645CB0"/>
    <w:rsid w:val="00646032"/>
    <w:rsid w:val="00647193"/>
    <w:rsid w:val="00650471"/>
    <w:rsid w:val="0065057D"/>
    <w:rsid w:val="00651821"/>
    <w:rsid w:val="00651F2D"/>
    <w:rsid w:val="006527C4"/>
    <w:rsid w:val="006528C8"/>
    <w:rsid w:val="0065298A"/>
    <w:rsid w:val="00653253"/>
    <w:rsid w:val="00654384"/>
    <w:rsid w:val="006565D2"/>
    <w:rsid w:val="00656BAB"/>
    <w:rsid w:val="00657398"/>
    <w:rsid w:val="006575D6"/>
    <w:rsid w:val="006610C8"/>
    <w:rsid w:val="0066163F"/>
    <w:rsid w:val="00662A2C"/>
    <w:rsid w:val="00662BF0"/>
    <w:rsid w:val="00662CC0"/>
    <w:rsid w:val="00662E41"/>
    <w:rsid w:val="00662EDC"/>
    <w:rsid w:val="00665428"/>
    <w:rsid w:val="0066686B"/>
    <w:rsid w:val="006675CD"/>
    <w:rsid w:val="00667775"/>
    <w:rsid w:val="00667C8C"/>
    <w:rsid w:val="0067006C"/>
    <w:rsid w:val="00670AA8"/>
    <w:rsid w:val="00670F3C"/>
    <w:rsid w:val="00672781"/>
    <w:rsid w:val="00672EAF"/>
    <w:rsid w:val="006801D9"/>
    <w:rsid w:val="00681BFD"/>
    <w:rsid w:val="00682264"/>
    <w:rsid w:val="006837A5"/>
    <w:rsid w:val="00684D9B"/>
    <w:rsid w:val="00685586"/>
    <w:rsid w:val="00685C01"/>
    <w:rsid w:val="006878D4"/>
    <w:rsid w:val="0068798E"/>
    <w:rsid w:val="00691B6D"/>
    <w:rsid w:val="00693432"/>
    <w:rsid w:val="00694090"/>
    <w:rsid w:val="00696F88"/>
    <w:rsid w:val="00697556"/>
    <w:rsid w:val="006A01AB"/>
    <w:rsid w:val="006A1A58"/>
    <w:rsid w:val="006A1C84"/>
    <w:rsid w:val="006A2358"/>
    <w:rsid w:val="006A2F3F"/>
    <w:rsid w:val="006A348D"/>
    <w:rsid w:val="006A3A02"/>
    <w:rsid w:val="006A4116"/>
    <w:rsid w:val="006A41DD"/>
    <w:rsid w:val="006A5348"/>
    <w:rsid w:val="006A5EA2"/>
    <w:rsid w:val="006A7356"/>
    <w:rsid w:val="006A7F47"/>
    <w:rsid w:val="006B05D4"/>
    <w:rsid w:val="006B1195"/>
    <w:rsid w:val="006B319D"/>
    <w:rsid w:val="006B395F"/>
    <w:rsid w:val="006B44FC"/>
    <w:rsid w:val="006B4647"/>
    <w:rsid w:val="006B4C2B"/>
    <w:rsid w:val="006B5E53"/>
    <w:rsid w:val="006B6194"/>
    <w:rsid w:val="006B6D47"/>
    <w:rsid w:val="006B7430"/>
    <w:rsid w:val="006B745B"/>
    <w:rsid w:val="006C1885"/>
    <w:rsid w:val="006C2EA8"/>
    <w:rsid w:val="006C3C2B"/>
    <w:rsid w:val="006C4041"/>
    <w:rsid w:val="006C5AFE"/>
    <w:rsid w:val="006C61CF"/>
    <w:rsid w:val="006C7287"/>
    <w:rsid w:val="006C7C3E"/>
    <w:rsid w:val="006D3BE1"/>
    <w:rsid w:val="006D419D"/>
    <w:rsid w:val="006D4430"/>
    <w:rsid w:val="006D457D"/>
    <w:rsid w:val="006D55BF"/>
    <w:rsid w:val="006D5CC2"/>
    <w:rsid w:val="006D7CC5"/>
    <w:rsid w:val="006E0048"/>
    <w:rsid w:val="006E0774"/>
    <w:rsid w:val="006E085E"/>
    <w:rsid w:val="006E10A8"/>
    <w:rsid w:val="006E2894"/>
    <w:rsid w:val="006E613F"/>
    <w:rsid w:val="006E61BD"/>
    <w:rsid w:val="006E634F"/>
    <w:rsid w:val="006E6D98"/>
    <w:rsid w:val="006E6DE5"/>
    <w:rsid w:val="006E7869"/>
    <w:rsid w:val="006F18D5"/>
    <w:rsid w:val="006F1A9A"/>
    <w:rsid w:val="006F4880"/>
    <w:rsid w:val="006F5CA4"/>
    <w:rsid w:val="006F667E"/>
    <w:rsid w:val="006F6D95"/>
    <w:rsid w:val="00700660"/>
    <w:rsid w:val="007034B9"/>
    <w:rsid w:val="007055CF"/>
    <w:rsid w:val="00706F13"/>
    <w:rsid w:val="007072E8"/>
    <w:rsid w:val="0070759A"/>
    <w:rsid w:val="00711044"/>
    <w:rsid w:val="0071155A"/>
    <w:rsid w:val="00712D59"/>
    <w:rsid w:val="00713D8A"/>
    <w:rsid w:val="0071618D"/>
    <w:rsid w:val="007168E7"/>
    <w:rsid w:val="00716D38"/>
    <w:rsid w:val="00717211"/>
    <w:rsid w:val="007233FA"/>
    <w:rsid w:val="007234E8"/>
    <w:rsid w:val="00723D0C"/>
    <w:rsid w:val="0072452B"/>
    <w:rsid w:val="00724DAE"/>
    <w:rsid w:val="00725FA4"/>
    <w:rsid w:val="0072668F"/>
    <w:rsid w:val="00726CDB"/>
    <w:rsid w:val="00727F27"/>
    <w:rsid w:val="00731B56"/>
    <w:rsid w:val="0073241F"/>
    <w:rsid w:val="007339AE"/>
    <w:rsid w:val="007340B6"/>
    <w:rsid w:val="00734E7E"/>
    <w:rsid w:val="007350A7"/>
    <w:rsid w:val="007362D2"/>
    <w:rsid w:val="0073671C"/>
    <w:rsid w:val="00740446"/>
    <w:rsid w:val="00741E93"/>
    <w:rsid w:val="007422A8"/>
    <w:rsid w:val="007438A9"/>
    <w:rsid w:val="0074491E"/>
    <w:rsid w:val="00744C92"/>
    <w:rsid w:val="0074567B"/>
    <w:rsid w:val="007514F6"/>
    <w:rsid w:val="00751556"/>
    <w:rsid w:val="007527FA"/>
    <w:rsid w:val="00752DE3"/>
    <w:rsid w:val="00752E80"/>
    <w:rsid w:val="007530CA"/>
    <w:rsid w:val="00755C52"/>
    <w:rsid w:val="00756902"/>
    <w:rsid w:val="00757307"/>
    <w:rsid w:val="007609DA"/>
    <w:rsid w:val="00760F2F"/>
    <w:rsid w:val="00761392"/>
    <w:rsid w:val="007613DD"/>
    <w:rsid w:val="0076247A"/>
    <w:rsid w:val="00764240"/>
    <w:rsid w:val="007645C9"/>
    <w:rsid w:val="00764E12"/>
    <w:rsid w:val="00765E48"/>
    <w:rsid w:val="00765F81"/>
    <w:rsid w:val="007661FD"/>
    <w:rsid w:val="007662A5"/>
    <w:rsid w:val="007667A2"/>
    <w:rsid w:val="0076687A"/>
    <w:rsid w:val="00766F8B"/>
    <w:rsid w:val="00767539"/>
    <w:rsid w:val="00771253"/>
    <w:rsid w:val="007717EF"/>
    <w:rsid w:val="00772023"/>
    <w:rsid w:val="00772C28"/>
    <w:rsid w:val="00774D6A"/>
    <w:rsid w:val="00775964"/>
    <w:rsid w:val="007765FE"/>
    <w:rsid w:val="00776F37"/>
    <w:rsid w:val="00777BAC"/>
    <w:rsid w:val="00780C18"/>
    <w:rsid w:val="00781503"/>
    <w:rsid w:val="00782882"/>
    <w:rsid w:val="00782AD8"/>
    <w:rsid w:val="00783E85"/>
    <w:rsid w:val="00784113"/>
    <w:rsid w:val="0078418D"/>
    <w:rsid w:val="00784896"/>
    <w:rsid w:val="007849C7"/>
    <w:rsid w:val="00791A5A"/>
    <w:rsid w:val="00792B0A"/>
    <w:rsid w:val="00794E2E"/>
    <w:rsid w:val="00795BFB"/>
    <w:rsid w:val="00797134"/>
    <w:rsid w:val="00797574"/>
    <w:rsid w:val="007A02B4"/>
    <w:rsid w:val="007A065E"/>
    <w:rsid w:val="007A0792"/>
    <w:rsid w:val="007A0905"/>
    <w:rsid w:val="007A0FB1"/>
    <w:rsid w:val="007A4D7B"/>
    <w:rsid w:val="007A61E3"/>
    <w:rsid w:val="007A64D1"/>
    <w:rsid w:val="007B02BD"/>
    <w:rsid w:val="007B0FB8"/>
    <w:rsid w:val="007B1158"/>
    <w:rsid w:val="007B1E10"/>
    <w:rsid w:val="007B2760"/>
    <w:rsid w:val="007B30CA"/>
    <w:rsid w:val="007B351A"/>
    <w:rsid w:val="007B3D62"/>
    <w:rsid w:val="007B5547"/>
    <w:rsid w:val="007B5F0B"/>
    <w:rsid w:val="007B7FB7"/>
    <w:rsid w:val="007C0308"/>
    <w:rsid w:val="007C0CC4"/>
    <w:rsid w:val="007C371D"/>
    <w:rsid w:val="007C40FC"/>
    <w:rsid w:val="007C4475"/>
    <w:rsid w:val="007D0649"/>
    <w:rsid w:val="007D1B98"/>
    <w:rsid w:val="007D31BB"/>
    <w:rsid w:val="007D38B8"/>
    <w:rsid w:val="007D38C6"/>
    <w:rsid w:val="007D3AD4"/>
    <w:rsid w:val="007D3B47"/>
    <w:rsid w:val="007D3CB1"/>
    <w:rsid w:val="007D4E16"/>
    <w:rsid w:val="007D6B8C"/>
    <w:rsid w:val="007D7EF4"/>
    <w:rsid w:val="007E05B3"/>
    <w:rsid w:val="007E162B"/>
    <w:rsid w:val="007E6FBA"/>
    <w:rsid w:val="007F028C"/>
    <w:rsid w:val="007F0DA1"/>
    <w:rsid w:val="007F1C98"/>
    <w:rsid w:val="007F29E8"/>
    <w:rsid w:val="007F2BF8"/>
    <w:rsid w:val="007F3832"/>
    <w:rsid w:val="007F6594"/>
    <w:rsid w:val="007F7C90"/>
    <w:rsid w:val="008004DA"/>
    <w:rsid w:val="00801561"/>
    <w:rsid w:val="00801D50"/>
    <w:rsid w:val="00802017"/>
    <w:rsid w:val="008020D8"/>
    <w:rsid w:val="00802FC5"/>
    <w:rsid w:val="00804228"/>
    <w:rsid w:val="00804CC2"/>
    <w:rsid w:val="008060F0"/>
    <w:rsid w:val="008061C1"/>
    <w:rsid w:val="008063A6"/>
    <w:rsid w:val="00806C01"/>
    <w:rsid w:val="00810EFE"/>
    <w:rsid w:val="00812285"/>
    <w:rsid w:val="00812292"/>
    <w:rsid w:val="00813845"/>
    <w:rsid w:val="00813F74"/>
    <w:rsid w:val="00814139"/>
    <w:rsid w:val="008148CC"/>
    <w:rsid w:val="008148DE"/>
    <w:rsid w:val="00814EC0"/>
    <w:rsid w:val="00814F4F"/>
    <w:rsid w:val="0081647B"/>
    <w:rsid w:val="00817261"/>
    <w:rsid w:val="008211A4"/>
    <w:rsid w:val="008232A6"/>
    <w:rsid w:val="00824561"/>
    <w:rsid w:val="00830AB1"/>
    <w:rsid w:val="00830CFE"/>
    <w:rsid w:val="00831EE7"/>
    <w:rsid w:val="00833F41"/>
    <w:rsid w:val="008343B9"/>
    <w:rsid w:val="0083511D"/>
    <w:rsid w:val="00835A42"/>
    <w:rsid w:val="00836E6B"/>
    <w:rsid w:val="008405E9"/>
    <w:rsid w:val="00840A0D"/>
    <w:rsid w:val="0084125B"/>
    <w:rsid w:val="008451A8"/>
    <w:rsid w:val="00847430"/>
    <w:rsid w:val="00847699"/>
    <w:rsid w:val="00847A2B"/>
    <w:rsid w:val="008500D3"/>
    <w:rsid w:val="008501B9"/>
    <w:rsid w:val="00850BB7"/>
    <w:rsid w:val="00850CEA"/>
    <w:rsid w:val="00851C61"/>
    <w:rsid w:val="00852B5F"/>
    <w:rsid w:val="008531B3"/>
    <w:rsid w:val="00855117"/>
    <w:rsid w:val="0085561F"/>
    <w:rsid w:val="00855C2F"/>
    <w:rsid w:val="00856F11"/>
    <w:rsid w:val="00857486"/>
    <w:rsid w:val="00860942"/>
    <w:rsid w:val="008613AB"/>
    <w:rsid w:val="0086197D"/>
    <w:rsid w:val="00862399"/>
    <w:rsid w:val="00862A20"/>
    <w:rsid w:val="00862C64"/>
    <w:rsid w:val="00863512"/>
    <w:rsid w:val="00863683"/>
    <w:rsid w:val="00864758"/>
    <w:rsid w:val="00864B3F"/>
    <w:rsid w:val="008662F3"/>
    <w:rsid w:val="00866A6F"/>
    <w:rsid w:val="00866CE1"/>
    <w:rsid w:val="00866FF7"/>
    <w:rsid w:val="0086770C"/>
    <w:rsid w:val="00867EF2"/>
    <w:rsid w:val="00870072"/>
    <w:rsid w:val="008726EB"/>
    <w:rsid w:val="00873150"/>
    <w:rsid w:val="0087355E"/>
    <w:rsid w:val="0087392B"/>
    <w:rsid w:val="00874130"/>
    <w:rsid w:val="00874E8F"/>
    <w:rsid w:val="00875FC1"/>
    <w:rsid w:val="0087657D"/>
    <w:rsid w:val="00877600"/>
    <w:rsid w:val="00877865"/>
    <w:rsid w:val="008807D5"/>
    <w:rsid w:val="00880832"/>
    <w:rsid w:val="00881048"/>
    <w:rsid w:val="00881E32"/>
    <w:rsid w:val="00883004"/>
    <w:rsid w:val="00884337"/>
    <w:rsid w:val="00885608"/>
    <w:rsid w:val="008857D8"/>
    <w:rsid w:val="008861B2"/>
    <w:rsid w:val="00886EE1"/>
    <w:rsid w:val="0088727D"/>
    <w:rsid w:val="008877B4"/>
    <w:rsid w:val="0089033A"/>
    <w:rsid w:val="00890C1F"/>
    <w:rsid w:val="00890E75"/>
    <w:rsid w:val="00893459"/>
    <w:rsid w:val="00893BD0"/>
    <w:rsid w:val="008956FC"/>
    <w:rsid w:val="008963F9"/>
    <w:rsid w:val="00896422"/>
    <w:rsid w:val="00896474"/>
    <w:rsid w:val="00897060"/>
    <w:rsid w:val="008973B9"/>
    <w:rsid w:val="00897487"/>
    <w:rsid w:val="008976A4"/>
    <w:rsid w:val="00897BEB"/>
    <w:rsid w:val="00897C72"/>
    <w:rsid w:val="00897C75"/>
    <w:rsid w:val="008A0C0E"/>
    <w:rsid w:val="008A0D29"/>
    <w:rsid w:val="008A3E72"/>
    <w:rsid w:val="008A7BFF"/>
    <w:rsid w:val="008B1501"/>
    <w:rsid w:val="008B1585"/>
    <w:rsid w:val="008B2476"/>
    <w:rsid w:val="008B397A"/>
    <w:rsid w:val="008B3B11"/>
    <w:rsid w:val="008B3FC1"/>
    <w:rsid w:val="008B4FC6"/>
    <w:rsid w:val="008B6720"/>
    <w:rsid w:val="008B7E03"/>
    <w:rsid w:val="008C05E3"/>
    <w:rsid w:val="008C0EA4"/>
    <w:rsid w:val="008C1130"/>
    <w:rsid w:val="008C1862"/>
    <w:rsid w:val="008C2703"/>
    <w:rsid w:val="008C417A"/>
    <w:rsid w:val="008C5F73"/>
    <w:rsid w:val="008C6287"/>
    <w:rsid w:val="008C7CB3"/>
    <w:rsid w:val="008C7E43"/>
    <w:rsid w:val="008D0DDB"/>
    <w:rsid w:val="008D18E6"/>
    <w:rsid w:val="008D1A98"/>
    <w:rsid w:val="008D1B8F"/>
    <w:rsid w:val="008D21F8"/>
    <w:rsid w:val="008D237F"/>
    <w:rsid w:val="008D2686"/>
    <w:rsid w:val="008D2AEA"/>
    <w:rsid w:val="008D4A8F"/>
    <w:rsid w:val="008D6FAD"/>
    <w:rsid w:val="008D73BE"/>
    <w:rsid w:val="008D7A9B"/>
    <w:rsid w:val="008E0017"/>
    <w:rsid w:val="008E0060"/>
    <w:rsid w:val="008E39AB"/>
    <w:rsid w:val="008E4C0B"/>
    <w:rsid w:val="008E552F"/>
    <w:rsid w:val="008E6128"/>
    <w:rsid w:val="008E76AC"/>
    <w:rsid w:val="008F075A"/>
    <w:rsid w:val="008F115A"/>
    <w:rsid w:val="008F21F6"/>
    <w:rsid w:val="008F63FA"/>
    <w:rsid w:val="008F6745"/>
    <w:rsid w:val="008F7737"/>
    <w:rsid w:val="008F78DA"/>
    <w:rsid w:val="009001E3"/>
    <w:rsid w:val="0090103A"/>
    <w:rsid w:val="009014FC"/>
    <w:rsid w:val="00902D68"/>
    <w:rsid w:val="0090431D"/>
    <w:rsid w:val="00907609"/>
    <w:rsid w:val="00910B87"/>
    <w:rsid w:val="00911ADC"/>
    <w:rsid w:val="0091215F"/>
    <w:rsid w:val="00912B73"/>
    <w:rsid w:val="00913183"/>
    <w:rsid w:val="009138A6"/>
    <w:rsid w:val="009143EC"/>
    <w:rsid w:val="009153AF"/>
    <w:rsid w:val="0091686E"/>
    <w:rsid w:val="00917A96"/>
    <w:rsid w:val="00917DE3"/>
    <w:rsid w:val="009203C2"/>
    <w:rsid w:val="00920A72"/>
    <w:rsid w:val="00920B34"/>
    <w:rsid w:val="00922766"/>
    <w:rsid w:val="00925934"/>
    <w:rsid w:val="00926080"/>
    <w:rsid w:val="00930EAF"/>
    <w:rsid w:val="009319DF"/>
    <w:rsid w:val="00931B63"/>
    <w:rsid w:val="00934449"/>
    <w:rsid w:val="00934A2D"/>
    <w:rsid w:val="00934B45"/>
    <w:rsid w:val="0093590C"/>
    <w:rsid w:val="009367C8"/>
    <w:rsid w:val="00937767"/>
    <w:rsid w:val="009377D3"/>
    <w:rsid w:val="00940069"/>
    <w:rsid w:val="00941D72"/>
    <w:rsid w:val="00943B49"/>
    <w:rsid w:val="00944BA5"/>
    <w:rsid w:val="00950454"/>
    <w:rsid w:val="009505CD"/>
    <w:rsid w:val="00951F79"/>
    <w:rsid w:val="00952E63"/>
    <w:rsid w:val="00955A03"/>
    <w:rsid w:val="009604DA"/>
    <w:rsid w:val="00960763"/>
    <w:rsid w:val="00960E74"/>
    <w:rsid w:val="00960EE4"/>
    <w:rsid w:val="00961980"/>
    <w:rsid w:val="0096223E"/>
    <w:rsid w:val="009623CE"/>
    <w:rsid w:val="009624DC"/>
    <w:rsid w:val="00962554"/>
    <w:rsid w:val="00962AB6"/>
    <w:rsid w:val="00962F72"/>
    <w:rsid w:val="0096487A"/>
    <w:rsid w:val="0096542D"/>
    <w:rsid w:val="009666A0"/>
    <w:rsid w:val="00966D58"/>
    <w:rsid w:val="009701B5"/>
    <w:rsid w:val="00971712"/>
    <w:rsid w:val="00971C5C"/>
    <w:rsid w:val="00973413"/>
    <w:rsid w:val="00973F3D"/>
    <w:rsid w:val="00973FEF"/>
    <w:rsid w:val="00974AB5"/>
    <w:rsid w:val="00975AC2"/>
    <w:rsid w:val="00977B6A"/>
    <w:rsid w:val="00977F7B"/>
    <w:rsid w:val="00983BEB"/>
    <w:rsid w:val="00984F02"/>
    <w:rsid w:val="00985360"/>
    <w:rsid w:val="00985D72"/>
    <w:rsid w:val="0098706D"/>
    <w:rsid w:val="0098797F"/>
    <w:rsid w:val="00987D53"/>
    <w:rsid w:val="009909DB"/>
    <w:rsid w:val="009919FD"/>
    <w:rsid w:val="00991BB4"/>
    <w:rsid w:val="009922C1"/>
    <w:rsid w:val="00992444"/>
    <w:rsid w:val="009935FB"/>
    <w:rsid w:val="00993C0E"/>
    <w:rsid w:val="00996E2F"/>
    <w:rsid w:val="00996F79"/>
    <w:rsid w:val="009A0310"/>
    <w:rsid w:val="009A2F2A"/>
    <w:rsid w:val="009A48D1"/>
    <w:rsid w:val="009A5E17"/>
    <w:rsid w:val="009A7CF3"/>
    <w:rsid w:val="009B4E9F"/>
    <w:rsid w:val="009B5058"/>
    <w:rsid w:val="009B51B5"/>
    <w:rsid w:val="009B5853"/>
    <w:rsid w:val="009B632D"/>
    <w:rsid w:val="009B6AA7"/>
    <w:rsid w:val="009B6F02"/>
    <w:rsid w:val="009B7EDA"/>
    <w:rsid w:val="009C188E"/>
    <w:rsid w:val="009C1FA5"/>
    <w:rsid w:val="009C56D4"/>
    <w:rsid w:val="009D1F65"/>
    <w:rsid w:val="009D2772"/>
    <w:rsid w:val="009D2860"/>
    <w:rsid w:val="009D34B3"/>
    <w:rsid w:val="009D3577"/>
    <w:rsid w:val="009D59DB"/>
    <w:rsid w:val="009E015A"/>
    <w:rsid w:val="009E0223"/>
    <w:rsid w:val="009E0513"/>
    <w:rsid w:val="009E07DA"/>
    <w:rsid w:val="009E0824"/>
    <w:rsid w:val="009E0EB1"/>
    <w:rsid w:val="009E1962"/>
    <w:rsid w:val="009E1B02"/>
    <w:rsid w:val="009E28AE"/>
    <w:rsid w:val="009E3E0F"/>
    <w:rsid w:val="009E5C86"/>
    <w:rsid w:val="009E5DEF"/>
    <w:rsid w:val="009E7626"/>
    <w:rsid w:val="009F197E"/>
    <w:rsid w:val="009F1AF5"/>
    <w:rsid w:val="009F2A11"/>
    <w:rsid w:val="009F3471"/>
    <w:rsid w:val="009F4473"/>
    <w:rsid w:val="009F49C1"/>
    <w:rsid w:val="009F4A54"/>
    <w:rsid w:val="009F4BEC"/>
    <w:rsid w:val="009F5874"/>
    <w:rsid w:val="009F61BF"/>
    <w:rsid w:val="009F6DE5"/>
    <w:rsid w:val="009F7D26"/>
    <w:rsid w:val="00A008F1"/>
    <w:rsid w:val="00A01B5E"/>
    <w:rsid w:val="00A06085"/>
    <w:rsid w:val="00A062F3"/>
    <w:rsid w:val="00A07E25"/>
    <w:rsid w:val="00A103B9"/>
    <w:rsid w:val="00A116A8"/>
    <w:rsid w:val="00A124FF"/>
    <w:rsid w:val="00A1252F"/>
    <w:rsid w:val="00A1405F"/>
    <w:rsid w:val="00A14E3D"/>
    <w:rsid w:val="00A157E7"/>
    <w:rsid w:val="00A15F66"/>
    <w:rsid w:val="00A17096"/>
    <w:rsid w:val="00A245F0"/>
    <w:rsid w:val="00A24B96"/>
    <w:rsid w:val="00A25377"/>
    <w:rsid w:val="00A25FD7"/>
    <w:rsid w:val="00A27146"/>
    <w:rsid w:val="00A27237"/>
    <w:rsid w:val="00A304C5"/>
    <w:rsid w:val="00A33915"/>
    <w:rsid w:val="00A353D9"/>
    <w:rsid w:val="00A35B40"/>
    <w:rsid w:val="00A41137"/>
    <w:rsid w:val="00A41767"/>
    <w:rsid w:val="00A41C62"/>
    <w:rsid w:val="00A43AFF"/>
    <w:rsid w:val="00A43B2B"/>
    <w:rsid w:val="00A4422F"/>
    <w:rsid w:val="00A442D4"/>
    <w:rsid w:val="00A4493F"/>
    <w:rsid w:val="00A455CA"/>
    <w:rsid w:val="00A45826"/>
    <w:rsid w:val="00A51256"/>
    <w:rsid w:val="00A51769"/>
    <w:rsid w:val="00A51F9D"/>
    <w:rsid w:val="00A524D7"/>
    <w:rsid w:val="00A54153"/>
    <w:rsid w:val="00A54451"/>
    <w:rsid w:val="00A54D5B"/>
    <w:rsid w:val="00A55A4A"/>
    <w:rsid w:val="00A57FB8"/>
    <w:rsid w:val="00A60666"/>
    <w:rsid w:val="00A62427"/>
    <w:rsid w:val="00A62519"/>
    <w:rsid w:val="00A63208"/>
    <w:rsid w:val="00A6407B"/>
    <w:rsid w:val="00A65A41"/>
    <w:rsid w:val="00A666BE"/>
    <w:rsid w:val="00A70FF9"/>
    <w:rsid w:val="00A71D6E"/>
    <w:rsid w:val="00A72370"/>
    <w:rsid w:val="00A72705"/>
    <w:rsid w:val="00A73D00"/>
    <w:rsid w:val="00A75A61"/>
    <w:rsid w:val="00A76598"/>
    <w:rsid w:val="00A76E84"/>
    <w:rsid w:val="00A7793A"/>
    <w:rsid w:val="00A779CF"/>
    <w:rsid w:val="00A77C04"/>
    <w:rsid w:val="00A8151D"/>
    <w:rsid w:val="00A81EA7"/>
    <w:rsid w:val="00A8453F"/>
    <w:rsid w:val="00A866AE"/>
    <w:rsid w:val="00A8698A"/>
    <w:rsid w:val="00A87322"/>
    <w:rsid w:val="00A87D07"/>
    <w:rsid w:val="00A87E1C"/>
    <w:rsid w:val="00A90443"/>
    <w:rsid w:val="00A907EA"/>
    <w:rsid w:val="00A91C61"/>
    <w:rsid w:val="00A935D5"/>
    <w:rsid w:val="00A93873"/>
    <w:rsid w:val="00A93E93"/>
    <w:rsid w:val="00A94001"/>
    <w:rsid w:val="00A94013"/>
    <w:rsid w:val="00A954D7"/>
    <w:rsid w:val="00A95D85"/>
    <w:rsid w:val="00AA0857"/>
    <w:rsid w:val="00AA316D"/>
    <w:rsid w:val="00AA3388"/>
    <w:rsid w:val="00AA33CE"/>
    <w:rsid w:val="00AA4388"/>
    <w:rsid w:val="00AA4B34"/>
    <w:rsid w:val="00AA4CC7"/>
    <w:rsid w:val="00AA5E8E"/>
    <w:rsid w:val="00AA71C2"/>
    <w:rsid w:val="00AB0506"/>
    <w:rsid w:val="00AB1172"/>
    <w:rsid w:val="00AB189A"/>
    <w:rsid w:val="00AB2287"/>
    <w:rsid w:val="00AB23BA"/>
    <w:rsid w:val="00AB3538"/>
    <w:rsid w:val="00AB3CF3"/>
    <w:rsid w:val="00AB4315"/>
    <w:rsid w:val="00AB5128"/>
    <w:rsid w:val="00AB5970"/>
    <w:rsid w:val="00AB6CA7"/>
    <w:rsid w:val="00AB7D86"/>
    <w:rsid w:val="00AC0469"/>
    <w:rsid w:val="00AC09D5"/>
    <w:rsid w:val="00AC13CC"/>
    <w:rsid w:val="00AC2DEB"/>
    <w:rsid w:val="00AC4426"/>
    <w:rsid w:val="00AC50E7"/>
    <w:rsid w:val="00AC71A7"/>
    <w:rsid w:val="00AC71BF"/>
    <w:rsid w:val="00AD01E4"/>
    <w:rsid w:val="00AD0858"/>
    <w:rsid w:val="00AD0BAB"/>
    <w:rsid w:val="00AD1122"/>
    <w:rsid w:val="00AD1883"/>
    <w:rsid w:val="00AD2E14"/>
    <w:rsid w:val="00AD2FBD"/>
    <w:rsid w:val="00AD43BA"/>
    <w:rsid w:val="00AD4B0E"/>
    <w:rsid w:val="00AD5090"/>
    <w:rsid w:val="00AD669C"/>
    <w:rsid w:val="00AD7999"/>
    <w:rsid w:val="00AE01FF"/>
    <w:rsid w:val="00AE041A"/>
    <w:rsid w:val="00AE06D5"/>
    <w:rsid w:val="00AE0CC5"/>
    <w:rsid w:val="00AE0DF2"/>
    <w:rsid w:val="00AE1E16"/>
    <w:rsid w:val="00AE3E43"/>
    <w:rsid w:val="00AE523F"/>
    <w:rsid w:val="00AE52B2"/>
    <w:rsid w:val="00AE53F7"/>
    <w:rsid w:val="00AE7340"/>
    <w:rsid w:val="00AE79AB"/>
    <w:rsid w:val="00AF0958"/>
    <w:rsid w:val="00AF0CF0"/>
    <w:rsid w:val="00AF1BBD"/>
    <w:rsid w:val="00AF1CF4"/>
    <w:rsid w:val="00AF1E5E"/>
    <w:rsid w:val="00AF230B"/>
    <w:rsid w:val="00AF23C5"/>
    <w:rsid w:val="00AF35EA"/>
    <w:rsid w:val="00AF6348"/>
    <w:rsid w:val="00B00275"/>
    <w:rsid w:val="00B01744"/>
    <w:rsid w:val="00B01E79"/>
    <w:rsid w:val="00B021D1"/>
    <w:rsid w:val="00B05F3E"/>
    <w:rsid w:val="00B07482"/>
    <w:rsid w:val="00B10207"/>
    <w:rsid w:val="00B103F1"/>
    <w:rsid w:val="00B10A2E"/>
    <w:rsid w:val="00B10BD1"/>
    <w:rsid w:val="00B111D9"/>
    <w:rsid w:val="00B11E99"/>
    <w:rsid w:val="00B13487"/>
    <w:rsid w:val="00B141E7"/>
    <w:rsid w:val="00B15D33"/>
    <w:rsid w:val="00B15DBE"/>
    <w:rsid w:val="00B1726F"/>
    <w:rsid w:val="00B200CA"/>
    <w:rsid w:val="00B21077"/>
    <w:rsid w:val="00B22DFB"/>
    <w:rsid w:val="00B24738"/>
    <w:rsid w:val="00B26D98"/>
    <w:rsid w:val="00B2789C"/>
    <w:rsid w:val="00B27DA4"/>
    <w:rsid w:val="00B30AFC"/>
    <w:rsid w:val="00B31C15"/>
    <w:rsid w:val="00B31F3D"/>
    <w:rsid w:val="00B33BA8"/>
    <w:rsid w:val="00B34278"/>
    <w:rsid w:val="00B34DF9"/>
    <w:rsid w:val="00B351B4"/>
    <w:rsid w:val="00B35C7A"/>
    <w:rsid w:val="00B35EB7"/>
    <w:rsid w:val="00B37BB6"/>
    <w:rsid w:val="00B409BB"/>
    <w:rsid w:val="00B42230"/>
    <w:rsid w:val="00B42BA5"/>
    <w:rsid w:val="00B42F44"/>
    <w:rsid w:val="00B43A07"/>
    <w:rsid w:val="00B44705"/>
    <w:rsid w:val="00B4522E"/>
    <w:rsid w:val="00B4585A"/>
    <w:rsid w:val="00B45B5C"/>
    <w:rsid w:val="00B45F35"/>
    <w:rsid w:val="00B46BCA"/>
    <w:rsid w:val="00B476B7"/>
    <w:rsid w:val="00B478AA"/>
    <w:rsid w:val="00B500AE"/>
    <w:rsid w:val="00B500BF"/>
    <w:rsid w:val="00B5084C"/>
    <w:rsid w:val="00B50D4C"/>
    <w:rsid w:val="00B50F0F"/>
    <w:rsid w:val="00B51350"/>
    <w:rsid w:val="00B51BF4"/>
    <w:rsid w:val="00B53500"/>
    <w:rsid w:val="00B535E6"/>
    <w:rsid w:val="00B5513F"/>
    <w:rsid w:val="00B5766B"/>
    <w:rsid w:val="00B57894"/>
    <w:rsid w:val="00B57C5C"/>
    <w:rsid w:val="00B601C5"/>
    <w:rsid w:val="00B6210B"/>
    <w:rsid w:val="00B62126"/>
    <w:rsid w:val="00B637F4"/>
    <w:rsid w:val="00B64CB2"/>
    <w:rsid w:val="00B657AB"/>
    <w:rsid w:val="00B65EF9"/>
    <w:rsid w:val="00B6670F"/>
    <w:rsid w:val="00B66A2D"/>
    <w:rsid w:val="00B66C52"/>
    <w:rsid w:val="00B7176F"/>
    <w:rsid w:val="00B72198"/>
    <w:rsid w:val="00B7306B"/>
    <w:rsid w:val="00B736D5"/>
    <w:rsid w:val="00B73D39"/>
    <w:rsid w:val="00B7537F"/>
    <w:rsid w:val="00B755A6"/>
    <w:rsid w:val="00B75F9F"/>
    <w:rsid w:val="00B775CF"/>
    <w:rsid w:val="00B81607"/>
    <w:rsid w:val="00B81C07"/>
    <w:rsid w:val="00B8231E"/>
    <w:rsid w:val="00B82445"/>
    <w:rsid w:val="00B83202"/>
    <w:rsid w:val="00B83A54"/>
    <w:rsid w:val="00B84011"/>
    <w:rsid w:val="00B844E8"/>
    <w:rsid w:val="00B84C11"/>
    <w:rsid w:val="00B85C2B"/>
    <w:rsid w:val="00B867E8"/>
    <w:rsid w:val="00B87073"/>
    <w:rsid w:val="00B87806"/>
    <w:rsid w:val="00B87EC9"/>
    <w:rsid w:val="00B90FAB"/>
    <w:rsid w:val="00B91D31"/>
    <w:rsid w:val="00B920E4"/>
    <w:rsid w:val="00B92219"/>
    <w:rsid w:val="00B92286"/>
    <w:rsid w:val="00B94A2E"/>
    <w:rsid w:val="00B97FCE"/>
    <w:rsid w:val="00B97FD3"/>
    <w:rsid w:val="00BA08E7"/>
    <w:rsid w:val="00BA1210"/>
    <w:rsid w:val="00BA3FD9"/>
    <w:rsid w:val="00BA6B70"/>
    <w:rsid w:val="00BA6EE6"/>
    <w:rsid w:val="00BA7187"/>
    <w:rsid w:val="00BB10FD"/>
    <w:rsid w:val="00BB11BF"/>
    <w:rsid w:val="00BB1298"/>
    <w:rsid w:val="00BB4A34"/>
    <w:rsid w:val="00BB599F"/>
    <w:rsid w:val="00BB6692"/>
    <w:rsid w:val="00BB713C"/>
    <w:rsid w:val="00BB78A8"/>
    <w:rsid w:val="00BB7D2A"/>
    <w:rsid w:val="00BC0A99"/>
    <w:rsid w:val="00BC189F"/>
    <w:rsid w:val="00BC38FD"/>
    <w:rsid w:val="00BC39E5"/>
    <w:rsid w:val="00BC4BFB"/>
    <w:rsid w:val="00BC4D77"/>
    <w:rsid w:val="00BC5B9B"/>
    <w:rsid w:val="00BC66C8"/>
    <w:rsid w:val="00BC70C4"/>
    <w:rsid w:val="00BC7AD8"/>
    <w:rsid w:val="00BD11C9"/>
    <w:rsid w:val="00BD1460"/>
    <w:rsid w:val="00BD1A6D"/>
    <w:rsid w:val="00BD30B2"/>
    <w:rsid w:val="00BD5AF9"/>
    <w:rsid w:val="00BD6AE6"/>
    <w:rsid w:val="00BE4B8B"/>
    <w:rsid w:val="00BE602C"/>
    <w:rsid w:val="00BE7EF5"/>
    <w:rsid w:val="00BF0FDC"/>
    <w:rsid w:val="00BF347F"/>
    <w:rsid w:val="00BF3DAD"/>
    <w:rsid w:val="00BF5043"/>
    <w:rsid w:val="00BF5CAD"/>
    <w:rsid w:val="00C003E9"/>
    <w:rsid w:val="00C034CB"/>
    <w:rsid w:val="00C038FB"/>
    <w:rsid w:val="00C04E1A"/>
    <w:rsid w:val="00C051A8"/>
    <w:rsid w:val="00C054BC"/>
    <w:rsid w:val="00C05D37"/>
    <w:rsid w:val="00C07237"/>
    <w:rsid w:val="00C121E1"/>
    <w:rsid w:val="00C13DFD"/>
    <w:rsid w:val="00C1433A"/>
    <w:rsid w:val="00C14777"/>
    <w:rsid w:val="00C15B77"/>
    <w:rsid w:val="00C15CD6"/>
    <w:rsid w:val="00C17897"/>
    <w:rsid w:val="00C21639"/>
    <w:rsid w:val="00C2457D"/>
    <w:rsid w:val="00C253B6"/>
    <w:rsid w:val="00C261B1"/>
    <w:rsid w:val="00C2691E"/>
    <w:rsid w:val="00C307BC"/>
    <w:rsid w:val="00C30C05"/>
    <w:rsid w:val="00C30D70"/>
    <w:rsid w:val="00C30ECE"/>
    <w:rsid w:val="00C31050"/>
    <w:rsid w:val="00C31FFA"/>
    <w:rsid w:val="00C32833"/>
    <w:rsid w:val="00C32839"/>
    <w:rsid w:val="00C32C13"/>
    <w:rsid w:val="00C3310E"/>
    <w:rsid w:val="00C33251"/>
    <w:rsid w:val="00C33CD0"/>
    <w:rsid w:val="00C3488A"/>
    <w:rsid w:val="00C3649F"/>
    <w:rsid w:val="00C36AE6"/>
    <w:rsid w:val="00C36DC9"/>
    <w:rsid w:val="00C36FF9"/>
    <w:rsid w:val="00C409D5"/>
    <w:rsid w:val="00C413BE"/>
    <w:rsid w:val="00C42753"/>
    <w:rsid w:val="00C435C3"/>
    <w:rsid w:val="00C447F8"/>
    <w:rsid w:val="00C45B31"/>
    <w:rsid w:val="00C465AF"/>
    <w:rsid w:val="00C47F9A"/>
    <w:rsid w:val="00C50319"/>
    <w:rsid w:val="00C51E97"/>
    <w:rsid w:val="00C520CE"/>
    <w:rsid w:val="00C5239D"/>
    <w:rsid w:val="00C526D8"/>
    <w:rsid w:val="00C53029"/>
    <w:rsid w:val="00C5371A"/>
    <w:rsid w:val="00C54A43"/>
    <w:rsid w:val="00C5737E"/>
    <w:rsid w:val="00C60BCD"/>
    <w:rsid w:val="00C61790"/>
    <w:rsid w:val="00C6234B"/>
    <w:rsid w:val="00C62424"/>
    <w:rsid w:val="00C63D49"/>
    <w:rsid w:val="00C63EAE"/>
    <w:rsid w:val="00C64DB7"/>
    <w:rsid w:val="00C660AB"/>
    <w:rsid w:val="00C671FD"/>
    <w:rsid w:val="00C7087C"/>
    <w:rsid w:val="00C70E18"/>
    <w:rsid w:val="00C7126B"/>
    <w:rsid w:val="00C71FD6"/>
    <w:rsid w:val="00C721BE"/>
    <w:rsid w:val="00C736BA"/>
    <w:rsid w:val="00C737B4"/>
    <w:rsid w:val="00C74749"/>
    <w:rsid w:val="00C7629F"/>
    <w:rsid w:val="00C76609"/>
    <w:rsid w:val="00C76778"/>
    <w:rsid w:val="00C76B0E"/>
    <w:rsid w:val="00C80518"/>
    <w:rsid w:val="00C80C99"/>
    <w:rsid w:val="00C81B59"/>
    <w:rsid w:val="00C82EE2"/>
    <w:rsid w:val="00C8331F"/>
    <w:rsid w:val="00C8350B"/>
    <w:rsid w:val="00C85095"/>
    <w:rsid w:val="00C8661B"/>
    <w:rsid w:val="00C92824"/>
    <w:rsid w:val="00C9350E"/>
    <w:rsid w:val="00C946A2"/>
    <w:rsid w:val="00C94803"/>
    <w:rsid w:val="00C96085"/>
    <w:rsid w:val="00C9681E"/>
    <w:rsid w:val="00C972E8"/>
    <w:rsid w:val="00CA0148"/>
    <w:rsid w:val="00CA0B31"/>
    <w:rsid w:val="00CA139A"/>
    <w:rsid w:val="00CA1D0F"/>
    <w:rsid w:val="00CA2899"/>
    <w:rsid w:val="00CA29FD"/>
    <w:rsid w:val="00CA33FB"/>
    <w:rsid w:val="00CA3A3D"/>
    <w:rsid w:val="00CA437E"/>
    <w:rsid w:val="00CA4FCB"/>
    <w:rsid w:val="00CA6640"/>
    <w:rsid w:val="00CA77FB"/>
    <w:rsid w:val="00CB00D1"/>
    <w:rsid w:val="00CB1DB6"/>
    <w:rsid w:val="00CB1F26"/>
    <w:rsid w:val="00CB368B"/>
    <w:rsid w:val="00CB379B"/>
    <w:rsid w:val="00CB3973"/>
    <w:rsid w:val="00CB3F4D"/>
    <w:rsid w:val="00CB4338"/>
    <w:rsid w:val="00CB4C82"/>
    <w:rsid w:val="00CB53E6"/>
    <w:rsid w:val="00CB5440"/>
    <w:rsid w:val="00CB5B40"/>
    <w:rsid w:val="00CB5DD0"/>
    <w:rsid w:val="00CB6364"/>
    <w:rsid w:val="00CB6742"/>
    <w:rsid w:val="00CC2588"/>
    <w:rsid w:val="00CC392C"/>
    <w:rsid w:val="00CC51D4"/>
    <w:rsid w:val="00CC65DA"/>
    <w:rsid w:val="00CC6FA7"/>
    <w:rsid w:val="00CC782B"/>
    <w:rsid w:val="00CD0E00"/>
    <w:rsid w:val="00CD116A"/>
    <w:rsid w:val="00CD2C4B"/>
    <w:rsid w:val="00CD3568"/>
    <w:rsid w:val="00CD49DA"/>
    <w:rsid w:val="00CD4C78"/>
    <w:rsid w:val="00CD5016"/>
    <w:rsid w:val="00CD63D6"/>
    <w:rsid w:val="00CD6780"/>
    <w:rsid w:val="00CD6CF1"/>
    <w:rsid w:val="00CD74CE"/>
    <w:rsid w:val="00CE3766"/>
    <w:rsid w:val="00CE3DF2"/>
    <w:rsid w:val="00CE53AA"/>
    <w:rsid w:val="00CE61F1"/>
    <w:rsid w:val="00CE6602"/>
    <w:rsid w:val="00CE6B2F"/>
    <w:rsid w:val="00CF21B9"/>
    <w:rsid w:val="00CF2BA9"/>
    <w:rsid w:val="00CF2EF8"/>
    <w:rsid w:val="00CF3130"/>
    <w:rsid w:val="00CF4048"/>
    <w:rsid w:val="00CF5D34"/>
    <w:rsid w:val="00CF5DFB"/>
    <w:rsid w:val="00CF6835"/>
    <w:rsid w:val="00CF6BF9"/>
    <w:rsid w:val="00CF7B08"/>
    <w:rsid w:val="00D00065"/>
    <w:rsid w:val="00D03800"/>
    <w:rsid w:val="00D0501A"/>
    <w:rsid w:val="00D0603A"/>
    <w:rsid w:val="00D065D3"/>
    <w:rsid w:val="00D069F1"/>
    <w:rsid w:val="00D0702A"/>
    <w:rsid w:val="00D073E1"/>
    <w:rsid w:val="00D10701"/>
    <w:rsid w:val="00D12C39"/>
    <w:rsid w:val="00D12E35"/>
    <w:rsid w:val="00D1452A"/>
    <w:rsid w:val="00D14C94"/>
    <w:rsid w:val="00D14EB0"/>
    <w:rsid w:val="00D16B95"/>
    <w:rsid w:val="00D21074"/>
    <w:rsid w:val="00D2399B"/>
    <w:rsid w:val="00D242F2"/>
    <w:rsid w:val="00D24994"/>
    <w:rsid w:val="00D260F2"/>
    <w:rsid w:val="00D26799"/>
    <w:rsid w:val="00D268BC"/>
    <w:rsid w:val="00D3157F"/>
    <w:rsid w:val="00D315E9"/>
    <w:rsid w:val="00D32881"/>
    <w:rsid w:val="00D32A0E"/>
    <w:rsid w:val="00D33085"/>
    <w:rsid w:val="00D342A6"/>
    <w:rsid w:val="00D35BB6"/>
    <w:rsid w:val="00D369CD"/>
    <w:rsid w:val="00D36B99"/>
    <w:rsid w:val="00D409B3"/>
    <w:rsid w:val="00D4165A"/>
    <w:rsid w:val="00D427CE"/>
    <w:rsid w:val="00D429C7"/>
    <w:rsid w:val="00D42E1B"/>
    <w:rsid w:val="00D438C1"/>
    <w:rsid w:val="00D448A8"/>
    <w:rsid w:val="00D448C5"/>
    <w:rsid w:val="00D449A9"/>
    <w:rsid w:val="00D452E4"/>
    <w:rsid w:val="00D45C87"/>
    <w:rsid w:val="00D45CA6"/>
    <w:rsid w:val="00D46244"/>
    <w:rsid w:val="00D464BF"/>
    <w:rsid w:val="00D47A78"/>
    <w:rsid w:val="00D50080"/>
    <w:rsid w:val="00D5103C"/>
    <w:rsid w:val="00D51494"/>
    <w:rsid w:val="00D52B87"/>
    <w:rsid w:val="00D53E26"/>
    <w:rsid w:val="00D559D1"/>
    <w:rsid w:val="00D565A5"/>
    <w:rsid w:val="00D56D7E"/>
    <w:rsid w:val="00D610A1"/>
    <w:rsid w:val="00D6164E"/>
    <w:rsid w:val="00D617E0"/>
    <w:rsid w:val="00D6242C"/>
    <w:rsid w:val="00D634B1"/>
    <w:rsid w:val="00D64595"/>
    <w:rsid w:val="00D65C80"/>
    <w:rsid w:val="00D66545"/>
    <w:rsid w:val="00D66A51"/>
    <w:rsid w:val="00D67669"/>
    <w:rsid w:val="00D7219D"/>
    <w:rsid w:val="00D7276A"/>
    <w:rsid w:val="00D729E7"/>
    <w:rsid w:val="00D730E5"/>
    <w:rsid w:val="00D73EA9"/>
    <w:rsid w:val="00D7492C"/>
    <w:rsid w:val="00D76292"/>
    <w:rsid w:val="00D7664A"/>
    <w:rsid w:val="00D76D2C"/>
    <w:rsid w:val="00D80193"/>
    <w:rsid w:val="00D83292"/>
    <w:rsid w:val="00D8367A"/>
    <w:rsid w:val="00D83B7A"/>
    <w:rsid w:val="00D854A9"/>
    <w:rsid w:val="00D86079"/>
    <w:rsid w:val="00D86882"/>
    <w:rsid w:val="00D8696C"/>
    <w:rsid w:val="00D9039F"/>
    <w:rsid w:val="00D915F0"/>
    <w:rsid w:val="00D93180"/>
    <w:rsid w:val="00D9423D"/>
    <w:rsid w:val="00D949ED"/>
    <w:rsid w:val="00D94C7A"/>
    <w:rsid w:val="00D9554E"/>
    <w:rsid w:val="00D957B5"/>
    <w:rsid w:val="00DA1B4B"/>
    <w:rsid w:val="00DA1F31"/>
    <w:rsid w:val="00DA37D8"/>
    <w:rsid w:val="00DA4094"/>
    <w:rsid w:val="00DA5306"/>
    <w:rsid w:val="00DA6E0C"/>
    <w:rsid w:val="00DA7D5A"/>
    <w:rsid w:val="00DB0DF4"/>
    <w:rsid w:val="00DB16A1"/>
    <w:rsid w:val="00DB1970"/>
    <w:rsid w:val="00DB3DCF"/>
    <w:rsid w:val="00DB41AB"/>
    <w:rsid w:val="00DB4C09"/>
    <w:rsid w:val="00DB5BB3"/>
    <w:rsid w:val="00DB5D48"/>
    <w:rsid w:val="00DB6E4F"/>
    <w:rsid w:val="00DB799F"/>
    <w:rsid w:val="00DB7A23"/>
    <w:rsid w:val="00DC00A6"/>
    <w:rsid w:val="00DC0F9B"/>
    <w:rsid w:val="00DC1E86"/>
    <w:rsid w:val="00DC2ACF"/>
    <w:rsid w:val="00DC33C8"/>
    <w:rsid w:val="00DC3F2D"/>
    <w:rsid w:val="00DC4B74"/>
    <w:rsid w:val="00DC5658"/>
    <w:rsid w:val="00DC74CB"/>
    <w:rsid w:val="00DD0533"/>
    <w:rsid w:val="00DD25E2"/>
    <w:rsid w:val="00DD4F0E"/>
    <w:rsid w:val="00DD7A93"/>
    <w:rsid w:val="00DE163E"/>
    <w:rsid w:val="00DE2686"/>
    <w:rsid w:val="00DE4A99"/>
    <w:rsid w:val="00DE51C9"/>
    <w:rsid w:val="00DE642E"/>
    <w:rsid w:val="00DF0034"/>
    <w:rsid w:val="00DF00B0"/>
    <w:rsid w:val="00DF0355"/>
    <w:rsid w:val="00DF0BF0"/>
    <w:rsid w:val="00DF1448"/>
    <w:rsid w:val="00DF1BDC"/>
    <w:rsid w:val="00DF2A63"/>
    <w:rsid w:val="00DF3CA2"/>
    <w:rsid w:val="00DF7A8C"/>
    <w:rsid w:val="00E00347"/>
    <w:rsid w:val="00E0038E"/>
    <w:rsid w:val="00E01463"/>
    <w:rsid w:val="00E014EF"/>
    <w:rsid w:val="00E0151F"/>
    <w:rsid w:val="00E01EDD"/>
    <w:rsid w:val="00E05E0A"/>
    <w:rsid w:val="00E060BE"/>
    <w:rsid w:val="00E06423"/>
    <w:rsid w:val="00E06B2B"/>
    <w:rsid w:val="00E11AE5"/>
    <w:rsid w:val="00E11EF8"/>
    <w:rsid w:val="00E138E0"/>
    <w:rsid w:val="00E153FB"/>
    <w:rsid w:val="00E20CD9"/>
    <w:rsid w:val="00E22369"/>
    <w:rsid w:val="00E23AA3"/>
    <w:rsid w:val="00E23DF3"/>
    <w:rsid w:val="00E23F99"/>
    <w:rsid w:val="00E2463D"/>
    <w:rsid w:val="00E25C5D"/>
    <w:rsid w:val="00E319B2"/>
    <w:rsid w:val="00E331D6"/>
    <w:rsid w:val="00E3389B"/>
    <w:rsid w:val="00E33954"/>
    <w:rsid w:val="00E35446"/>
    <w:rsid w:val="00E365E9"/>
    <w:rsid w:val="00E374DB"/>
    <w:rsid w:val="00E401E6"/>
    <w:rsid w:val="00E4072F"/>
    <w:rsid w:val="00E415EE"/>
    <w:rsid w:val="00E417BB"/>
    <w:rsid w:val="00E41C3A"/>
    <w:rsid w:val="00E4377E"/>
    <w:rsid w:val="00E445CE"/>
    <w:rsid w:val="00E44FE8"/>
    <w:rsid w:val="00E4502B"/>
    <w:rsid w:val="00E45540"/>
    <w:rsid w:val="00E462AA"/>
    <w:rsid w:val="00E4644F"/>
    <w:rsid w:val="00E46CA8"/>
    <w:rsid w:val="00E4738B"/>
    <w:rsid w:val="00E474BC"/>
    <w:rsid w:val="00E51FB3"/>
    <w:rsid w:val="00E532EE"/>
    <w:rsid w:val="00E534CF"/>
    <w:rsid w:val="00E53741"/>
    <w:rsid w:val="00E54CA2"/>
    <w:rsid w:val="00E57F9F"/>
    <w:rsid w:val="00E6077B"/>
    <w:rsid w:val="00E6120D"/>
    <w:rsid w:val="00E62398"/>
    <w:rsid w:val="00E623B4"/>
    <w:rsid w:val="00E628FA"/>
    <w:rsid w:val="00E71A17"/>
    <w:rsid w:val="00E71B83"/>
    <w:rsid w:val="00E72C29"/>
    <w:rsid w:val="00E744D6"/>
    <w:rsid w:val="00E7480B"/>
    <w:rsid w:val="00E76C14"/>
    <w:rsid w:val="00E7713E"/>
    <w:rsid w:val="00E77C59"/>
    <w:rsid w:val="00E81CB4"/>
    <w:rsid w:val="00E82D99"/>
    <w:rsid w:val="00E84CE6"/>
    <w:rsid w:val="00E8585B"/>
    <w:rsid w:val="00E8644D"/>
    <w:rsid w:val="00E86B56"/>
    <w:rsid w:val="00E86C6D"/>
    <w:rsid w:val="00E87993"/>
    <w:rsid w:val="00E901F4"/>
    <w:rsid w:val="00E90410"/>
    <w:rsid w:val="00E9309D"/>
    <w:rsid w:val="00E935AB"/>
    <w:rsid w:val="00E93A87"/>
    <w:rsid w:val="00E948D6"/>
    <w:rsid w:val="00E97B43"/>
    <w:rsid w:val="00EA0C2C"/>
    <w:rsid w:val="00EA0D88"/>
    <w:rsid w:val="00EA1E87"/>
    <w:rsid w:val="00EA335B"/>
    <w:rsid w:val="00EA3814"/>
    <w:rsid w:val="00EA3F15"/>
    <w:rsid w:val="00EA479C"/>
    <w:rsid w:val="00EA60AB"/>
    <w:rsid w:val="00EA6E9D"/>
    <w:rsid w:val="00EA6EAA"/>
    <w:rsid w:val="00EA723B"/>
    <w:rsid w:val="00EA7847"/>
    <w:rsid w:val="00EB0C5A"/>
    <w:rsid w:val="00EB1C37"/>
    <w:rsid w:val="00EB1CBB"/>
    <w:rsid w:val="00EB4C2F"/>
    <w:rsid w:val="00EB6FBB"/>
    <w:rsid w:val="00EB7257"/>
    <w:rsid w:val="00EB753E"/>
    <w:rsid w:val="00EB75C8"/>
    <w:rsid w:val="00EB7A9D"/>
    <w:rsid w:val="00EC126D"/>
    <w:rsid w:val="00EC165F"/>
    <w:rsid w:val="00EC20D9"/>
    <w:rsid w:val="00EC3BE8"/>
    <w:rsid w:val="00EC4128"/>
    <w:rsid w:val="00EC5A2C"/>
    <w:rsid w:val="00EC5D3C"/>
    <w:rsid w:val="00EC6986"/>
    <w:rsid w:val="00ED06D2"/>
    <w:rsid w:val="00ED13CD"/>
    <w:rsid w:val="00ED1A04"/>
    <w:rsid w:val="00ED1C94"/>
    <w:rsid w:val="00ED4740"/>
    <w:rsid w:val="00EE14B4"/>
    <w:rsid w:val="00EE2A5E"/>
    <w:rsid w:val="00EE2E1C"/>
    <w:rsid w:val="00EE2E6E"/>
    <w:rsid w:val="00EE4697"/>
    <w:rsid w:val="00EE550C"/>
    <w:rsid w:val="00EE5534"/>
    <w:rsid w:val="00EE57D7"/>
    <w:rsid w:val="00EE6C0F"/>
    <w:rsid w:val="00EE6E1E"/>
    <w:rsid w:val="00EE7209"/>
    <w:rsid w:val="00EF0C94"/>
    <w:rsid w:val="00EF2802"/>
    <w:rsid w:val="00EF3558"/>
    <w:rsid w:val="00EF47B6"/>
    <w:rsid w:val="00EF49B7"/>
    <w:rsid w:val="00EF5899"/>
    <w:rsid w:val="00EF5ADC"/>
    <w:rsid w:val="00EF63A9"/>
    <w:rsid w:val="00EF69A5"/>
    <w:rsid w:val="00EF6AC7"/>
    <w:rsid w:val="00EF7236"/>
    <w:rsid w:val="00F006D8"/>
    <w:rsid w:val="00F02FC9"/>
    <w:rsid w:val="00F03292"/>
    <w:rsid w:val="00F032E5"/>
    <w:rsid w:val="00F04EA6"/>
    <w:rsid w:val="00F0759E"/>
    <w:rsid w:val="00F11EFB"/>
    <w:rsid w:val="00F12593"/>
    <w:rsid w:val="00F125EF"/>
    <w:rsid w:val="00F127D6"/>
    <w:rsid w:val="00F13667"/>
    <w:rsid w:val="00F13CD6"/>
    <w:rsid w:val="00F14C46"/>
    <w:rsid w:val="00F16A43"/>
    <w:rsid w:val="00F1721A"/>
    <w:rsid w:val="00F1785B"/>
    <w:rsid w:val="00F17ECE"/>
    <w:rsid w:val="00F2003E"/>
    <w:rsid w:val="00F22247"/>
    <w:rsid w:val="00F233A2"/>
    <w:rsid w:val="00F23A1F"/>
    <w:rsid w:val="00F274BE"/>
    <w:rsid w:val="00F2799E"/>
    <w:rsid w:val="00F27F10"/>
    <w:rsid w:val="00F30839"/>
    <w:rsid w:val="00F33E4C"/>
    <w:rsid w:val="00F340A2"/>
    <w:rsid w:val="00F3489E"/>
    <w:rsid w:val="00F3511A"/>
    <w:rsid w:val="00F37317"/>
    <w:rsid w:val="00F3793F"/>
    <w:rsid w:val="00F407A9"/>
    <w:rsid w:val="00F4269D"/>
    <w:rsid w:val="00F439EB"/>
    <w:rsid w:val="00F44218"/>
    <w:rsid w:val="00F45384"/>
    <w:rsid w:val="00F4576D"/>
    <w:rsid w:val="00F459B2"/>
    <w:rsid w:val="00F4668C"/>
    <w:rsid w:val="00F46780"/>
    <w:rsid w:val="00F47548"/>
    <w:rsid w:val="00F47A79"/>
    <w:rsid w:val="00F47AB6"/>
    <w:rsid w:val="00F512CB"/>
    <w:rsid w:val="00F5162D"/>
    <w:rsid w:val="00F5196F"/>
    <w:rsid w:val="00F52CAB"/>
    <w:rsid w:val="00F5339D"/>
    <w:rsid w:val="00F54622"/>
    <w:rsid w:val="00F57562"/>
    <w:rsid w:val="00F6142D"/>
    <w:rsid w:val="00F614C2"/>
    <w:rsid w:val="00F63916"/>
    <w:rsid w:val="00F63985"/>
    <w:rsid w:val="00F6480D"/>
    <w:rsid w:val="00F64E51"/>
    <w:rsid w:val="00F65119"/>
    <w:rsid w:val="00F65B00"/>
    <w:rsid w:val="00F66361"/>
    <w:rsid w:val="00F66C72"/>
    <w:rsid w:val="00F67EAC"/>
    <w:rsid w:val="00F71DDD"/>
    <w:rsid w:val="00F74E0C"/>
    <w:rsid w:val="00F751BD"/>
    <w:rsid w:val="00F76EE0"/>
    <w:rsid w:val="00F76FDC"/>
    <w:rsid w:val="00F7722E"/>
    <w:rsid w:val="00F77F9A"/>
    <w:rsid w:val="00F821A3"/>
    <w:rsid w:val="00F855F9"/>
    <w:rsid w:val="00F873D4"/>
    <w:rsid w:val="00F87878"/>
    <w:rsid w:val="00F90559"/>
    <w:rsid w:val="00F90D59"/>
    <w:rsid w:val="00F9105A"/>
    <w:rsid w:val="00F92BD9"/>
    <w:rsid w:val="00F9314A"/>
    <w:rsid w:val="00F93BFB"/>
    <w:rsid w:val="00F940B2"/>
    <w:rsid w:val="00F94BB8"/>
    <w:rsid w:val="00F953E1"/>
    <w:rsid w:val="00F95475"/>
    <w:rsid w:val="00F9646F"/>
    <w:rsid w:val="00F9799D"/>
    <w:rsid w:val="00FA0172"/>
    <w:rsid w:val="00FA29BD"/>
    <w:rsid w:val="00FA2A25"/>
    <w:rsid w:val="00FA2C71"/>
    <w:rsid w:val="00FA48D3"/>
    <w:rsid w:val="00FA4BA6"/>
    <w:rsid w:val="00FA569A"/>
    <w:rsid w:val="00FA605C"/>
    <w:rsid w:val="00FA62A6"/>
    <w:rsid w:val="00FA6CC9"/>
    <w:rsid w:val="00FA774A"/>
    <w:rsid w:val="00FB0298"/>
    <w:rsid w:val="00FB0E50"/>
    <w:rsid w:val="00FB1585"/>
    <w:rsid w:val="00FB1800"/>
    <w:rsid w:val="00FB24C0"/>
    <w:rsid w:val="00FB3A96"/>
    <w:rsid w:val="00FB435C"/>
    <w:rsid w:val="00FB4424"/>
    <w:rsid w:val="00FB631E"/>
    <w:rsid w:val="00FB65E7"/>
    <w:rsid w:val="00FB7C3B"/>
    <w:rsid w:val="00FC1120"/>
    <w:rsid w:val="00FC2BC3"/>
    <w:rsid w:val="00FC3BBB"/>
    <w:rsid w:val="00FC4506"/>
    <w:rsid w:val="00FC4577"/>
    <w:rsid w:val="00FC4A47"/>
    <w:rsid w:val="00FC531E"/>
    <w:rsid w:val="00FC58EF"/>
    <w:rsid w:val="00FC5BD8"/>
    <w:rsid w:val="00FC645C"/>
    <w:rsid w:val="00FC7E22"/>
    <w:rsid w:val="00FD0A4F"/>
    <w:rsid w:val="00FD33DF"/>
    <w:rsid w:val="00FD58B1"/>
    <w:rsid w:val="00FD6D83"/>
    <w:rsid w:val="00FE0861"/>
    <w:rsid w:val="00FE39D7"/>
    <w:rsid w:val="00FE3B37"/>
    <w:rsid w:val="00FE49D2"/>
    <w:rsid w:val="00FE4E8D"/>
    <w:rsid w:val="00FE53B8"/>
    <w:rsid w:val="00FE7026"/>
    <w:rsid w:val="00FF12A2"/>
    <w:rsid w:val="00FF19BF"/>
    <w:rsid w:val="00FF364D"/>
    <w:rsid w:val="00FF37D3"/>
    <w:rsid w:val="00FF44C0"/>
    <w:rsid w:val="00FF4D1B"/>
    <w:rsid w:val="00FF4F85"/>
    <w:rsid w:val="00FF72B2"/>
    <w:rsid w:val="00FF77B7"/>
    <w:rsid w:val="00FF792C"/>
    <w:rsid w:val="01DD8646"/>
    <w:rsid w:val="020A773E"/>
    <w:rsid w:val="02FBCA85"/>
    <w:rsid w:val="0616757F"/>
    <w:rsid w:val="06E66D5F"/>
    <w:rsid w:val="07F704A8"/>
    <w:rsid w:val="087454D6"/>
    <w:rsid w:val="092000C3"/>
    <w:rsid w:val="0A93618F"/>
    <w:rsid w:val="0B588CD1"/>
    <w:rsid w:val="0CBED115"/>
    <w:rsid w:val="1090A192"/>
    <w:rsid w:val="10F3454E"/>
    <w:rsid w:val="1137439F"/>
    <w:rsid w:val="115DE82D"/>
    <w:rsid w:val="130FEC0E"/>
    <w:rsid w:val="13B515B7"/>
    <w:rsid w:val="13EEABC8"/>
    <w:rsid w:val="146DEA71"/>
    <w:rsid w:val="16C3780D"/>
    <w:rsid w:val="175A229A"/>
    <w:rsid w:val="18B6B3E5"/>
    <w:rsid w:val="195A3235"/>
    <w:rsid w:val="1A44D50A"/>
    <w:rsid w:val="1AD3F820"/>
    <w:rsid w:val="1B7611E0"/>
    <w:rsid w:val="1CAAC357"/>
    <w:rsid w:val="1CF7EFF7"/>
    <w:rsid w:val="1E723003"/>
    <w:rsid w:val="1E7C4947"/>
    <w:rsid w:val="1EFE3FE9"/>
    <w:rsid w:val="212DD505"/>
    <w:rsid w:val="241C6B78"/>
    <w:rsid w:val="24A082D5"/>
    <w:rsid w:val="263B88ED"/>
    <w:rsid w:val="2680B251"/>
    <w:rsid w:val="27CFD5A4"/>
    <w:rsid w:val="2AF68D5B"/>
    <w:rsid w:val="2B1627E5"/>
    <w:rsid w:val="2BFCD34E"/>
    <w:rsid w:val="2D0C7592"/>
    <w:rsid w:val="30E42B7A"/>
    <w:rsid w:val="30FB38A2"/>
    <w:rsid w:val="324C0CF2"/>
    <w:rsid w:val="32532269"/>
    <w:rsid w:val="32D6AB93"/>
    <w:rsid w:val="3334D281"/>
    <w:rsid w:val="345097CE"/>
    <w:rsid w:val="35ECE0C8"/>
    <w:rsid w:val="363582A9"/>
    <w:rsid w:val="36477D5E"/>
    <w:rsid w:val="366B2F23"/>
    <w:rsid w:val="366E3F56"/>
    <w:rsid w:val="381C9F2E"/>
    <w:rsid w:val="3885D8AE"/>
    <w:rsid w:val="38B23840"/>
    <w:rsid w:val="3A28A4B2"/>
    <w:rsid w:val="3A30E775"/>
    <w:rsid w:val="3ABBEE87"/>
    <w:rsid w:val="3AD3BD04"/>
    <w:rsid w:val="3BCBBF8E"/>
    <w:rsid w:val="3C39AC8F"/>
    <w:rsid w:val="3C3B0EBA"/>
    <w:rsid w:val="3D0CA364"/>
    <w:rsid w:val="3D3F3B80"/>
    <w:rsid w:val="3DF1ED68"/>
    <w:rsid w:val="3E6651E4"/>
    <w:rsid w:val="3ED4DA2B"/>
    <w:rsid w:val="3F099262"/>
    <w:rsid w:val="3F3B6B99"/>
    <w:rsid w:val="4049DEC0"/>
    <w:rsid w:val="42C7DD9E"/>
    <w:rsid w:val="43B94241"/>
    <w:rsid w:val="444A0378"/>
    <w:rsid w:val="44BE02A2"/>
    <w:rsid w:val="4585265D"/>
    <w:rsid w:val="45F91119"/>
    <w:rsid w:val="462EF91A"/>
    <w:rsid w:val="4635892E"/>
    <w:rsid w:val="49AB11DC"/>
    <w:rsid w:val="4A18DC85"/>
    <w:rsid w:val="4BC5CDC4"/>
    <w:rsid w:val="4D9537CD"/>
    <w:rsid w:val="4E715E98"/>
    <w:rsid w:val="4EE9DA98"/>
    <w:rsid w:val="4F50CED5"/>
    <w:rsid w:val="4FD22B28"/>
    <w:rsid w:val="4FE8CDEA"/>
    <w:rsid w:val="526C1302"/>
    <w:rsid w:val="5316D0E9"/>
    <w:rsid w:val="56E40ABA"/>
    <w:rsid w:val="56F45A10"/>
    <w:rsid w:val="57232371"/>
    <w:rsid w:val="5730B1BA"/>
    <w:rsid w:val="58DF285C"/>
    <w:rsid w:val="5904C8F7"/>
    <w:rsid w:val="59A197AF"/>
    <w:rsid w:val="5B8CC2FE"/>
    <w:rsid w:val="5CEB65DE"/>
    <w:rsid w:val="5F08077D"/>
    <w:rsid w:val="5F170CC3"/>
    <w:rsid w:val="5F35762C"/>
    <w:rsid w:val="605A31D6"/>
    <w:rsid w:val="60AB4FD5"/>
    <w:rsid w:val="612E67E2"/>
    <w:rsid w:val="619DE2C9"/>
    <w:rsid w:val="645C0E70"/>
    <w:rsid w:val="64FA1CD1"/>
    <w:rsid w:val="66E74EAA"/>
    <w:rsid w:val="67945250"/>
    <w:rsid w:val="6897233D"/>
    <w:rsid w:val="6903AF08"/>
    <w:rsid w:val="6A415259"/>
    <w:rsid w:val="6AD4CE31"/>
    <w:rsid w:val="6AE52439"/>
    <w:rsid w:val="6C2C4AD8"/>
    <w:rsid w:val="6C38E224"/>
    <w:rsid w:val="6D4C7F68"/>
    <w:rsid w:val="6E4DB716"/>
    <w:rsid w:val="6E6C7538"/>
    <w:rsid w:val="6FC40744"/>
    <w:rsid w:val="70B711F9"/>
    <w:rsid w:val="711ADF64"/>
    <w:rsid w:val="71401185"/>
    <w:rsid w:val="7206E4D4"/>
    <w:rsid w:val="73183FFF"/>
    <w:rsid w:val="73223666"/>
    <w:rsid w:val="75C68159"/>
    <w:rsid w:val="77F84828"/>
    <w:rsid w:val="78CB0C99"/>
    <w:rsid w:val="7ABADD25"/>
    <w:rsid w:val="7B6B6B74"/>
    <w:rsid w:val="7D2A678D"/>
    <w:rsid w:val="7F15D9A5"/>
    <w:rsid w:val="7F2C8104"/>
    <w:rsid w:val="7F7BD9D3"/>
    <w:rsid w:val="7FC3F809"/>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17A7786"/>
  <w15:docId w15:val="{DCE6F5D3-2C01-40CA-9638-ADC9612B8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aliases w:val="Neg"/>
    <w:basedOn w:val="Normal"/>
    <w:next w:val="Normal"/>
    <w:link w:val="Ttulo2Car"/>
    <w:qFormat/>
    <w:rsid w:val="00545704"/>
    <w:pPr>
      <w:keepNext/>
      <w:widowControl w:val="0"/>
      <w:numPr>
        <w:numId w:val="3"/>
      </w:numPr>
      <w:adjustRightInd w:val="0"/>
      <w:spacing w:line="360" w:lineRule="auto"/>
      <w:jc w:val="both"/>
      <w:textAlignment w:val="baseline"/>
      <w:outlineLvl w:val="1"/>
    </w:pPr>
    <w:rPr>
      <w:b/>
      <w:bCs/>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nhideWhenUsed/>
    <w:qFormat/>
    <w:rsid w:val="006B4647"/>
    <w:pPr>
      <w:spacing w:before="240" w:after="60"/>
      <w:outlineLvl w:val="6"/>
    </w:pPr>
    <w:rPr>
      <w:rFonts w:ascii="Calibri" w:hAnsi="Calibri"/>
    </w:rPr>
  </w:style>
  <w:style w:type="paragraph" w:styleId="Ttulo8">
    <w:name w:val="heading 8"/>
    <w:basedOn w:val="Normal"/>
    <w:next w:val="Normal"/>
    <w:link w:val="Ttulo8Car"/>
    <w:qFormat/>
    <w:rsid w:val="00545704"/>
    <w:pPr>
      <w:keepNext/>
      <w:widowControl w:val="0"/>
      <w:adjustRightInd w:val="0"/>
      <w:spacing w:line="360" w:lineRule="atLeast"/>
      <w:ind w:left="0"/>
      <w:jc w:val="both"/>
      <w:textAlignment w:val="baseline"/>
      <w:outlineLvl w:val="7"/>
    </w:pPr>
    <w:rPr>
      <w:rFonts w:ascii="Arial" w:hAnsi="Arial" w:cs="Arial"/>
      <w:b/>
      <w:sz w:val="44"/>
    </w:rPr>
  </w:style>
  <w:style w:type="paragraph" w:styleId="Ttulo9">
    <w:name w:val="heading 9"/>
    <w:basedOn w:val="Normal"/>
    <w:next w:val="Normal"/>
    <w:link w:val="Ttulo9Car"/>
    <w:qFormat/>
    <w:rsid w:val="00545704"/>
    <w:pPr>
      <w:widowControl w:val="0"/>
      <w:adjustRightInd w:val="0"/>
      <w:spacing w:before="120" w:after="120" w:line="360" w:lineRule="atLeast"/>
      <w:ind w:left="0"/>
      <w:jc w:val="center"/>
      <w:textAlignment w:val="baseline"/>
      <w:outlineLvl w:val="8"/>
    </w:pPr>
    <w:rPr>
      <w:rFonts w:ascii="Arial" w:hAnsi="Arial"/>
      <w:b/>
      <w:i/>
      <w:sz w:val="2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rsid w:val="003101DA"/>
    <w:pPr>
      <w:jc w:val="center"/>
      <w:outlineLvl w:val="0"/>
    </w:pPr>
    <w:rPr>
      <w:rFonts w:ascii="Arial" w:hAnsi="Arial" w:cs="Arial"/>
      <w:b/>
      <w:bCs/>
      <w:spacing w:val="-3"/>
    </w:rPr>
  </w:style>
  <w:style w:type="paragraph" w:styleId="Textodeglobo">
    <w:name w:val="Balloon Text"/>
    <w:basedOn w:val="Normal"/>
    <w:link w:val="TextodegloboCar"/>
    <w:unhideWhenUsed/>
    <w:rsid w:val="00725FA4"/>
    <w:rPr>
      <w:rFonts w:ascii="Tahoma" w:hAnsi="Tahoma" w:cs="Tahoma"/>
      <w:sz w:val="16"/>
      <w:szCs w:val="16"/>
    </w:rPr>
  </w:style>
  <w:style w:type="character" w:customStyle="1" w:styleId="TextodegloboCar">
    <w:name w:val="Texto de globo Car"/>
    <w:link w:val="Textodeglobo"/>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styleId="Descripcin">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2"/>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customStyle="1" w:styleId="Ttulo2Car">
    <w:name w:val="Título 2 Car"/>
    <w:aliases w:val="Neg Car"/>
    <w:link w:val="Ttulo2"/>
    <w:rsid w:val="00545704"/>
    <w:rPr>
      <w:b/>
      <w:bCs/>
      <w:sz w:val="24"/>
      <w:szCs w:val="24"/>
      <w:lang w:val="es-ES" w:eastAsia="es-ES"/>
    </w:rPr>
  </w:style>
  <w:style w:type="character" w:customStyle="1" w:styleId="Ttulo8Car">
    <w:name w:val="Título 8 Car"/>
    <w:link w:val="Ttulo8"/>
    <w:rsid w:val="00545704"/>
    <w:rPr>
      <w:rFonts w:ascii="Arial" w:hAnsi="Arial" w:cs="Arial"/>
      <w:b/>
      <w:sz w:val="44"/>
      <w:szCs w:val="24"/>
      <w:lang w:val="es-ES" w:eastAsia="es-ES"/>
    </w:rPr>
  </w:style>
  <w:style w:type="character" w:customStyle="1" w:styleId="Ttulo9Car">
    <w:name w:val="Título 9 Car"/>
    <w:link w:val="Ttulo9"/>
    <w:rsid w:val="00545704"/>
    <w:rPr>
      <w:rFonts w:ascii="Arial" w:hAnsi="Arial"/>
      <w:b/>
      <w:i/>
      <w:sz w:val="28"/>
      <w:lang w:val="es-ES_tradnl" w:eastAsia="es-ES"/>
    </w:rPr>
  </w:style>
  <w:style w:type="paragraph" w:customStyle="1" w:styleId="PliegoTitulo1">
    <w:name w:val="Pliego_Titulo1"/>
    <w:basedOn w:val="Pliego-Normal"/>
    <w:next w:val="Pliego-Normal"/>
    <w:rsid w:val="00545704"/>
    <w:pPr>
      <w:numPr>
        <w:numId w:val="4"/>
      </w:numPr>
      <w:jc w:val="center"/>
    </w:pPr>
    <w:rPr>
      <w:b/>
    </w:rPr>
  </w:style>
  <w:style w:type="paragraph" w:customStyle="1" w:styleId="Pliego-Normal">
    <w:name w:val="Pliego-Normal"/>
    <w:basedOn w:val="Normal"/>
    <w:rsid w:val="00545704"/>
    <w:pPr>
      <w:widowControl w:val="0"/>
      <w:adjustRightInd w:val="0"/>
      <w:spacing w:line="360" w:lineRule="atLeast"/>
      <w:ind w:left="0"/>
      <w:jc w:val="both"/>
      <w:textAlignment w:val="baseline"/>
    </w:pPr>
    <w:rPr>
      <w:rFonts w:ascii="Garamond" w:hAnsi="Garamond"/>
      <w:bCs/>
      <w:sz w:val="22"/>
      <w:szCs w:val="20"/>
      <w:lang w:val="es-ES_tradnl"/>
    </w:rPr>
  </w:style>
  <w:style w:type="paragraph" w:customStyle="1" w:styleId="PliegoTitulo2">
    <w:name w:val="Pliego_Titulo2"/>
    <w:basedOn w:val="Pliego-Normal"/>
    <w:next w:val="Pliego-Normal"/>
    <w:rsid w:val="00545704"/>
    <w:pPr>
      <w:numPr>
        <w:ilvl w:val="2"/>
        <w:numId w:val="4"/>
      </w:numPr>
      <w:tabs>
        <w:tab w:val="clear" w:pos="720"/>
        <w:tab w:val="num" w:pos="576"/>
      </w:tabs>
      <w:ind w:left="576" w:hanging="576"/>
    </w:pPr>
    <w:rPr>
      <w:b/>
    </w:rPr>
  </w:style>
  <w:style w:type="paragraph" w:customStyle="1" w:styleId="PliegoTitulo3">
    <w:name w:val="Pliego_Titulo3"/>
    <w:basedOn w:val="Pliego-Normal"/>
    <w:next w:val="Pliego-Normal"/>
    <w:autoRedefine/>
    <w:rsid w:val="00545704"/>
    <w:pPr>
      <w:numPr>
        <w:ilvl w:val="3"/>
        <w:numId w:val="4"/>
      </w:numPr>
      <w:tabs>
        <w:tab w:val="clear" w:pos="864"/>
        <w:tab w:val="num" w:pos="720"/>
      </w:tabs>
      <w:ind w:left="720" w:hanging="720"/>
    </w:pPr>
    <w:rPr>
      <w:b/>
      <w:i/>
    </w:rPr>
  </w:style>
  <w:style w:type="paragraph" w:customStyle="1" w:styleId="PliegoTitulo4">
    <w:name w:val="Pliego_Titulo4"/>
    <w:basedOn w:val="Pliego-Normal"/>
    <w:next w:val="Pliego-Normal"/>
    <w:rsid w:val="00545704"/>
    <w:pPr>
      <w:numPr>
        <w:ilvl w:val="4"/>
        <w:numId w:val="4"/>
      </w:numPr>
      <w:tabs>
        <w:tab w:val="clear" w:pos="1440"/>
        <w:tab w:val="num" w:pos="864"/>
      </w:tabs>
      <w:ind w:left="864" w:hanging="864"/>
    </w:pPr>
    <w:rPr>
      <w:i/>
    </w:rPr>
  </w:style>
  <w:style w:type="paragraph" w:customStyle="1" w:styleId="p0">
    <w:name w:val="p0"/>
    <w:basedOn w:val="Normal"/>
    <w:rsid w:val="00545704"/>
    <w:pPr>
      <w:widowControl w:val="0"/>
      <w:tabs>
        <w:tab w:val="left" w:pos="720"/>
      </w:tabs>
      <w:adjustRightInd w:val="0"/>
      <w:spacing w:line="240" w:lineRule="atLeast"/>
      <w:ind w:left="0"/>
      <w:jc w:val="both"/>
      <w:textAlignment w:val="baseline"/>
    </w:pPr>
    <w:rPr>
      <w:rFonts w:ascii="Arial" w:hAnsi="Arial"/>
      <w:snapToGrid w:val="0"/>
      <w:szCs w:val="20"/>
    </w:rPr>
  </w:style>
  <w:style w:type="character" w:styleId="Hipervnculo">
    <w:name w:val="Hyperlink"/>
    <w:uiPriority w:val="99"/>
    <w:rsid w:val="00545704"/>
    <w:rPr>
      <w:color w:val="0000FF"/>
      <w:u w:val="single"/>
    </w:rPr>
  </w:style>
  <w:style w:type="paragraph" w:styleId="TDC2">
    <w:name w:val="toc 2"/>
    <w:basedOn w:val="Normal"/>
    <w:next w:val="Normal"/>
    <w:autoRedefine/>
    <w:rsid w:val="00545704"/>
    <w:pPr>
      <w:widowControl w:val="0"/>
      <w:adjustRightInd w:val="0"/>
      <w:spacing w:before="240" w:line="360" w:lineRule="atLeast"/>
      <w:ind w:left="0"/>
      <w:textAlignment w:val="baseline"/>
    </w:pPr>
    <w:rPr>
      <w:b/>
      <w:bCs/>
    </w:rPr>
  </w:style>
  <w:style w:type="character" w:styleId="Refdenotaalpie">
    <w:name w:val="footnote reference"/>
    <w:semiHidden/>
    <w:rsid w:val="00545704"/>
    <w:rPr>
      <w:vertAlign w:val="superscript"/>
    </w:rPr>
  </w:style>
  <w:style w:type="paragraph" w:customStyle="1" w:styleId="Textoindependiente31">
    <w:name w:val="Texto independiente 31"/>
    <w:basedOn w:val="Normal"/>
    <w:rsid w:val="00545704"/>
    <w:pPr>
      <w:widowControl w:val="0"/>
      <w:adjustRightInd w:val="0"/>
      <w:spacing w:before="120" w:after="120" w:line="360" w:lineRule="atLeast"/>
      <w:ind w:left="0"/>
      <w:jc w:val="both"/>
      <w:textAlignment w:val="baseline"/>
    </w:pPr>
    <w:rPr>
      <w:rFonts w:ascii="Arial" w:hAnsi="Arial"/>
      <w:sz w:val="22"/>
      <w:szCs w:val="20"/>
    </w:rPr>
  </w:style>
  <w:style w:type="paragraph" w:styleId="NormalWeb">
    <w:name w:val="Normal (Web)"/>
    <w:basedOn w:val="Normal"/>
    <w:uiPriority w:val="99"/>
    <w:rsid w:val="00545704"/>
    <w:pPr>
      <w:widowControl w:val="0"/>
      <w:adjustRightInd w:val="0"/>
      <w:spacing w:before="100" w:beforeAutospacing="1" w:after="100" w:afterAutospacing="1" w:line="360" w:lineRule="atLeast"/>
      <w:ind w:left="0"/>
      <w:jc w:val="both"/>
      <w:textAlignment w:val="baseline"/>
    </w:pPr>
  </w:style>
  <w:style w:type="paragraph" w:customStyle="1" w:styleId="xl30">
    <w:name w:val="xl30"/>
    <w:basedOn w:val="Normal"/>
    <w:rsid w:val="00545704"/>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ind w:left="0"/>
      <w:jc w:val="both"/>
      <w:textAlignment w:val="center"/>
    </w:pPr>
    <w:rPr>
      <w:rFonts w:ascii="Arial" w:eastAsia="Arial Unicode MS" w:hAnsi="Arial" w:cs="Arial"/>
      <w:sz w:val="22"/>
      <w:szCs w:val="22"/>
    </w:rPr>
  </w:style>
  <w:style w:type="paragraph" w:customStyle="1" w:styleId="xl29">
    <w:name w:val="xl29"/>
    <w:basedOn w:val="Normal"/>
    <w:rsid w:val="00545704"/>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ind w:left="0"/>
      <w:jc w:val="center"/>
      <w:textAlignment w:val="center"/>
    </w:pPr>
    <w:rPr>
      <w:rFonts w:ascii="Arial" w:eastAsia="Arial Unicode MS" w:hAnsi="Arial" w:cs="Arial"/>
      <w:sz w:val="22"/>
      <w:szCs w:val="22"/>
    </w:rPr>
  </w:style>
  <w:style w:type="paragraph" w:styleId="ndice1">
    <w:name w:val="index 1"/>
    <w:basedOn w:val="Normal"/>
    <w:next w:val="Normal"/>
    <w:autoRedefine/>
    <w:semiHidden/>
    <w:rsid w:val="00545704"/>
    <w:pPr>
      <w:widowControl w:val="0"/>
      <w:adjustRightInd w:val="0"/>
      <w:spacing w:line="360" w:lineRule="atLeast"/>
      <w:ind w:left="0"/>
      <w:jc w:val="both"/>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545704"/>
    <w:pPr>
      <w:widowControl w:val="0"/>
      <w:pBdr>
        <w:top w:val="single" w:sz="6" w:space="1" w:color="auto"/>
      </w:pBdr>
      <w:adjustRightInd w:val="0"/>
      <w:spacing w:line="360" w:lineRule="atLeast"/>
      <w:ind w:left="0"/>
      <w:jc w:val="center"/>
      <w:textAlignment w:val="baseline"/>
    </w:pPr>
    <w:rPr>
      <w:rFonts w:ascii="Arial" w:hAnsi="Arial" w:cs="Arial"/>
      <w:vanish/>
      <w:color w:val="000000"/>
      <w:sz w:val="16"/>
      <w:szCs w:val="16"/>
    </w:rPr>
  </w:style>
  <w:style w:type="character" w:customStyle="1" w:styleId="z-FinaldelformularioCar">
    <w:name w:val="z-Final del formulario Car"/>
    <w:link w:val="z-Finaldelformulario"/>
    <w:rsid w:val="00545704"/>
    <w:rPr>
      <w:rFonts w:ascii="Arial" w:hAnsi="Arial" w:cs="Arial"/>
      <w:vanish/>
      <w:color w:val="000000"/>
      <w:sz w:val="16"/>
      <w:szCs w:val="16"/>
      <w:lang w:val="es-ES" w:eastAsia="es-ES"/>
    </w:rPr>
  </w:style>
  <w:style w:type="paragraph" w:customStyle="1" w:styleId="tabelltekst">
    <w:name w:val="tabelltekst"/>
    <w:basedOn w:val="Normal"/>
    <w:rsid w:val="00545704"/>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ind w:left="0"/>
      <w:jc w:val="both"/>
      <w:textAlignment w:val="baseline"/>
    </w:pPr>
    <w:rPr>
      <w:sz w:val="22"/>
      <w:szCs w:val="20"/>
      <w:lang w:val="nb-NO" w:eastAsia="en-US"/>
    </w:rPr>
  </w:style>
  <w:style w:type="paragraph" w:styleId="Textonotapie">
    <w:name w:val="footnote text"/>
    <w:basedOn w:val="Normal"/>
    <w:link w:val="TextonotapieCar"/>
    <w:semiHidden/>
    <w:rsid w:val="00545704"/>
    <w:pPr>
      <w:widowControl w:val="0"/>
      <w:adjustRightInd w:val="0"/>
      <w:spacing w:line="360" w:lineRule="atLeast"/>
      <w:ind w:left="0"/>
      <w:jc w:val="both"/>
      <w:textAlignment w:val="baseline"/>
    </w:pPr>
    <w:rPr>
      <w:sz w:val="20"/>
      <w:szCs w:val="20"/>
    </w:rPr>
  </w:style>
  <w:style w:type="character" w:customStyle="1" w:styleId="TextonotapieCar">
    <w:name w:val="Texto nota pie Car"/>
    <w:link w:val="Textonotapie"/>
    <w:semiHidden/>
    <w:rsid w:val="00545704"/>
    <w:rPr>
      <w:lang w:val="es-ES" w:eastAsia="es-ES"/>
    </w:rPr>
  </w:style>
  <w:style w:type="paragraph" w:styleId="TDC3">
    <w:name w:val="toc 3"/>
    <w:basedOn w:val="Normal"/>
    <w:next w:val="Normal"/>
    <w:autoRedefine/>
    <w:rsid w:val="00545704"/>
    <w:pPr>
      <w:widowControl w:val="0"/>
      <w:adjustRightInd w:val="0"/>
      <w:spacing w:line="360" w:lineRule="atLeast"/>
      <w:ind w:left="240"/>
      <w:textAlignment w:val="baseline"/>
    </w:pPr>
  </w:style>
  <w:style w:type="paragraph" w:customStyle="1" w:styleId="NormalTesis">
    <w:name w:val="Normal Tesis"/>
    <w:basedOn w:val="Textoindependiente"/>
    <w:rsid w:val="00545704"/>
    <w:pPr>
      <w:widowControl w:val="0"/>
      <w:adjustRightInd w:val="0"/>
      <w:spacing w:line="360" w:lineRule="auto"/>
      <w:ind w:left="0"/>
      <w:jc w:val="both"/>
      <w:textAlignment w:val="baseline"/>
    </w:pPr>
    <w:rPr>
      <w:b w:val="0"/>
      <w:bCs w:val="0"/>
      <w:sz w:val="22"/>
    </w:rPr>
  </w:style>
  <w:style w:type="character" w:styleId="Refdecomentario">
    <w:name w:val="annotation reference"/>
    <w:semiHidden/>
    <w:rsid w:val="00545704"/>
    <w:rPr>
      <w:sz w:val="16"/>
      <w:szCs w:val="16"/>
    </w:rPr>
  </w:style>
  <w:style w:type="paragraph" w:styleId="Textocomentario">
    <w:name w:val="annotation text"/>
    <w:basedOn w:val="Normal"/>
    <w:link w:val="TextocomentarioCar"/>
    <w:semiHidden/>
    <w:rsid w:val="00545704"/>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semiHidden/>
    <w:rsid w:val="00545704"/>
    <w:rPr>
      <w:lang w:val="es-ES" w:eastAsia="es-ES"/>
    </w:rPr>
  </w:style>
  <w:style w:type="paragraph" w:styleId="TDC4">
    <w:name w:val="toc 4"/>
    <w:basedOn w:val="Normal"/>
    <w:next w:val="Normal"/>
    <w:autoRedefine/>
    <w:semiHidden/>
    <w:rsid w:val="00545704"/>
    <w:pPr>
      <w:widowControl w:val="0"/>
      <w:adjustRightInd w:val="0"/>
      <w:spacing w:line="360" w:lineRule="atLeast"/>
      <w:ind w:left="480"/>
      <w:textAlignment w:val="baseline"/>
    </w:pPr>
  </w:style>
  <w:style w:type="paragraph" w:styleId="TDC5">
    <w:name w:val="toc 5"/>
    <w:basedOn w:val="Normal"/>
    <w:next w:val="Normal"/>
    <w:autoRedefine/>
    <w:semiHidden/>
    <w:rsid w:val="00545704"/>
    <w:pPr>
      <w:widowControl w:val="0"/>
      <w:adjustRightInd w:val="0"/>
      <w:spacing w:line="360" w:lineRule="atLeast"/>
      <w:ind w:left="720"/>
      <w:textAlignment w:val="baseline"/>
    </w:pPr>
  </w:style>
  <w:style w:type="paragraph" w:styleId="TDC6">
    <w:name w:val="toc 6"/>
    <w:basedOn w:val="Normal"/>
    <w:next w:val="Normal"/>
    <w:autoRedefine/>
    <w:semiHidden/>
    <w:rsid w:val="00545704"/>
    <w:pPr>
      <w:widowControl w:val="0"/>
      <w:adjustRightInd w:val="0"/>
      <w:spacing w:line="360" w:lineRule="atLeast"/>
      <w:ind w:left="960"/>
      <w:textAlignment w:val="baseline"/>
    </w:pPr>
  </w:style>
  <w:style w:type="paragraph" w:styleId="TDC7">
    <w:name w:val="toc 7"/>
    <w:basedOn w:val="Normal"/>
    <w:next w:val="Normal"/>
    <w:autoRedefine/>
    <w:semiHidden/>
    <w:rsid w:val="00545704"/>
    <w:pPr>
      <w:widowControl w:val="0"/>
      <w:adjustRightInd w:val="0"/>
      <w:spacing w:line="360" w:lineRule="atLeast"/>
      <w:ind w:left="1200"/>
      <w:textAlignment w:val="baseline"/>
    </w:pPr>
  </w:style>
  <w:style w:type="paragraph" w:styleId="TDC8">
    <w:name w:val="toc 8"/>
    <w:basedOn w:val="Normal"/>
    <w:next w:val="Normal"/>
    <w:autoRedefine/>
    <w:semiHidden/>
    <w:rsid w:val="00545704"/>
    <w:pPr>
      <w:widowControl w:val="0"/>
      <w:adjustRightInd w:val="0"/>
      <w:spacing w:line="360" w:lineRule="atLeast"/>
      <w:ind w:left="1440"/>
      <w:textAlignment w:val="baseline"/>
    </w:pPr>
  </w:style>
  <w:style w:type="paragraph" w:styleId="TDC9">
    <w:name w:val="toc 9"/>
    <w:basedOn w:val="Normal"/>
    <w:next w:val="Normal"/>
    <w:autoRedefine/>
    <w:semiHidden/>
    <w:rsid w:val="00545704"/>
    <w:pPr>
      <w:widowControl w:val="0"/>
      <w:adjustRightInd w:val="0"/>
      <w:spacing w:line="360" w:lineRule="atLeast"/>
      <w:ind w:left="1680"/>
      <w:textAlignment w:val="baseline"/>
    </w:pPr>
  </w:style>
  <w:style w:type="character" w:styleId="Hipervnculovisitado">
    <w:name w:val="FollowedHyperlink"/>
    <w:rsid w:val="00545704"/>
    <w:rPr>
      <w:color w:val="800080"/>
      <w:u w:val="single"/>
    </w:rPr>
  </w:style>
  <w:style w:type="paragraph" w:styleId="Textosinformato">
    <w:name w:val="Plain Text"/>
    <w:basedOn w:val="Normal"/>
    <w:link w:val="TextosinformatoCar"/>
    <w:rsid w:val="00545704"/>
    <w:pPr>
      <w:widowControl w:val="0"/>
      <w:adjustRightInd w:val="0"/>
      <w:spacing w:line="360" w:lineRule="atLeast"/>
      <w:ind w:left="0"/>
      <w:jc w:val="both"/>
      <w:textAlignment w:val="baseline"/>
    </w:pPr>
    <w:rPr>
      <w:rFonts w:ascii="Courier New" w:hAnsi="Courier New" w:cs="Courier New"/>
      <w:sz w:val="20"/>
      <w:szCs w:val="20"/>
    </w:rPr>
  </w:style>
  <w:style w:type="character" w:customStyle="1" w:styleId="TextosinformatoCar">
    <w:name w:val="Texto sin formato Car"/>
    <w:link w:val="Textosinformato"/>
    <w:rsid w:val="00545704"/>
    <w:rPr>
      <w:rFonts w:ascii="Courier New" w:hAnsi="Courier New" w:cs="Courier New"/>
      <w:lang w:val="es-ES" w:eastAsia="es-ES"/>
    </w:rPr>
  </w:style>
  <w:style w:type="paragraph" w:styleId="Sangra3detindependiente">
    <w:name w:val="Body Text Indent 3"/>
    <w:basedOn w:val="Normal"/>
    <w:link w:val="Sangra3detindependienteCar"/>
    <w:rsid w:val="00545704"/>
    <w:pPr>
      <w:ind w:left="708" w:hanging="708"/>
      <w:jc w:val="both"/>
    </w:pPr>
    <w:rPr>
      <w:rFonts w:ascii="Arial" w:hAnsi="Arial"/>
      <w:sz w:val="22"/>
      <w:szCs w:val="20"/>
      <w:lang w:val="es-ES_tradnl"/>
    </w:rPr>
  </w:style>
  <w:style w:type="character" w:customStyle="1" w:styleId="Sangra3detindependienteCar">
    <w:name w:val="Sangría 3 de t. independiente Car"/>
    <w:link w:val="Sangra3detindependiente"/>
    <w:rsid w:val="00545704"/>
    <w:rPr>
      <w:rFonts w:ascii="Arial" w:hAnsi="Arial"/>
      <w:sz w:val="22"/>
      <w:lang w:val="es-ES_tradnl" w:eastAsia="es-ES"/>
    </w:rPr>
  </w:style>
  <w:style w:type="paragraph" w:customStyle="1" w:styleId="Citas">
    <w:name w:val="Citas"/>
    <w:basedOn w:val="Normal"/>
    <w:rsid w:val="00545704"/>
    <w:pPr>
      <w:ind w:left="708" w:right="618"/>
      <w:jc w:val="both"/>
    </w:pPr>
    <w:rPr>
      <w:rFonts w:ascii="Bookman Old Style" w:hAnsi="Bookman Old Style" w:cs="Arial"/>
      <w:i/>
      <w:iCs/>
      <w:szCs w:val="20"/>
    </w:rPr>
  </w:style>
  <w:style w:type="paragraph" w:customStyle="1" w:styleId="CUERPOTEXTO">
    <w:name w:val="CUERPO TEXTO"/>
    <w:rsid w:val="00545704"/>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rsid w:val="00545704"/>
  </w:style>
  <w:style w:type="paragraph" w:styleId="Asuntodelcomentario">
    <w:name w:val="annotation subject"/>
    <w:basedOn w:val="Textocomentario"/>
    <w:next w:val="Textocomentario"/>
    <w:link w:val="AsuntodelcomentarioCar"/>
    <w:semiHidden/>
    <w:rsid w:val="00545704"/>
    <w:rPr>
      <w:b/>
      <w:bCs/>
    </w:rPr>
  </w:style>
  <w:style w:type="character" w:customStyle="1" w:styleId="AsuntodelcomentarioCar">
    <w:name w:val="Asunto del comentario Car"/>
    <w:link w:val="Asuntodelcomentario"/>
    <w:semiHidden/>
    <w:rsid w:val="00545704"/>
    <w:rPr>
      <w:b/>
      <w:bCs/>
      <w:lang w:val="es-ES" w:eastAsia="es-ES"/>
    </w:rPr>
  </w:style>
  <w:style w:type="paragraph" w:styleId="Listaconvietas4">
    <w:name w:val="List Bullet 4"/>
    <w:basedOn w:val="Normal"/>
    <w:autoRedefine/>
    <w:rsid w:val="00545704"/>
    <w:pPr>
      <w:numPr>
        <w:numId w:val="5"/>
      </w:numPr>
    </w:pPr>
    <w:rPr>
      <w:rFonts w:ascii="CG Times" w:hAnsi="CG Times"/>
      <w:szCs w:val="20"/>
      <w:lang w:val="es-CO"/>
    </w:rPr>
  </w:style>
  <w:style w:type="character" w:customStyle="1" w:styleId="PiedepginaCar">
    <w:name w:val="Pie de página Car"/>
    <w:link w:val="Piedepgina"/>
    <w:rsid w:val="00545704"/>
    <w:rPr>
      <w:sz w:val="24"/>
      <w:szCs w:val="24"/>
      <w:lang w:val="es-ES" w:eastAsia="es-ES"/>
    </w:rPr>
  </w:style>
  <w:style w:type="paragraph" w:customStyle="1" w:styleId="xl27">
    <w:name w:val="xl27"/>
    <w:basedOn w:val="Normal"/>
    <w:rsid w:val="00545704"/>
    <w:pPr>
      <w:spacing w:before="100" w:beforeAutospacing="1" w:after="100" w:afterAutospacing="1"/>
      <w:ind w:left="0"/>
      <w:jc w:val="both"/>
    </w:pPr>
    <w:rPr>
      <w:rFonts w:ascii="Bookman Old Style" w:eastAsia="Arial Unicode MS" w:hAnsi="Bookman Old Style" w:cs="Arial"/>
    </w:rPr>
  </w:style>
  <w:style w:type="paragraph" w:customStyle="1" w:styleId="Textoindependiente21">
    <w:name w:val="Texto independiente 21"/>
    <w:basedOn w:val="Normal"/>
    <w:rsid w:val="00545704"/>
    <w:pPr>
      <w:suppressAutoHyphens/>
      <w:overflowPunct w:val="0"/>
      <w:autoSpaceDE w:val="0"/>
      <w:ind w:left="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545704"/>
    <w:pPr>
      <w:widowControl w:val="0"/>
      <w:ind w:left="0"/>
      <w:jc w:val="both"/>
    </w:pPr>
    <w:rPr>
      <w:rFonts w:ascii="Courier New" w:hAnsi="Courier New"/>
      <w:sz w:val="20"/>
      <w:szCs w:val="20"/>
      <w:lang w:val="es-ES_tradnl"/>
    </w:rPr>
  </w:style>
  <w:style w:type="paragraph" w:styleId="Lista">
    <w:name w:val="List"/>
    <w:basedOn w:val="Textoindependiente"/>
    <w:rsid w:val="00545704"/>
    <w:pPr>
      <w:suppressAutoHyphens/>
      <w:spacing w:after="120"/>
      <w:ind w:left="0"/>
      <w:jc w:val="both"/>
    </w:pPr>
    <w:rPr>
      <w:rFonts w:cs="Tahoma"/>
      <w:b w:val="0"/>
      <w:bCs w:val="0"/>
      <w:sz w:val="22"/>
      <w:lang w:eastAsia="ar-SA"/>
    </w:rPr>
  </w:style>
  <w:style w:type="paragraph" w:customStyle="1" w:styleId="Textoindependiente310">
    <w:name w:val="Texto independiente 310"/>
    <w:basedOn w:val="Normal"/>
    <w:rsid w:val="00545704"/>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Predeterminado">
    <w:name w:val="Predeterminado"/>
    <w:rsid w:val="00545704"/>
    <w:pPr>
      <w:widowControl w:val="0"/>
      <w:autoSpaceDE w:val="0"/>
      <w:autoSpaceDN w:val="0"/>
      <w:adjustRightInd w:val="0"/>
    </w:pPr>
    <w:rPr>
      <w:sz w:val="24"/>
      <w:szCs w:val="24"/>
      <w:lang w:val="es-ES" w:eastAsia="es-ES"/>
    </w:rPr>
  </w:style>
  <w:style w:type="paragraph" w:customStyle="1" w:styleId="Basico">
    <w:name w:val="Basico"/>
    <w:basedOn w:val="Normal"/>
    <w:rsid w:val="00545704"/>
    <w:pPr>
      <w:spacing w:before="240" w:line="360" w:lineRule="atLeast"/>
      <w:ind w:left="0"/>
      <w:jc w:val="both"/>
    </w:pPr>
    <w:rPr>
      <w:rFonts w:ascii="Palatino" w:hAnsi="Palatino"/>
      <w:lang w:val="es-ES_tradnl"/>
    </w:rPr>
  </w:style>
  <w:style w:type="character" w:customStyle="1" w:styleId="Ttulo1Car">
    <w:name w:val="Título 1 Car"/>
    <w:link w:val="Ttulo1"/>
    <w:rsid w:val="00545704"/>
    <w:rPr>
      <w:rFonts w:ascii="CG Times" w:hAnsi="CG Times"/>
      <w:b/>
      <w:sz w:val="24"/>
      <w:lang w:eastAsia="es-ES"/>
    </w:rPr>
  </w:style>
  <w:style w:type="paragraph" w:customStyle="1" w:styleId="VietaLetra0">
    <w:name w:val="ViñetaLetra"/>
    <w:basedOn w:val="Vietaletra"/>
    <w:rsid w:val="00545704"/>
    <w:pPr>
      <w:numPr>
        <w:numId w:val="1"/>
      </w:numPr>
    </w:pPr>
  </w:style>
  <w:style w:type="paragraph" w:customStyle="1" w:styleId="CENTRAR">
    <w:name w:val="CENTRAR"/>
    <w:basedOn w:val="CUERPOTEXTO"/>
    <w:rsid w:val="00545704"/>
    <w:pPr>
      <w:widowControl/>
      <w:ind w:firstLine="0"/>
      <w:jc w:val="center"/>
    </w:pPr>
    <w:rPr>
      <w:rFonts w:ascii="Times" w:hAnsi="Times"/>
    </w:rPr>
  </w:style>
  <w:style w:type="paragraph" w:styleId="Revisin">
    <w:name w:val="Revision"/>
    <w:hidden/>
    <w:semiHidden/>
    <w:rsid w:val="00545704"/>
    <w:rPr>
      <w:sz w:val="24"/>
      <w:szCs w:val="24"/>
      <w:lang w:val="es-ES" w:eastAsia="es-ES"/>
    </w:rPr>
  </w:style>
  <w:style w:type="character" w:styleId="Textodelmarcadordeposicin">
    <w:name w:val="Placeholder Text"/>
    <w:basedOn w:val="Fuentedeprrafopredeter"/>
    <w:uiPriority w:val="99"/>
    <w:semiHidden/>
    <w:rsid w:val="00C21639"/>
    <w:rPr>
      <w:color w:val="808080"/>
    </w:rPr>
  </w:style>
  <w:style w:type="paragraph" w:customStyle="1" w:styleId="Textoindependiente3100">
    <w:name w:val="Texto independiente 3100"/>
    <w:basedOn w:val="Normal"/>
    <w:rsid w:val="00C671FD"/>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Default">
    <w:name w:val="Default"/>
    <w:rsid w:val="008C2703"/>
    <w:pPr>
      <w:autoSpaceDE w:val="0"/>
      <w:autoSpaceDN w:val="0"/>
      <w:adjustRightInd w:val="0"/>
    </w:pPr>
    <w:rPr>
      <w:rFonts w:ascii="Arial" w:hAnsi="Arial" w:cs="Arial"/>
      <w:color w:val="000000"/>
      <w:sz w:val="24"/>
      <w:szCs w:val="24"/>
      <w:lang w:val="es-ES"/>
    </w:rPr>
  </w:style>
  <w:style w:type="paragraph" w:styleId="HTMLconformatoprevio">
    <w:name w:val="HTML Preformatted"/>
    <w:basedOn w:val="Normal"/>
    <w:link w:val="HTMLconformatoprevioCar"/>
    <w:uiPriority w:val="99"/>
    <w:semiHidden/>
    <w:unhideWhenUsed/>
    <w:rsid w:val="009D1F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pPr>
    <w:rPr>
      <w:rFonts w:ascii="Courier New" w:hAnsi="Courier New" w:cs="Courier New"/>
      <w:sz w:val="20"/>
      <w:szCs w:val="20"/>
    </w:rPr>
  </w:style>
  <w:style w:type="character" w:customStyle="1" w:styleId="HTMLconformatoprevioCar">
    <w:name w:val="HTML con formato previo Car"/>
    <w:basedOn w:val="Fuentedeprrafopredeter"/>
    <w:link w:val="HTMLconformatoprevio"/>
    <w:uiPriority w:val="99"/>
    <w:semiHidden/>
    <w:rsid w:val="009D1F65"/>
    <w:rPr>
      <w:rFonts w:ascii="Courier New" w:hAnsi="Courier New" w:cs="Courier New"/>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800945">
      <w:bodyDiv w:val="1"/>
      <w:marLeft w:val="0"/>
      <w:marRight w:val="0"/>
      <w:marTop w:val="0"/>
      <w:marBottom w:val="0"/>
      <w:divBdr>
        <w:top w:val="none" w:sz="0" w:space="0" w:color="auto"/>
        <w:left w:val="none" w:sz="0" w:space="0" w:color="auto"/>
        <w:bottom w:val="none" w:sz="0" w:space="0" w:color="auto"/>
        <w:right w:val="none" w:sz="0" w:space="0" w:color="auto"/>
      </w:divBdr>
    </w:div>
    <w:div w:id="713698401">
      <w:bodyDiv w:val="1"/>
      <w:marLeft w:val="0"/>
      <w:marRight w:val="0"/>
      <w:marTop w:val="0"/>
      <w:marBottom w:val="0"/>
      <w:divBdr>
        <w:top w:val="none" w:sz="0" w:space="0" w:color="auto"/>
        <w:left w:val="none" w:sz="0" w:space="0" w:color="auto"/>
        <w:bottom w:val="none" w:sz="0" w:space="0" w:color="auto"/>
        <w:right w:val="none" w:sz="0" w:space="0" w:color="auto"/>
      </w:divBdr>
      <w:divsChild>
        <w:div w:id="352267732">
          <w:marLeft w:val="0"/>
          <w:marRight w:val="0"/>
          <w:marTop w:val="0"/>
          <w:marBottom w:val="0"/>
          <w:divBdr>
            <w:top w:val="none" w:sz="0" w:space="0" w:color="auto"/>
            <w:left w:val="none" w:sz="0" w:space="0" w:color="auto"/>
            <w:bottom w:val="none" w:sz="0" w:space="0" w:color="auto"/>
            <w:right w:val="none" w:sz="0" w:space="0" w:color="auto"/>
          </w:divBdr>
          <w:divsChild>
            <w:div w:id="44141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867243">
      <w:bodyDiv w:val="1"/>
      <w:marLeft w:val="0"/>
      <w:marRight w:val="0"/>
      <w:marTop w:val="0"/>
      <w:marBottom w:val="0"/>
      <w:divBdr>
        <w:top w:val="none" w:sz="0" w:space="0" w:color="auto"/>
        <w:left w:val="none" w:sz="0" w:space="0" w:color="auto"/>
        <w:bottom w:val="none" w:sz="0" w:space="0" w:color="auto"/>
        <w:right w:val="none" w:sz="0" w:space="0" w:color="auto"/>
      </w:divBdr>
    </w:div>
    <w:div w:id="859398542">
      <w:bodyDiv w:val="1"/>
      <w:marLeft w:val="0"/>
      <w:marRight w:val="0"/>
      <w:marTop w:val="0"/>
      <w:marBottom w:val="0"/>
      <w:divBdr>
        <w:top w:val="none" w:sz="0" w:space="0" w:color="auto"/>
        <w:left w:val="none" w:sz="0" w:space="0" w:color="auto"/>
        <w:bottom w:val="none" w:sz="0" w:space="0" w:color="auto"/>
        <w:right w:val="none" w:sz="0" w:space="0" w:color="auto"/>
      </w:divBdr>
    </w:div>
    <w:div w:id="869296064">
      <w:bodyDiv w:val="1"/>
      <w:marLeft w:val="0"/>
      <w:marRight w:val="0"/>
      <w:marTop w:val="0"/>
      <w:marBottom w:val="0"/>
      <w:divBdr>
        <w:top w:val="none" w:sz="0" w:space="0" w:color="auto"/>
        <w:left w:val="none" w:sz="0" w:space="0" w:color="auto"/>
        <w:bottom w:val="none" w:sz="0" w:space="0" w:color="auto"/>
        <w:right w:val="none" w:sz="0" w:space="0" w:color="auto"/>
      </w:divBdr>
    </w:div>
    <w:div w:id="1088234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reg@creg.gov.co"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9008843DA1FEFC47A1DE4927CE931380" ma:contentTypeVersion="2" ma:contentTypeDescription="Crear nuevo documento." ma:contentTypeScope="" ma:versionID="6cd9afe5251636fab128a26d56a0a0f6">
  <xsd:schema xmlns:xsd="http://www.w3.org/2001/XMLSchema" xmlns:xs="http://www.w3.org/2001/XMLSchema" xmlns:p="http://schemas.microsoft.com/office/2006/metadata/properties" xmlns:ns2="9a6c2d20-416b-422a-aa79-bec6fc0092b6" targetNamespace="http://schemas.microsoft.com/office/2006/metadata/properties" ma:root="true" ma:fieldsID="b96ea24920ed9f7cf855d24cace5ee59" ns2:_="">
    <xsd:import namespace="9a6c2d20-416b-422a-aa79-bec6fc0092b6"/>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6c2d20-416b-422a-aa79-bec6fc0092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F55BDB1-6F3D-4FBB-9BEE-386D90E8A3E8}">
  <ds:schemaRefs>
    <ds:schemaRef ds:uri="http://schemas.openxmlformats.org/officeDocument/2006/bibliography"/>
  </ds:schemaRefs>
</ds:datastoreItem>
</file>

<file path=customXml/itemProps2.xml><?xml version="1.0" encoding="utf-8"?>
<ds:datastoreItem xmlns:ds="http://schemas.openxmlformats.org/officeDocument/2006/customXml" ds:itemID="{75C21035-8474-4E56-B425-4B84902ED08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5495280-7D36-4F56-BCB9-62B27662A9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6c2d20-416b-422a-aa79-bec6fc0092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AF4E630-312D-4570-855F-ADED849CC06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PLANTILLA1</Template>
  <TotalTime>2</TotalTime>
  <Pages>7</Pages>
  <Words>2272</Words>
  <Characters>12496</Characters>
  <Application>Microsoft Office Word</Application>
  <DocSecurity>0</DocSecurity>
  <Lines>104</Lines>
  <Paragraphs>29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14739</CharactersWithSpaces>
  <SharedDoc>false</SharedDoc>
  <HLinks>
    <vt:vector size="6" baseType="variant">
      <vt:variant>
        <vt:i4>4390966</vt:i4>
      </vt:variant>
      <vt:variant>
        <vt:i4>0</vt:i4>
      </vt:variant>
      <vt:variant>
        <vt:i4>0</vt:i4>
      </vt:variant>
      <vt:variant>
        <vt:i4>5</vt:i4>
      </vt:variant>
      <vt:variant>
        <vt:lpwstr>mailto:creg@creg.gov.co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Ramos</dc:creator>
  <cp:keywords/>
  <cp:lastModifiedBy>Luz Stella Rojas Macias</cp:lastModifiedBy>
  <cp:revision>2</cp:revision>
  <cp:lastPrinted>2021-05-06T15:50:00Z</cp:lastPrinted>
  <dcterms:created xsi:type="dcterms:W3CDTF">2021-05-19T21:51:00Z</dcterms:created>
  <dcterms:modified xsi:type="dcterms:W3CDTF">2021-05-19T21:51:00Z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0x0101009008843DA1FEFC47A1DE4927CE931380</vt:lpwstr>
  </property>
</Properties>
</file>